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5C12C33C" w:rsidR="00B60939" w:rsidRPr="00D33C2C" w:rsidRDefault="00A62616" w:rsidP="00A62616">
      <w:pPr>
        <w:pStyle w:val="1-MainHeading"/>
      </w:pPr>
      <w:bookmarkStart w:id="0" w:name="_Toc22898842"/>
      <w:bookmarkStart w:id="1" w:name="_Toc166210644"/>
      <w:r w:rsidRPr="00D33C2C">
        <w:t>5.12</w:t>
      </w:r>
      <w:r w:rsidR="00163F66" w:rsidRPr="00D33C2C">
        <w:tab/>
      </w:r>
      <w:r w:rsidRPr="00D33C2C">
        <w:t>ODEVIXIBAT</w:t>
      </w:r>
      <w:r w:rsidR="00163F66" w:rsidRPr="00D33C2C">
        <w:t>,</w:t>
      </w:r>
      <w:r w:rsidR="00163F66" w:rsidRPr="00D33C2C">
        <w:br/>
      </w:r>
      <w:r w:rsidRPr="00D33C2C">
        <w:t>Capsule 200 micrograms</w:t>
      </w:r>
      <w:r w:rsidR="00163F66" w:rsidRPr="00D33C2C">
        <w:t>,</w:t>
      </w:r>
      <w:r w:rsidR="00163F66" w:rsidRPr="00D33C2C">
        <w:br/>
      </w:r>
      <w:r w:rsidRPr="00D33C2C">
        <w:t>Capsule 400 micrograms</w:t>
      </w:r>
      <w:r w:rsidR="00163F66" w:rsidRPr="00D33C2C">
        <w:t>,</w:t>
      </w:r>
      <w:r w:rsidR="00163F66" w:rsidRPr="00D33C2C">
        <w:br/>
      </w:r>
      <w:r w:rsidRPr="00D33C2C">
        <w:t>Capsule 600 micrograms</w:t>
      </w:r>
      <w:r w:rsidR="004A6040" w:rsidRPr="00D33C2C">
        <w:t>,</w:t>
      </w:r>
      <w:r w:rsidR="004A6040" w:rsidRPr="00D33C2C">
        <w:br/>
      </w:r>
      <w:r w:rsidRPr="00D33C2C">
        <w:t>Capsule 1200 micrograms,</w:t>
      </w:r>
      <w:r w:rsidRPr="00D33C2C">
        <w:br/>
      </w:r>
      <w:r w:rsidR="009A7A94" w:rsidRPr="00D33C2C">
        <w:t>Bylvay</w:t>
      </w:r>
      <w:r w:rsidRPr="00D33C2C">
        <w:rPr>
          <w:vertAlign w:val="superscript"/>
        </w:rPr>
        <w:t>®</w:t>
      </w:r>
      <w:r w:rsidRPr="00D33C2C">
        <w:t>,</w:t>
      </w:r>
      <w:r w:rsidRPr="00D33C2C">
        <w:br/>
      </w:r>
      <w:r w:rsidR="009A7A94" w:rsidRPr="00D33C2C">
        <w:t>Ipsen Pty Ltd</w:t>
      </w:r>
      <w:r w:rsidR="00B60939" w:rsidRPr="00D33C2C">
        <w:t>.</w:t>
      </w:r>
      <w:bookmarkEnd w:id="0"/>
      <w:bookmarkEnd w:id="1"/>
    </w:p>
    <w:p w14:paraId="42CA3361" w14:textId="5FB7B203" w:rsidR="00E5561C" w:rsidRPr="00D33C2C" w:rsidRDefault="00E5561C" w:rsidP="00E5561C">
      <w:pPr>
        <w:pStyle w:val="2-SectionHeading"/>
      </w:pPr>
      <w:bookmarkStart w:id="2" w:name="_Toc22898844"/>
      <w:bookmarkStart w:id="3" w:name="_Toc166210647"/>
      <w:bookmarkStart w:id="4" w:name="_Toc22898845"/>
      <w:r w:rsidRPr="00D33C2C">
        <w:t>Purpose of submission</w:t>
      </w:r>
      <w:bookmarkEnd w:id="2"/>
      <w:bookmarkEnd w:id="3"/>
    </w:p>
    <w:p w14:paraId="6221E521" w14:textId="754436BE" w:rsidR="00E5561C" w:rsidRPr="00D33C2C" w:rsidRDefault="00E5561C" w:rsidP="00E5561C">
      <w:pPr>
        <w:pStyle w:val="3-BodyText"/>
      </w:pPr>
      <w:r w:rsidRPr="00D33C2C">
        <w:t xml:space="preserve">The </w:t>
      </w:r>
      <w:r w:rsidR="001772B3">
        <w:t>C</w:t>
      </w:r>
      <w:r w:rsidR="007F0FAC" w:rsidRPr="00D33C2C">
        <w:t xml:space="preserve">ategory 1 </w:t>
      </w:r>
      <w:r w:rsidRPr="00D33C2C">
        <w:t xml:space="preserve">submission requested </w:t>
      </w:r>
      <w:r w:rsidR="00767D1E" w:rsidRPr="00D33C2C">
        <w:t xml:space="preserve">a </w:t>
      </w:r>
      <w:r w:rsidR="000A7CED">
        <w:t xml:space="preserve">Section 100 (Highly Specialised Drugs Program) </w:t>
      </w:r>
      <w:r w:rsidR="00767D1E" w:rsidRPr="00D33C2C">
        <w:t xml:space="preserve">Authority Required (STREAMLINED) listing for the treatment of </w:t>
      </w:r>
      <w:r w:rsidRPr="00D33C2C">
        <w:t>progressive familial intrahepatic cholestasis (PFIC).</w:t>
      </w:r>
    </w:p>
    <w:p w14:paraId="49601B79" w14:textId="07843079" w:rsidR="00E5561C" w:rsidRPr="00D33C2C" w:rsidRDefault="00E5561C" w:rsidP="00E5561C">
      <w:pPr>
        <w:pStyle w:val="3-BodyText"/>
      </w:pPr>
      <w:r w:rsidRPr="00D33C2C">
        <w:t>Listing was requested on the basis of a cost-utility analysis versus standard of care (SOC) including partial external biliary diversion (PEBD) and liver transplantation (LT).</w:t>
      </w:r>
    </w:p>
    <w:p w14:paraId="74D67C99" w14:textId="5A5F2D63" w:rsidR="00B65720" w:rsidRPr="00D33C2C" w:rsidRDefault="00B65720" w:rsidP="00E5561C">
      <w:pPr>
        <w:pStyle w:val="3-BodyText"/>
      </w:pPr>
      <w:r w:rsidRPr="00D33C2C">
        <w:t xml:space="preserve">The key components </w:t>
      </w:r>
      <w:r w:rsidR="00DC486D">
        <w:t>of</w:t>
      </w:r>
      <w:r w:rsidRPr="00D33C2C">
        <w:t xml:space="preserve"> the submission are presented in </w:t>
      </w:r>
      <w:r w:rsidRPr="00D33C2C">
        <w:fldChar w:fldCharType="begin"/>
      </w:r>
      <w:r w:rsidRPr="00D33C2C">
        <w:instrText xml:space="preserve"> REF _Ref164696745 \h </w:instrText>
      </w:r>
      <w:r w:rsidRPr="00D33C2C">
        <w:fldChar w:fldCharType="separate"/>
      </w:r>
      <w:r w:rsidR="008B4717" w:rsidRPr="00D33C2C">
        <w:t xml:space="preserve">Table </w:t>
      </w:r>
      <w:r w:rsidR="008B4717">
        <w:rPr>
          <w:noProof/>
        </w:rPr>
        <w:t>1</w:t>
      </w:r>
      <w:r w:rsidRPr="00D33C2C">
        <w:fldChar w:fldCharType="end"/>
      </w:r>
      <w:r w:rsidRPr="00D33C2C">
        <w:t>.</w:t>
      </w:r>
    </w:p>
    <w:p w14:paraId="070ACDCC" w14:textId="2483ED31" w:rsidR="00E5561C" w:rsidRPr="00D33C2C" w:rsidRDefault="00B65720" w:rsidP="00B65720">
      <w:pPr>
        <w:pStyle w:val="TableFigureHeading"/>
        <w:rPr>
          <w:rStyle w:val="CommentReference"/>
          <w:b/>
          <w:szCs w:val="24"/>
        </w:rPr>
      </w:pPr>
      <w:bookmarkStart w:id="5" w:name="_Ref164696745"/>
      <w:r w:rsidRPr="00D33C2C">
        <w:t xml:space="preserve">Table </w:t>
      </w:r>
      <w:r w:rsidR="00DF1200">
        <w:fldChar w:fldCharType="begin"/>
      </w:r>
      <w:r w:rsidR="00DF1200">
        <w:instrText xml:space="preserve"> SEQ Table \* ARABIC </w:instrText>
      </w:r>
      <w:r w:rsidR="00DF1200">
        <w:fldChar w:fldCharType="separate"/>
      </w:r>
      <w:r w:rsidR="008B4717">
        <w:rPr>
          <w:noProof/>
        </w:rPr>
        <w:t>1</w:t>
      </w:r>
      <w:r w:rsidR="00DF1200">
        <w:rPr>
          <w:noProof/>
        </w:rPr>
        <w:fldChar w:fldCharType="end"/>
      </w:r>
      <w:bookmarkEnd w:id="5"/>
      <w:r w:rsidR="00E5561C" w:rsidRPr="00D33C2C">
        <w:rPr>
          <w:rStyle w:val="CommentReference"/>
          <w:b/>
          <w:szCs w:val="24"/>
        </w:rPr>
        <w:t>: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196"/>
        <w:gridCol w:w="7821"/>
      </w:tblGrid>
      <w:tr w:rsidR="00E5561C" w:rsidRPr="00D33C2C" w14:paraId="21E319B3" w14:textId="77777777" w:rsidTr="00517DC0">
        <w:trPr>
          <w:cantSplit/>
          <w:tblHeader/>
        </w:trPr>
        <w:tc>
          <w:tcPr>
            <w:tcW w:w="663" w:type="pct"/>
            <w:shd w:val="clear" w:color="auto" w:fill="auto"/>
            <w:tcMar>
              <w:left w:w="40" w:type="dxa"/>
              <w:right w:w="40" w:type="dxa"/>
            </w:tcMar>
            <w:vAlign w:val="center"/>
          </w:tcPr>
          <w:p w14:paraId="4485C09C" w14:textId="77777777" w:rsidR="00E5561C" w:rsidRPr="00D33C2C" w:rsidRDefault="00E5561C" w:rsidP="0004565F">
            <w:pPr>
              <w:pStyle w:val="In-tableHeading"/>
              <w:rPr>
                <w:szCs w:val="20"/>
                <w:lang w:val="en-AU"/>
              </w:rPr>
            </w:pPr>
            <w:r w:rsidRPr="00D33C2C">
              <w:rPr>
                <w:lang w:val="en-AU"/>
              </w:rPr>
              <w:t>Component</w:t>
            </w:r>
          </w:p>
        </w:tc>
        <w:tc>
          <w:tcPr>
            <w:tcW w:w="4337" w:type="pct"/>
            <w:shd w:val="clear" w:color="auto" w:fill="auto"/>
            <w:tcMar>
              <w:left w:w="40" w:type="dxa"/>
              <w:right w:w="40" w:type="dxa"/>
            </w:tcMar>
          </w:tcPr>
          <w:p w14:paraId="5A3AEEAC" w14:textId="77777777" w:rsidR="00E5561C" w:rsidRPr="00D33C2C" w:rsidRDefault="00E5561C" w:rsidP="007460E2">
            <w:pPr>
              <w:pStyle w:val="In-tableHeading"/>
              <w:rPr>
                <w:lang w:val="en-AU"/>
              </w:rPr>
            </w:pPr>
            <w:r w:rsidRPr="00D33C2C">
              <w:rPr>
                <w:lang w:val="en-AU"/>
              </w:rPr>
              <w:t>Description</w:t>
            </w:r>
          </w:p>
        </w:tc>
      </w:tr>
      <w:tr w:rsidR="00E5561C" w:rsidRPr="00D33C2C" w14:paraId="47E09C58" w14:textId="77777777" w:rsidTr="00517DC0">
        <w:trPr>
          <w:cantSplit/>
        </w:trPr>
        <w:tc>
          <w:tcPr>
            <w:tcW w:w="663" w:type="pct"/>
            <w:shd w:val="clear" w:color="auto" w:fill="auto"/>
            <w:tcMar>
              <w:left w:w="40" w:type="dxa"/>
              <w:right w:w="40" w:type="dxa"/>
            </w:tcMar>
            <w:vAlign w:val="center"/>
          </w:tcPr>
          <w:p w14:paraId="205D9A02" w14:textId="77777777" w:rsidR="00E5561C" w:rsidRPr="00D33C2C" w:rsidRDefault="00E5561C" w:rsidP="0004565F">
            <w:pPr>
              <w:pStyle w:val="TableText0"/>
            </w:pPr>
            <w:r w:rsidRPr="00D33C2C">
              <w:t>Population</w:t>
            </w:r>
          </w:p>
        </w:tc>
        <w:tc>
          <w:tcPr>
            <w:tcW w:w="4337" w:type="pct"/>
            <w:shd w:val="clear" w:color="auto" w:fill="auto"/>
            <w:tcMar>
              <w:left w:w="40" w:type="dxa"/>
              <w:right w:w="40" w:type="dxa"/>
            </w:tcMar>
          </w:tcPr>
          <w:p w14:paraId="41E9F81F" w14:textId="2262497A" w:rsidR="00E5561C" w:rsidRPr="00D33C2C" w:rsidRDefault="00E5561C" w:rsidP="007460E2">
            <w:pPr>
              <w:pStyle w:val="TableText0"/>
              <w:rPr>
                <w:szCs w:val="20"/>
              </w:rPr>
            </w:pPr>
            <w:r w:rsidRPr="00D33C2C">
              <w:t xml:space="preserve">Patients with progressive familial intrahepatic cholestasis </w:t>
            </w:r>
          </w:p>
        </w:tc>
      </w:tr>
      <w:tr w:rsidR="00E5561C" w:rsidRPr="00D33C2C" w14:paraId="5CE86D4D" w14:textId="77777777" w:rsidTr="00517DC0">
        <w:trPr>
          <w:cantSplit/>
        </w:trPr>
        <w:tc>
          <w:tcPr>
            <w:tcW w:w="663" w:type="pct"/>
            <w:shd w:val="clear" w:color="auto" w:fill="auto"/>
            <w:tcMar>
              <w:left w:w="40" w:type="dxa"/>
              <w:right w:w="40" w:type="dxa"/>
            </w:tcMar>
            <w:vAlign w:val="center"/>
          </w:tcPr>
          <w:p w14:paraId="0EDAC911" w14:textId="77777777" w:rsidR="00E5561C" w:rsidRPr="00D33C2C" w:rsidRDefault="00E5561C" w:rsidP="0004565F">
            <w:pPr>
              <w:pStyle w:val="TableText0"/>
            </w:pPr>
            <w:r w:rsidRPr="00D33C2C">
              <w:t>Intervention</w:t>
            </w:r>
          </w:p>
        </w:tc>
        <w:tc>
          <w:tcPr>
            <w:tcW w:w="4337" w:type="pct"/>
            <w:shd w:val="clear" w:color="auto" w:fill="auto"/>
            <w:tcMar>
              <w:left w:w="40" w:type="dxa"/>
              <w:right w:w="40" w:type="dxa"/>
            </w:tcMar>
          </w:tcPr>
          <w:p w14:paraId="7A6056A2" w14:textId="0FFA4D50" w:rsidR="00E5561C" w:rsidRPr="00D33C2C" w:rsidRDefault="00E5561C" w:rsidP="007460E2">
            <w:pPr>
              <w:pStyle w:val="TableText0"/>
            </w:pPr>
            <w:r w:rsidRPr="00D33C2C">
              <w:t xml:space="preserve">Odevixibat 40 mcg/kg orally administered once daily with dose escalation to 120 mcg/kg/day </w:t>
            </w:r>
            <w:r w:rsidR="00DC486D">
              <w:t xml:space="preserve">if </w:t>
            </w:r>
            <w:r w:rsidRPr="00D33C2C">
              <w:t>adequate clinical response is not achieved at 3 months</w:t>
            </w:r>
          </w:p>
        </w:tc>
      </w:tr>
      <w:tr w:rsidR="00E5561C" w:rsidRPr="00D33C2C" w14:paraId="68424860" w14:textId="77777777" w:rsidTr="00517DC0">
        <w:trPr>
          <w:cantSplit/>
        </w:trPr>
        <w:tc>
          <w:tcPr>
            <w:tcW w:w="663" w:type="pct"/>
            <w:shd w:val="clear" w:color="auto" w:fill="auto"/>
            <w:tcMar>
              <w:left w:w="40" w:type="dxa"/>
              <w:right w:w="40" w:type="dxa"/>
            </w:tcMar>
            <w:vAlign w:val="center"/>
          </w:tcPr>
          <w:p w14:paraId="5BB604E7" w14:textId="77777777" w:rsidR="00E5561C" w:rsidRPr="00D33C2C" w:rsidRDefault="00E5561C" w:rsidP="0004565F">
            <w:pPr>
              <w:pStyle w:val="TableText0"/>
            </w:pPr>
            <w:r w:rsidRPr="00D33C2C">
              <w:t>Comparator</w:t>
            </w:r>
          </w:p>
        </w:tc>
        <w:tc>
          <w:tcPr>
            <w:tcW w:w="4337" w:type="pct"/>
            <w:shd w:val="clear" w:color="auto" w:fill="auto"/>
            <w:tcMar>
              <w:left w:w="40" w:type="dxa"/>
              <w:right w:w="40" w:type="dxa"/>
            </w:tcMar>
          </w:tcPr>
          <w:p w14:paraId="70E6FB44" w14:textId="6964DB21" w:rsidR="00E5561C" w:rsidRPr="00D33C2C" w:rsidRDefault="00E5561C" w:rsidP="007460E2">
            <w:pPr>
              <w:pStyle w:val="TableText0"/>
            </w:pPr>
            <w:r w:rsidRPr="00D33C2C">
              <w:t xml:space="preserve">Standard of care including </w:t>
            </w:r>
            <w:r w:rsidR="00F1619D">
              <w:t>partial external biliary diversion</w:t>
            </w:r>
            <w:r w:rsidR="00F1619D" w:rsidRPr="00114804">
              <w:t xml:space="preserve"> </w:t>
            </w:r>
            <w:r w:rsidRPr="00D33C2C">
              <w:t xml:space="preserve">and </w:t>
            </w:r>
            <w:r w:rsidR="00F1619D">
              <w:t>liver transplant</w:t>
            </w:r>
            <w:r w:rsidRPr="00D33C2C">
              <w:t>.</w:t>
            </w:r>
          </w:p>
        </w:tc>
      </w:tr>
      <w:tr w:rsidR="00E5561C" w:rsidRPr="00D33C2C" w14:paraId="094A655B" w14:textId="77777777" w:rsidTr="00517DC0">
        <w:trPr>
          <w:cantSplit/>
        </w:trPr>
        <w:tc>
          <w:tcPr>
            <w:tcW w:w="663" w:type="pct"/>
            <w:shd w:val="clear" w:color="auto" w:fill="auto"/>
            <w:tcMar>
              <w:left w:w="40" w:type="dxa"/>
              <w:right w:w="40" w:type="dxa"/>
            </w:tcMar>
            <w:vAlign w:val="center"/>
          </w:tcPr>
          <w:p w14:paraId="51DF81A3" w14:textId="77777777" w:rsidR="00E5561C" w:rsidRPr="00D33C2C" w:rsidRDefault="00E5561C" w:rsidP="0004565F">
            <w:pPr>
              <w:pStyle w:val="TableText0"/>
            </w:pPr>
            <w:r w:rsidRPr="00D33C2C">
              <w:t>Outcomes</w:t>
            </w:r>
          </w:p>
        </w:tc>
        <w:tc>
          <w:tcPr>
            <w:tcW w:w="4337" w:type="pct"/>
            <w:shd w:val="clear" w:color="auto" w:fill="auto"/>
            <w:tcMar>
              <w:left w:w="40" w:type="dxa"/>
              <w:right w:w="40" w:type="dxa"/>
            </w:tcMar>
            <w:vAlign w:val="center"/>
          </w:tcPr>
          <w:p w14:paraId="067D203D" w14:textId="02DBEE97" w:rsidR="00E5561C" w:rsidRPr="00D33C2C" w:rsidRDefault="00E5561C" w:rsidP="007460E2">
            <w:pPr>
              <w:pStyle w:val="TableText0"/>
              <w:rPr>
                <w:rFonts w:eastAsia="Times New Roman" w:cs="Arial"/>
                <w:bCs w:val="0"/>
                <w:snapToGrid w:val="0"/>
                <w:szCs w:val="20"/>
              </w:rPr>
            </w:pPr>
            <w:r w:rsidRPr="00D33C2C">
              <w:t xml:space="preserve">Serum bile acid </w:t>
            </w:r>
            <w:r w:rsidR="00A10D5F">
              <w:t xml:space="preserve">(sBA) </w:t>
            </w:r>
            <w:r w:rsidRPr="00D33C2C">
              <w:t>response, pruritis response, sleep parameters, growth parameters, quality of life, safety.</w:t>
            </w:r>
          </w:p>
        </w:tc>
      </w:tr>
      <w:tr w:rsidR="00E5561C" w:rsidRPr="00D33C2C" w14:paraId="68D549BC" w14:textId="77777777" w:rsidTr="00517DC0">
        <w:trPr>
          <w:cantSplit/>
        </w:trPr>
        <w:tc>
          <w:tcPr>
            <w:tcW w:w="663" w:type="pct"/>
            <w:shd w:val="clear" w:color="auto" w:fill="auto"/>
            <w:tcMar>
              <w:left w:w="40" w:type="dxa"/>
              <w:right w:w="40" w:type="dxa"/>
            </w:tcMar>
            <w:vAlign w:val="center"/>
          </w:tcPr>
          <w:p w14:paraId="061F1972" w14:textId="77777777" w:rsidR="00E5561C" w:rsidRPr="00D33C2C" w:rsidRDefault="00E5561C" w:rsidP="0004565F">
            <w:pPr>
              <w:pStyle w:val="TableText0"/>
            </w:pPr>
            <w:r w:rsidRPr="00D33C2C">
              <w:t>Clinical claim</w:t>
            </w:r>
          </w:p>
        </w:tc>
        <w:tc>
          <w:tcPr>
            <w:tcW w:w="4337" w:type="pct"/>
            <w:shd w:val="clear" w:color="auto" w:fill="auto"/>
            <w:tcMar>
              <w:left w:w="40" w:type="dxa"/>
              <w:right w:w="40" w:type="dxa"/>
            </w:tcMar>
            <w:vAlign w:val="center"/>
          </w:tcPr>
          <w:p w14:paraId="721FE588" w14:textId="2C7272F8" w:rsidR="00E5561C" w:rsidRPr="00D33C2C" w:rsidRDefault="00E5561C" w:rsidP="007460E2">
            <w:pPr>
              <w:pStyle w:val="TableText0"/>
            </w:pPr>
            <w:r w:rsidRPr="00D33C2C">
              <w:t>Superiority in terms of sBA response and pruritus response at 24 weeks</w:t>
            </w:r>
          </w:p>
          <w:p w14:paraId="4CB5784F" w14:textId="291C43DC" w:rsidR="00E5561C" w:rsidRPr="00D33C2C" w:rsidRDefault="00E5561C" w:rsidP="007460E2">
            <w:pPr>
              <w:pStyle w:val="TableText0"/>
              <w:rPr>
                <w:rFonts w:eastAsia="Times New Roman" w:cs="Arial"/>
                <w:bCs w:val="0"/>
                <w:snapToGrid w:val="0"/>
                <w:szCs w:val="20"/>
              </w:rPr>
            </w:pPr>
            <w:r w:rsidRPr="00D33C2C">
              <w:t>Non-</w:t>
            </w:r>
            <w:r w:rsidR="00AE0DAC">
              <w:t>i</w:t>
            </w:r>
            <w:r w:rsidRPr="00D33C2C">
              <w:t>nferiority in terms of safety</w:t>
            </w:r>
          </w:p>
        </w:tc>
      </w:tr>
    </w:tbl>
    <w:p w14:paraId="597AA5BC" w14:textId="77777777" w:rsidR="00E5561C" w:rsidRPr="00D33C2C" w:rsidRDefault="00E5561C" w:rsidP="00E5561C">
      <w:pPr>
        <w:pStyle w:val="TableFigureFooter"/>
      </w:pPr>
      <w:r w:rsidRPr="00D33C2C">
        <w:t>Source: Table 1-1, p20 of the submission</w:t>
      </w:r>
    </w:p>
    <w:p w14:paraId="2D0D34E2" w14:textId="77777777" w:rsidR="00E5561C" w:rsidRPr="00D33C2C" w:rsidRDefault="00E5561C" w:rsidP="00E5561C">
      <w:pPr>
        <w:pStyle w:val="2-SectionHeading"/>
      </w:pPr>
      <w:bookmarkStart w:id="6" w:name="_Toc166171894"/>
      <w:bookmarkStart w:id="7" w:name="_Toc166210648"/>
      <w:bookmarkStart w:id="8" w:name="_Toc22898848"/>
      <w:bookmarkEnd w:id="4"/>
      <w:bookmarkEnd w:id="6"/>
      <w:r w:rsidRPr="00D33C2C">
        <w:t>Background</w:t>
      </w:r>
      <w:bookmarkEnd w:id="7"/>
    </w:p>
    <w:p w14:paraId="6EB28A41" w14:textId="77777777" w:rsidR="00E5561C" w:rsidRPr="00D33C2C" w:rsidRDefault="00E5561C" w:rsidP="00E5561C">
      <w:pPr>
        <w:pStyle w:val="4-SubsectionHeading"/>
      </w:pPr>
      <w:bookmarkStart w:id="9" w:name="_Toc22897638"/>
      <w:bookmarkStart w:id="10" w:name="_Toc22898846"/>
      <w:bookmarkStart w:id="11" w:name="_Toc166210649"/>
      <w:r w:rsidRPr="00D33C2C">
        <w:t>Registration status</w:t>
      </w:r>
      <w:bookmarkEnd w:id="9"/>
      <w:bookmarkEnd w:id="10"/>
      <w:bookmarkEnd w:id="11"/>
    </w:p>
    <w:p w14:paraId="526EDCBE" w14:textId="33B92053" w:rsidR="00E5561C" w:rsidRDefault="00E5561C" w:rsidP="00FB0A5B">
      <w:pPr>
        <w:pStyle w:val="3-BodyText"/>
      </w:pPr>
      <w:r w:rsidRPr="00D33C2C">
        <w:t>The submission was made under the TGA/PBAC Parallel Process</w:t>
      </w:r>
      <w:r w:rsidR="00835221">
        <w:t xml:space="preserve">. The TGA Delegate’s Overview was available at the time of PBAC consideration. </w:t>
      </w:r>
      <w:r w:rsidRPr="00D33C2C">
        <w:t xml:space="preserve">The </w:t>
      </w:r>
      <w:r w:rsidR="00DE7B08">
        <w:t xml:space="preserve">proposed </w:t>
      </w:r>
      <w:r w:rsidRPr="00D33C2C">
        <w:t xml:space="preserve">TGA </w:t>
      </w:r>
      <w:r w:rsidR="000A7CED">
        <w:t>indication for</w:t>
      </w:r>
      <w:r w:rsidRPr="00D33C2C">
        <w:t xml:space="preserve"> odevixibat </w:t>
      </w:r>
      <w:r w:rsidR="000A7CED">
        <w:t xml:space="preserve">is </w:t>
      </w:r>
      <w:r w:rsidRPr="00D33C2C">
        <w:t xml:space="preserve">for treatment of PFIC in patients </w:t>
      </w:r>
      <w:r w:rsidR="00E27B28">
        <w:t xml:space="preserve">aged </w:t>
      </w:r>
      <w:r w:rsidRPr="00D33C2C">
        <w:t>six months or older</w:t>
      </w:r>
      <w:r w:rsidR="000A7CED">
        <w:t>.</w:t>
      </w:r>
    </w:p>
    <w:p w14:paraId="7471C765" w14:textId="555D6227" w:rsidR="00E5561C" w:rsidRDefault="00E5561C" w:rsidP="002F1B73">
      <w:pPr>
        <w:pStyle w:val="2-SectionHeading"/>
      </w:pPr>
      <w:bookmarkStart w:id="12" w:name="_Toc166210650"/>
      <w:bookmarkStart w:id="13" w:name="_Toc22898849"/>
      <w:bookmarkEnd w:id="8"/>
      <w:r w:rsidRPr="00D33C2C">
        <w:lastRenderedPageBreak/>
        <w:t>Requested listing</w:t>
      </w:r>
      <w:bookmarkEnd w:id="12"/>
    </w:p>
    <w:tbl>
      <w:tblPr>
        <w:tblW w:w="4970" w:type="pct"/>
        <w:tblInd w:w="28" w:type="dxa"/>
        <w:tblLayout w:type="fixed"/>
        <w:tblCellMar>
          <w:left w:w="28" w:type="dxa"/>
          <w:right w:w="28" w:type="dxa"/>
        </w:tblCellMar>
        <w:tblLook w:val="0000" w:firstRow="0" w:lastRow="0" w:firstColumn="0" w:lastColumn="0" w:noHBand="0" w:noVBand="0"/>
      </w:tblPr>
      <w:tblGrid>
        <w:gridCol w:w="1533"/>
        <w:gridCol w:w="1563"/>
        <w:gridCol w:w="1080"/>
        <w:gridCol w:w="720"/>
        <w:gridCol w:w="2157"/>
        <w:gridCol w:w="960"/>
        <w:gridCol w:w="960"/>
      </w:tblGrid>
      <w:tr w:rsidR="0030512D" w:rsidRPr="00D33C2C" w14:paraId="28482C44" w14:textId="77777777" w:rsidTr="008277EE">
        <w:trPr>
          <w:cantSplit/>
          <w:trHeight w:val="463"/>
        </w:trPr>
        <w:tc>
          <w:tcPr>
            <w:tcW w:w="1725" w:type="pct"/>
            <w:gridSpan w:val="2"/>
            <w:tcBorders>
              <w:top w:val="single" w:sz="4" w:space="0" w:color="auto"/>
              <w:bottom w:val="single" w:sz="4" w:space="0" w:color="auto"/>
            </w:tcBorders>
            <w:vAlign w:val="center"/>
          </w:tcPr>
          <w:p w14:paraId="07941D4A" w14:textId="77777777" w:rsidR="0030512D" w:rsidRPr="00D33C2C" w:rsidRDefault="0030512D" w:rsidP="002F1B73">
            <w:pPr>
              <w:keepNext/>
              <w:jc w:val="left"/>
              <w:rPr>
                <w:rFonts w:ascii="Arial Narrow" w:hAnsi="Arial Narrow"/>
                <w:b/>
                <w:sz w:val="20"/>
              </w:rPr>
            </w:pPr>
            <w:r w:rsidRPr="00D33C2C">
              <w:rPr>
                <w:rFonts w:ascii="Arial Narrow" w:hAnsi="Arial Narrow"/>
                <w:b/>
                <w:sz w:val="20"/>
              </w:rPr>
              <w:t>Name, Restriction,</w:t>
            </w:r>
          </w:p>
          <w:p w14:paraId="583459E0" w14:textId="77777777" w:rsidR="0030512D" w:rsidRPr="00D33C2C" w:rsidRDefault="0030512D" w:rsidP="002F1B73">
            <w:pPr>
              <w:keepNext/>
              <w:jc w:val="left"/>
              <w:rPr>
                <w:rFonts w:ascii="Arial Narrow" w:hAnsi="Arial Narrow"/>
                <w:b/>
                <w:sz w:val="20"/>
              </w:rPr>
            </w:pPr>
            <w:r w:rsidRPr="00D33C2C">
              <w:rPr>
                <w:rFonts w:ascii="Arial Narrow" w:hAnsi="Arial Narrow"/>
                <w:b/>
                <w:sz w:val="20"/>
              </w:rPr>
              <w:t>Manner of administration and form</w:t>
            </w:r>
          </w:p>
        </w:tc>
        <w:tc>
          <w:tcPr>
            <w:tcW w:w="602" w:type="pct"/>
            <w:tcBorders>
              <w:top w:val="single" w:sz="4" w:space="0" w:color="auto"/>
              <w:bottom w:val="single" w:sz="4" w:space="0" w:color="auto"/>
            </w:tcBorders>
            <w:vAlign w:val="center"/>
          </w:tcPr>
          <w:p w14:paraId="6B68D6D7" w14:textId="77777777" w:rsidR="0030512D" w:rsidRPr="00D33C2C" w:rsidRDefault="0030512D" w:rsidP="002F1B73">
            <w:pPr>
              <w:keepNext/>
              <w:jc w:val="center"/>
              <w:rPr>
                <w:rFonts w:ascii="Arial Narrow" w:hAnsi="Arial Narrow"/>
                <w:b/>
                <w:sz w:val="20"/>
              </w:rPr>
            </w:pPr>
            <w:r w:rsidRPr="00D33C2C">
              <w:rPr>
                <w:rFonts w:ascii="Arial Narrow" w:hAnsi="Arial Narrow"/>
                <w:b/>
                <w:sz w:val="20"/>
              </w:rPr>
              <w:t>Max.</w:t>
            </w:r>
          </w:p>
          <w:p w14:paraId="3006E899" w14:textId="77777777" w:rsidR="0030512D" w:rsidRPr="00D33C2C" w:rsidRDefault="0030512D" w:rsidP="002F1B73">
            <w:pPr>
              <w:keepNext/>
              <w:jc w:val="center"/>
              <w:rPr>
                <w:rFonts w:ascii="Arial Narrow" w:hAnsi="Arial Narrow"/>
                <w:b/>
                <w:sz w:val="20"/>
              </w:rPr>
            </w:pPr>
            <w:r w:rsidRPr="00D33C2C">
              <w:rPr>
                <w:rFonts w:ascii="Arial Narrow" w:hAnsi="Arial Narrow"/>
                <w:b/>
                <w:sz w:val="20"/>
              </w:rPr>
              <w:t>Qty packs</w:t>
            </w:r>
          </w:p>
        </w:tc>
        <w:tc>
          <w:tcPr>
            <w:tcW w:w="401" w:type="pct"/>
            <w:tcBorders>
              <w:top w:val="single" w:sz="4" w:space="0" w:color="auto"/>
              <w:bottom w:val="single" w:sz="4" w:space="0" w:color="auto"/>
            </w:tcBorders>
            <w:vAlign w:val="center"/>
          </w:tcPr>
          <w:p w14:paraId="1415FE0A" w14:textId="77777777" w:rsidR="0030512D" w:rsidRPr="00D33C2C" w:rsidRDefault="0030512D" w:rsidP="002F1B73">
            <w:pPr>
              <w:keepNext/>
              <w:jc w:val="center"/>
              <w:rPr>
                <w:rFonts w:ascii="Arial Narrow" w:hAnsi="Arial Narrow"/>
                <w:b/>
                <w:sz w:val="20"/>
              </w:rPr>
            </w:pPr>
            <w:r w:rsidRPr="00D33C2C">
              <w:rPr>
                <w:rFonts w:ascii="Arial Narrow" w:hAnsi="Arial Narrow" w:cs="Times New Roman"/>
                <w:b/>
                <w:sz w:val="20"/>
              </w:rPr>
              <w:t>№</w:t>
            </w:r>
            <w:r w:rsidRPr="00D33C2C">
              <w:rPr>
                <w:rFonts w:ascii="Arial Narrow" w:hAnsi="Arial Narrow"/>
                <w:b/>
                <w:sz w:val="20"/>
              </w:rPr>
              <w:t>.of</w:t>
            </w:r>
          </w:p>
          <w:p w14:paraId="2ABF91E9" w14:textId="77777777" w:rsidR="0030512D" w:rsidRPr="00D33C2C" w:rsidRDefault="0030512D" w:rsidP="002F1B73">
            <w:pPr>
              <w:keepNext/>
              <w:jc w:val="center"/>
              <w:rPr>
                <w:rFonts w:ascii="Arial Narrow" w:hAnsi="Arial Narrow"/>
                <w:b/>
                <w:sz w:val="20"/>
              </w:rPr>
            </w:pPr>
            <w:r w:rsidRPr="00D33C2C">
              <w:rPr>
                <w:rFonts w:ascii="Arial Narrow" w:hAnsi="Arial Narrow"/>
                <w:b/>
                <w:sz w:val="20"/>
              </w:rPr>
              <w:t>Rpts</w:t>
            </w:r>
          </w:p>
        </w:tc>
        <w:tc>
          <w:tcPr>
            <w:tcW w:w="1202" w:type="pct"/>
            <w:tcBorders>
              <w:top w:val="single" w:sz="4" w:space="0" w:color="auto"/>
              <w:bottom w:val="single" w:sz="4" w:space="0" w:color="auto"/>
            </w:tcBorders>
            <w:vAlign w:val="center"/>
          </w:tcPr>
          <w:p w14:paraId="3389F0C9" w14:textId="05A470A7" w:rsidR="0030512D" w:rsidRPr="00D33C2C" w:rsidRDefault="001825BF" w:rsidP="002F1B73">
            <w:pPr>
              <w:keepNext/>
              <w:jc w:val="center"/>
              <w:rPr>
                <w:rFonts w:ascii="Arial Narrow" w:hAnsi="Arial Narrow"/>
                <w:b/>
                <w:sz w:val="20"/>
              </w:rPr>
            </w:pPr>
            <w:r>
              <w:rPr>
                <w:rFonts w:ascii="Arial Narrow" w:hAnsi="Arial Narrow"/>
                <w:b/>
                <w:sz w:val="20"/>
              </w:rPr>
              <w:t xml:space="preserve">Effective </w:t>
            </w:r>
            <w:r>
              <w:rPr>
                <w:rFonts w:ascii="Arial Narrow" w:hAnsi="Arial Narrow"/>
                <w:b/>
                <w:sz w:val="20"/>
              </w:rPr>
              <w:br/>
              <w:t>DPMQ</w:t>
            </w:r>
          </w:p>
        </w:tc>
        <w:tc>
          <w:tcPr>
            <w:tcW w:w="1070" w:type="pct"/>
            <w:gridSpan w:val="2"/>
            <w:tcBorders>
              <w:top w:val="single" w:sz="4" w:space="0" w:color="auto"/>
              <w:bottom w:val="single" w:sz="4" w:space="0" w:color="auto"/>
            </w:tcBorders>
            <w:vAlign w:val="center"/>
          </w:tcPr>
          <w:p w14:paraId="3F8339AB" w14:textId="33753BF5" w:rsidR="0030512D" w:rsidRPr="00D33C2C" w:rsidRDefault="0030512D" w:rsidP="002F1B73">
            <w:pPr>
              <w:keepNext/>
              <w:jc w:val="center"/>
              <w:rPr>
                <w:rFonts w:ascii="Arial Narrow" w:hAnsi="Arial Narrow"/>
                <w:b/>
                <w:sz w:val="20"/>
              </w:rPr>
            </w:pPr>
            <w:r w:rsidRPr="00D33C2C">
              <w:rPr>
                <w:rFonts w:ascii="Arial Narrow" w:hAnsi="Arial Narrow"/>
                <w:b/>
                <w:sz w:val="20"/>
              </w:rPr>
              <w:t>Proprietary Name and Manufacturer</w:t>
            </w:r>
          </w:p>
        </w:tc>
      </w:tr>
      <w:tr w:rsidR="0030512D" w:rsidRPr="00D33C2C" w14:paraId="23EBCF52" w14:textId="77777777" w:rsidTr="008277EE">
        <w:trPr>
          <w:cantSplit/>
          <w:trHeight w:val="454"/>
        </w:trPr>
        <w:tc>
          <w:tcPr>
            <w:tcW w:w="1725" w:type="pct"/>
            <w:gridSpan w:val="2"/>
            <w:tcBorders>
              <w:top w:val="single" w:sz="4" w:space="0" w:color="auto"/>
              <w:bottom w:val="single" w:sz="4" w:space="0" w:color="auto"/>
            </w:tcBorders>
            <w:vAlign w:val="center"/>
          </w:tcPr>
          <w:p w14:paraId="73D6E9B1" w14:textId="461E0402" w:rsidR="0030512D" w:rsidRPr="00D33C2C" w:rsidRDefault="0030512D" w:rsidP="002F1B73">
            <w:pPr>
              <w:keepNext/>
              <w:jc w:val="left"/>
              <w:rPr>
                <w:rFonts w:ascii="Arial Narrow" w:hAnsi="Arial Narrow"/>
                <w:sz w:val="20"/>
              </w:rPr>
            </w:pPr>
            <w:r w:rsidRPr="00D33C2C">
              <w:rPr>
                <w:rFonts w:ascii="Arial Narrow" w:hAnsi="Arial Narrow"/>
                <w:smallCaps/>
                <w:sz w:val="20"/>
              </w:rPr>
              <w:t xml:space="preserve">Odevixibat. </w:t>
            </w:r>
            <w:r w:rsidRPr="00D33C2C">
              <w:rPr>
                <w:rFonts w:ascii="Arial Narrow" w:hAnsi="Arial Narrow"/>
                <w:sz w:val="20"/>
              </w:rPr>
              <w:t>200 microgram capsules, 30</w:t>
            </w:r>
            <w:r w:rsidR="002F1B73">
              <w:rPr>
                <w:rFonts w:ascii="Arial Narrow" w:hAnsi="Arial Narrow"/>
                <w:sz w:val="20"/>
              </w:rPr>
              <w:t> </w:t>
            </w:r>
            <w:r w:rsidRPr="00D33C2C">
              <w:rPr>
                <w:rFonts w:ascii="Arial Narrow" w:hAnsi="Arial Narrow"/>
                <w:sz w:val="20"/>
              </w:rPr>
              <w:t>units</w:t>
            </w:r>
          </w:p>
        </w:tc>
        <w:tc>
          <w:tcPr>
            <w:tcW w:w="602" w:type="pct"/>
            <w:tcBorders>
              <w:top w:val="single" w:sz="4" w:space="0" w:color="auto"/>
              <w:bottom w:val="single" w:sz="4" w:space="0" w:color="auto"/>
            </w:tcBorders>
            <w:vAlign w:val="center"/>
          </w:tcPr>
          <w:p w14:paraId="16D025F6" w14:textId="77777777" w:rsidR="0030512D" w:rsidRPr="00D33C2C" w:rsidRDefault="0030512D" w:rsidP="002F1B73">
            <w:pPr>
              <w:keepNext/>
              <w:jc w:val="center"/>
              <w:rPr>
                <w:rFonts w:ascii="Arial Narrow" w:hAnsi="Arial Narrow"/>
                <w:sz w:val="20"/>
              </w:rPr>
            </w:pPr>
            <w:r w:rsidRPr="00D33C2C">
              <w:rPr>
                <w:rFonts w:ascii="Arial Narrow" w:hAnsi="Arial Narrow"/>
                <w:sz w:val="20"/>
              </w:rPr>
              <w:t>12</w:t>
            </w:r>
          </w:p>
        </w:tc>
        <w:tc>
          <w:tcPr>
            <w:tcW w:w="401" w:type="pct"/>
            <w:tcBorders>
              <w:top w:val="single" w:sz="4" w:space="0" w:color="auto"/>
              <w:bottom w:val="single" w:sz="4" w:space="0" w:color="auto"/>
            </w:tcBorders>
            <w:vAlign w:val="center"/>
          </w:tcPr>
          <w:p w14:paraId="4A4D0F2E" w14:textId="77777777" w:rsidR="0030512D" w:rsidRPr="00D33C2C" w:rsidRDefault="0030512D" w:rsidP="002F1B73">
            <w:pPr>
              <w:keepNext/>
              <w:jc w:val="center"/>
              <w:rPr>
                <w:rFonts w:ascii="Arial Narrow" w:hAnsi="Arial Narrow"/>
                <w:sz w:val="20"/>
              </w:rPr>
            </w:pPr>
            <w:r w:rsidRPr="00D33C2C">
              <w:rPr>
                <w:rFonts w:ascii="Arial Narrow" w:hAnsi="Arial Narrow"/>
                <w:sz w:val="20"/>
              </w:rPr>
              <w:t>5</w:t>
            </w:r>
          </w:p>
        </w:tc>
        <w:tc>
          <w:tcPr>
            <w:tcW w:w="1202" w:type="pct"/>
            <w:tcBorders>
              <w:top w:val="single" w:sz="4" w:space="0" w:color="auto"/>
              <w:bottom w:val="single" w:sz="4" w:space="0" w:color="auto"/>
            </w:tcBorders>
            <w:vAlign w:val="center"/>
          </w:tcPr>
          <w:p w14:paraId="4BC840B9" w14:textId="7900DB1A" w:rsidR="0030512D" w:rsidRDefault="0030512D" w:rsidP="002F1B73">
            <w:pPr>
              <w:keepNext/>
              <w:jc w:val="center"/>
              <w:rPr>
                <w:rFonts w:ascii="Arial Narrow" w:hAnsi="Arial Narrow"/>
                <w:sz w:val="20"/>
              </w:rPr>
            </w:pPr>
            <w:r>
              <w:rPr>
                <w:rFonts w:ascii="Arial Narrow" w:hAnsi="Arial Narrow"/>
                <w:sz w:val="20"/>
              </w:rPr>
              <w:t>Public: $</w:t>
            </w:r>
            <w:r w:rsidR="0066157F" w:rsidRPr="0066157F">
              <w:rPr>
                <w:rFonts w:ascii="Arial Narrow" w:hAnsi="Arial Narrow"/>
                <w:color w:val="000000"/>
                <w:sz w:val="20"/>
                <w:shd w:val="solid" w:color="000000" w:fill="000000"/>
                <w14:textFill>
                  <w14:solidFill>
                    <w14:srgbClr w14:val="000000">
                      <w14:alpha w14:val="100000"/>
                    </w14:srgbClr>
                  </w14:solidFill>
                </w14:textFill>
              </w:rPr>
              <w:t>|</w:t>
            </w:r>
          </w:p>
          <w:p w14:paraId="33EFC172" w14:textId="0CF8BDAD" w:rsidR="0030512D" w:rsidRPr="00BE74DB" w:rsidRDefault="0030512D" w:rsidP="002F1B73">
            <w:pPr>
              <w:keepNext/>
              <w:jc w:val="center"/>
              <w:rPr>
                <w:rFonts w:ascii="Arial Narrow" w:hAnsi="Arial Narrow"/>
                <w:sz w:val="20"/>
              </w:rPr>
            </w:pPr>
            <w:r>
              <w:rPr>
                <w:rFonts w:ascii="Arial Narrow" w:hAnsi="Arial Narrow"/>
                <w:sz w:val="20"/>
              </w:rPr>
              <w:t>Private: $</w:t>
            </w:r>
            <w:r w:rsidR="0066157F" w:rsidRPr="0066157F">
              <w:rPr>
                <w:rFonts w:ascii="Arial Narrow" w:hAnsi="Arial Narrow"/>
                <w:color w:val="000000"/>
                <w:sz w:val="20"/>
                <w:shd w:val="solid" w:color="000000" w:fill="000000"/>
                <w14:textFill>
                  <w14:solidFill>
                    <w14:srgbClr w14:val="000000">
                      <w14:alpha w14:val="100000"/>
                    </w14:srgbClr>
                  </w14:solidFill>
                </w14:textFill>
              </w:rPr>
              <w:t>|</w:t>
            </w:r>
          </w:p>
        </w:tc>
        <w:tc>
          <w:tcPr>
            <w:tcW w:w="535" w:type="pct"/>
            <w:tcBorders>
              <w:top w:val="single" w:sz="4" w:space="0" w:color="auto"/>
              <w:bottom w:val="single" w:sz="4" w:space="0" w:color="auto"/>
            </w:tcBorders>
            <w:vAlign w:val="center"/>
          </w:tcPr>
          <w:p w14:paraId="6336C8E9" w14:textId="4DE70D22" w:rsidR="0030512D" w:rsidRPr="00D33C2C" w:rsidRDefault="0030512D" w:rsidP="002F1B73">
            <w:pPr>
              <w:keepNext/>
              <w:jc w:val="center"/>
              <w:rPr>
                <w:rFonts w:ascii="Arial Narrow" w:hAnsi="Arial Narrow"/>
                <w:sz w:val="20"/>
              </w:rPr>
            </w:pPr>
            <w:r w:rsidRPr="00D33C2C">
              <w:rPr>
                <w:rFonts w:ascii="Arial Narrow" w:hAnsi="Arial Narrow"/>
                <w:sz w:val="20"/>
              </w:rPr>
              <w:t>Bylvay</w:t>
            </w:r>
          </w:p>
        </w:tc>
        <w:tc>
          <w:tcPr>
            <w:tcW w:w="535" w:type="pct"/>
            <w:tcBorders>
              <w:top w:val="single" w:sz="4" w:space="0" w:color="auto"/>
              <w:bottom w:val="single" w:sz="4" w:space="0" w:color="auto"/>
            </w:tcBorders>
            <w:vAlign w:val="center"/>
          </w:tcPr>
          <w:p w14:paraId="47C677B9" w14:textId="77777777" w:rsidR="0030512D" w:rsidRPr="00D33C2C" w:rsidRDefault="0030512D" w:rsidP="002F1B73">
            <w:pPr>
              <w:keepNext/>
              <w:jc w:val="center"/>
              <w:rPr>
                <w:rFonts w:ascii="Arial Narrow" w:hAnsi="Arial Narrow"/>
                <w:sz w:val="20"/>
              </w:rPr>
            </w:pPr>
            <w:r w:rsidRPr="00D33C2C">
              <w:rPr>
                <w:rFonts w:ascii="Arial Narrow" w:hAnsi="Arial Narrow"/>
                <w:sz w:val="20"/>
              </w:rPr>
              <w:t>Ipsen Pty. Ltd</w:t>
            </w:r>
          </w:p>
        </w:tc>
      </w:tr>
      <w:tr w:rsidR="0030512D" w:rsidRPr="00D33C2C" w14:paraId="2F88BC89" w14:textId="77777777" w:rsidTr="008277EE">
        <w:trPr>
          <w:cantSplit/>
          <w:trHeight w:val="454"/>
        </w:trPr>
        <w:tc>
          <w:tcPr>
            <w:tcW w:w="1725" w:type="pct"/>
            <w:gridSpan w:val="2"/>
            <w:tcBorders>
              <w:top w:val="single" w:sz="4" w:space="0" w:color="auto"/>
              <w:bottom w:val="single" w:sz="4" w:space="0" w:color="auto"/>
            </w:tcBorders>
            <w:vAlign w:val="center"/>
          </w:tcPr>
          <w:p w14:paraId="287D51D6" w14:textId="0C447C66" w:rsidR="0030512D" w:rsidRPr="00D33C2C" w:rsidRDefault="0030512D" w:rsidP="00AE5080">
            <w:pPr>
              <w:jc w:val="left"/>
              <w:rPr>
                <w:rFonts w:ascii="Arial Narrow" w:hAnsi="Arial Narrow"/>
                <w:smallCaps/>
                <w:sz w:val="20"/>
              </w:rPr>
            </w:pPr>
            <w:r w:rsidRPr="00D33C2C">
              <w:rPr>
                <w:rFonts w:ascii="Arial Narrow" w:hAnsi="Arial Narrow"/>
                <w:smallCaps/>
                <w:sz w:val="20"/>
              </w:rPr>
              <w:t>Odevixibat. 4</w:t>
            </w:r>
            <w:r w:rsidRPr="00D33C2C">
              <w:rPr>
                <w:rFonts w:ascii="Arial Narrow" w:hAnsi="Arial Narrow"/>
                <w:sz w:val="20"/>
              </w:rPr>
              <w:t>00 microgram capsules, 30</w:t>
            </w:r>
            <w:r w:rsidR="002F1B73">
              <w:rPr>
                <w:rFonts w:ascii="Arial Narrow" w:hAnsi="Arial Narrow"/>
                <w:sz w:val="20"/>
              </w:rPr>
              <w:t> </w:t>
            </w:r>
            <w:r w:rsidRPr="00D33C2C">
              <w:rPr>
                <w:rFonts w:ascii="Arial Narrow" w:hAnsi="Arial Narrow"/>
                <w:sz w:val="20"/>
              </w:rPr>
              <w:t>units</w:t>
            </w:r>
          </w:p>
        </w:tc>
        <w:tc>
          <w:tcPr>
            <w:tcW w:w="602" w:type="pct"/>
            <w:tcBorders>
              <w:top w:val="single" w:sz="4" w:space="0" w:color="auto"/>
              <w:bottom w:val="single" w:sz="4" w:space="0" w:color="auto"/>
            </w:tcBorders>
            <w:vAlign w:val="center"/>
          </w:tcPr>
          <w:p w14:paraId="6AB9386F" w14:textId="77777777" w:rsidR="0030512D" w:rsidRPr="00D33C2C" w:rsidRDefault="0030512D" w:rsidP="00AE5080">
            <w:pPr>
              <w:jc w:val="center"/>
              <w:rPr>
                <w:rFonts w:ascii="Arial Narrow" w:hAnsi="Arial Narrow"/>
                <w:sz w:val="20"/>
              </w:rPr>
            </w:pPr>
            <w:r w:rsidRPr="00D33C2C">
              <w:rPr>
                <w:rFonts w:ascii="Arial Narrow" w:hAnsi="Arial Narrow"/>
                <w:sz w:val="20"/>
              </w:rPr>
              <w:t>6</w:t>
            </w:r>
          </w:p>
        </w:tc>
        <w:tc>
          <w:tcPr>
            <w:tcW w:w="401" w:type="pct"/>
            <w:tcBorders>
              <w:top w:val="single" w:sz="4" w:space="0" w:color="auto"/>
              <w:bottom w:val="single" w:sz="4" w:space="0" w:color="auto"/>
            </w:tcBorders>
            <w:vAlign w:val="center"/>
          </w:tcPr>
          <w:p w14:paraId="5EB6F548" w14:textId="77777777" w:rsidR="0030512D" w:rsidRPr="00D33C2C" w:rsidRDefault="0030512D" w:rsidP="00AE5080">
            <w:pPr>
              <w:jc w:val="center"/>
              <w:rPr>
                <w:rFonts w:ascii="Arial Narrow" w:hAnsi="Arial Narrow"/>
                <w:sz w:val="20"/>
              </w:rPr>
            </w:pPr>
            <w:r w:rsidRPr="00D33C2C">
              <w:rPr>
                <w:rFonts w:ascii="Arial Narrow" w:hAnsi="Arial Narrow"/>
                <w:sz w:val="20"/>
              </w:rPr>
              <w:t>5</w:t>
            </w:r>
          </w:p>
        </w:tc>
        <w:tc>
          <w:tcPr>
            <w:tcW w:w="1202" w:type="pct"/>
            <w:tcBorders>
              <w:top w:val="single" w:sz="4" w:space="0" w:color="auto"/>
              <w:bottom w:val="single" w:sz="4" w:space="0" w:color="auto"/>
            </w:tcBorders>
            <w:vAlign w:val="center"/>
          </w:tcPr>
          <w:p w14:paraId="5C6390D8" w14:textId="28617D28" w:rsidR="0030512D" w:rsidRDefault="0030512D" w:rsidP="00AE5080">
            <w:pPr>
              <w:jc w:val="center"/>
              <w:rPr>
                <w:rFonts w:ascii="Arial Narrow" w:hAnsi="Arial Narrow"/>
                <w:sz w:val="20"/>
              </w:rPr>
            </w:pPr>
            <w:r>
              <w:rPr>
                <w:rFonts w:ascii="Arial Narrow" w:hAnsi="Arial Narrow"/>
                <w:sz w:val="20"/>
              </w:rPr>
              <w:t>Public: $</w:t>
            </w:r>
            <w:r w:rsidR="0066157F" w:rsidRPr="0066157F">
              <w:rPr>
                <w:rFonts w:ascii="Arial Narrow" w:hAnsi="Arial Narrow"/>
                <w:color w:val="000000"/>
                <w:sz w:val="20"/>
                <w:shd w:val="solid" w:color="000000" w:fill="000000"/>
                <w14:textFill>
                  <w14:solidFill>
                    <w14:srgbClr w14:val="000000">
                      <w14:alpha w14:val="100000"/>
                    </w14:srgbClr>
                  </w14:solidFill>
                </w14:textFill>
              </w:rPr>
              <w:t>|</w:t>
            </w:r>
          </w:p>
          <w:p w14:paraId="2CA4FCE0" w14:textId="1E10044B" w:rsidR="0030512D" w:rsidRPr="00D33C2C" w:rsidRDefault="0030512D" w:rsidP="00AE5080">
            <w:pPr>
              <w:jc w:val="center"/>
              <w:rPr>
                <w:rFonts w:ascii="Arial Narrow" w:hAnsi="Arial Narrow"/>
                <w:sz w:val="20"/>
              </w:rPr>
            </w:pPr>
            <w:r>
              <w:rPr>
                <w:rFonts w:ascii="Arial Narrow" w:hAnsi="Arial Narrow"/>
                <w:sz w:val="20"/>
              </w:rPr>
              <w:t>Private: $</w:t>
            </w:r>
            <w:r w:rsidR="0066157F" w:rsidRPr="0066157F">
              <w:rPr>
                <w:rFonts w:ascii="Arial Narrow" w:hAnsi="Arial Narrow"/>
                <w:color w:val="000000"/>
                <w:sz w:val="20"/>
                <w:shd w:val="solid" w:color="000000" w:fill="000000"/>
                <w14:textFill>
                  <w14:solidFill>
                    <w14:srgbClr w14:val="000000">
                      <w14:alpha w14:val="100000"/>
                    </w14:srgbClr>
                  </w14:solidFill>
                </w14:textFill>
              </w:rPr>
              <w:t>|</w:t>
            </w:r>
          </w:p>
        </w:tc>
        <w:tc>
          <w:tcPr>
            <w:tcW w:w="535" w:type="pct"/>
            <w:tcBorders>
              <w:top w:val="single" w:sz="4" w:space="0" w:color="auto"/>
              <w:bottom w:val="single" w:sz="4" w:space="0" w:color="auto"/>
            </w:tcBorders>
            <w:vAlign w:val="center"/>
          </w:tcPr>
          <w:p w14:paraId="0DE0AA0C" w14:textId="0FDD0211" w:rsidR="0030512D" w:rsidRPr="00D33C2C" w:rsidRDefault="0030512D" w:rsidP="00AE5080">
            <w:pPr>
              <w:jc w:val="center"/>
              <w:rPr>
                <w:rFonts w:ascii="Arial Narrow" w:hAnsi="Arial Narrow"/>
                <w:sz w:val="20"/>
              </w:rPr>
            </w:pPr>
            <w:r w:rsidRPr="00D33C2C">
              <w:rPr>
                <w:rFonts w:ascii="Arial Narrow" w:hAnsi="Arial Narrow"/>
                <w:sz w:val="20"/>
              </w:rPr>
              <w:t>Bylvay</w:t>
            </w:r>
          </w:p>
        </w:tc>
        <w:tc>
          <w:tcPr>
            <w:tcW w:w="535" w:type="pct"/>
            <w:tcBorders>
              <w:top w:val="single" w:sz="4" w:space="0" w:color="auto"/>
              <w:bottom w:val="single" w:sz="4" w:space="0" w:color="auto"/>
            </w:tcBorders>
            <w:vAlign w:val="center"/>
          </w:tcPr>
          <w:p w14:paraId="7EE84414" w14:textId="77777777" w:rsidR="0030512D" w:rsidRPr="00D33C2C" w:rsidRDefault="0030512D" w:rsidP="00AE5080">
            <w:pPr>
              <w:jc w:val="center"/>
              <w:rPr>
                <w:rFonts w:ascii="Arial Narrow" w:hAnsi="Arial Narrow"/>
                <w:sz w:val="20"/>
              </w:rPr>
            </w:pPr>
            <w:r w:rsidRPr="00D33C2C">
              <w:rPr>
                <w:rFonts w:ascii="Arial Narrow" w:hAnsi="Arial Narrow"/>
                <w:sz w:val="20"/>
              </w:rPr>
              <w:t>Ipsen Pty. Ltd</w:t>
            </w:r>
          </w:p>
        </w:tc>
      </w:tr>
      <w:tr w:rsidR="0030512D" w:rsidRPr="00D33C2C" w14:paraId="21B537AC" w14:textId="77777777" w:rsidTr="008277EE">
        <w:trPr>
          <w:cantSplit/>
          <w:trHeight w:val="454"/>
        </w:trPr>
        <w:tc>
          <w:tcPr>
            <w:tcW w:w="1725" w:type="pct"/>
            <w:gridSpan w:val="2"/>
            <w:tcBorders>
              <w:top w:val="single" w:sz="4" w:space="0" w:color="auto"/>
              <w:bottom w:val="single" w:sz="4" w:space="0" w:color="auto"/>
            </w:tcBorders>
            <w:vAlign w:val="center"/>
          </w:tcPr>
          <w:p w14:paraId="2BB5A49E" w14:textId="3A64FDAB" w:rsidR="0030512D" w:rsidRPr="00D33C2C" w:rsidRDefault="0030512D" w:rsidP="00AE5080">
            <w:pPr>
              <w:jc w:val="left"/>
              <w:rPr>
                <w:rFonts w:ascii="Arial Narrow" w:hAnsi="Arial Narrow"/>
                <w:smallCaps/>
                <w:sz w:val="20"/>
              </w:rPr>
            </w:pPr>
            <w:r w:rsidRPr="00D33C2C">
              <w:rPr>
                <w:rFonts w:ascii="Arial Narrow" w:hAnsi="Arial Narrow"/>
                <w:smallCaps/>
                <w:sz w:val="20"/>
              </w:rPr>
              <w:t>Odevixibat. 6</w:t>
            </w:r>
            <w:r w:rsidRPr="00D33C2C">
              <w:rPr>
                <w:rFonts w:ascii="Arial Narrow" w:hAnsi="Arial Narrow"/>
                <w:sz w:val="20"/>
              </w:rPr>
              <w:t>00 microgram capsules, 30</w:t>
            </w:r>
            <w:r w:rsidR="002F1B73">
              <w:rPr>
                <w:rFonts w:ascii="Arial Narrow" w:hAnsi="Arial Narrow"/>
                <w:sz w:val="20"/>
              </w:rPr>
              <w:t> </w:t>
            </w:r>
            <w:r w:rsidRPr="00D33C2C">
              <w:rPr>
                <w:rFonts w:ascii="Arial Narrow" w:hAnsi="Arial Narrow"/>
                <w:sz w:val="20"/>
              </w:rPr>
              <w:t>units</w:t>
            </w:r>
          </w:p>
        </w:tc>
        <w:tc>
          <w:tcPr>
            <w:tcW w:w="602" w:type="pct"/>
            <w:tcBorders>
              <w:top w:val="single" w:sz="4" w:space="0" w:color="auto"/>
              <w:bottom w:val="single" w:sz="4" w:space="0" w:color="auto"/>
            </w:tcBorders>
            <w:vAlign w:val="center"/>
          </w:tcPr>
          <w:p w14:paraId="72791ADC" w14:textId="77777777" w:rsidR="0030512D" w:rsidRPr="00D33C2C" w:rsidRDefault="0030512D" w:rsidP="00AE5080">
            <w:pPr>
              <w:jc w:val="center"/>
              <w:rPr>
                <w:rFonts w:ascii="Arial Narrow" w:hAnsi="Arial Narrow"/>
                <w:sz w:val="20"/>
              </w:rPr>
            </w:pPr>
            <w:r w:rsidRPr="00D33C2C">
              <w:rPr>
                <w:rFonts w:ascii="Arial Narrow" w:hAnsi="Arial Narrow"/>
                <w:sz w:val="20"/>
              </w:rPr>
              <w:t>12</w:t>
            </w:r>
          </w:p>
        </w:tc>
        <w:tc>
          <w:tcPr>
            <w:tcW w:w="401" w:type="pct"/>
            <w:tcBorders>
              <w:top w:val="single" w:sz="4" w:space="0" w:color="auto"/>
              <w:bottom w:val="single" w:sz="4" w:space="0" w:color="auto"/>
            </w:tcBorders>
            <w:vAlign w:val="center"/>
          </w:tcPr>
          <w:p w14:paraId="2B08657B" w14:textId="77777777" w:rsidR="0030512D" w:rsidRPr="00D33C2C" w:rsidRDefault="0030512D" w:rsidP="00AE5080">
            <w:pPr>
              <w:jc w:val="center"/>
              <w:rPr>
                <w:rFonts w:ascii="Arial Narrow" w:hAnsi="Arial Narrow"/>
                <w:sz w:val="20"/>
              </w:rPr>
            </w:pPr>
            <w:r w:rsidRPr="00D33C2C">
              <w:rPr>
                <w:rFonts w:ascii="Arial Narrow" w:hAnsi="Arial Narrow"/>
                <w:sz w:val="20"/>
              </w:rPr>
              <w:t>5</w:t>
            </w:r>
          </w:p>
        </w:tc>
        <w:tc>
          <w:tcPr>
            <w:tcW w:w="1202" w:type="pct"/>
            <w:tcBorders>
              <w:top w:val="single" w:sz="4" w:space="0" w:color="auto"/>
              <w:bottom w:val="single" w:sz="4" w:space="0" w:color="auto"/>
            </w:tcBorders>
            <w:vAlign w:val="center"/>
          </w:tcPr>
          <w:p w14:paraId="68C16E85" w14:textId="60908AC9" w:rsidR="0030512D" w:rsidRDefault="0030512D" w:rsidP="00AE5080">
            <w:pPr>
              <w:jc w:val="center"/>
              <w:rPr>
                <w:rFonts w:ascii="Arial Narrow" w:hAnsi="Arial Narrow"/>
                <w:sz w:val="20"/>
              </w:rPr>
            </w:pPr>
            <w:r>
              <w:rPr>
                <w:rFonts w:ascii="Arial Narrow" w:hAnsi="Arial Narrow"/>
                <w:sz w:val="20"/>
              </w:rPr>
              <w:t>Public: $</w:t>
            </w:r>
            <w:r w:rsidR="0066157F" w:rsidRPr="0066157F">
              <w:rPr>
                <w:rFonts w:ascii="Arial Narrow" w:hAnsi="Arial Narrow"/>
                <w:color w:val="000000"/>
                <w:sz w:val="20"/>
                <w:shd w:val="solid" w:color="000000" w:fill="000000"/>
                <w14:textFill>
                  <w14:solidFill>
                    <w14:srgbClr w14:val="000000">
                      <w14:alpha w14:val="100000"/>
                    </w14:srgbClr>
                  </w14:solidFill>
                </w14:textFill>
              </w:rPr>
              <w:t>|</w:t>
            </w:r>
          </w:p>
          <w:p w14:paraId="3C19A54B" w14:textId="381FB083" w:rsidR="0030512D" w:rsidRPr="00D33C2C" w:rsidRDefault="0030512D" w:rsidP="00AE5080">
            <w:pPr>
              <w:jc w:val="center"/>
              <w:rPr>
                <w:rFonts w:ascii="Arial Narrow" w:hAnsi="Arial Narrow"/>
                <w:sz w:val="20"/>
              </w:rPr>
            </w:pPr>
            <w:r>
              <w:rPr>
                <w:rFonts w:ascii="Arial Narrow" w:hAnsi="Arial Narrow"/>
                <w:sz w:val="20"/>
              </w:rPr>
              <w:t>Private: $</w:t>
            </w:r>
            <w:r w:rsidR="0066157F" w:rsidRPr="0066157F">
              <w:rPr>
                <w:rFonts w:ascii="Arial Narrow" w:hAnsi="Arial Narrow"/>
                <w:color w:val="000000"/>
                <w:sz w:val="20"/>
                <w:shd w:val="solid" w:color="000000" w:fill="000000"/>
                <w14:textFill>
                  <w14:solidFill>
                    <w14:srgbClr w14:val="000000">
                      <w14:alpha w14:val="100000"/>
                    </w14:srgbClr>
                  </w14:solidFill>
                </w14:textFill>
              </w:rPr>
              <w:t>|</w:t>
            </w:r>
          </w:p>
        </w:tc>
        <w:tc>
          <w:tcPr>
            <w:tcW w:w="535" w:type="pct"/>
            <w:tcBorders>
              <w:top w:val="single" w:sz="4" w:space="0" w:color="auto"/>
              <w:bottom w:val="single" w:sz="4" w:space="0" w:color="auto"/>
            </w:tcBorders>
            <w:vAlign w:val="center"/>
          </w:tcPr>
          <w:p w14:paraId="5A6B4B8B" w14:textId="5085E7C7" w:rsidR="0030512D" w:rsidRPr="00D33C2C" w:rsidRDefault="0030512D" w:rsidP="00AE5080">
            <w:pPr>
              <w:jc w:val="center"/>
              <w:rPr>
                <w:rFonts w:ascii="Arial Narrow" w:hAnsi="Arial Narrow"/>
                <w:sz w:val="20"/>
              </w:rPr>
            </w:pPr>
            <w:r w:rsidRPr="00D33C2C">
              <w:rPr>
                <w:rFonts w:ascii="Arial Narrow" w:hAnsi="Arial Narrow"/>
                <w:sz w:val="20"/>
              </w:rPr>
              <w:t>Bylvay</w:t>
            </w:r>
          </w:p>
        </w:tc>
        <w:tc>
          <w:tcPr>
            <w:tcW w:w="535" w:type="pct"/>
            <w:tcBorders>
              <w:top w:val="single" w:sz="4" w:space="0" w:color="auto"/>
              <w:bottom w:val="single" w:sz="4" w:space="0" w:color="auto"/>
            </w:tcBorders>
            <w:vAlign w:val="center"/>
          </w:tcPr>
          <w:p w14:paraId="613DFA39" w14:textId="77777777" w:rsidR="0030512D" w:rsidRPr="00D33C2C" w:rsidRDefault="0030512D" w:rsidP="00AE5080">
            <w:pPr>
              <w:jc w:val="center"/>
              <w:rPr>
                <w:rFonts w:ascii="Arial Narrow" w:hAnsi="Arial Narrow"/>
                <w:sz w:val="20"/>
              </w:rPr>
            </w:pPr>
            <w:r w:rsidRPr="00D33C2C">
              <w:rPr>
                <w:rFonts w:ascii="Arial Narrow" w:hAnsi="Arial Narrow"/>
                <w:sz w:val="20"/>
              </w:rPr>
              <w:t>Ipsen Pty. Ltd</w:t>
            </w:r>
          </w:p>
        </w:tc>
      </w:tr>
      <w:tr w:rsidR="0030512D" w:rsidRPr="00D33C2C" w14:paraId="65C680CE" w14:textId="77777777" w:rsidTr="008277EE">
        <w:trPr>
          <w:cantSplit/>
          <w:trHeight w:val="454"/>
        </w:trPr>
        <w:tc>
          <w:tcPr>
            <w:tcW w:w="1725" w:type="pct"/>
            <w:gridSpan w:val="2"/>
            <w:tcBorders>
              <w:top w:val="single" w:sz="4" w:space="0" w:color="auto"/>
            </w:tcBorders>
            <w:vAlign w:val="center"/>
          </w:tcPr>
          <w:p w14:paraId="40258897" w14:textId="77777777" w:rsidR="0030512D" w:rsidRPr="00D33C2C" w:rsidRDefault="0030512D" w:rsidP="00AE5080">
            <w:pPr>
              <w:jc w:val="left"/>
              <w:rPr>
                <w:rFonts w:ascii="Arial Narrow" w:hAnsi="Arial Narrow"/>
                <w:smallCaps/>
                <w:sz w:val="20"/>
              </w:rPr>
            </w:pPr>
            <w:r w:rsidRPr="00D33C2C">
              <w:rPr>
                <w:rFonts w:ascii="Arial Narrow" w:hAnsi="Arial Narrow"/>
                <w:smallCaps/>
                <w:sz w:val="20"/>
              </w:rPr>
              <w:t>Odevixibat. 1</w:t>
            </w:r>
            <w:r w:rsidRPr="00D33C2C">
              <w:rPr>
                <w:rFonts w:ascii="Arial Narrow" w:hAnsi="Arial Narrow"/>
                <w:sz w:val="20"/>
              </w:rPr>
              <w:t>200 microgram capsules, 30 units</w:t>
            </w:r>
          </w:p>
        </w:tc>
        <w:tc>
          <w:tcPr>
            <w:tcW w:w="602" w:type="pct"/>
            <w:tcBorders>
              <w:top w:val="single" w:sz="4" w:space="0" w:color="auto"/>
            </w:tcBorders>
            <w:vAlign w:val="center"/>
          </w:tcPr>
          <w:p w14:paraId="7AF5F127" w14:textId="77777777" w:rsidR="0030512D" w:rsidRPr="00D33C2C" w:rsidRDefault="0030512D" w:rsidP="00AE5080">
            <w:pPr>
              <w:jc w:val="center"/>
              <w:rPr>
                <w:rFonts w:ascii="Arial Narrow" w:hAnsi="Arial Narrow"/>
                <w:sz w:val="20"/>
              </w:rPr>
            </w:pPr>
            <w:r w:rsidRPr="00D33C2C">
              <w:rPr>
                <w:rFonts w:ascii="Arial Narrow" w:hAnsi="Arial Narrow"/>
                <w:sz w:val="20"/>
              </w:rPr>
              <w:t>6</w:t>
            </w:r>
          </w:p>
        </w:tc>
        <w:tc>
          <w:tcPr>
            <w:tcW w:w="401" w:type="pct"/>
            <w:tcBorders>
              <w:top w:val="single" w:sz="4" w:space="0" w:color="auto"/>
            </w:tcBorders>
            <w:vAlign w:val="center"/>
          </w:tcPr>
          <w:p w14:paraId="48315F60" w14:textId="77777777" w:rsidR="0030512D" w:rsidRPr="00D33C2C" w:rsidRDefault="0030512D" w:rsidP="00AE5080">
            <w:pPr>
              <w:jc w:val="center"/>
              <w:rPr>
                <w:rFonts w:ascii="Arial Narrow" w:hAnsi="Arial Narrow"/>
                <w:sz w:val="20"/>
              </w:rPr>
            </w:pPr>
            <w:r w:rsidRPr="00D33C2C">
              <w:rPr>
                <w:rFonts w:ascii="Arial Narrow" w:hAnsi="Arial Narrow"/>
                <w:sz w:val="20"/>
              </w:rPr>
              <w:t>5</w:t>
            </w:r>
          </w:p>
        </w:tc>
        <w:tc>
          <w:tcPr>
            <w:tcW w:w="1202" w:type="pct"/>
            <w:tcBorders>
              <w:top w:val="single" w:sz="4" w:space="0" w:color="auto"/>
            </w:tcBorders>
            <w:vAlign w:val="center"/>
          </w:tcPr>
          <w:p w14:paraId="5DA14AFD" w14:textId="1E88DB5E" w:rsidR="0030512D" w:rsidRDefault="0030512D" w:rsidP="00AE5080">
            <w:pPr>
              <w:jc w:val="center"/>
              <w:rPr>
                <w:rFonts w:ascii="Arial Narrow" w:hAnsi="Arial Narrow"/>
                <w:sz w:val="20"/>
              </w:rPr>
            </w:pPr>
            <w:r>
              <w:rPr>
                <w:rFonts w:ascii="Arial Narrow" w:hAnsi="Arial Narrow"/>
                <w:sz w:val="20"/>
              </w:rPr>
              <w:t>Public: $</w:t>
            </w:r>
            <w:r w:rsidR="0066157F" w:rsidRPr="0066157F">
              <w:rPr>
                <w:rFonts w:ascii="Arial Narrow" w:hAnsi="Arial Narrow"/>
                <w:color w:val="000000"/>
                <w:sz w:val="20"/>
                <w:shd w:val="solid" w:color="000000" w:fill="000000"/>
                <w14:textFill>
                  <w14:solidFill>
                    <w14:srgbClr w14:val="000000">
                      <w14:alpha w14:val="100000"/>
                    </w14:srgbClr>
                  </w14:solidFill>
                </w14:textFill>
              </w:rPr>
              <w:t>|</w:t>
            </w:r>
          </w:p>
          <w:p w14:paraId="40DA7DE8" w14:textId="15E931E2" w:rsidR="0030512D" w:rsidRPr="00D33C2C" w:rsidRDefault="0030512D" w:rsidP="00AE5080">
            <w:pPr>
              <w:jc w:val="center"/>
              <w:rPr>
                <w:rFonts w:ascii="Arial Narrow" w:hAnsi="Arial Narrow"/>
                <w:sz w:val="20"/>
              </w:rPr>
            </w:pPr>
            <w:r>
              <w:rPr>
                <w:rFonts w:ascii="Arial Narrow" w:hAnsi="Arial Narrow"/>
                <w:sz w:val="20"/>
              </w:rPr>
              <w:t>Private: $</w:t>
            </w:r>
            <w:r w:rsidR="0066157F" w:rsidRPr="0066157F">
              <w:rPr>
                <w:rFonts w:ascii="Arial Narrow" w:hAnsi="Arial Narrow"/>
                <w:color w:val="000000"/>
                <w:sz w:val="20"/>
                <w:shd w:val="solid" w:color="000000" w:fill="000000"/>
                <w14:textFill>
                  <w14:solidFill>
                    <w14:srgbClr w14:val="000000">
                      <w14:alpha w14:val="100000"/>
                    </w14:srgbClr>
                  </w14:solidFill>
                </w14:textFill>
              </w:rPr>
              <w:t>|</w:t>
            </w:r>
          </w:p>
        </w:tc>
        <w:tc>
          <w:tcPr>
            <w:tcW w:w="535" w:type="pct"/>
            <w:tcBorders>
              <w:top w:val="single" w:sz="4" w:space="0" w:color="auto"/>
            </w:tcBorders>
            <w:vAlign w:val="center"/>
          </w:tcPr>
          <w:p w14:paraId="3E10C820" w14:textId="3EE70C95" w:rsidR="0030512D" w:rsidRPr="00D33C2C" w:rsidRDefault="0030512D" w:rsidP="00AE5080">
            <w:pPr>
              <w:jc w:val="center"/>
              <w:rPr>
                <w:rFonts w:ascii="Arial Narrow" w:hAnsi="Arial Narrow"/>
                <w:sz w:val="20"/>
              </w:rPr>
            </w:pPr>
            <w:r w:rsidRPr="00D33C2C">
              <w:rPr>
                <w:rFonts w:ascii="Arial Narrow" w:hAnsi="Arial Narrow"/>
                <w:sz w:val="20"/>
              </w:rPr>
              <w:t>Bylvay</w:t>
            </w:r>
          </w:p>
        </w:tc>
        <w:tc>
          <w:tcPr>
            <w:tcW w:w="535" w:type="pct"/>
            <w:tcBorders>
              <w:top w:val="single" w:sz="4" w:space="0" w:color="auto"/>
            </w:tcBorders>
            <w:vAlign w:val="center"/>
          </w:tcPr>
          <w:p w14:paraId="24DA4CF1" w14:textId="77777777" w:rsidR="0030512D" w:rsidRPr="00D33C2C" w:rsidRDefault="0030512D" w:rsidP="00AE5080">
            <w:pPr>
              <w:jc w:val="center"/>
              <w:rPr>
                <w:rFonts w:ascii="Arial Narrow" w:hAnsi="Arial Narrow"/>
                <w:sz w:val="20"/>
              </w:rPr>
            </w:pPr>
            <w:r w:rsidRPr="00D33C2C">
              <w:rPr>
                <w:rFonts w:ascii="Arial Narrow" w:hAnsi="Arial Narrow"/>
                <w:sz w:val="20"/>
              </w:rPr>
              <w:t>Ipsen Pty. Ltd</w:t>
            </w:r>
          </w:p>
        </w:tc>
      </w:tr>
      <w:tr w:rsidR="0030512D" w:rsidRPr="00D33C2C" w14:paraId="15947CC4" w14:textId="77777777" w:rsidTr="00827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725" w:type="pct"/>
            <w:gridSpan w:val="2"/>
            <w:tcBorders>
              <w:top w:val="nil"/>
              <w:left w:val="nil"/>
              <w:bottom w:val="single" w:sz="4" w:space="0" w:color="auto"/>
              <w:right w:val="nil"/>
            </w:tcBorders>
          </w:tcPr>
          <w:p w14:paraId="5595361A" w14:textId="77777777" w:rsidR="0030512D" w:rsidRPr="00D33C2C" w:rsidRDefault="0030512D" w:rsidP="00AE5080">
            <w:pPr>
              <w:pStyle w:val="Tabletext"/>
            </w:pPr>
          </w:p>
        </w:tc>
        <w:tc>
          <w:tcPr>
            <w:tcW w:w="3275" w:type="pct"/>
            <w:gridSpan w:val="5"/>
            <w:tcBorders>
              <w:top w:val="nil"/>
              <w:left w:val="nil"/>
              <w:bottom w:val="single" w:sz="4" w:space="0" w:color="auto"/>
              <w:right w:val="nil"/>
            </w:tcBorders>
          </w:tcPr>
          <w:p w14:paraId="5849782F" w14:textId="77777777" w:rsidR="0030512D" w:rsidRPr="00D33C2C" w:rsidRDefault="0030512D" w:rsidP="00AE5080">
            <w:pPr>
              <w:pStyle w:val="Tabletext"/>
            </w:pPr>
          </w:p>
        </w:tc>
      </w:tr>
      <w:tr w:rsidR="002D5095" w:rsidRPr="00D33C2C" w14:paraId="6FB28A44" w14:textId="77777777" w:rsidTr="00827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4" w:type="pct"/>
            <w:tcBorders>
              <w:top w:val="single" w:sz="4" w:space="0" w:color="auto"/>
              <w:left w:val="single" w:sz="4" w:space="0" w:color="auto"/>
              <w:bottom w:val="single" w:sz="4" w:space="0" w:color="auto"/>
              <w:right w:val="single" w:sz="4" w:space="0" w:color="auto"/>
            </w:tcBorders>
            <w:hideMark/>
          </w:tcPr>
          <w:p w14:paraId="0B485514" w14:textId="77777777" w:rsidR="002D5095" w:rsidRPr="00D33C2C" w:rsidRDefault="002D5095" w:rsidP="00AE5080">
            <w:pPr>
              <w:pStyle w:val="Tabletext"/>
            </w:pPr>
            <w:r w:rsidRPr="00D33C2C">
              <w:t>Category/Program:</w:t>
            </w:r>
          </w:p>
        </w:tc>
        <w:tc>
          <w:tcPr>
            <w:tcW w:w="4146" w:type="pct"/>
            <w:gridSpan w:val="6"/>
            <w:tcBorders>
              <w:top w:val="single" w:sz="4" w:space="0" w:color="auto"/>
              <w:left w:val="single" w:sz="4" w:space="0" w:color="auto"/>
              <w:bottom w:val="single" w:sz="4" w:space="0" w:color="auto"/>
              <w:right w:val="single" w:sz="4" w:space="0" w:color="auto"/>
            </w:tcBorders>
          </w:tcPr>
          <w:p w14:paraId="70F48581" w14:textId="191CF597" w:rsidR="002D5095" w:rsidRPr="00D33C2C" w:rsidRDefault="002D5095" w:rsidP="00AE5080">
            <w:pPr>
              <w:pStyle w:val="Tabletext"/>
            </w:pPr>
            <w:r w:rsidRPr="00D33C2C">
              <w:t>Section 100 – Highly Specialised Drugs Program</w:t>
            </w:r>
          </w:p>
        </w:tc>
      </w:tr>
      <w:tr w:rsidR="002D5095" w:rsidRPr="00D33C2C" w14:paraId="7AD56693" w14:textId="77777777" w:rsidTr="00827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4" w:type="pct"/>
            <w:tcBorders>
              <w:top w:val="single" w:sz="4" w:space="0" w:color="auto"/>
              <w:left w:val="single" w:sz="4" w:space="0" w:color="auto"/>
              <w:bottom w:val="single" w:sz="4" w:space="0" w:color="auto"/>
              <w:right w:val="single" w:sz="4" w:space="0" w:color="auto"/>
            </w:tcBorders>
            <w:hideMark/>
          </w:tcPr>
          <w:p w14:paraId="2F6F3BD4" w14:textId="77777777" w:rsidR="002D5095" w:rsidRPr="00D33C2C" w:rsidRDefault="002D5095" w:rsidP="00AE5080">
            <w:pPr>
              <w:pStyle w:val="Tabletext"/>
            </w:pPr>
            <w:r w:rsidRPr="00D33C2C">
              <w:t>PBS indication:</w:t>
            </w:r>
          </w:p>
        </w:tc>
        <w:tc>
          <w:tcPr>
            <w:tcW w:w="4146" w:type="pct"/>
            <w:gridSpan w:val="6"/>
            <w:tcBorders>
              <w:top w:val="single" w:sz="4" w:space="0" w:color="auto"/>
              <w:left w:val="single" w:sz="4" w:space="0" w:color="auto"/>
              <w:bottom w:val="single" w:sz="4" w:space="0" w:color="auto"/>
              <w:right w:val="single" w:sz="4" w:space="0" w:color="auto"/>
            </w:tcBorders>
          </w:tcPr>
          <w:p w14:paraId="595707DC" w14:textId="1AA53CCD" w:rsidR="002D5095" w:rsidRPr="00D33C2C" w:rsidRDefault="002D5095" w:rsidP="00AE5080">
            <w:pPr>
              <w:pStyle w:val="Tabletext"/>
            </w:pPr>
            <w:r w:rsidRPr="00D33C2C">
              <w:t xml:space="preserve">Progressive familial intrahepatic cholestasis </w:t>
            </w:r>
          </w:p>
        </w:tc>
      </w:tr>
      <w:tr w:rsidR="002D5095" w:rsidRPr="00D33C2C" w14:paraId="35994DD8" w14:textId="77777777" w:rsidTr="00827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4" w:type="pct"/>
            <w:tcBorders>
              <w:top w:val="single" w:sz="4" w:space="0" w:color="auto"/>
              <w:left w:val="single" w:sz="4" w:space="0" w:color="auto"/>
              <w:bottom w:val="single" w:sz="4" w:space="0" w:color="auto"/>
              <w:right w:val="single" w:sz="4" w:space="0" w:color="auto"/>
            </w:tcBorders>
            <w:hideMark/>
          </w:tcPr>
          <w:p w14:paraId="67CD0591" w14:textId="77777777" w:rsidR="002D5095" w:rsidRPr="00D33C2C" w:rsidRDefault="002D5095" w:rsidP="00AE5080">
            <w:pPr>
              <w:pStyle w:val="Tabletext"/>
              <w:rPr>
                <w:b/>
                <w:bCs/>
              </w:rPr>
            </w:pPr>
            <w:r w:rsidRPr="00D33C2C">
              <w:rPr>
                <w:b/>
                <w:bCs/>
              </w:rPr>
              <w:t>Treatment phase:</w:t>
            </w:r>
          </w:p>
        </w:tc>
        <w:tc>
          <w:tcPr>
            <w:tcW w:w="4146" w:type="pct"/>
            <w:gridSpan w:val="6"/>
            <w:tcBorders>
              <w:top w:val="single" w:sz="4" w:space="0" w:color="auto"/>
              <w:left w:val="single" w:sz="4" w:space="0" w:color="auto"/>
              <w:bottom w:val="single" w:sz="4" w:space="0" w:color="auto"/>
              <w:right w:val="single" w:sz="4" w:space="0" w:color="auto"/>
            </w:tcBorders>
          </w:tcPr>
          <w:p w14:paraId="3F5B88BB" w14:textId="1B3FBBAA" w:rsidR="002D5095" w:rsidRPr="00D33C2C" w:rsidRDefault="002D5095" w:rsidP="00AE5080">
            <w:pPr>
              <w:pStyle w:val="Tabletext"/>
              <w:rPr>
                <w:b/>
                <w:bCs/>
              </w:rPr>
            </w:pPr>
            <w:r w:rsidRPr="00D33C2C">
              <w:rPr>
                <w:b/>
                <w:bCs/>
              </w:rPr>
              <w:t xml:space="preserve">Initial </w:t>
            </w:r>
          </w:p>
        </w:tc>
      </w:tr>
      <w:tr w:rsidR="002D5095" w:rsidRPr="00D33C2C" w14:paraId="1D95B2E5" w14:textId="77777777" w:rsidTr="00827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4" w:type="pct"/>
            <w:tcBorders>
              <w:top w:val="single" w:sz="4" w:space="0" w:color="auto"/>
              <w:left w:val="single" w:sz="4" w:space="0" w:color="auto"/>
              <w:bottom w:val="single" w:sz="4" w:space="0" w:color="auto"/>
              <w:right w:val="single" w:sz="4" w:space="0" w:color="auto"/>
            </w:tcBorders>
            <w:hideMark/>
          </w:tcPr>
          <w:p w14:paraId="554C1E20" w14:textId="77777777" w:rsidR="002D5095" w:rsidRPr="00D33C2C" w:rsidRDefault="002D5095" w:rsidP="00AE5080">
            <w:pPr>
              <w:pStyle w:val="Tabletext"/>
            </w:pPr>
            <w:r w:rsidRPr="00D33C2C">
              <w:t>Restriction:</w:t>
            </w:r>
          </w:p>
        </w:tc>
        <w:tc>
          <w:tcPr>
            <w:tcW w:w="4146" w:type="pct"/>
            <w:gridSpan w:val="6"/>
            <w:tcBorders>
              <w:top w:val="single" w:sz="4" w:space="0" w:color="auto"/>
              <w:left w:val="single" w:sz="4" w:space="0" w:color="auto"/>
              <w:bottom w:val="single" w:sz="4" w:space="0" w:color="auto"/>
              <w:right w:val="single" w:sz="4" w:space="0" w:color="auto"/>
            </w:tcBorders>
          </w:tcPr>
          <w:p w14:paraId="642C967A" w14:textId="1B954622" w:rsidR="002D5095" w:rsidRPr="00D33C2C" w:rsidRDefault="002D5095" w:rsidP="00AE5080">
            <w:pPr>
              <w:pStyle w:val="Tabletext"/>
            </w:pPr>
            <w:r w:rsidRPr="00D33C2C">
              <w:fldChar w:fldCharType="begin">
                <w:ffData>
                  <w:name w:val=""/>
                  <w:enabled/>
                  <w:calcOnExit w:val="0"/>
                  <w:checkBox>
                    <w:sizeAuto/>
                    <w:default w:val="1"/>
                  </w:checkBox>
                </w:ffData>
              </w:fldChar>
            </w:r>
            <w:r w:rsidRPr="00D33C2C">
              <w:instrText xml:space="preserve"> FORMCHECKBOX </w:instrText>
            </w:r>
            <w:r w:rsidR="008B4717">
              <w:fldChar w:fldCharType="separate"/>
            </w:r>
            <w:r w:rsidRPr="00D33C2C">
              <w:fldChar w:fldCharType="end"/>
            </w:r>
            <w:r w:rsidRPr="00D33C2C">
              <w:t>Streamlined</w:t>
            </w:r>
          </w:p>
        </w:tc>
      </w:tr>
      <w:tr w:rsidR="002D5095" w:rsidRPr="00D33C2C" w14:paraId="54B8406F" w14:textId="77777777" w:rsidTr="00827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4" w:type="pct"/>
            <w:tcBorders>
              <w:top w:val="single" w:sz="4" w:space="0" w:color="auto"/>
              <w:left w:val="single" w:sz="4" w:space="0" w:color="auto"/>
              <w:bottom w:val="single" w:sz="4" w:space="0" w:color="auto"/>
              <w:right w:val="single" w:sz="4" w:space="0" w:color="auto"/>
            </w:tcBorders>
            <w:hideMark/>
          </w:tcPr>
          <w:p w14:paraId="12FCB63D" w14:textId="77777777" w:rsidR="002D5095" w:rsidRPr="00D33C2C" w:rsidRDefault="002D5095" w:rsidP="00AE5080">
            <w:pPr>
              <w:pStyle w:val="Tabletext"/>
            </w:pPr>
            <w:r w:rsidRPr="00D33C2C">
              <w:t>Treatment criteria:</w:t>
            </w:r>
          </w:p>
        </w:tc>
        <w:tc>
          <w:tcPr>
            <w:tcW w:w="4146" w:type="pct"/>
            <w:gridSpan w:val="6"/>
            <w:tcBorders>
              <w:top w:val="single" w:sz="4" w:space="0" w:color="auto"/>
              <w:left w:val="single" w:sz="4" w:space="0" w:color="auto"/>
              <w:bottom w:val="single" w:sz="4" w:space="0" w:color="auto"/>
              <w:right w:val="single" w:sz="4" w:space="0" w:color="auto"/>
            </w:tcBorders>
          </w:tcPr>
          <w:p w14:paraId="03E7FABC" w14:textId="2D2E3A1A" w:rsidR="002D5095" w:rsidRPr="00D33C2C" w:rsidRDefault="002D5095" w:rsidP="00AE5080">
            <w:pPr>
              <w:pStyle w:val="TableText0"/>
              <w:keepNext w:val="0"/>
              <w:rPr>
                <w:rFonts w:cs="Arial"/>
              </w:rPr>
            </w:pPr>
            <w:r w:rsidRPr="00D33C2C">
              <w:rPr>
                <w:rFonts w:cs="Arial"/>
              </w:rPr>
              <w:t xml:space="preserve">Must be treated by a prescriber who is either: (i) a gastroenterologist, (ii) a hepatologist; </w:t>
            </w:r>
            <w:r w:rsidRPr="00AE5080">
              <w:rPr>
                <w:rFonts w:cs="Arial"/>
                <w:b/>
                <w:bCs w:val="0"/>
              </w:rPr>
              <w:t>OR</w:t>
            </w:r>
          </w:p>
          <w:p w14:paraId="659EE16B" w14:textId="77777777" w:rsidR="002D5095" w:rsidRPr="00D33C2C" w:rsidRDefault="002D5095" w:rsidP="00AE5080">
            <w:pPr>
              <w:pStyle w:val="TableText0"/>
              <w:keepNext w:val="0"/>
              <w:rPr>
                <w:rFonts w:cs="Arial"/>
              </w:rPr>
            </w:pPr>
            <w:r w:rsidRPr="00D33C2C">
              <w:rPr>
                <w:rFonts w:cs="Arial"/>
              </w:rPr>
              <w:t>Must be treated by a medical practitioner who has consulted at least one of the above mentioned specialist types, with agreement reached that the patient should be treated with this pharmaceutical benefit on this occasion.</w:t>
            </w:r>
          </w:p>
          <w:p w14:paraId="1B3AADA6" w14:textId="77777777" w:rsidR="002D5095" w:rsidRPr="00D33C2C" w:rsidRDefault="002D5095" w:rsidP="00AE5080">
            <w:pPr>
              <w:pStyle w:val="TableText0"/>
              <w:keepNext w:val="0"/>
              <w:rPr>
                <w:rFonts w:cs="Arial"/>
              </w:rPr>
            </w:pPr>
          </w:p>
          <w:p w14:paraId="352482BC" w14:textId="77777777" w:rsidR="002D5095" w:rsidRPr="00D33C2C" w:rsidRDefault="002D5095" w:rsidP="00AE5080">
            <w:pPr>
              <w:pStyle w:val="Tabletext"/>
            </w:pPr>
            <w:r w:rsidRPr="00D33C2C">
              <w:rPr>
                <w:rFonts w:cs="Arial"/>
              </w:rPr>
              <w:t>Patient must not have been previously treated with odevixibat.</w:t>
            </w:r>
          </w:p>
        </w:tc>
      </w:tr>
      <w:tr w:rsidR="002D5095" w:rsidRPr="00D33C2C" w14:paraId="376C151C" w14:textId="77777777" w:rsidTr="00827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4" w:type="pct"/>
            <w:tcBorders>
              <w:top w:val="single" w:sz="4" w:space="0" w:color="auto"/>
              <w:left w:val="single" w:sz="4" w:space="0" w:color="auto"/>
              <w:bottom w:val="single" w:sz="4" w:space="0" w:color="auto"/>
              <w:right w:val="single" w:sz="4" w:space="0" w:color="auto"/>
            </w:tcBorders>
            <w:hideMark/>
          </w:tcPr>
          <w:p w14:paraId="3B8CCFDF" w14:textId="77777777" w:rsidR="002D5095" w:rsidRPr="00D33C2C" w:rsidRDefault="002D5095" w:rsidP="00AE5080">
            <w:pPr>
              <w:pStyle w:val="Tabletext"/>
            </w:pPr>
            <w:r w:rsidRPr="00D33C2C">
              <w:t>Clinical criteria:</w:t>
            </w:r>
          </w:p>
        </w:tc>
        <w:tc>
          <w:tcPr>
            <w:tcW w:w="4146" w:type="pct"/>
            <w:gridSpan w:val="6"/>
            <w:tcBorders>
              <w:top w:val="single" w:sz="4" w:space="0" w:color="auto"/>
              <w:left w:val="single" w:sz="4" w:space="0" w:color="auto"/>
              <w:bottom w:val="single" w:sz="4" w:space="0" w:color="auto"/>
              <w:right w:val="single" w:sz="4" w:space="0" w:color="auto"/>
            </w:tcBorders>
          </w:tcPr>
          <w:p w14:paraId="240F66EB" w14:textId="49129851" w:rsidR="002D5095" w:rsidRPr="00D33C2C" w:rsidRDefault="002D5095" w:rsidP="00AE5080">
            <w:pPr>
              <w:pStyle w:val="TableText0"/>
              <w:keepNext w:val="0"/>
              <w:rPr>
                <w:rFonts w:cs="Arial"/>
              </w:rPr>
            </w:pPr>
            <w:r w:rsidRPr="00D33C2C">
              <w:rPr>
                <w:rFonts w:cs="Arial"/>
              </w:rPr>
              <w:t>Patient must have elevated serum bile acids</w:t>
            </w:r>
          </w:p>
          <w:p w14:paraId="7DEC1517" w14:textId="77777777" w:rsidR="002D5095" w:rsidRPr="00D33C2C" w:rsidRDefault="002D5095" w:rsidP="00AE5080">
            <w:pPr>
              <w:pStyle w:val="TableText0"/>
              <w:keepNext w:val="0"/>
              <w:rPr>
                <w:rFonts w:cs="Arial"/>
                <w:b/>
                <w:bCs w:val="0"/>
              </w:rPr>
            </w:pPr>
            <w:r w:rsidRPr="00D33C2C">
              <w:rPr>
                <w:rFonts w:cs="Arial"/>
                <w:b/>
                <w:bCs w:val="0"/>
              </w:rPr>
              <w:t>AND/OR</w:t>
            </w:r>
          </w:p>
          <w:p w14:paraId="64F21DBF" w14:textId="77777777" w:rsidR="002D5095" w:rsidRPr="00D33C2C" w:rsidRDefault="002D5095" w:rsidP="00AE5080">
            <w:pPr>
              <w:pStyle w:val="Tabletext"/>
            </w:pPr>
            <w:r w:rsidRPr="00D33C2C">
              <w:rPr>
                <w:rFonts w:cs="Arial"/>
              </w:rPr>
              <w:t>Patient must be experiencing symptomatic pruritus</w:t>
            </w:r>
          </w:p>
        </w:tc>
      </w:tr>
      <w:tr w:rsidR="002D5095" w:rsidRPr="00D33C2C" w14:paraId="19F389D5" w14:textId="77777777" w:rsidTr="00827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4" w:type="pct"/>
            <w:tcBorders>
              <w:top w:val="single" w:sz="4" w:space="0" w:color="auto"/>
              <w:left w:val="single" w:sz="4" w:space="0" w:color="auto"/>
              <w:bottom w:val="single" w:sz="4" w:space="0" w:color="auto"/>
              <w:right w:val="single" w:sz="4" w:space="0" w:color="auto"/>
            </w:tcBorders>
          </w:tcPr>
          <w:p w14:paraId="48729C27" w14:textId="77777777" w:rsidR="002D5095" w:rsidRPr="00D33C2C" w:rsidRDefault="002D5095" w:rsidP="00AE5080">
            <w:pPr>
              <w:pStyle w:val="Tabletext"/>
            </w:pPr>
            <w:r w:rsidRPr="00D33C2C">
              <w:t>Population criteria:</w:t>
            </w:r>
          </w:p>
        </w:tc>
        <w:tc>
          <w:tcPr>
            <w:tcW w:w="4146" w:type="pct"/>
            <w:gridSpan w:val="6"/>
            <w:tcBorders>
              <w:top w:val="single" w:sz="4" w:space="0" w:color="auto"/>
              <w:left w:val="single" w:sz="4" w:space="0" w:color="auto"/>
              <w:bottom w:val="single" w:sz="4" w:space="0" w:color="auto"/>
              <w:right w:val="single" w:sz="4" w:space="0" w:color="auto"/>
            </w:tcBorders>
          </w:tcPr>
          <w:p w14:paraId="6FDD5ADB" w14:textId="2B64B98C" w:rsidR="002D5095" w:rsidRPr="00D33C2C" w:rsidRDefault="002D5095" w:rsidP="00AE5080">
            <w:pPr>
              <w:pStyle w:val="Tabletext"/>
              <w:rPr>
                <w:color w:val="000000"/>
              </w:rPr>
            </w:pPr>
            <w:r w:rsidRPr="00D33C2C">
              <w:t>Patient must be aged 6 months or older.</w:t>
            </w:r>
          </w:p>
        </w:tc>
      </w:tr>
      <w:tr w:rsidR="002D5095" w:rsidRPr="00D33C2C" w14:paraId="5B944B43" w14:textId="77777777" w:rsidTr="00827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4" w:type="pct"/>
            <w:tcBorders>
              <w:top w:val="single" w:sz="4" w:space="0" w:color="auto"/>
              <w:left w:val="single" w:sz="4" w:space="0" w:color="auto"/>
              <w:bottom w:val="single" w:sz="4" w:space="0" w:color="auto"/>
              <w:right w:val="single" w:sz="4" w:space="0" w:color="auto"/>
            </w:tcBorders>
            <w:hideMark/>
          </w:tcPr>
          <w:p w14:paraId="04EA7ACA" w14:textId="77777777" w:rsidR="002D5095" w:rsidRPr="00D33C2C" w:rsidRDefault="002D5095" w:rsidP="00AE5080">
            <w:pPr>
              <w:pStyle w:val="Tabletext"/>
              <w:rPr>
                <w:b/>
                <w:bCs/>
              </w:rPr>
            </w:pPr>
            <w:r w:rsidRPr="00D33C2C">
              <w:rPr>
                <w:b/>
                <w:bCs/>
              </w:rPr>
              <w:t>Treatment phase:</w:t>
            </w:r>
          </w:p>
        </w:tc>
        <w:tc>
          <w:tcPr>
            <w:tcW w:w="4146" w:type="pct"/>
            <w:gridSpan w:val="6"/>
            <w:tcBorders>
              <w:top w:val="single" w:sz="4" w:space="0" w:color="auto"/>
              <w:left w:val="single" w:sz="4" w:space="0" w:color="auto"/>
              <w:bottom w:val="single" w:sz="4" w:space="0" w:color="auto"/>
              <w:right w:val="single" w:sz="4" w:space="0" w:color="auto"/>
            </w:tcBorders>
          </w:tcPr>
          <w:p w14:paraId="32755D97" w14:textId="70913556" w:rsidR="002D5095" w:rsidRPr="00D33C2C" w:rsidRDefault="002D5095" w:rsidP="00AE5080">
            <w:pPr>
              <w:pStyle w:val="Tabletext"/>
              <w:rPr>
                <w:b/>
                <w:bCs/>
                <w:color w:val="000000"/>
              </w:rPr>
            </w:pPr>
            <w:r w:rsidRPr="00D33C2C">
              <w:rPr>
                <w:b/>
                <w:bCs/>
                <w:color w:val="000000"/>
              </w:rPr>
              <w:t xml:space="preserve">Continuing </w:t>
            </w:r>
          </w:p>
        </w:tc>
      </w:tr>
      <w:tr w:rsidR="002D5095" w:rsidRPr="00D33C2C" w14:paraId="65C7428E" w14:textId="77777777" w:rsidTr="00827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4" w:type="pct"/>
            <w:tcBorders>
              <w:top w:val="single" w:sz="4" w:space="0" w:color="auto"/>
              <w:left w:val="single" w:sz="4" w:space="0" w:color="auto"/>
              <w:bottom w:val="single" w:sz="4" w:space="0" w:color="auto"/>
              <w:right w:val="single" w:sz="4" w:space="0" w:color="auto"/>
            </w:tcBorders>
            <w:hideMark/>
          </w:tcPr>
          <w:p w14:paraId="63182846" w14:textId="77777777" w:rsidR="002D5095" w:rsidRPr="00D33C2C" w:rsidRDefault="002D5095" w:rsidP="00AE5080">
            <w:pPr>
              <w:pStyle w:val="Tabletext"/>
            </w:pPr>
            <w:r w:rsidRPr="00D33C2C">
              <w:t>Restriction:</w:t>
            </w:r>
          </w:p>
        </w:tc>
        <w:tc>
          <w:tcPr>
            <w:tcW w:w="4146" w:type="pct"/>
            <w:gridSpan w:val="6"/>
            <w:tcBorders>
              <w:top w:val="single" w:sz="4" w:space="0" w:color="auto"/>
              <w:left w:val="single" w:sz="4" w:space="0" w:color="auto"/>
              <w:bottom w:val="single" w:sz="4" w:space="0" w:color="auto"/>
              <w:right w:val="single" w:sz="4" w:space="0" w:color="auto"/>
            </w:tcBorders>
          </w:tcPr>
          <w:p w14:paraId="30CDE497" w14:textId="6A6111EB" w:rsidR="002D5095" w:rsidRPr="00D33C2C" w:rsidRDefault="002D5095" w:rsidP="00AE5080">
            <w:pPr>
              <w:pStyle w:val="Tabletext"/>
              <w:rPr>
                <w:color w:val="000000"/>
              </w:rPr>
            </w:pPr>
            <w:r w:rsidRPr="00D33C2C">
              <w:fldChar w:fldCharType="begin">
                <w:ffData>
                  <w:name w:val=""/>
                  <w:enabled/>
                  <w:calcOnExit w:val="0"/>
                  <w:checkBox>
                    <w:sizeAuto/>
                    <w:default w:val="1"/>
                  </w:checkBox>
                </w:ffData>
              </w:fldChar>
            </w:r>
            <w:r w:rsidRPr="00D33C2C">
              <w:instrText xml:space="preserve"> FORMCHECKBOX </w:instrText>
            </w:r>
            <w:r w:rsidR="008B4717">
              <w:fldChar w:fldCharType="separate"/>
            </w:r>
            <w:r w:rsidRPr="00D33C2C">
              <w:fldChar w:fldCharType="end"/>
            </w:r>
            <w:r w:rsidRPr="00D33C2C">
              <w:t>Streamlined</w:t>
            </w:r>
          </w:p>
        </w:tc>
      </w:tr>
      <w:tr w:rsidR="002D5095" w:rsidRPr="00D33C2C" w14:paraId="0FA72278" w14:textId="77777777" w:rsidTr="00827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4" w:type="pct"/>
            <w:tcBorders>
              <w:top w:val="single" w:sz="4" w:space="0" w:color="auto"/>
              <w:left w:val="single" w:sz="4" w:space="0" w:color="auto"/>
              <w:bottom w:val="single" w:sz="4" w:space="0" w:color="auto"/>
              <w:right w:val="single" w:sz="4" w:space="0" w:color="auto"/>
            </w:tcBorders>
            <w:hideMark/>
          </w:tcPr>
          <w:p w14:paraId="2851294A" w14:textId="77777777" w:rsidR="002D5095" w:rsidRPr="00D33C2C" w:rsidRDefault="002D5095" w:rsidP="00AE5080">
            <w:pPr>
              <w:pStyle w:val="Tabletext"/>
            </w:pPr>
            <w:r w:rsidRPr="00D33C2C">
              <w:t>Treatment criteria:</w:t>
            </w:r>
          </w:p>
        </w:tc>
        <w:tc>
          <w:tcPr>
            <w:tcW w:w="4146" w:type="pct"/>
            <w:gridSpan w:val="6"/>
            <w:tcBorders>
              <w:top w:val="single" w:sz="4" w:space="0" w:color="auto"/>
              <w:left w:val="single" w:sz="4" w:space="0" w:color="auto"/>
              <w:bottom w:val="single" w:sz="4" w:space="0" w:color="auto"/>
              <w:right w:val="single" w:sz="4" w:space="0" w:color="auto"/>
            </w:tcBorders>
          </w:tcPr>
          <w:p w14:paraId="4CA9BE58" w14:textId="03044809" w:rsidR="002D5095" w:rsidRPr="00D33C2C" w:rsidRDefault="002D5095" w:rsidP="00AE5080">
            <w:pPr>
              <w:pStyle w:val="TableText0"/>
              <w:keepNext w:val="0"/>
              <w:rPr>
                <w:rFonts w:cs="Arial"/>
              </w:rPr>
            </w:pPr>
            <w:r w:rsidRPr="00D33C2C">
              <w:rPr>
                <w:rFonts w:cs="Arial"/>
              </w:rPr>
              <w:t xml:space="preserve">Must be treated by a prescriber who is either: (i) a gastroenterologist, (ii) a hepatologist; </w:t>
            </w:r>
            <w:r w:rsidRPr="00AE5080">
              <w:rPr>
                <w:rFonts w:cs="Arial"/>
                <w:b/>
                <w:bCs w:val="0"/>
              </w:rPr>
              <w:t>OR</w:t>
            </w:r>
          </w:p>
          <w:p w14:paraId="162CE23E" w14:textId="77777777" w:rsidR="002D5095" w:rsidRPr="00D33C2C" w:rsidRDefault="002D5095" w:rsidP="00AE5080">
            <w:pPr>
              <w:pStyle w:val="TableText0"/>
              <w:keepNext w:val="0"/>
              <w:rPr>
                <w:rFonts w:cs="Arial"/>
              </w:rPr>
            </w:pPr>
            <w:r w:rsidRPr="00D33C2C">
              <w:rPr>
                <w:rFonts w:cs="Arial"/>
              </w:rPr>
              <w:t>Must be treated by a medical practitioner who has consulted at least one of the above mentioned specialist types, with agreement reached that the patient should be treated with this pharmaceutical benefit on this occasion.</w:t>
            </w:r>
          </w:p>
          <w:p w14:paraId="52F030F3" w14:textId="77777777" w:rsidR="002D5095" w:rsidRPr="00D33C2C" w:rsidRDefault="002D5095" w:rsidP="00AE5080">
            <w:pPr>
              <w:pStyle w:val="TableText0"/>
              <w:keepNext w:val="0"/>
              <w:rPr>
                <w:rFonts w:cs="Arial"/>
              </w:rPr>
            </w:pPr>
          </w:p>
          <w:p w14:paraId="6392BE9B" w14:textId="77777777" w:rsidR="002D5095" w:rsidRPr="00D33C2C" w:rsidRDefault="002D5095" w:rsidP="00AE5080">
            <w:pPr>
              <w:pStyle w:val="Tabletext"/>
              <w:rPr>
                <w:color w:val="000000"/>
              </w:rPr>
            </w:pPr>
            <w:r w:rsidRPr="00D33C2C">
              <w:rPr>
                <w:rFonts w:cs="Arial"/>
              </w:rPr>
              <w:t>Patient must b</w:t>
            </w:r>
            <w:r w:rsidRPr="00D33C2C">
              <w:t xml:space="preserve">e </w:t>
            </w:r>
            <w:r w:rsidRPr="00D33C2C">
              <w:rPr>
                <w:rFonts w:cs="Arial"/>
              </w:rPr>
              <w:t>previously treated with odevixibat.</w:t>
            </w:r>
          </w:p>
        </w:tc>
      </w:tr>
      <w:tr w:rsidR="002D5095" w:rsidRPr="00D33C2C" w14:paraId="626E14F3" w14:textId="77777777" w:rsidTr="00827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4" w:type="pct"/>
            <w:tcBorders>
              <w:top w:val="single" w:sz="4" w:space="0" w:color="auto"/>
              <w:left w:val="single" w:sz="4" w:space="0" w:color="auto"/>
              <w:bottom w:val="single" w:sz="4" w:space="0" w:color="auto"/>
              <w:right w:val="single" w:sz="4" w:space="0" w:color="auto"/>
            </w:tcBorders>
            <w:hideMark/>
          </w:tcPr>
          <w:p w14:paraId="19E20720" w14:textId="77777777" w:rsidR="002D5095" w:rsidRPr="00D33C2C" w:rsidRDefault="002D5095" w:rsidP="00AE5080">
            <w:pPr>
              <w:pStyle w:val="Tabletext"/>
            </w:pPr>
            <w:r w:rsidRPr="00D33C2C">
              <w:t>Clinical criteria:</w:t>
            </w:r>
          </w:p>
        </w:tc>
        <w:tc>
          <w:tcPr>
            <w:tcW w:w="4146" w:type="pct"/>
            <w:gridSpan w:val="6"/>
            <w:tcBorders>
              <w:top w:val="single" w:sz="4" w:space="0" w:color="auto"/>
              <w:left w:val="single" w:sz="4" w:space="0" w:color="auto"/>
              <w:bottom w:val="single" w:sz="4" w:space="0" w:color="auto"/>
              <w:right w:val="single" w:sz="4" w:space="0" w:color="auto"/>
            </w:tcBorders>
          </w:tcPr>
          <w:p w14:paraId="0F380C94" w14:textId="43684262" w:rsidR="002D5095" w:rsidRPr="00D33C2C" w:rsidRDefault="002D5095" w:rsidP="00AE5080">
            <w:pPr>
              <w:pStyle w:val="Tabletext"/>
              <w:rPr>
                <w:color w:val="000000"/>
              </w:rPr>
            </w:pPr>
            <w:r w:rsidRPr="00D33C2C">
              <w:rPr>
                <w:color w:val="000000"/>
              </w:rPr>
              <w:t>Patient must have elevated serum bile acids</w:t>
            </w:r>
          </w:p>
          <w:p w14:paraId="744734D9" w14:textId="77777777" w:rsidR="002D5095" w:rsidRPr="00D33C2C" w:rsidRDefault="002D5095" w:rsidP="00AE5080">
            <w:pPr>
              <w:pStyle w:val="Tabletext"/>
              <w:rPr>
                <w:color w:val="000000"/>
              </w:rPr>
            </w:pPr>
            <w:r w:rsidRPr="00D33C2C">
              <w:rPr>
                <w:color w:val="000000"/>
              </w:rPr>
              <w:t>AND/OR</w:t>
            </w:r>
          </w:p>
          <w:p w14:paraId="6AC353AD" w14:textId="77777777" w:rsidR="002D5095" w:rsidRPr="00D33C2C" w:rsidRDefault="002D5095" w:rsidP="00AE5080">
            <w:pPr>
              <w:pStyle w:val="Tabletext"/>
              <w:rPr>
                <w:color w:val="000000"/>
              </w:rPr>
            </w:pPr>
            <w:r w:rsidRPr="00D33C2C">
              <w:rPr>
                <w:color w:val="000000"/>
              </w:rPr>
              <w:t>Patient must be experiencing symptomatic pruritus</w:t>
            </w:r>
          </w:p>
        </w:tc>
      </w:tr>
      <w:tr w:rsidR="002D5095" w:rsidRPr="00D33C2C" w14:paraId="0C488A4A" w14:textId="77777777" w:rsidTr="00827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4" w:type="pct"/>
            <w:tcBorders>
              <w:top w:val="single" w:sz="4" w:space="0" w:color="auto"/>
              <w:left w:val="single" w:sz="4" w:space="0" w:color="auto"/>
              <w:bottom w:val="single" w:sz="4" w:space="0" w:color="auto"/>
              <w:right w:val="single" w:sz="4" w:space="0" w:color="auto"/>
            </w:tcBorders>
            <w:hideMark/>
          </w:tcPr>
          <w:p w14:paraId="342686D8" w14:textId="77777777" w:rsidR="002D5095" w:rsidRPr="00D33C2C" w:rsidRDefault="002D5095" w:rsidP="00AE5080">
            <w:pPr>
              <w:pStyle w:val="Tabletext"/>
            </w:pPr>
            <w:r w:rsidRPr="00D33C2C">
              <w:t>Population criteria:</w:t>
            </w:r>
          </w:p>
        </w:tc>
        <w:tc>
          <w:tcPr>
            <w:tcW w:w="4146" w:type="pct"/>
            <w:gridSpan w:val="6"/>
            <w:tcBorders>
              <w:top w:val="single" w:sz="4" w:space="0" w:color="auto"/>
              <w:left w:val="single" w:sz="4" w:space="0" w:color="auto"/>
              <w:bottom w:val="single" w:sz="4" w:space="0" w:color="auto"/>
              <w:right w:val="single" w:sz="4" w:space="0" w:color="auto"/>
            </w:tcBorders>
          </w:tcPr>
          <w:p w14:paraId="450FDAC5" w14:textId="2C0AAEBF" w:rsidR="002D5095" w:rsidRPr="00D33C2C" w:rsidRDefault="002D5095" w:rsidP="00AE5080">
            <w:pPr>
              <w:pStyle w:val="Tabletext"/>
              <w:rPr>
                <w:color w:val="000000"/>
              </w:rPr>
            </w:pPr>
            <w:r w:rsidRPr="00D33C2C">
              <w:rPr>
                <w:color w:val="000000"/>
              </w:rPr>
              <w:t>Patient must be aged 6 months or older.</w:t>
            </w:r>
          </w:p>
        </w:tc>
      </w:tr>
    </w:tbl>
    <w:p w14:paraId="66101E2C" w14:textId="36C2112F" w:rsidR="00E5561C" w:rsidRDefault="00E5561C" w:rsidP="00AE5080">
      <w:pPr>
        <w:pStyle w:val="TableFigureFooter"/>
      </w:pPr>
      <w:r w:rsidRPr="00D33C2C">
        <w:t>Source: Table 1-13 and 1-14, pp55-6 of the submission</w:t>
      </w:r>
    </w:p>
    <w:p w14:paraId="0EEC73D7" w14:textId="47250139" w:rsidR="006A1C74" w:rsidRPr="00446A51" w:rsidRDefault="006A1C74" w:rsidP="00AE5080">
      <w:pPr>
        <w:pStyle w:val="3-BodyText"/>
      </w:pPr>
      <w:bookmarkStart w:id="14" w:name="_Ref164673493"/>
      <w:r w:rsidRPr="00446A51">
        <w:t>The submission stated that the maximum quantities</w:t>
      </w:r>
      <w:r w:rsidR="004A2AA9" w:rsidRPr="00446A51">
        <w:t xml:space="preserve"> provided</w:t>
      </w:r>
      <w:r w:rsidRPr="00446A51">
        <w:t xml:space="preserve"> for one month supply </w:t>
      </w:r>
      <w:r w:rsidR="004A2AA9" w:rsidRPr="00446A51">
        <w:t>at</w:t>
      </w:r>
      <w:r w:rsidRPr="00446A51">
        <w:t xml:space="preserve"> </w:t>
      </w:r>
      <w:r w:rsidR="000A7CED" w:rsidRPr="00446A51">
        <w:t xml:space="preserve">the recommended </w:t>
      </w:r>
      <w:r w:rsidR="00DC532A" w:rsidRPr="00446A51">
        <w:t>40</w:t>
      </w:r>
      <w:r w:rsidR="00DC532A">
        <w:t> </w:t>
      </w:r>
      <w:r w:rsidRPr="00446A51">
        <w:t>mcg/kg</w:t>
      </w:r>
      <w:r w:rsidR="00E27B28">
        <w:t>/day</w:t>
      </w:r>
      <w:r w:rsidRPr="00446A51">
        <w:t xml:space="preserve"> dose and </w:t>
      </w:r>
      <w:r w:rsidR="000A7CED" w:rsidRPr="00446A51">
        <w:t xml:space="preserve">for </w:t>
      </w:r>
      <w:r w:rsidR="00B146C3">
        <w:t>patients</w:t>
      </w:r>
      <w:r w:rsidR="000A7CED" w:rsidRPr="00446A51">
        <w:t xml:space="preserve"> who may </w:t>
      </w:r>
      <w:r w:rsidRPr="00446A51">
        <w:t xml:space="preserve">require up-titration to </w:t>
      </w:r>
      <w:r w:rsidR="00DC532A" w:rsidRPr="00446A51">
        <w:t>120</w:t>
      </w:r>
      <w:r w:rsidR="00DC532A">
        <w:t> </w:t>
      </w:r>
      <w:r w:rsidRPr="00446A51">
        <w:t>mcg/kg</w:t>
      </w:r>
      <w:r w:rsidR="00E27B28">
        <w:t>/day</w:t>
      </w:r>
      <w:r w:rsidRPr="00446A51">
        <w:t xml:space="preserve">. This was informed by the dosing information from the draft product information (PI). </w:t>
      </w:r>
    </w:p>
    <w:bookmarkEnd w:id="14"/>
    <w:p w14:paraId="13626CBB" w14:textId="6AD5C9B7" w:rsidR="00E5561C" w:rsidRPr="00D12904" w:rsidRDefault="00E5561C" w:rsidP="00E5561C">
      <w:pPr>
        <w:pStyle w:val="3-BodyText"/>
      </w:pPr>
      <w:r w:rsidRPr="00D12904">
        <w:t xml:space="preserve">The proposed restriction did not </w:t>
      </w:r>
      <w:r w:rsidR="00055AE3" w:rsidRPr="00D12904">
        <w:t xml:space="preserve">specify </w:t>
      </w:r>
      <w:r w:rsidR="008277EE" w:rsidRPr="00D12904">
        <w:t xml:space="preserve">any </w:t>
      </w:r>
      <w:r w:rsidRPr="00D12904">
        <w:t>diagnostic criteria for PFIC</w:t>
      </w:r>
      <w:r w:rsidR="00055AE3" w:rsidRPr="00D12904">
        <w:t>.</w:t>
      </w:r>
      <w:r w:rsidRPr="00D12904">
        <w:t xml:space="preserve"> Genetic testing </w:t>
      </w:r>
      <w:r w:rsidR="00F64A0C" w:rsidRPr="00D12904">
        <w:t>is</w:t>
      </w:r>
      <w:r w:rsidRPr="00D12904">
        <w:t xml:space="preserve"> the gold standard for PFIC diagnosis (Baker 2018)</w:t>
      </w:r>
      <w:r w:rsidR="00C27121">
        <w:t xml:space="preserve"> </w:t>
      </w:r>
      <w:r w:rsidRPr="00D12904">
        <w:t xml:space="preserve">and the PEDFIC studies </w:t>
      </w:r>
      <w:r w:rsidR="000A7CED" w:rsidRPr="00D12904">
        <w:t xml:space="preserve">presented in the submission </w:t>
      </w:r>
      <w:r w:rsidRPr="00D12904">
        <w:t xml:space="preserve">also required genetic confirmation of PFIC diagnosis. </w:t>
      </w:r>
      <w:r w:rsidR="00F64A0C" w:rsidRPr="00D12904">
        <w:t>T</w:t>
      </w:r>
      <w:r w:rsidRPr="00D12904">
        <w:t>he proposed indication</w:t>
      </w:r>
      <w:r w:rsidR="00835221">
        <w:t xml:space="preserve"> allow</w:t>
      </w:r>
      <w:r w:rsidR="002D72B3">
        <w:t>s</w:t>
      </w:r>
      <w:r w:rsidR="00835221">
        <w:t xml:space="preserve"> for</w:t>
      </w:r>
      <w:r w:rsidRPr="00D12904">
        <w:t xml:space="preserve"> treatment for all PFIC subtypes, </w:t>
      </w:r>
      <w:r w:rsidR="00F64A0C" w:rsidRPr="00D12904">
        <w:t xml:space="preserve">though </w:t>
      </w:r>
      <w:r w:rsidRPr="00D12904">
        <w:t xml:space="preserve">odevixibat was noted to lack efficacy in PFIC2 </w:t>
      </w:r>
      <w:r w:rsidR="004C5739" w:rsidRPr="00D12904">
        <w:t xml:space="preserve">bile salt export pump </w:t>
      </w:r>
      <w:r w:rsidR="001B385E" w:rsidRPr="00D12904">
        <w:t>(</w:t>
      </w:r>
      <w:r w:rsidRPr="00B146C3">
        <w:rPr>
          <w:i/>
          <w:iCs/>
        </w:rPr>
        <w:t>BSEP</w:t>
      </w:r>
      <w:r w:rsidR="001B385E" w:rsidRPr="00D12904">
        <w:t>)-</w:t>
      </w:r>
      <w:r w:rsidRPr="00D12904">
        <w:t xml:space="preserve">3 and </w:t>
      </w:r>
      <w:r w:rsidR="00283F3A" w:rsidRPr="00D12904">
        <w:t xml:space="preserve">possibly </w:t>
      </w:r>
      <w:r w:rsidRPr="00D12904">
        <w:t>PFIC5 subtypes</w:t>
      </w:r>
      <w:r w:rsidR="00440A57" w:rsidRPr="00D12904">
        <w:t xml:space="preserve"> due to the complete absence of the </w:t>
      </w:r>
      <w:r w:rsidR="00440A57" w:rsidRPr="00B146C3">
        <w:t>BSEP</w:t>
      </w:r>
      <w:r w:rsidR="00440A57" w:rsidRPr="00D12904">
        <w:t xml:space="preserve"> protein</w:t>
      </w:r>
      <w:r w:rsidR="00143118" w:rsidRPr="00D12904">
        <w:t xml:space="preserve"> (see paragraph </w:t>
      </w:r>
      <w:r w:rsidR="00143118" w:rsidRPr="00D12904">
        <w:fldChar w:fldCharType="begin"/>
      </w:r>
      <w:r w:rsidR="00143118" w:rsidRPr="00D12904">
        <w:instrText xml:space="preserve"> REF _Ref166489206 \r \h </w:instrText>
      </w:r>
      <w:r w:rsidR="00446A51" w:rsidRPr="00D12904">
        <w:instrText xml:space="preserve"> \* MERGEFORMAT </w:instrText>
      </w:r>
      <w:r w:rsidR="00143118" w:rsidRPr="00D12904">
        <w:fldChar w:fldCharType="separate"/>
      </w:r>
      <w:r w:rsidR="008B4717">
        <w:t>4.5</w:t>
      </w:r>
      <w:r w:rsidR="00143118" w:rsidRPr="00D12904">
        <w:fldChar w:fldCharType="end"/>
      </w:r>
      <w:r w:rsidR="00143118" w:rsidRPr="00D12904">
        <w:t>)</w:t>
      </w:r>
      <w:r w:rsidR="00440A57" w:rsidRPr="00D12904">
        <w:t>.</w:t>
      </w:r>
      <w:r w:rsidRPr="00D12904">
        <w:t xml:space="preserve"> </w:t>
      </w:r>
      <w:r w:rsidR="00440A57" w:rsidRPr="00D12904">
        <w:lastRenderedPageBreak/>
        <w:t>G</w:t>
      </w:r>
      <w:r w:rsidRPr="00D12904">
        <w:t>enetic testing would be required to identify these patients</w:t>
      </w:r>
      <w:r w:rsidR="00440A57" w:rsidRPr="00D12904">
        <w:t xml:space="preserve"> in whom odevixibat </w:t>
      </w:r>
      <w:r w:rsidR="00D64994" w:rsidRPr="00D12904">
        <w:t xml:space="preserve">was </w:t>
      </w:r>
      <w:r w:rsidR="00440A57" w:rsidRPr="00D12904">
        <w:t xml:space="preserve">not </w:t>
      </w:r>
      <w:r w:rsidR="00D64994" w:rsidRPr="00D12904">
        <w:t xml:space="preserve">expected to </w:t>
      </w:r>
      <w:r w:rsidR="00440A57" w:rsidRPr="00D12904">
        <w:t>be effective</w:t>
      </w:r>
      <w:r w:rsidRPr="00D12904">
        <w:t xml:space="preserve">. However, genetic testing related to PFIC is not currently subsidised </w:t>
      </w:r>
      <w:r w:rsidR="000A7CED" w:rsidRPr="00D12904">
        <w:t xml:space="preserve">on the MBS </w:t>
      </w:r>
      <w:r w:rsidRPr="00D12904">
        <w:t xml:space="preserve">and may present an equity issue for access to treatment. </w:t>
      </w:r>
      <w:r w:rsidR="00835221">
        <w:t>The evaluation considered a</w:t>
      </w:r>
      <w:r w:rsidR="00DE00F7" w:rsidRPr="00D12904">
        <w:t xml:space="preserve"> codependent submission may have been more appropriate to ensure equity in access and to minimise </w:t>
      </w:r>
      <w:r w:rsidR="004C442F" w:rsidRPr="00D12904">
        <w:t xml:space="preserve">use in patients </w:t>
      </w:r>
      <w:r w:rsidR="0004730A" w:rsidRPr="00D12904">
        <w:t>with subtypes of PFIC in which</w:t>
      </w:r>
      <w:r w:rsidR="004C442F" w:rsidRPr="00D12904">
        <w:t xml:space="preserve"> odevixibat would be ineffective</w:t>
      </w:r>
      <w:r w:rsidR="00DE00F7" w:rsidRPr="00D12904">
        <w:t xml:space="preserve">. </w:t>
      </w:r>
      <w:r w:rsidR="00530D99" w:rsidRPr="00D12904">
        <w:rPr>
          <w:rFonts w:cstheme="minorHAnsi"/>
        </w:rPr>
        <w:t xml:space="preserve">The </w:t>
      </w:r>
      <w:r w:rsidR="00BC63BF">
        <w:rPr>
          <w:rFonts w:cstheme="minorHAnsi"/>
        </w:rPr>
        <w:t>Pre-Sub-Committee Response (</w:t>
      </w:r>
      <w:r w:rsidR="00530D99" w:rsidRPr="00D12904">
        <w:rPr>
          <w:rFonts w:cstheme="minorHAnsi"/>
        </w:rPr>
        <w:t>PSCR</w:t>
      </w:r>
      <w:r w:rsidR="00BC63BF">
        <w:rPr>
          <w:rFonts w:cstheme="minorHAnsi"/>
        </w:rPr>
        <w:t>)</w:t>
      </w:r>
      <w:r w:rsidR="00530D99" w:rsidRPr="00D12904">
        <w:rPr>
          <w:rFonts w:cstheme="minorHAnsi"/>
        </w:rPr>
        <w:t xml:space="preserve"> stated that the genetic testing is sometimes inconclusive, whereas all PFIC patients have elevated bile acid levels and intense pruritus and noted that NICE did not </w:t>
      </w:r>
      <w:r w:rsidR="008277EE" w:rsidRPr="00D12904">
        <w:rPr>
          <w:rFonts w:cstheme="minorHAnsi"/>
        </w:rPr>
        <w:t xml:space="preserve">stipulate </w:t>
      </w:r>
      <w:r w:rsidR="00530D99" w:rsidRPr="00D12904">
        <w:rPr>
          <w:rFonts w:cstheme="minorHAnsi"/>
        </w:rPr>
        <w:t>genetic testing for access to treatment. The ESC, noting that genetic confirmation of PFIC was a requirement of the clinical trial, considered that genetic testing would be appropriate for initial supply.</w:t>
      </w:r>
      <w:r w:rsidR="000820CE" w:rsidRPr="00D12904">
        <w:rPr>
          <w:rFonts w:cstheme="minorHAnsi"/>
        </w:rPr>
        <w:t xml:space="preserve"> </w:t>
      </w:r>
    </w:p>
    <w:p w14:paraId="794D8765" w14:textId="77777777" w:rsidR="00530D99" w:rsidRPr="00D12904" w:rsidRDefault="00E5561C" w:rsidP="00E5561C">
      <w:pPr>
        <w:pStyle w:val="3-BodyText"/>
      </w:pPr>
      <w:bookmarkStart w:id="15" w:name="_Ref164743338"/>
      <w:r w:rsidRPr="00D12904">
        <w:t xml:space="preserve">The proposed </w:t>
      </w:r>
      <w:r w:rsidR="00530D99" w:rsidRPr="00D12904">
        <w:t xml:space="preserve">initial </w:t>
      </w:r>
      <w:r w:rsidRPr="00D12904">
        <w:t>restriction lacked clarity as it did not define “elevated serum bile acid [sBA]” and “significant pruritus”</w:t>
      </w:r>
      <w:r w:rsidR="00931E74" w:rsidRPr="00D12904">
        <w:t>.</w:t>
      </w:r>
      <w:r w:rsidRPr="00D12904">
        <w:t xml:space="preserve"> </w:t>
      </w:r>
      <w:r w:rsidR="00530D99" w:rsidRPr="00D12904">
        <w:rPr>
          <w:rFonts w:cstheme="minorHAnsi"/>
        </w:rPr>
        <w:t>The ESC considered that quantification of sBA levels and severity of pruritus at initial supply would be required.</w:t>
      </w:r>
    </w:p>
    <w:bookmarkEnd w:id="15"/>
    <w:p w14:paraId="65CF1E3C" w14:textId="2A033745" w:rsidR="00530D99" w:rsidRPr="00D12904" w:rsidRDefault="00E5561C" w:rsidP="00530D99">
      <w:pPr>
        <w:pStyle w:val="3-BodyText"/>
        <w:rPr>
          <w:rFonts w:cstheme="minorHAnsi"/>
        </w:rPr>
      </w:pPr>
      <w:r w:rsidRPr="00446A51">
        <w:t xml:space="preserve">Further, the requested continuing treatment restriction stated that patients must have </w:t>
      </w:r>
      <w:r w:rsidR="008277EE">
        <w:t xml:space="preserve">an </w:t>
      </w:r>
      <w:r w:rsidRPr="00446A51">
        <w:t xml:space="preserve">elevated sBA and significant pruritis and must have been previously treated with odevixibat. This </w:t>
      </w:r>
      <w:r w:rsidR="007C6A42" w:rsidRPr="00446A51">
        <w:t>wa</w:t>
      </w:r>
      <w:r w:rsidRPr="00446A51">
        <w:t xml:space="preserve">s contradictory to the goals of treatment (i.e., to reduce sBA levels and pruritus symptoms) and </w:t>
      </w:r>
      <w:r w:rsidR="00E93F28" w:rsidRPr="00446A51">
        <w:t>i</w:t>
      </w:r>
      <w:r w:rsidRPr="00446A51">
        <w:t xml:space="preserve">n its current form would exclude patients who respond to treatment. </w:t>
      </w:r>
      <w:r w:rsidR="00530D99">
        <w:t>Additionally, i</w:t>
      </w:r>
      <w:r w:rsidR="00530D99" w:rsidRPr="00446A51">
        <w:t>f there is to be a treatment discontinuation criterion that aligns with the draft PI, a definition of ‘no treatment benefit’ may be required.</w:t>
      </w:r>
      <w:r w:rsidR="00530D99">
        <w:t xml:space="preserve"> </w:t>
      </w:r>
      <w:r w:rsidR="00530D99" w:rsidRPr="00D12904">
        <w:rPr>
          <w:rFonts w:cstheme="minorHAnsi"/>
        </w:rPr>
        <w:t xml:space="preserve">The ESC considered that adequate response criteria were essential. Further, the ESC advised that a discontinuation rule (e.g. due to lack of response or progression to </w:t>
      </w:r>
      <w:r w:rsidR="00B146C3">
        <w:rPr>
          <w:rFonts w:cstheme="minorHAnsi"/>
        </w:rPr>
        <w:t>surgical biliary diversion (SBD)</w:t>
      </w:r>
      <w:r w:rsidR="00530D99" w:rsidRPr="00D12904">
        <w:rPr>
          <w:rFonts w:cstheme="minorHAnsi"/>
        </w:rPr>
        <w:t xml:space="preserve"> or </w:t>
      </w:r>
      <w:r w:rsidR="00064430">
        <w:rPr>
          <w:rFonts w:cstheme="minorHAnsi"/>
        </w:rPr>
        <w:t>liver transplantation (</w:t>
      </w:r>
      <w:r w:rsidR="00B146C3">
        <w:rPr>
          <w:rFonts w:cstheme="minorHAnsi"/>
        </w:rPr>
        <w:t>LT</w:t>
      </w:r>
      <w:r w:rsidR="00064430">
        <w:rPr>
          <w:rFonts w:cstheme="minorHAnsi"/>
        </w:rPr>
        <w:t>)</w:t>
      </w:r>
      <w:r w:rsidR="00530D99" w:rsidRPr="00D12904">
        <w:rPr>
          <w:rFonts w:cstheme="minorHAnsi"/>
        </w:rPr>
        <w:t>) should also be included in the continuing supply restriction</w:t>
      </w:r>
      <w:r w:rsidR="008277EE" w:rsidRPr="00D12904">
        <w:rPr>
          <w:rFonts w:cstheme="minorHAnsi"/>
        </w:rPr>
        <w:t xml:space="preserve"> to ensure that only patients who were receiving benefit from odevixibat continued treatment</w:t>
      </w:r>
      <w:r w:rsidR="00530D99" w:rsidRPr="00D12904">
        <w:rPr>
          <w:rFonts w:cstheme="minorHAnsi"/>
        </w:rPr>
        <w:t>.</w:t>
      </w:r>
      <w:r w:rsidR="000820CE" w:rsidRPr="00D12904">
        <w:rPr>
          <w:rFonts w:cstheme="minorHAnsi"/>
        </w:rPr>
        <w:t xml:space="preserve"> The ESC noted it </w:t>
      </w:r>
      <w:r w:rsidR="000820CE" w:rsidRPr="00B518C4">
        <w:rPr>
          <w:rFonts w:cstheme="minorHAnsi"/>
        </w:rPr>
        <w:t>may</w:t>
      </w:r>
      <w:r w:rsidR="00064430" w:rsidRPr="00B518C4">
        <w:rPr>
          <w:rFonts w:cstheme="minorHAnsi"/>
        </w:rPr>
        <w:t xml:space="preserve"> sometimes</w:t>
      </w:r>
      <w:r w:rsidR="000820CE" w:rsidRPr="00D12904">
        <w:rPr>
          <w:rFonts w:cstheme="minorHAnsi"/>
        </w:rPr>
        <w:t xml:space="preserve"> be appropriate for some responding patients to discontinue treatment with odevixibat and </w:t>
      </w:r>
      <w:r w:rsidR="001B385E" w:rsidRPr="00D12904">
        <w:rPr>
          <w:rFonts w:cstheme="minorHAnsi"/>
        </w:rPr>
        <w:t>be able to</w:t>
      </w:r>
      <w:r w:rsidR="00636ECD" w:rsidRPr="00D12904">
        <w:rPr>
          <w:rFonts w:cstheme="minorHAnsi"/>
        </w:rPr>
        <w:t xml:space="preserve"> </w:t>
      </w:r>
      <w:r w:rsidR="000820CE" w:rsidRPr="00D12904">
        <w:rPr>
          <w:rFonts w:cstheme="minorHAnsi"/>
        </w:rPr>
        <w:t xml:space="preserve">recommence if needed and the restriction criteria should allow this. </w:t>
      </w:r>
      <w:r w:rsidR="00E44BE9">
        <w:rPr>
          <w:rFonts w:cstheme="minorHAnsi"/>
        </w:rPr>
        <w:t>D</w:t>
      </w:r>
      <w:r w:rsidR="00B146C3">
        <w:rPr>
          <w:rFonts w:cstheme="minorHAnsi"/>
        </w:rPr>
        <w:t xml:space="preserve">USC </w:t>
      </w:r>
      <w:r w:rsidR="00131404">
        <w:rPr>
          <w:rFonts w:cstheme="minorHAnsi"/>
        </w:rPr>
        <w:t>also considered</w:t>
      </w:r>
      <w:r w:rsidR="00D73E5A">
        <w:rPr>
          <w:rFonts w:cstheme="minorHAnsi"/>
        </w:rPr>
        <w:t xml:space="preserve"> </w:t>
      </w:r>
      <w:r w:rsidR="00B146C3">
        <w:rPr>
          <w:rFonts w:cstheme="minorHAnsi"/>
        </w:rPr>
        <w:t>that there may be a need for inclusion of a retreatment criteria in the proposed restriction.</w:t>
      </w:r>
      <w:r w:rsidR="000820CE" w:rsidRPr="00D12904">
        <w:rPr>
          <w:rFonts w:cstheme="minorHAnsi"/>
        </w:rPr>
        <w:t xml:space="preserve"> </w:t>
      </w:r>
      <w:r w:rsidR="001B2444">
        <w:rPr>
          <w:rFonts w:cstheme="minorHAnsi"/>
        </w:rPr>
        <w:t>The Pre-PBAC Response agree</w:t>
      </w:r>
      <w:r w:rsidR="00B146C3">
        <w:rPr>
          <w:rFonts w:cstheme="minorHAnsi"/>
        </w:rPr>
        <w:t>d</w:t>
      </w:r>
      <w:r w:rsidR="001B2444">
        <w:rPr>
          <w:rFonts w:cstheme="minorHAnsi"/>
        </w:rPr>
        <w:t xml:space="preserve"> that quantification of sBA and pruritis for initiation and continuation criteria </w:t>
      </w:r>
      <w:r w:rsidR="00B146C3">
        <w:rPr>
          <w:rFonts w:cstheme="minorHAnsi"/>
        </w:rPr>
        <w:t>would be</w:t>
      </w:r>
      <w:r w:rsidR="001B2444">
        <w:rPr>
          <w:rFonts w:cstheme="minorHAnsi"/>
        </w:rPr>
        <w:t xml:space="preserve"> appropriate and that </w:t>
      </w:r>
      <w:r w:rsidR="00B146C3">
        <w:rPr>
          <w:rFonts w:cstheme="minorHAnsi"/>
        </w:rPr>
        <w:t xml:space="preserve">the </w:t>
      </w:r>
      <w:r w:rsidR="001B2444">
        <w:rPr>
          <w:rFonts w:cstheme="minorHAnsi"/>
        </w:rPr>
        <w:t xml:space="preserve">restriction </w:t>
      </w:r>
      <w:r w:rsidR="00B146C3">
        <w:rPr>
          <w:rFonts w:cstheme="minorHAnsi"/>
        </w:rPr>
        <w:t xml:space="preserve">should </w:t>
      </w:r>
      <w:r w:rsidR="001B2444">
        <w:rPr>
          <w:rFonts w:cstheme="minorHAnsi"/>
        </w:rPr>
        <w:t>appropriately meet the goals of treatment.</w:t>
      </w:r>
    </w:p>
    <w:p w14:paraId="0DF45AC3" w14:textId="163E4E3B" w:rsidR="006E30B4" w:rsidRDefault="008277EE" w:rsidP="006E30B4">
      <w:pPr>
        <w:pStyle w:val="3-BodyText"/>
      </w:pPr>
      <w:r w:rsidRPr="00D12904">
        <w:t xml:space="preserve">There was no age cutoff with the restriction only requiring patients to be 6 months </w:t>
      </w:r>
      <w:r w:rsidR="00E27B28">
        <w:t>of age</w:t>
      </w:r>
      <w:r w:rsidR="00E27B28" w:rsidRPr="00D12904">
        <w:t xml:space="preserve"> </w:t>
      </w:r>
      <w:r w:rsidRPr="00D12904">
        <w:t xml:space="preserve">at initiation, although the clinical trial excluded patients who were over </w:t>
      </w:r>
      <w:r w:rsidR="002F4E49" w:rsidRPr="00D12904">
        <w:t>18</w:t>
      </w:r>
      <w:r w:rsidR="002F4E49">
        <w:t> </w:t>
      </w:r>
      <w:r w:rsidRPr="00D12904">
        <w:t xml:space="preserve">years of age. The PSCR stated that this would exclude patients who presented as late onset in young adulthood, as is more common in </w:t>
      </w:r>
      <w:r w:rsidR="001D0E75">
        <w:t xml:space="preserve">patients who have the PFIC subtype of </w:t>
      </w:r>
      <w:r w:rsidRPr="00D12904">
        <w:t xml:space="preserve">PFIC3. The ESC noted that </w:t>
      </w:r>
      <w:r w:rsidR="001D0E75">
        <w:t xml:space="preserve">the </w:t>
      </w:r>
      <w:r w:rsidR="00B146C3">
        <w:t xml:space="preserve">key </w:t>
      </w:r>
      <w:r w:rsidR="001D0E75">
        <w:t>trial</w:t>
      </w:r>
      <w:r w:rsidR="00B146C3">
        <w:t>,</w:t>
      </w:r>
      <w:r w:rsidR="001D0E75">
        <w:t xml:space="preserve"> </w:t>
      </w:r>
      <w:r w:rsidRPr="00D12904">
        <w:t>PEDFIC 1</w:t>
      </w:r>
      <w:r w:rsidR="00B146C3">
        <w:t>,</w:t>
      </w:r>
      <w:r w:rsidRPr="00D12904">
        <w:t xml:space="preserve"> only enrolled patients with </w:t>
      </w:r>
      <w:r w:rsidR="001D0E75">
        <w:t xml:space="preserve">the PFIC subtypes of </w:t>
      </w:r>
      <w:r w:rsidRPr="00D12904">
        <w:t xml:space="preserve">PFIC1 and PFIC2. Although </w:t>
      </w:r>
      <w:r w:rsidR="001D0E75">
        <w:t xml:space="preserve">the </w:t>
      </w:r>
      <w:r w:rsidR="00B146C3">
        <w:t xml:space="preserve">extension study, </w:t>
      </w:r>
      <w:r w:rsidRPr="00D12904">
        <w:t>PEDFIC</w:t>
      </w:r>
      <w:r w:rsidR="002F4E49">
        <w:t> </w:t>
      </w:r>
      <w:r w:rsidRPr="00D12904">
        <w:t>2</w:t>
      </w:r>
      <w:r w:rsidR="00B146C3">
        <w:t>,</w:t>
      </w:r>
      <w:r w:rsidRPr="00D12904">
        <w:t xml:space="preserve"> enrolled five patients with PFIC3, these data were noncomparative and the patients only received treatment at the </w:t>
      </w:r>
      <w:r w:rsidR="002F4E49" w:rsidRPr="00D12904">
        <w:t>120</w:t>
      </w:r>
      <w:r w:rsidR="002F4E49">
        <w:t> </w:t>
      </w:r>
      <w:r w:rsidRPr="00D12904">
        <w:t>mcg/kg/day dose level, with no evidence provided at the 40</w:t>
      </w:r>
      <w:r w:rsidR="002F4E49">
        <w:t> </w:t>
      </w:r>
      <w:r w:rsidRPr="00D12904">
        <w:t>mcg/kg/day dose</w:t>
      </w:r>
      <w:r w:rsidR="00B146C3">
        <w:t>. T</w:t>
      </w:r>
      <w:r w:rsidR="00517DC0" w:rsidRPr="00D12904">
        <w:t>hus</w:t>
      </w:r>
      <w:r w:rsidR="00B146C3">
        <w:t>,</w:t>
      </w:r>
      <w:r w:rsidR="00517DC0" w:rsidRPr="00D12904">
        <w:t xml:space="preserve"> the effectiveness and cost effectiveness of odevixibat in </w:t>
      </w:r>
      <w:r w:rsidR="00064430">
        <w:t xml:space="preserve">PFIC 3-6 and late onset patients </w:t>
      </w:r>
      <w:r w:rsidR="00517DC0" w:rsidRPr="00D12904">
        <w:t>is unknown</w:t>
      </w:r>
      <w:r w:rsidRPr="00D12904">
        <w:t>.</w:t>
      </w:r>
    </w:p>
    <w:p w14:paraId="28C135C5" w14:textId="23B4815A" w:rsidR="005A3D47" w:rsidRDefault="005A3D47" w:rsidP="005A3D47">
      <w:pPr>
        <w:pStyle w:val="3-BodyText"/>
      </w:pPr>
      <w:r w:rsidRPr="00446A51">
        <w:lastRenderedPageBreak/>
        <w:t>Dose escalation protocols for odevixibat were not described in the restriction. The draft PI stated “(i)f an adequate clinical response has not been achieved after 3</w:t>
      </w:r>
      <w:r w:rsidR="00D565F8">
        <w:t> </w:t>
      </w:r>
      <w:r w:rsidRPr="00446A51">
        <w:t xml:space="preserve">months of continuous therapy, the dose may be increased … (and) alternative treatment should be considered in patients for whom no treatment benefit can be established following 6 months of continuous daily treatment with odevixibat”. </w:t>
      </w:r>
      <w:r>
        <w:t>Further, a definition of an adequate response was not provided in the restriction. T</w:t>
      </w:r>
      <w:r w:rsidRPr="00446A51">
        <w:t>he basis for these assessment and discontinuation time points was not clear given that in the clinical evidence presented, patients escalated their dose after ~</w:t>
      </w:r>
      <w:r w:rsidR="00D565F8" w:rsidRPr="00446A51">
        <w:t>22</w:t>
      </w:r>
      <w:r w:rsidR="00D565F8">
        <w:t> </w:t>
      </w:r>
      <w:r w:rsidRPr="00446A51">
        <w:t xml:space="preserve">weeks at 40 mcg/kg/day in PEDFIC 1 (as opposed to the </w:t>
      </w:r>
      <w:r>
        <w:t>3</w:t>
      </w:r>
      <w:r w:rsidRPr="00446A51">
        <w:t xml:space="preserve"> months suggested in the draft PI) and this </w:t>
      </w:r>
      <w:r w:rsidRPr="0067027D">
        <w:t>was independent of</w:t>
      </w:r>
      <w:r w:rsidRPr="00446A51">
        <w:t xml:space="preserve"> response. </w:t>
      </w:r>
    </w:p>
    <w:p w14:paraId="4212BA92" w14:textId="5ED313B0" w:rsidR="005A3D47" w:rsidRDefault="005A3D47" w:rsidP="005A3D47">
      <w:pPr>
        <w:pStyle w:val="3-BodyText"/>
      </w:pPr>
      <w:r w:rsidRPr="00446A51">
        <w:t xml:space="preserve">The number of repeats in the </w:t>
      </w:r>
      <w:r>
        <w:t>initial supply restriction</w:t>
      </w:r>
      <w:r w:rsidRPr="00446A51">
        <w:t xml:space="preserve"> provide</w:t>
      </w:r>
      <w:r>
        <w:t>s</w:t>
      </w:r>
      <w:r w:rsidRPr="00446A51">
        <w:t xml:space="preserve"> </w:t>
      </w:r>
      <w:r>
        <w:t>6</w:t>
      </w:r>
      <w:r w:rsidRPr="00446A51">
        <w:t xml:space="preserve"> months of treatment which does not align </w:t>
      </w:r>
      <w:r w:rsidRPr="00D12904">
        <w:t>with the proposed timepoint of assessment of response (</w:t>
      </w:r>
      <w:r>
        <w:t>3</w:t>
      </w:r>
      <w:r w:rsidR="00D565F8">
        <w:t> </w:t>
      </w:r>
      <w:r w:rsidRPr="00D12904">
        <w:t>months). The financial estimates were aligned with the draft PI (</w:t>
      </w:r>
      <w:r>
        <w:t>3</w:t>
      </w:r>
      <w:r w:rsidRPr="00D12904">
        <w:t xml:space="preserve">-month initial treatment period and </w:t>
      </w:r>
      <w:r>
        <w:t>6</w:t>
      </w:r>
      <w:r w:rsidRPr="00D12904">
        <w:t>-month discontinuation period given inadequate response). The PSCR stated that a maximum of 2 repeats (3 months of treatment) for the initial supply was reasonable as this aligned with the proposed assessment of clinical response and timing for possible dose escalation.</w:t>
      </w:r>
    </w:p>
    <w:p w14:paraId="387AA7CE" w14:textId="77777777" w:rsidR="00D12904" w:rsidRPr="00C33D30" w:rsidRDefault="00D12904" w:rsidP="00D12904">
      <w:pPr>
        <w:ind w:firstLine="709"/>
        <w:rPr>
          <w:rFonts w:asciiTheme="minorHAnsi" w:hAnsiTheme="minorHAnsi"/>
          <w:i/>
        </w:rPr>
      </w:pPr>
      <w:r w:rsidRPr="00C33D30">
        <w:rPr>
          <w:rFonts w:asciiTheme="minorHAnsi" w:hAnsiTheme="minorHAnsi"/>
          <w:i/>
        </w:rPr>
        <w:t>For more detail on PBAC’s view, see section 7 PBAC outcome.</w:t>
      </w:r>
    </w:p>
    <w:p w14:paraId="401FCC52" w14:textId="77777777" w:rsidR="00E5561C" w:rsidRPr="00D33C2C" w:rsidRDefault="00E5561C" w:rsidP="00E5561C">
      <w:pPr>
        <w:pStyle w:val="2-SectionHeading"/>
      </w:pPr>
      <w:bookmarkStart w:id="16" w:name="_Toc166210651"/>
      <w:bookmarkStart w:id="17" w:name="_Toc22898850"/>
      <w:bookmarkEnd w:id="13"/>
      <w:r w:rsidRPr="00D33C2C">
        <w:t>Population and disease</w:t>
      </w:r>
      <w:bookmarkEnd w:id="16"/>
    </w:p>
    <w:p w14:paraId="1EEE4912" w14:textId="49E6A835" w:rsidR="00E5561C" w:rsidRPr="00D12904" w:rsidRDefault="00E5561C" w:rsidP="00E5561C">
      <w:pPr>
        <w:pStyle w:val="3-BodyText"/>
      </w:pPr>
      <w:r w:rsidRPr="00D33C2C">
        <w:t xml:space="preserve">PFIC is a rare, heterogeneous group of genetic liver disorders of autosomal recessive inheritance that reduces or stops the transportation of bile acid out of the liver resulting in </w:t>
      </w:r>
      <w:r w:rsidR="00064430">
        <w:t>systemic</w:t>
      </w:r>
      <w:r w:rsidR="00064430" w:rsidRPr="00D33C2C">
        <w:t xml:space="preserve"> </w:t>
      </w:r>
      <w:r w:rsidRPr="00D33C2C">
        <w:t xml:space="preserve">accumulation. PFIC is estimated to affect between 1 per 50,000 and 1 per 100,000 live births globally. PFIC is characterised by an early </w:t>
      </w:r>
      <w:r w:rsidRPr="00D12904">
        <w:t xml:space="preserve">onset of cholestasis (usually during infancy) with pruritus (itching) and malabsorption, which rapidly progresses to liver failure. PFIC is also associated with portal hypertension, liver failure, cirrhosis, hepatocellular carcinoma, and </w:t>
      </w:r>
      <w:r w:rsidR="00064430">
        <w:t xml:space="preserve">may also have </w:t>
      </w:r>
      <w:r w:rsidRPr="00D12904">
        <w:t xml:space="preserve">extrahepatic manifestations. </w:t>
      </w:r>
      <w:r w:rsidR="006E71A3" w:rsidRPr="00D12904">
        <w:t>The ESC noted neonatal cholestasis affects 1 in 2,500 infants and ~13% of these infants have PFIC.</w:t>
      </w:r>
      <w:r w:rsidR="001B385E" w:rsidRPr="00D12904">
        <w:rPr>
          <w:rStyle w:val="FootnoteReference"/>
        </w:rPr>
        <w:footnoteReference w:id="1"/>
      </w:r>
      <w:r w:rsidR="006E71A3" w:rsidRPr="00D12904">
        <w:t xml:space="preserve"> </w:t>
      </w:r>
    </w:p>
    <w:p w14:paraId="525DBC8D" w14:textId="72B264FA" w:rsidR="00AB264E" w:rsidRDefault="00AB264E" w:rsidP="00AB264E">
      <w:pPr>
        <w:pStyle w:val="3-BodyText"/>
      </w:pPr>
      <w:r>
        <w:t>There are six known PFIC subtypes, each caused by different underlying genetic mutations that affect bile secretion (</w:t>
      </w:r>
      <w:r>
        <w:fldChar w:fldCharType="begin"/>
      </w:r>
      <w:r>
        <w:instrText xml:space="preserve"> REF _Ref165631743 \h </w:instrText>
      </w:r>
      <w:r>
        <w:fldChar w:fldCharType="separate"/>
      </w:r>
      <w:r w:rsidR="008B4717">
        <w:t xml:space="preserve">Table </w:t>
      </w:r>
      <w:r w:rsidR="008B4717">
        <w:rPr>
          <w:noProof/>
        </w:rPr>
        <w:t>2</w:t>
      </w:r>
      <w:r>
        <w:fldChar w:fldCharType="end"/>
      </w:r>
      <w:r>
        <w:t xml:space="preserve">). </w:t>
      </w:r>
    </w:p>
    <w:p w14:paraId="6C5B9F0A" w14:textId="0A12FA12" w:rsidR="00AB264E" w:rsidRPr="00D33C2C" w:rsidRDefault="00AB264E" w:rsidP="008277EE">
      <w:pPr>
        <w:pStyle w:val="TableFigureHeading"/>
      </w:pPr>
      <w:bookmarkStart w:id="18" w:name="_Ref165631743"/>
      <w:r>
        <w:lastRenderedPageBreak/>
        <w:t xml:space="preserve">Table </w:t>
      </w:r>
      <w:r w:rsidR="00DF1200">
        <w:fldChar w:fldCharType="begin"/>
      </w:r>
      <w:r w:rsidR="00DF1200">
        <w:instrText xml:space="preserve"> SEQ Table \* ARABIC </w:instrText>
      </w:r>
      <w:r w:rsidR="00DF1200">
        <w:fldChar w:fldCharType="separate"/>
      </w:r>
      <w:r w:rsidR="008B4717">
        <w:rPr>
          <w:noProof/>
        </w:rPr>
        <w:t>2</w:t>
      </w:r>
      <w:r w:rsidR="00DF1200">
        <w:rPr>
          <w:noProof/>
        </w:rPr>
        <w:fldChar w:fldCharType="end"/>
      </w:r>
      <w:bookmarkEnd w:id="18"/>
      <w:r>
        <w:t>: Genetic mutations and resultant abnormalities in PFIC subtypes</w:t>
      </w:r>
    </w:p>
    <w:tbl>
      <w:tblPr>
        <w:tblStyle w:val="TableGrid2"/>
        <w:tblW w:w="5000" w:type="pct"/>
        <w:tblLook w:val="04A0" w:firstRow="1" w:lastRow="0" w:firstColumn="1" w:lastColumn="0" w:noHBand="0" w:noVBand="1"/>
        <w:tblCaption w:val="Table 2: Genetic mutations and resultant abnormalities in PFIC subtypes"/>
      </w:tblPr>
      <w:tblGrid>
        <w:gridCol w:w="845"/>
        <w:gridCol w:w="1146"/>
        <w:gridCol w:w="1301"/>
        <w:gridCol w:w="5725"/>
      </w:tblGrid>
      <w:tr w:rsidR="00AB264E" w:rsidRPr="00740919" w14:paraId="0F891417" w14:textId="77777777" w:rsidTr="00B70571">
        <w:trPr>
          <w:trHeight w:val="20"/>
        </w:trPr>
        <w:tc>
          <w:tcPr>
            <w:tcW w:w="845" w:type="dxa"/>
            <w:vAlign w:val="center"/>
          </w:tcPr>
          <w:p w14:paraId="11F126F7" w14:textId="77777777" w:rsidR="00AB264E" w:rsidRPr="00EB6BB8" w:rsidRDefault="00AB264E" w:rsidP="008277EE">
            <w:pPr>
              <w:pStyle w:val="Tabletext"/>
              <w:keepNext/>
              <w:rPr>
                <w:b/>
                <w:bCs/>
              </w:rPr>
            </w:pPr>
            <w:r w:rsidRPr="00EB6BB8">
              <w:rPr>
                <w:b/>
                <w:bCs/>
              </w:rPr>
              <w:t>PFIC subtype</w:t>
            </w:r>
          </w:p>
        </w:tc>
        <w:tc>
          <w:tcPr>
            <w:tcW w:w="1064" w:type="dxa"/>
            <w:vAlign w:val="center"/>
          </w:tcPr>
          <w:p w14:paraId="6B708D99" w14:textId="77777777" w:rsidR="00AB264E" w:rsidRPr="00EB6BB8" w:rsidRDefault="00AB264E" w:rsidP="008277EE">
            <w:pPr>
              <w:pStyle w:val="Tabletext"/>
              <w:keepNext/>
              <w:rPr>
                <w:b/>
                <w:bCs/>
              </w:rPr>
            </w:pPr>
            <w:r w:rsidRPr="00EB6BB8">
              <w:rPr>
                <w:b/>
                <w:bCs/>
              </w:rPr>
              <w:t>Genetic abnormality</w:t>
            </w:r>
          </w:p>
        </w:tc>
        <w:tc>
          <w:tcPr>
            <w:tcW w:w="236" w:type="dxa"/>
            <w:vAlign w:val="center"/>
          </w:tcPr>
          <w:p w14:paraId="57F50571" w14:textId="77777777" w:rsidR="00AB264E" w:rsidRPr="00EB6BB8" w:rsidRDefault="00AB264E" w:rsidP="008277EE">
            <w:pPr>
              <w:pStyle w:val="Tabletext"/>
              <w:keepNext/>
              <w:rPr>
                <w:b/>
                <w:bCs/>
              </w:rPr>
            </w:pPr>
            <w:r w:rsidRPr="00EB6BB8">
              <w:rPr>
                <w:b/>
                <w:bCs/>
              </w:rPr>
              <w:t>Dysfunctional protein</w:t>
            </w:r>
          </w:p>
        </w:tc>
        <w:tc>
          <w:tcPr>
            <w:tcW w:w="6872" w:type="dxa"/>
            <w:vAlign w:val="center"/>
          </w:tcPr>
          <w:p w14:paraId="6DDE9864" w14:textId="7EBCFAC1" w:rsidR="00AB264E" w:rsidRPr="00EB6BB8" w:rsidRDefault="00AB264E" w:rsidP="008277EE">
            <w:pPr>
              <w:pStyle w:val="Tabletext"/>
              <w:keepNext/>
              <w:rPr>
                <w:b/>
                <w:bCs/>
              </w:rPr>
            </w:pPr>
            <w:r w:rsidRPr="00EB6BB8">
              <w:rPr>
                <w:b/>
                <w:bCs/>
              </w:rPr>
              <w:t>Biochemical findings</w:t>
            </w:r>
            <w:r w:rsidR="00AA61D5">
              <w:rPr>
                <w:b/>
                <w:bCs/>
              </w:rPr>
              <w:t xml:space="preserve"> </w:t>
            </w:r>
          </w:p>
        </w:tc>
      </w:tr>
      <w:tr w:rsidR="00AB264E" w:rsidRPr="00740919" w14:paraId="56AFFB29" w14:textId="77777777" w:rsidTr="00B70571">
        <w:trPr>
          <w:trHeight w:val="20"/>
        </w:trPr>
        <w:tc>
          <w:tcPr>
            <w:tcW w:w="845" w:type="dxa"/>
            <w:vAlign w:val="center"/>
          </w:tcPr>
          <w:p w14:paraId="18D46F3B" w14:textId="77777777" w:rsidR="00AB264E" w:rsidRPr="00740919" w:rsidRDefault="00AB264E" w:rsidP="008277EE">
            <w:pPr>
              <w:pStyle w:val="Tabletext"/>
              <w:keepNext/>
            </w:pPr>
            <w:r w:rsidRPr="00740919">
              <w:t>PFIC1</w:t>
            </w:r>
          </w:p>
        </w:tc>
        <w:tc>
          <w:tcPr>
            <w:tcW w:w="1064" w:type="dxa"/>
            <w:vAlign w:val="center"/>
          </w:tcPr>
          <w:p w14:paraId="28BBD8BE" w14:textId="77777777" w:rsidR="00AB264E" w:rsidRPr="009F7575" w:rsidRDefault="00AB264E" w:rsidP="008277EE">
            <w:pPr>
              <w:pStyle w:val="Tabletext"/>
              <w:keepNext/>
              <w:rPr>
                <w:i/>
                <w:iCs/>
              </w:rPr>
            </w:pPr>
            <w:r w:rsidRPr="009F7575">
              <w:rPr>
                <w:i/>
                <w:iCs/>
              </w:rPr>
              <w:t>ATP8B1</w:t>
            </w:r>
          </w:p>
        </w:tc>
        <w:tc>
          <w:tcPr>
            <w:tcW w:w="236" w:type="dxa"/>
            <w:vAlign w:val="center"/>
          </w:tcPr>
          <w:p w14:paraId="4976AE3D" w14:textId="77777777" w:rsidR="00AB264E" w:rsidRPr="00740919" w:rsidRDefault="00AB264E" w:rsidP="008277EE">
            <w:pPr>
              <w:pStyle w:val="Tabletext"/>
              <w:keepNext/>
            </w:pPr>
            <w:r w:rsidRPr="00740919">
              <w:t>FIC1</w:t>
            </w:r>
          </w:p>
        </w:tc>
        <w:tc>
          <w:tcPr>
            <w:tcW w:w="6872" w:type="dxa"/>
            <w:vAlign w:val="center"/>
          </w:tcPr>
          <w:p w14:paraId="6907435B" w14:textId="636D8D9E" w:rsidR="00AA61D5" w:rsidRPr="00740919" w:rsidRDefault="00AB264E" w:rsidP="008277EE">
            <w:pPr>
              <w:pStyle w:val="Tabletext"/>
              <w:keepNext/>
            </w:pPr>
            <w:r w:rsidRPr="00740919">
              <w:t>Loss of canalicular membrane integrity causing decreased BSEP function with reduced bile acid transport from hepatocytes into canalicular spaces</w:t>
            </w:r>
            <w:r w:rsidR="00AA61D5">
              <w:t>.</w:t>
            </w:r>
          </w:p>
        </w:tc>
      </w:tr>
      <w:tr w:rsidR="00AB264E" w:rsidRPr="00740919" w14:paraId="5B64FBE8" w14:textId="77777777" w:rsidTr="00B70571">
        <w:trPr>
          <w:trHeight w:val="20"/>
        </w:trPr>
        <w:tc>
          <w:tcPr>
            <w:tcW w:w="845" w:type="dxa"/>
            <w:vAlign w:val="center"/>
          </w:tcPr>
          <w:p w14:paraId="38432C76" w14:textId="77777777" w:rsidR="00AB264E" w:rsidRPr="00740919" w:rsidRDefault="00AB264E" w:rsidP="008277EE">
            <w:pPr>
              <w:pStyle w:val="Tabletext"/>
              <w:keepNext/>
            </w:pPr>
            <w:r w:rsidRPr="00740919">
              <w:t>PFIC2</w:t>
            </w:r>
          </w:p>
        </w:tc>
        <w:tc>
          <w:tcPr>
            <w:tcW w:w="1064" w:type="dxa"/>
            <w:vAlign w:val="center"/>
          </w:tcPr>
          <w:p w14:paraId="040D792C" w14:textId="77777777" w:rsidR="00AB264E" w:rsidRPr="009F7575" w:rsidRDefault="00AB264E" w:rsidP="008277EE">
            <w:pPr>
              <w:pStyle w:val="Tabletext"/>
              <w:keepNext/>
              <w:rPr>
                <w:i/>
                <w:iCs/>
              </w:rPr>
            </w:pPr>
            <w:r w:rsidRPr="009F7575">
              <w:rPr>
                <w:i/>
                <w:iCs/>
              </w:rPr>
              <w:t>ABCB11</w:t>
            </w:r>
          </w:p>
        </w:tc>
        <w:tc>
          <w:tcPr>
            <w:tcW w:w="236" w:type="dxa"/>
            <w:vAlign w:val="center"/>
          </w:tcPr>
          <w:p w14:paraId="13EE3958" w14:textId="77777777" w:rsidR="00AB264E" w:rsidRPr="00740919" w:rsidRDefault="00AB264E" w:rsidP="008277EE">
            <w:pPr>
              <w:pStyle w:val="Tabletext"/>
              <w:keepNext/>
            </w:pPr>
            <w:r>
              <w:t>BSEP</w:t>
            </w:r>
          </w:p>
        </w:tc>
        <w:tc>
          <w:tcPr>
            <w:tcW w:w="6872" w:type="dxa"/>
            <w:vAlign w:val="center"/>
          </w:tcPr>
          <w:p w14:paraId="351AACD3" w14:textId="273CE592" w:rsidR="00AB264E" w:rsidRPr="004C27E0" w:rsidRDefault="00AB264E" w:rsidP="008277EE">
            <w:pPr>
              <w:pStyle w:val="Tabletext"/>
              <w:keepNext/>
              <w:rPr>
                <w:vertAlign w:val="superscript"/>
              </w:rPr>
            </w:pPr>
            <w:r w:rsidRPr="00740919">
              <w:t>Absent or dysfunctional BSEP protein and absent or decreased transport of bile acids from hepatocytes into canalicular spaces</w:t>
            </w:r>
            <w:r w:rsidR="009414BB">
              <w:t xml:space="preserve">. </w:t>
            </w:r>
            <w:r w:rsidR="004C27E0">
              <w:t xml:space="preserve">PFIC2 can be categorised according to </w:t>
            </w:r>
            <w:r w:rsidR="004C27E0" w:rsidRPr="004C27E0">
              <w:rPr>
                <w:i/>
                <w:iCs/>
              </w:rPr>
              <w:t>BSEP1, BSEP2, and BSEP3</w:t>
            </w:r>
            <w:r w:rsidR="004C27E0">
              <w:rPr>
                <w:i/>
                <w:iCs/>
              </w:rPr>
              <w:t xml:space="preserve"> </w:t>
            </w:r>
            <w:r w:rsidR="004C27E0">
              <w:t>genotypes</w:t>
            </w:r>
            <w:r w:rsidR="002700FD">
              <w:t xml:space="preserve">. </w:t>
            </w:r>
            <w:r w:rsidR="0081393B">
              <w:t xml:space="preserve">BSEP protein functionality </w:t>
            </w:r>
            <w:r w:rsidR="002700FD">
              <w:t xml:space="preserve">decreases from </w:t>
            </w:r>
            <w:r w:rsidR="002700FD" w:rsidRPr="006D6EDD">
              <w:rPr>
                <w:i/>
                <w:iCs/>
              </w:rPr>
              <w:t>BSEP1</w:t>
            </w:r>
            <w:r w:rsidR="002700FD">
              <w:t xml:space="preserve"> to </w:t>
            </w:r>
            <w:r w:rsidR="002700FD" w:rsidRPr="006D6EDD">
              <w:rPr>
                <w:i/>
                <w:iCs/>
              </w:rPr>
              <w:t>BSEP3</w:t>
            </w:r>
            <w:r w:rsidR="002700FD">
              <w:t xml:space="preserve"> genotypes</w:t>
            </w:r>
            <w:r w:rsidR="004C27E0">
              <w:t xml:space="preserve">. Patients with </w:t>
            </w:r>
            <w:r w:rsidR="004C27E0" w:rsidRPr="004C27E0">
              <w:rPr>
                <w:i/>
                <w:iCs/>
              </w:rPr>
              <w:t xml:space="preserve">BSEP1 </w:t>
            </w:r>
            <w:r w:rsidR="004C27E0">
              <w:t xml:space="preserve">and </w:t>
            </w:r>
            <w:r w:rsidR="004C27E0">
              <w:rPr>
                <w:i/>
                <w:iCs/>
              </w:rPr>
              <w:t xml:space="preserve">BSEP2 </w:t>
            </w:r>
            <w:r w:rsidR="004C27E0" w:rsidRPr="004C27E0">
              <w:t>genotype</w:t>
            </w:r>
            <w:r w:rsidR="004C27E0">
              <w:t xml:space="preserve"> have residual BSEP protein functionality whereas patients with </w:t>
            </w:r>
            <w:r w:rsidR="004C27E0" w:rsidRPr="004C27E0">
              <w:rPr>
                <w:i/>
                <w:iCs/>
              </w:rPr>
              <w:t>BSEP3</w:t>
            </w:r>
            <w:r w:rsidR="004C27E0">
              <w:t xml:space="preserve"> genotype ha</w:t>
            </w:r>
            <w:r w:rsidR="004C5739">
              <w:t>ve</w:t>
            </w:r>
            <w:r w:rsidR="004C27E0">
              <w:t xml:space="preserve"> non-functional or absen</w:t>
            </w:r>
            <w:r w:rsidR="004C5739">
              <w:t>t</w:t>
            </w:r>
            <w:r w:rsidR="004C27E0">
              <w:t xml:space="preserve"> BSEP protein.</w:t>
            </w:r>
            <w:r w:rsidR="004C27E0">
              <w:rPr>
                <w:rStyle w:val="FootnoteReference"/>
              </w:rPr>
              <w:footnoteReference w:id="2"/>
            </w:r>
            <w:r w:rsidR="004C27E0">
              <w:rPr>
                <w:vertAlign w:val="superscript"/>
              </w:rPr>
              <w:t xml:space="preserve">, </w:t>
            </w:r>
            <w:r w:rsidR="004C27E0">
              <w:rPr>
                <w:rStyle w:val="FootnoteReference"/>
              </w:rPr>
              <w:footnoteReference w:id="3"/>
            </w:r>
          </w:p>
        </w:tc>
      </w:tr>
      <w:tr w:rsidR="00AB264E" w:rsidRPr="00740919" w14:paraId="488EB564" w14:textId="77777777" w:rsidTr="00B70571">
        <w:trPr>
          <w:trHeight w:val="20"/>
        </w:trPr>
        <w:tc>
          <w:tcPr>
            <w:tcW w:w="845" w:type="dxa"/>
            <w:vAlign w:val="center"/>
          </w:tcPr>
          <w:p w14:paraId="4C20EAA4" w14:textId="77777777" w:rsidR="00AB264E" w:rsidRPr="00740919" w:rsidRDefault="00AB264E" w:rsidP="008277EE">
            <w:pPr>
              <w:pStyle w:val="Tabletext"/>
              <w:keepNext/>
            </w:pPr>
            <w:r w:rsidRPr="00740919">
              <w:t>PFIC3</w:t>
            </w:r>
          </w:p>
        </w:tc>
        <w:tc>
          <w:tcPr>
            <w:tcW w:w="1064" w:type="dxa"/>
            <w:vAlign w:val="center"/>
          </w:tcPr>
          <w:p w14:paraId="25D67CFB" w14:textId="77777777" w:rsidR="00AB264E" w:rsidRPr="009F7575" w:rsidRDefault="00AB264E" w:rsidP="008277EE">
            <w:pPr>
              <w:pStyle w:val="Tabletext"/>
              <w:keepNext/>
              <w:rPr>
                <w:i/>
                <w:iCs/>
              </w:rPr>
            </w:pPr>
            <w:r w:rsidRPr="009F7575">
              <w:rPr>
                <w:i/>
                <w:iCs/>
              </w:rPr>
              <w:t>ABCB4</w:t>
            </w:r>
          </w:p>
        </w:tc>
        <w:tc>
          <w:tcPr>
            <w:tcW w:w="236" w:type="dxa"/>
            <w:vAlign w:val="center"/>
          </w:tcPr>
          <w:p w14:paraId="30857623" w14:textId="77777777" w:rsidR="00AB264E" w:rsidRPr="00740919" w:rsidRDefault="00AB264E" w:rsidP="008277EE">
            <w:pPr>
              <w:pStyle w:val="Tabletext"/>
              <w:keepNext/>
            </w:pPr>
            <w:r w:rsidRPr="00740919">
              <w:t>MDR3</w:t>
            </w:r>
          </w:p>
        </w:tc>
        <w:tc>
          <w:tcPr>
            <w:tcW w:w="6872" w:type="dxa"/>
            <w:vAlign w:val="center"/>
          </w:tcPr>
          <w:p w14:paraId="0B11E519" w14:textId="77777777" w:rsidR="00AB264E" w:rsidRPr="00740919" w:rsidRDefault="00AB264E" w:rsidP="008277EE">
            <w:pPr>
              <w:pStyle w:val="Tabletext"/>
              <w:keepNext/>
            </w:pPr>
            <w:r w:rsidRPr="00740919">
              <w:t>Absence of phosphatidylcholine from the biliary canaliculi; increased free bile salts in canaliculi; cholangiocyte damage</w:t>
            </w:r>
          </w:p>
        </w:tc>
      </w:tr>
      <w:tr w:rsidR="00AB264E" w:rsidRPr="00740919" w14:paraId="12D057DE" w14:textId="77777777" w:rsidTr="00B70571">
        <w:trPr>
          <w:trHeight w:val="20"/>
        </w:trPr>
        <w:tc>
          <w:tcPr>
            <w:tcW w:w="845" w:type="dxa"/>
            <w:vAlign w:val="center"/>
          </w:tcPr>
          <w:p w14:paraId="25D197D8" w14:textId="77777777" w:rsidR="00AB264E" w:rsidRPr="00740919" w:rsidRDefault="00AB264E" w:rsidP="008277EE">
            <w:pPr>
              <w:pStyle w:val="Tabletext"/>
              <w:keepNext/>
            </w:pPr>
            <w:r w:rsidRPr="00740919">
              <w:t>PFIC4</w:t>
            </w:r>
          </w:p>
        </w:tc>
        <w:tc>
          <w:tcPr>
            <w:tcW w:w="1064" w:type="dxa"/>
            <w:vAlign w:val="center"/>
          </w:tcPr>
          <w:p w14:paraId="74BAFD20" w14:textId="77777777" w:rsidR="00AB264E" w:rsidRPr="009F7575" w:rsidRDefault="00AB264E" w:rsidP="008277EE">
            <w:pPr>
              <w:pStyle w:val="Tabletext"/>
              <w:keepNext/>
              <w:rPr>
                <w:i/>
                <w:iCs/>
              </w:rPr>
            </w:pPr>
            <w:r w:rsidRPr="009F7575">
              <w:rPr>
                <w:i/>
                <w:iCs/>
              </w:rPr>
              <w:t>TJP2</w:t>
            </w:r>
          </w:p>
        </w:tc>
        <w:tc>
          <w:tcPr>
            <w:tcW w:w="236" w:type="dxa"/>
            <w:vAlign w:val="center"/>
          </w:tcPr>
          <w:p w14:paraId="448DB5A7" w14:textId="77777777" w:rsidR="00AB264E" w:rsidRPr="00740919" w:rsidRDefault="00AB264E" w:rsidP="008277EE">
            <w:pPr>
              <w:pStyle w:val="Tabletext"/>
              <w:keepNext/>
            </w:pPr>
            <w:r w:rsidRPr="00740919">
              <w:t>TJP2</w:t>
            </w:r>
          </w:p>
        </w:tc>
        <w:tc>
          <w:tcPr>
            <w:tcW w:w="6872" w:type="dxa"/>
            <w:vAlign w:val="center"/>
          </w:tcPr>
          <w:p w14:paraId="0B7E996B" w14:textId="77777777" w:rsidR="00AB264E" w:rsidRPr="00740919" w:rsidRDefault="00AB264E" w:rsidP="008277EE">
            <w:pPr>
              <w:pStyle w:val="Tabletext"/>
              <w:keepNext/>
            </w:pPr>
            <w:r w:rsidRPr="00740919">
              <w:t>Compromised tight junctions; bile salt leakage into the paracellular space resulting in hepatocyte and cholangiocyte damage, loss of hepatocyte polarity and diminished BSEP function</w:t>
            </w:r>
          </w:p>
        </w:tc>
      </w:tr>
      <w:tr w:rsidR="00AB264E" w:rsidRPr="00740919" w14:paraId="42335D42" w14:textId="77777777" w:rsidTr="00B70571">
        <w:trPr>
          <w:trHeight w:val="20"/>
        </w:trPr>
        <w:tc>
          <w:tcPr>
            <w:tcW w:w="845" w:type="dxa"/>
            <w:vAlign w:val="center"/>
          </w:tcPr>
          <w:p w14:paraId="5DC7A9C0" w14:textId="77777777" w:rsidR="00AB264E" w:rsidRPr="00740919" w:rsidRDefault="00AB264E" w:rsidP="008277EE">
            <w:pPr>
              <w:pStyle w:val="Tabletext"/>
              <w:keepNext/>
            </w:pPr>
            <w:r w:rsidRPr="00740919">
              <w:t>PFIC5</w:t>
            </w:r>
          </w:p>
        </w:tc>
        <w:tc>
          <w:tcPr>
            <w:tcW w:w="1064" w:type="dxa"/>
            <w:vAlign w:val="center"/>
          </w:tcPr>
          <w:p w14:paraId="4FC81D3D" w14:textId="77777777" w:rsidR="00AB264E" w:rsidRPr="009F7575" w:rsidRDefault="00AB264E" w:rsidP="008277EE">
            <w:pPr>
              <w:pStyle w:val="Tabletext"/>
              <w:keepNext/>
              <w:rPr>
                <w:i/>
                <w:iCs/>
              </w:rPr>
            </w:pPr>
            <w:r w:rsidRPr="009F7575">
              <w:rPr>
                <w:i/>
                <w:iCs/>
              </w:rPr>
              <w:t>NR1H4</w:t>
            </w:r>
          </w:p>
        </w:tc>
        <w:tc>
          <w:tcPr>
            <w:tcW w:w="236" w:type="dxa"/>
            <w:vAlign w:val="center"/>
          </w:tcPr>
          <w:p w14:paraId="4B169BFB" w14:textId="77777777" w:rsidR="00AB264E" w:rsidRPr="00740919" w:rsidRDefault="00AB264E" w:rsidP="008277EE">
            <w:pPr>
              <w:pStyle w:val="Tabletext"/>
              <w:keepNext/>
            </w:pPr>
            <w:r w:rsidRPr="00740919">
              <w:t>FXR</w:t>
            </w:r>
          </w:p>
        </w:tc>
        <w:tc>
          <w:tcPr>
            <w:tcW w:w="6872" w:type="dxa"/>
            <w:vAlign w:val="center"/>
          </w:tcPr>
          <w:p w14:paraId="3D6AB876" w14:textId="77777777" w:rsidR="00AB264E" w:rsidRPr="00740919" w:rsidRDefault="00AB264E" w:rsidP="008277EE">
            <w:pPr>
              <w:pStyle w:val="Tabletext"/>
              <w:keepNext/>
            </w:pPr>
            <w:r w:rsidRPr="00740919">
              <w:t>Undetectable expression of BSEP in the bile canaliculi</w:t>
            </w:r>
          </w:p>
        </w:tc>
      </w:tr>
      <w:tr w:rsidR="00AB264E" w:rsidRPr="00740919" w14:paraId="0F9762E1" w14:textId="77777777" w:rsidTr="00B70571">
        <w:trPr>
          <w:trHeight w:val="20"/>
        </w:trPr>
        <w:tc>
          <w:tcPr>
            <w:tcW w:w="845" w:type="dxa"/>
            <w:vAlign w:val="center"/>
          </w:tcPr>
          <w:p w14:paraId="478D9760" w14:textId="77777777" w:rsidR="00AB264E" w:rsidRPr="00740919" w:rsidRDefault="00AB264E" w:rsidP="008277EE">
            <w:pPr>
              <w:pStyle w:val="Tabletext"/>
              <w:keepNext/>
            </w:pPr>
            <w:r w:rsidRPr="00740919">
              <w:t>PFIC6</w:t>
            </w:r>
          </w:p>
        </w:tc>
        <w:tc>
          <w:tcPr>
            <w:tcW w:w="1064" w:type="dxa"/>
            <w:vAlign w:val="center"/>
          </w:tcPr>
          <w:p w14:paraId="1DF51505" w14:textId="77777777" w:rsidR="00AB264E" w:rsidRPr="009F7575" w:rsidRDefault="00AB264E" w:rsidP="008277EE">
            <w:pPr>
              <w:pStyle w:val="Tabletext"/>
              <w:keepNext/>
              <w:rPr>
                <w:i/>
                <w:iCs/>
              </w:rPr>
            </w:pPr>
            <w:r w:rsidRPr="009F7575">
              <w:rPr>
                <w:i/>
                <w:iCs/>
              </w:rPr>
              <w:t>MYO5B</w:t>
            </w:r>
          </w:p>
        </w:tc>
        <w:tc>
          <w:tcPr>
            <w:tcW w:w="236" w:type="dxa"/>
            <w:vAlign w:val="center"/>
          </w:tcPr>
          <w:p w14:paraId="5E341DCE" w14:textId="77777777" w:rsidR="00AB264E" w:rsidRPr="00740919" w:rsidRDefault="00AB264E" w:rsidP="008277EE">
            <w:pPr>
              <w:pStyle w:val="Tabletext"/>
              <w:keepNext/>
            </w:pPr>
            <w:r w:rsidRPr="00740919">
              <w:t>MYO5B</w:t>
            </w:r>
          </w:p>
        </w:tc>
        <w:tc>
          <w:tcPr>
            <w:tcW w:w="6872" w:type="dxa"/>
            <w:vAlign w:val="center"/>
          </w:tcPr>
          <w:p w14:paraId="1068627F" w14:textId="77777777" w:rsidR="00AB264E" w:rsidRPr="00740919" w:rsidRDefault="00AB264E" w:rsidP="008277EE">
            <w:pPr>
              <w:pStyle w:val="Tabletext"/>
              <w:keepNext/>
            </w:pPr>
            <w:r w:rsidRPr="00740919">
              <w:t>Disruption of hepatocyte polarity and the localisation of canalicular proteins; mislocalisation and loss of BSEP function</w:t>
            </w:r>
          </w:p>
        </w:tc>
      </w:tr>
    </w:tbl>
    <w:p w14:paraId="3DB902D1" w14:textId="77777777" w:rsidR="00AB264E" w:rsidRDefault="00AB264E" w:rsidP="005F0D01">
      <w:pPr>
        <w:pStyle w:val="TableFigureFooter"/>
        <w:keepNext/>
      </w:pPr>
      <w:r>
        <w:t>Source: Table 1-3, p25 of the submission</w:t>
      </w:r>
    </w:p>
    <w:p w14:paraId="51ADFEFA" w14:textId="0293436E" w:rsidR="00AB264E" w:rsidRDefault="00AB264E" w:rsidP="005F0D01">
      <w:pPr>
        <w:pStyle w:val="TableFigureFooter"/>
        <w:keepNext/>
      </w:pPr>
      <w:r>
        <w:t xml:space="preserve">BSEP = bile salt export pump; FXR = </w:t>
      </w:r>
      <w:r w:rsidRPr="00EB6BB8">
        <w:t>Farnesoid X Receptor</w:t>
      </w:r>
      <w:r>
        <w:t xml:space="preserve">; MDR3 = </w:t>
      </w:r>
      <w:r w:rsidRPr="00EB6BB8">
        <w:t>Multidrug Resistance Class 3 glycoprotein</w:t>
      </w:r>
      <w:r>
        <w:t xml:space="preserve">; MYO5B = </w:t>
      </w:r>
      <w:r w:rsidRPr="00EB6BB8">
        <w:t>Myosin 5B</w:t>
      </w:r>
      <w:r>
        <w:t xml:space="preserve">; PFIC = progressive familial intrahepatic cholestasis; TJP2 = </w:t>
      </w:r>
      <w:r w:rsidRPr="00EB6BB8">
        <w:t>Tight Junction Protein 2</w:t>
      </w:r>
    </w:p>
    <w:p w14:paraId="6C1BE7F2" w14:textId="46DF5B94" w:rsidR="004C442F" w:rsidRDefault="004C442F" w:rsidP="00AB264E">
      <w:pPr>
        <w:pStyle w:val="TableFigureFooter"/>
      </w:pPr>
      <w:r>
        <w:t>Note: odevixibat was noted to lack effectiveness in PFIC subtypes that have complete absence or lack of function of the BSEP protein, such as PFIC2 BSEP3 and PFIC5.</w:t>
      </w:r>
    </w:p>
    <w:p w14:paraId="06D6EE58" w14:textId="30CFD9D6" w:rsidR="001A76CC" w:rsidRDefault="00E5561C" w:rsidP="00ED248A">
      <w:pPr>
        <w:pStyle w:val="3-BodyText"/>
      </w:pPr>
      <w:r w:rsidRPr="00D33C2C">
        <w:t xml:space="preserve">PFIC1, </w:t>
      </w:r>
      <w:r w:rsidR="00101056">
        <w:t>PFIC</w:t>
      </w:r>
      <w:r w:rsidRPr="00D33C2C">
        <w:t xml:space="preserve">2, and </w:t>
      </w:r>
      <w:r w:rsidR="00101056">
        <w:t>PFIC</w:t>
      </w:r>
      <w:r w:rsidRPr="00D33C2C">
        <w:t xml:space="preserve">3 are the </w:t>
      </w:r>
      <w:r w:rsidR="00B1587B">
        <w:t xml:space="preserve">main </w:t>
      </w:r>
      <w:r w:rsidRPr="00D33C2C">
        <w:t>PFIC subtypes</w:t>
      </w:r>
      <w:r w:rsidR="000A7CED">
        <w:t>,</w:t>
      </w:r>
      <w:r w:rsidRPr="00D33C2C">
        <w:t xml:space="preserve"> whereas PFIC4, </w:t>
      </w:r>
      <w:r w:rsidR="00101056">
        <w:t>PFIC</w:t>
      </w:r>
      <w:r w:rsidRPr="00D33C2C">
        <w:t xml:space="preserve">5, and </w:t>
      </w:r>
      <w:r w:rsidR="00101056">
        <w:t>PFIC</w:t>
      </w:r>
      <w:r w:rsidRPr="00D33C2C">
        <w:t xml:space="preserve">6 subtypes are rarer. </w:t>
      </w:r>
      <w:r w:rsidR="006A0A7C">
        <w:t>Five out of six PFIC subtypes (except for PFIC3) disrupt</w:t>
      </w:r>
      <w:r w:rsidR="006A0A7C" w:rsidRPr="006A0A7C">
        <w:rPr>
          <w:rFonts w:ascii="Calibri" w:eastAsiaTheme="majorEastAsia" w:hAnsi="Calibri" w:cstheme="majorBidi"/>
          <w:lang w:bidi="en-US"/>
        </w:rPr>
        <w:t xml:space="preserve"> the ability of BSEP to transport bile acids from the hepatocytes into the canalicular spaces.</w:t>
      </w:r>
      <w:r w:rsidR="00751C41">
        <w:rPr>
          <w:rFonts w:ascii="Calibri" w:eastAsiaTheme="majorEastAsia" w:hAnsi="Calibri" w:cstheme="majorBidi"/>
          <w:lang w:bidi="en-US"/>
        </w:rPr>
        <w:t xml:space="preserve"> </w:t>
      </w:r>
      <w:r w:rsidR="008C0559">
        <w:t xml:space="preserve">PFIC2 is </w:t>
      </w:r>
      <w:r w:rsidR="00DB1DCE">
        <w:t xml:space="preserve">directly </w:t>
      </w:r>
      <w:r w:rsidR="008C0559">
        <w:t>due to abnormalities in the BSEP protein that leads to reduced or absen</w:t>
      </w:r>
      <w:r w:rsidR="006A0A7C">
        <w:t>t</w:t>
      </w:r>
      <w:r w:rsidR="008C0559">
        <w:t xml:space="preserve"> BSEP function</w:t>
      </w:r>
      <w:r w:rsidR="000E1ED2">
        <w:t>; w</w:t>
      </w:r>
      <w:r w:rsidR="000E1ED2" w:rsidRPr="00D33C2C">
        <w:t xml:space="preserve">ithin PFIC2 are the </w:t>
      </w:r>
      <w:r w:rsidR="000E1ED2" w:rsidRPr="001A76CC">
        <w:rPr>
          <w:i/>
          <w:iCs/>
        </w:rPr>
        <w:t>BSEP1</w:t>
      </w:r>
      <w:r w:rsidR="000E1ED2" w:rsidRPr="00D33C2C">
        <w:t xml:space="preserve">, </w:t>
      </w:r>
      <w:r w:rsidR="000E1ED2" w:rsidRPr="001A76CC">
        <w:rPr>
          <w:i/>
          <w:iCs/>
        </w:rPr>
        <w:t>BSEP2</w:t>
      </w:r>
      <w:r w:rsidR="000E1ED2" w:rsidRPr="00D33C2C">
        <w:t xml:space="preserve">, and </w:t>
      </w:r>
      <w:r w:rsidR="000E1ED2" w:rsidRPr="001A76CC">
        <w:rPr>
          <w:i/>
          <w:iCs/>
        </w:rPr>
        <w:t>BSEP3</w:t>
      </w:r>
      <w:r w:rsidR="000E1ED2" w:rsidRPr="00D33C2C">
        <w:t xml:space="preserve"> genotypes</w:t>
      </w:r>
      <w:r w:rsidR="008C0559">
        <w:t>. In PFIC1, PFIC4, PFIC5, and PFIC6</w:t>
      </w:r>
      <w:r w:rsidR="008C0559" w:rsidRPr="006A0A7C">
        <w:rPr>
          <w:rFonts w:ascii="Calibri" w:eastAsiaTheme="majorEastAsia" w:hAnsi="Calibri" w:cstheme="majorBidi"/>
          <w:lang w:bidi="en-US"/>
        </w:rPr>
        <w:t xml:space="preserve"> the impact is indirect, either through decreased BSEP activity due to </w:t>
      </w:r>
      <w:r w:rsidR="005F10D3">
        <w:rPr>
          <w:rFonts w:ascii="Calibri" w:eastAsiaTheme="majorEastAsia" w:hAnsi="Calibri" w:cstheme="majorBidi"/>
          <w:lang w:bidi="en-US"/>
        </w:rPr>
        <w:t>changes</w:t>
      </w:r>
      <w:r w:rsidR="008C0559" w:rsidRPr="006A0A7C">
        <w:rPr>
          <w:rFonts w:ascii="Calibri" w:eastAsiaTheme="majorEastAsia" w:hAnsi="Calibri" w:cstheme="majorBidi"/>
          <w:lang w:bidi="en-US"/>
        </w:rPr>
        <w:t xml:space="preserve"> in the canalicular membrane or inability to localise BSEP to the canalicular membrane. In PFIC3 the impact is independent of the BSEP protein, where an excess of free bile acids </w:t>
      </w:r>
      <w:r w:rsidR="00254913">
        <w:rPr>
          <w:rFonts w:ascii="Calibri" w:eastAsiaTheme="majorEastAsia" w:hAnsi="Calibri" w:cstheme="majorBidi"/>
          <w:lang w:bidi="en-US"/>
        </w:rPr>
        <w:t xml:space="preserve">results </w:t>
      </w:r>
      <w:r w:rsidR="008C0559" w:rsidRPr="006A0A7C">
        <w:rPr>
          <w:rFonts w:ascii="Calibri" w:eastAsiaTheme="majorEastAsia" w:hAnsi="Calibri" w:cstheme="majorBidi"/>
          <w:lang w:bidi="en-US"/>
        </w:rPr>
        <w:t>in cholangiocyte damage which eventually progresses to hepatocyte damage.</w:t>
      </w:r>
      <w:r w:rsidR="001A76CC" w:rsidRPr="006A0A7C">
        <w:rPr>
          <w:rFonts w:ascii="Calibri" w:eastAsiaTheme="majorEastAsia" w:hAnsi="Calibri" w:cstheme="majorBidi"/>
          <w:lang w:bidi="en-US"/>
        </w:rPr>
        <w:t xml:space="preserve"> </w:t>
      </w:r>
      <w:r w:rsidRPr="00D33C2C">
        <w:t xml:space="preserve">All six types of PFIC </w:t>
      </w:r>
      <w:r w:rsidR="00064430">
        <w:t>result in</w:t>
      </w:r>
      <w:r w:rsidRPr="00D33C2C">
        <w:t xml:space="preserve"> elevated </w:t>
      </w:r>
      <w:r w:rsidR="00064430">
        <w:t xml:space="preserve">serum </w:t>
      </w:r>
      <w:r w:rsidR="000D7093">
        <w:t>bile acid</w:t>
      </w:r>
      <w:r w:rsidR="00064430">
        <w:t>s</w:t>
      </w:r>
      <w:r w:rsidR="000D7093" w:rsidRPr="00D33C2C">
        <w:t xml:space="preserve"> </w:t>
      </w:r>
      <w:r w:rsidRPr="00D33C2C">
        <w:t xml:space="preserve">and pruritus. </w:t>
      </w:r>
    </w:p>
    <w:p w14:paraId="45EB5657" w14:textId="7B493D56" w:rsidR="00550465" w:rsidRDefault="00550465" w:rsidP="00B51890">
      <w:pPr>
        <w:pStyle w:val="3-BodyText"/>
      </w:pPr>
      <w:r>
        <w:t xml:space="preserve">The clinical evidence presented in the submission </w:t>
      </w:r>
      <w:r w:rsidR="00B146C3">
        <w:t xml:space="preserve">was </w:t>
      </w:r>
      <w:r>
        <w:t>primarily in patients with PFIC1 and PFIC2 subtypes. The PEDFIC 1 trial enrolled only PFIC1 and PFIC2 patients</w:t>
      </w:r>
      <w:r w:rsidR="000E1ED2">
        <w:t>. T</w:t>
      </w:r>
      <w:r>
        <w:t xml:space="preserve">he PEDFIC 2 study enrolled mostly PFIC1 and PFIC2 patients </w:t>
      </w:r>
      <w:r w:rsidR="008277EE">
        <w:t>(</w:t>
      </w:r>
      <w:r>
        <w:t xml:space="preserve">5/69 patients </w:t>
      </w:r>
      <w:r w:rsidR="008277EE">
        <w:t xml:space="preserve">had </w:t>
      </w:r>
      <w:r>
        <w:t xml:space="preserve">PFIC3 and 1/69 patients </w:t>
      </w:r>
      <w:r w:rsidR="008277EE">
        <w:t xml:space="preserve">had </w:t>
      </w:r>
      <w:r>
        <w:t>PFIC6</w:t>
      </w:r>
      <w:r w:rsidR="008277EE">
        <w:t>)</w:t>
      </w:r>
      <w:r>
        <w:t xml:space="preserve">. There was no evidence presented </w:t>
      </w:r>
      <w:r w:rsidR="00143118">
        <w:t xml:space="preserve">for </w:t>
      </w:r>
      <w:r>
        <w:t>patients with PFIC4 and PFIC5 subtypes in the submission.</w:t>
      </w:r>
    </w:p>
    <w:p w14:paraId="42A1D7F0" w14:textId="5A99F19B" w:rsidR="008E3206" w:rsidRPr="00D12904" w:rsidRDefault="008E3206" w:rsidP="008E3206">
      <w:pPr>
        <w:pStyle w:val="3-BodyText"/>
      </w:pPr>
      <w:bookmarkStart w:id="19" w:name="_Ref166489206"/>
      <w:r w:rsidRPr="00D33C2C">
        <w:lastRenderedPageBreak/>
        <w:t>Patients with PFIC2</w:t>
      </w:r>
      <w:r w:rsidRPr="00D33C2C">
        <w:rPr>
          <w:i/>
          <w:iCs/>
        </w:rPr>
        <w:t xml:space="preserve"> BSEP3</w:t>
      </w:r>
      <w:r w:rsidRPr="00D33C2C">
        <w:t xml:space="preserve"> are not expected to benefit from odevixibat</w:t>
      </w:r>
      <w:r>
        <w:t xml:space="preserve"> due to the complete lack of function in the BSEP protein</w:t>
      </w:r>
      <w:r w:rsidRPr="00D33C2C">
        <w:t xml:space="preserve">. </w:t>
      </w:r>
      <w:r w:rsidRPr="00C92431">
        <w:t xml:space="preserve">Patients with PFIC5 may also not benefit from odevixibat based on a </w:t>
      </w:r>
      <w:r w:rsidR="00E90BB3" w:rsidRPr="00E90BB3">
        <w:t xml:space="preserve">National Institute of Care Excellence </w:t>
      </w:r>
      <w:r w:rsidR="00E90BB3">
        <w:t>(</w:t>
      </w:r>
      <w:r w:rsidRPr="00C92431">
        <w:t>NICE</w:t>
      </w:r>
      <w:r w:rsidR="00E90BB3">
        <w:t>)</w:t>
      </w:r>
      <w:r w:rsidRPr="00C92431">
        <w:t xml:space="preserve"> consideration.</w:t>
      </w:r>
      <w:r w:rsidRPr="00C92431">
        <w:rPr>
          <w:rStyle w:val="FootnoteReference"/>
        </w:rPr>
        <w:footnoteReference w:id="4"/>
      </w:r>
      <w:r w:rsidRPr="00C92431">
        <w:t xml:space="preserve"> However, PFIC5 is a very rare subtype with only </w:t>
      </w:r>
      <w:r w:rsidRPr="00D12904">
        <w:t xml:space="preserve">nine patients identified worldwide in the literature. The submission excluded patients with PFIC2 </w:t>
      </w:r>
      <w:r w:rsidRPr="00D12904">
        <w:rPr>
          <w:i/>
          <w:iCs/>
        </w:rPr>
        <w:t>BSEP3</w:t>
      </w:r>
      <w:r w:rsidRPr="00D12904">
        <w:t xml:space="preserve"> subtype in the financial estimates.</w:t>
      </w:r>
      <w:bookmarkEnd w:id="19"/>
      <w:r w:rsidRPr="00D12904">
        <w:t xml:space="preserve"> </w:t>
      </w:r>
      <w:r w:rsidR="00064430">
        <w:t>However, t</w:t>
      </w:r>
      <w:r w:rsidR="00064430" w:rsidRPr="00D12904">
        <w:t xml:space="preserve">he </w:t>
      </w:r>
      <w:r w:rsidR="00762E81" w:rsidRPr="00D12904">
        <w:t>ESC noted that, without genetic testing, this subtype was not excluded by the restriction.</w:t>
      </w:r>
    </w:p>
    <w:p w14:paraId="68A57D81" w14:textId="5930B8D2" w:rsidR="00E5561C" w:rsidRPr="00D12904" w:rsidRDefault="00E5561C" w:rsidP="0022637C">
      <w:pPr>
        <w:pStyle w:val="3-BodyText"/>
      </w:pPr>
      <w:r w:rsidRPr="00D12904">
        <w:t xml:space="preserve">PFIC can lead to progressive liver disease, usually within the first decade of life and eventually liver failure. Intense pruritus is the most common and debilitating symptom of PFIC that has a negative impact on </w:t>
      </w:r>
      <w:r w:rsidR="008277EE" w:rsidRPr="00D12904">
        <w:t xml:space="preserve">both </w:t>
      </w:r>
      <w:r w:rsidRPr="00D12904">
        <w:t xml:space="preserve">patient and caregiver quality of life (QoL). </w:t>
      </w:r>
      <w:r w:rsidR="00B365FE" w:rsidRPr="00D12904">
        <w:t xml:space="preserve">Untreated PFIC </w:t>
      </w:r>
      <w:r w:rsidR="00860307" w:rsidRPr="00D12904">
        <w:t xml:space="preserve">can </w:t>
      </w:r>
      <w:r w:rsidR="00B365FE" w:rsidRPr="00D12904">
        <w:t xml:space="preserve">result in intractable itching so severe that </w:t>
      </w:r>
      <w:r w:rsidR="00C64949">
        <w:t>bleeding often occurs</w:t>
      </w:r>
      <w:r w:rsidR="009E3FA9" w:rsidRPr="00D12904">
        <w:t xml:space="preserve">, and the intense itch may </w:t>
      </w:r>
      <w:r w:rsidR="002E0638" w:rsidRPr="00D12904">
        <w:t xml:space="preserve">lead to lack of sleep which </w:t>
      </w:r>
      <w:r w:rsidR="00860307" w:rsidRPr="00D12904">
        <w:t xml:space="preserve">negatively </w:t>
      </w:r>
      <w:r w:rsidR="002E0638" w:rsidRPr="00D12904">
        <w:t>impact</w:t>
      </w:r>
      <w:r w:rsidR="00860307" w:rsidRPr="00D12904">
        <w:t>s</w:t>
      </w:r>
      <w:r w:rsidR="002E0638" w:rsidRPr="00D12904">
        <w:t xml:space="preserve"> other areas such as schooling</w:t>
      </w:r>
      <w:r w:rsidR="00B365FE" w:rsidRPr="00D12904">
        <w:t>.</w:t>
      </w:r>
      <w:r w:rsidR="00860307" w:rsidRPr="00D12904">
        <w:t xml:space="preserve"> The submission claimed that pruritus severity is the leading factor in the decision to seek a LT.</w:t>
      </w:r>
      <w:r w:rsidR="00B365FE" w:rsidRPr="00D12904">
        <w:t xml:space="preserve"> </w:t>
      </w:r>
      <w:r w:rsidRPr="00D12904">
        <w:t>In PFIC1 and PFIC2, jaundice and severe pruritus usually occur in the first months of life</w:t>
      </w:r>
      <w:r w:rsidR="006E1E4A" w:rsidRPr="00D12904">
        <w:t>.</w:t>
      </w:r>
      <w:r w:rsidRPr="00D12904">
        <w:t xml:space="preserve"> </w:t>
      </w:r>
      <w:r w:rsidR="006E1E4A" w:rsidRPr="00D12904">
        <w:t>Patients with</w:t>
      </w:r>
      <w:r w:rsidRPr="00D12904">
        <w:t xml:space="preserve"> PFIC2 generally present earlier and with severe and rapidly progressing liver disease and have an elevated risk of developing hepatic cell carcinoma. </w:t>
      </w:r>
      <w:r w:rsidRPr="00D12904">
        <w:rPr>
          <w:rFonts w:eastAsia="Calibri" w:cstheme="minorHAnsi"/>
        </w:rPr>
        <w:t xml:space="preserve">PFIC3 can present through infancy into young adulthood and </w:t>
      </w:r>
      <w:r w:rsidRPr="00D12904">
        <w:t>has a more heterogeneous presentation</w:t>
      </w:r>
      <w:r w:rsidR="00C64949">
        <w:t>, while</w:t>
      </w:r>
      <w:r w:rsidRPr="00D12904">
        <w:t xml:space="preserve"> progression of liver disease and pruritus is </w:t>
      </w:r>
      <w:r w:rsidR="00C64949">
        <w:t xml:space="preserve">often </w:t>
      </w:r>
      <w:r w:rsidRPr="00D12904">
        <w:t xml:space="preserve">less severe compared to PFIC1 and </w:t>
      </w:r>
      <w:r w:rsidR="00101056" w:rsidRPr="00D12904">
        <w:t>PFIC</w:t>
      </w:r>
      <w:r w:rsidRPr="00D12904">
        <w:t xml:space="preserve">2. </w:t>
      </w:r>
    </w:p>
    <w:p w14:paraId="2FCA1B47" w14:textId="5741B0B5" w:rsidR="001E0591" w:rsidRPr="00D12904" w:rsidRDefault="004463A5" w:rsidP="005175DF">
      <w:pPr>
        <w:pStyle w:val="3-BodyText"/>
      </w:pPr>
      <w:bookmarkStart w:id="20" w:name="_Ref164737956"/>
      <w:r w:rsidRPr="00D12904">
        <w:t>Off-label o</w:t>
      </w:r>
      <w:r w:rsidR="00E5561C" w:rsidRPr="00D12904">
        <w:t>ral therapies such as ursodeoxycholic acid (UDCA) and rifampicin are first-line therap</w:t>
      </w:r>
      <w:r w:rsidR="000A7CED" w:rsidRPr="00D12904">
        <w:t>ies</w:t>
      </w:r>
      <w:r w:rsidR="00E5561C" w:rsidRPr="00D12904">
        <w:t xml:space="preserve"> for PFIC but </w:t>
      </w:r>
      <w:r w:rsidR="004B7C15" w:rsidRPr="00D12904">
        <w:t>have limited effectiveness</w:t>
      </w:r>
      <w:r w:rsidR="00E5561C" w:rsidRPr="00D12904">
        <w:t>.</w:t>
      </w:r>
      <w:r w:rsidRPr="00D12904">
        <w:rPr>
          <w:rStyle w:val="FootnoteReference"/>
          <w:snapToGrid/>
        </w:rPr>
        <w:footnoteReference w:id="5"/>
      </w:r>
      <w:r w:rsidR="00E5561C" w:rsidRPr="00D12904">
        <w:t xml:space="preserve"> Progressive liver disease and pruritus are </w:t>
      </w:r>
      <w:r w:rsidR="00453D7D" w:rsidRPr="00D12904">
        <w:t xml:space="preserve">the two main </w:t>
      </w:r>
      <w:r w:rsidR="00E5561C" w:rsidRPr="00D12904">
        <w:t xml:space="preserve">indications for </w:t>
      </w:r>
      <w:r w:rsidR="002452F3" w:rsidRPr="00D12904">
        <w:t xml:space="preserve">SBD </w:t>
      </w:r>
      <w:r w:rsidR="00E5561C" w:rsidRPr="00D12904">
        <w:t>or LT</w:t>
      </w:r>
      <w:r w:rsidR="00F66F22" w:rsidRPr="00D12904">
        <w:t xml:space="preserve">, </w:t>
      </w:r>
      <w:r w:rsidR="00E5561C" w:rsidRPr="00D12904">
        <w:t xml:space="preserve">and without </w:t>
      </w:r>
      <w:r w:rsidR="002452F3" w:rsidRPr="00D12904">
        <w:t xml:space="preserve">SBD </w:t>
      </w:r>
      <w:r w:rsidR="00E5561C" w:rsidRPr="00D12904">
        <w:t xml:space="preserve">or LT, the survival in PFIC patients is 50% at age 10 and almost 0% at age 20. SBD lowers </w:t>
      </w:r>
      <w:r w:rsidR="00C64949">
        <w:t>serum bile acids (</w:t>
      </w:r>
      <w:r w:rsidR="00E5561C" w:rsidRPr="00D12904">
        <w:t>sBA</w:t>
      </w:r>
      <w:r w:rsidR="00C64949">
        <w:t>)</w:t>
      </w:r>
      <w:r w:rsidR="00E5561C" w:rsidRPr="00D12904">
        <w:t xml:space="preserve"> levels by </w:t>
      </w:r>
      <w:r w:rsidR="00E5561C" w:rsidRPr="00D12904">
        <w:rPr>
          <w:rFonts w:eastAsia="Calibri" w:cstheme="minorHAnsi"/>
        </w:rPr>
        <w:t xml:space="preserve">diverting bile from the gallbladder, decreasing the influx of </w:t>
      </w:r>
      <w:r w:rsidR="00130164" w:rsidRPr="00D12904">
        <w:rPr>
          <w:rFonts w:eastAsia="Calibri" w:cstheme="minorHAnsi"/>
        </w:rPr>
        <w:t>bile acid</w:t>
      </w:r>
      <w:r w:rsidR="00E5561C" w:rsidRPr="00D12904">
        <w:rPr>
          <w:rFonts w:eastAsia="Calibri" w:cstheme="minorHAnsi"/>
        </w:rPr>
        <w:t xml:space="preserve"> to the gut and reuptake of </w:t>
      </w:r>
      <w:r w:rsidR="00130164" w:rsidRPr="00D12904">
        <w:rPr>
          <w:rFonts w:eastAsia="Calibri" w:cstheme="minorHAnsi"/>
        </w:rPr>
        <w:t xml:space="preserve">bile acid </w:t>
      </w:r>
      <w:r w:rsidR="00E5561C" w:rsidRPr="00D12904">
        <w:rPr>
          <w:rFonts w:eastAsia="Calibri" w:cstheme="minorHAnsi"/>
        </w:rPr>
        <w:t>in the small intestine.</w:t>
      </w:r>
      <w:r w:rsidR="00101056" w:rsidRPr="00D12904">
        <w:rPr>
          <w:rFonts w:eastAsia="Calibri" w:cstheme="minorHAnsi"/>
        </w:rPr>
        <w:t xml:space="preserve"> The submission </w:t>
      </w:r>
      <w:r w:rsidR="00D61A5C" w:rsidRPr="00D12904">
        <w:rPr>
          <w:rFonts w:eastAsia="Calibri" w:cstheme="minorHAnsi"/>
        </w:rPr>
        <w:t>stated that</w:t>
      </w:r>
      <w:r w:rsidR="00101056" w:rsidRPr="00D12904">
        <w:rPr>
          <w:rFonts w:eastAsia="Calibri" w:cstheme="minorHAnsi"/>
        </w:rPr>
        <w:t xml:space="preserve"> </w:t>
      </w:r>
      <w:r w:rsidR="00034B55" w:rsidRPr="00D12904">
        <w:rPr>
          <w:rFonts w:eastAsia="Calibri" w:cstheme="minorHAnsi"/>
        </w:rPr>
        <w:t xml:space="preserve">reductions in sBA levels after </w:t>
      </w:r>
      <w:r w:rsidR="00101056" w:rsidRPr="00D12904">
        <w:rPr>
          <w:rFonts w:eastAsia="Calibri" w:cstheme="minorHAnsi"/>
        </w:rPr>
        <w:t>undergoing SBD was associated with prolonged native liver survival (i.e., time to liver transplant</w:t>
      </w:r>
      <w:r w:rsidR="00DD2965" w:rsidRPr="00D12904">
        <w:rPr>
          <w:rFonts w:eastAsia="Calibri" w:cstheme="minorHAnsi"/>
        </w:rPr>
        <w:t>ation</w:t>
      </w:r>
      <w:r w:rsidR="00E90BB3" w:rsidRPr="00D12904">
        <w:rPr>
          <w:rFonts w:eastAsia="Calibri" w:cstheme="minorHAnsi"/>
        </w:rPr>
        <w:t xml:space="preserve"> or death</w:t>
      </w:r>
      <w:r w:rsidR="00101056" w:rsidRPr="00D12904">
        <w:rPr>
          <w:rFonts w:eastAsia="Calibri" w:cstheme="minorHAnsi"/>
        </w:rPr>
        <w:t>) in PFIC</w:t>
      </w:r>
      <w:r w:rsidR="00793A0A" w:rsidRPr="00D12904">
        <w:rPr>
          <w:rFonts w:eastAsia="Calibri" w:cstheme="minorHAnsi"/>
        </w:rPr>
        <w:t>1</w:t>
      </w:r>
      <w:r w:rsidR="00101056" w:rsidRPr="00D12904">
        <w:rPr>
          <w:rFonts w:eastAsia="Calibri" w:cstheme="minorHAnsi"/>
        </w:rPr>
        <w:t xml:space="preserve"> and PFIC</w:t>
      </w:r>
      <w:r w:rsidR="00793A0A" w:rsidRPr="00D12904">
        <w:rPr>
          <w:rFonts w:eastAsia="Calibri" w:cstheme="minorHAnsi"/>
        </w:rPr>
        <w:t>2</w:t>
      </w:r>
      <w:r w:rsidR="00101056" w:rsidRPr="00D12904">
        <w:rPr>
          <w:rFonts w:eastAsia="Calibri" w:cstheme="minorHAnsi"/>
        </w:rPr>
        <w:t xml:space="preserve"> patients. </w:t>
      </w:r>
    </w:p>
    <w:p w14:paraId="2FCCBB4B" w14:textId="598C3CAF" w:rsidR="00E5561C" w:rsidRPr="00D12904" w:rsidRDefault="00E5561C" w:rsidP="005175DF">
      <w:pPr>
        <w:pStyle w:val="3-BodyText"/>
      </w:pPr>
      <w:bookmarkStart w:id="21" w:name="_Ref166205382"/>
      <w:r w:rsidRPr="00D12904">
        <w:rPr>
          <w:rFonts w:eastAsia="Calibri" w:cstheme="minorHAnsi"/>
        </w:rPr>
        <w:t>Types of SBD include partial external biliary diversion (PEBD), partial internal biliary diversion (PIBD), and ileal exclusion (IE)</w:t>
      </w:r>
      <w:r w:rsidR="006E1E4A" w:rsidRPr="00D12904">
        <w:rPr>
          <w:rFonts w:eastAsia="Calibri" w:cstheme="minorHAnsi"/>
        </w:rPr>
        <w:t xml:space="preserve">. </w:t>
      </w:r>
      <w:r w:rsidRPr="00D12904">
        <w:rPr>
          <w:rFonts w:eastAsia="Calibri" w:cstheme="minorHAnsi"/>
        </w:rPr>
        <w:t xml:space="preserve">PEBD is the most common and is recommended to delay or avoid LT. </w:t>
      </w:r>
      <w:r w:rsidR="00E25D57" w:rsidRPr="00D12904">
        <w:rPr>
          <w:rFonts w:eastAsia="Calibri" w:cstheme="minorHAnsi"/>
        </w:rPr>
        <w:t xml:space="preserve">However, PEBD is an invasive procedure and is associated with complications related to the external stoma (e.g., surgical revision), post-operative cholangitis, and dehydration and hyponatraemia. </w:t>
      </w:r>
      <w:r w:rsidR="008277EE" w:rsidRPr="00D12904">
        <w:rPr>
          <w:rFonts w:eastAsia="Calibri" w:cstheme="minorHAnsi"/>
        </w:rPr>
        <w:t xml:space="preserve">Noncomparative data is suggestive that PIBD and IE may be associated with better outcomes than PEBD (see paragraph </w:t>
      </w:r>
      <w:r w:rsidR="008277EE" w:rsidRPr="00D12904">
        <w:rPr>
          <w:rFonts w:eastAsia="Calibri" w:cstheme="minorHAnsi"/>
        </w:rPr>
        <w:fldChar w:fldCharType="begin"/>
      </w:r>
      <w:r w:rsidR="008277EE" w:rsidRPr="00D12904">
        <w:rPr>
          <w:rFonts w:eastAsia="Calibri" w:cstheme="minorHAnsi"/>
        </w:rPr>
        <w:instrText xml:space="preserve"> REF _Ref169170132 \r \h </w:instrText>
      </w:r>
      <w:r w:rsidR="00D12904">
        <w:rPr>
          <w:rFonts w:eastAsia="Calibri" w:cstheme="minorHAnsi"/>
        </w:rPr>
        <w:instrText xml:space="preserve"> \* MERGEFORMAT </w:instrText>
      </w:r>
      <w:r w:rsidR="008277EE" w:rsidRPr="00D12904">
        <w:rPr>
          <w:rFonts w:eastAsia="Calibri" w:cstheme="minorHAnsi"/>
        </w:rPr>
      </w:r>
      <w:r w:rsidR="008277EE" w:rsidRPr="00D12904">
        <w:rPr>
          <w:rFonts w:eastAsia="Calibri" w:cstheme="minorHAnsi"/>
        </w:rPr>
        <w:fldChar w:fldCharType="separate"/>
      </w:r>
      <w:r w:rsidR="008B4717">
        <w:rPr>
          <w:rFonts w:eastAsia="Calibri" w:cstheme="minorHAnsi"/>
        </w:rPr>
        <w:t>5.4</w:t>
      </w:r>
      <w:r w:rsidR="008277EE" w:rsidRPr="00D12904">
        <w:rPr>
          <w:rFonts w:eastAsia="Calibri" w:cstheme="minorHAnsi"/>
        </w:rPr>
        <w:fldChar w:fldCharType="end"/>
      </w:r>
      <w:r w:rsidR="008E6381" w:rsidRPr="00D12904">
        <w:rPr>
          <w:rFonts w:eastAsia="Calibri" w:cstheme="minorHAnsi"/>
        </w:rPr>
        <w:t>)</w:t>
      </w:r>
      <w:r w:rsidR="008277EE" w:rsidRPr="00D12904">
        <w:rPr>
          <w:rFonts w:eastAsia="Calibri" w:cstheme="minorHAnsi"/>
        </w:rPr>
        <w:t xml:space="preserve">. </w:t>
      </w:r>
      <w:r w:rsidR="004F059A" w:rsidRPr="00D12904">
        <w:t xml:space="preserve">Patients with advanced fibrosis, end-stage liver disease, or </w:t>
      </w:r>
      <w:r w:rsidR="004F059A" w:rsidRPr="00D12904">
        <w:lastRenderedPageBreak/>
        <w:t xml:space="preserve">refractory pruritus despite </w:t>
      </w:r>
      <w:r w:rsidR="008277EE" w:rsidRPr="00D12904">
        <w:t>SBD</w:t>
      </w:r>
      <w:r w:rsidR="004F059A" w:rsidRPr="00D12904">
        <w:t xml:space="preserve"> are indicated for LT</w:t>
      </w:r>
      <w:r w:rsidR="00A62876" w:rsidRPr="00D12904">
        <w:rPr>
          <w:rFonts w:eastAsia="Calibri" w:cstheme="minorHAnsi"/>
        </w:rPr>
        <w:t>.</w:t>
      </w:r>
      <w:r w:rsidR="00A62876" w:rsidRPr="00D12904">
        <w:rPr>
          <w:rStyle w:val="FootnoteReference"/>
        </w:rPr>
        <w:footnoteReference w:id="6"/>
      </w:r>
      <w:r w:rsidR="00B5656A" w:rsidRPr="00D12904">
        <w:rPr>
          <w:rFonts w:eastAsia="Calibri" w:cstheme="minorHAnsi"/>
          <w:vertAlign w:val="superscript"/>
        </w:rPr>
        <w:t xml:space="preserve"> </w:t>
      </w:r>
      <w:r w:rsidRPr="00D12904">
        <w:rPr>
          <w:rFonts w:eastAsia="Calibri" w:cstheme="minorHAnsi"/>
        </w:rPr>
        <w:t>The submission noted complications with LT</w:t>
      </w:r>
      <w:r w:rsidR="00663BE5" w:rsidRPr="00D12904">
        <w:rPr>
          <w:rFonts w:eastAsia="Calibri" w:cstheme="minorHAnsi"/>
        </w:rPr>
        <w:t xml:space="preserve"> such as</w:t>
      </w:r>
      <w:r w:rsidRPr="00D12904">
        <w:rPr>
          <w:rFonts w:eastAsia="Calibri" w:cstheme="minorHAnsi"/>
        </w:rPr>
        <w:t xml:space="preserve"> immunosuppression, extrahepatic complications, </w:t>
      </w:r>
      <w:r w:rsidR="00663BE5" w:rsidRPr="00D12904">
        <w:rPr>
          <w:rFonts w:eastAsia="Calibri" w:cstheme="minorHAnsi"/>
        </w:rPr>
        <w:t xml:space="preserve">and </w:t>
      </w:r>
      <w:r w:rsidRPr="00D12904">
        <w:rPr>
          <w:rFonts w:eastAsia="Calibri" w:cstheme="minorHAnsi"/>
        </w:rPr>
        <w:t xml:space="preserve">complications with surgery, </w:t>
      </w:r>
      <w:r w:rsidR="006E1E4A" w:rsidRPr="00D12904">
        <w:rPr>
          <w:rFonts w:eastAsia="Calibri" w:cstheme="minorHAnsi"/>
        </w:rPr>
        <w:t>al</w:t>
      </w:r>
      <w:r w:rsidRPr="00D12904">
        <w:rPr>
          <w:rFonts w:eastAsia="Calibri" w:cstheme="minorHAnsi"/>
        </w:rPr>
        <w:t xml:space="preserve">though </w:t>
      </w:r>
      <w:r w:rsidR="00F66F22" w:rsidRPr="00D12904">
        <w:rPr>
          <w:rFonts w:eastAsia="Calibri" w:cstheme="minorHAnsi"/>
        </w:rPr>
        <w:t xml:space="preserve">observed </w:t>
      </w:r>
      <w:r w:rsidRPr="00D12904">
        <w:rPr>
          <w:rFonts w:eastAsia="Calibri" w:cstheme="minorHAnsi"/>
        </w:rPr>
        <w:t xml:space="preserve">post-LT survival </w:t>
      </w:r>
      <w:r w:rsidR="00580674" w:rsidRPr="00D12904">
        <w:rPr>
          <w:rFonts w:eastAsia="Calibri" w:cstheme="minorHAnsi"/>
        </w:rPr>
        <w:t xml:space="preserve">is </w:t>
      </w:r>
      <w:r w:rsidRPr="00D12904">
        <w:rPr>
          <w:rFonts w:eastAsia="Calibri" w:cstheme="minorHAnsi"/>
        </w:rPr>
        <w:t>high</w:t>
      </w:r>
      <w:r w:rsidR="007844A5" w:rsidRPr="00D12904">
        <w:rPr>
          <w:rFonts w:eastAsia="Calibri" w:cstheme="minorHAnsi"/>
        </w:rPr>
        <w:t>.</w:t>
      </w:r>
      <w:r w:rsidRPr="00D12904">
        <w:rPr>
          <w:rFonts w:eastAsia="Calibri" w:cstheme="minorHAnsi"/>
        </w:rPr>
        <w:t xml:space="preserve"> </w:t>
      </w:r>
      <w:r w:rsidR="0029095F" w:rsidRPr="00D12904">
        <w:rPr>
          <w:rFonts w:eastAsia="Calibri" w:cstheme="minorHAnsi"/>
        </w:rPr>
        <w:t>The</w:t>
      </w:r>
      <w:r w:rsidR="00AD3092" w:rsidRPr="00D12904">
        <w:rPr>
          <w:rFonts w:eastAsia="Calibri" w:cstheme="minorHAnsi"/>
        </w:rPr>
        <w:t xml:space="preserve"> 5-year </w:t>
      </w:r>
      <w:r w:rsidR="0029095F" w:rsidRPr="00D12904">
        <w:rPr>
          <w:rFonts w:eastAsia="Calibri" w:cstheme="minorHAnsi"/>
        </w:rPr>
        <w:t xml:space="preserve">post-LT </w:t>
      </w:r>
      <w:r w:rsidR="00AD3092" w:rsidRPr="00D12904">
        <w:rPr>
          <w:rFonts w:eastAsia="Calibri" w:cstheme="minorHAnsi"/>
        </w:rPr>
        <w:t>overall survival in patients with PFIC1 to PFIC4 was reported to be 98.5% over a median follow up of 80 months</w:t>
      </w:r>
      <w:r w:rsidR="00143118" w:rsidRPr="00D12904">
        <w:rPr>
          <w:rFonts w:eastAsia="Calibri" w:cstheme="minorHAnsi"/>
        </w:rPr>
        <w:t>,</w:t>
      </w:r>
      <w:r w:rsidR="00AD3092" w:rsidRPr="00D12904">
        <w:rPr>
          <w:rFonts w:eastAsia="Calibri" w:cstheme="minorHAnsi"/>
        </w:rPr>
        <w:t xml:space="preserve"> according </w:t>
      </w:r>
      <w:r w:rsidR="00281F0C" w:rsidRPr="00D12904">
        <w:rPr>
          <w:rFonts w:eastAsia="Calibri" w:cstheme="minorHAnsi"/>
        </w:rPr>
        <w:t xml:space="preserve">to </w:t>
      </w:r>
      <w:r w:rsidR="00AD3092" w:rsidRPr="00D12904">
        <w:rPr>
          <w:rFonts w:eastAsia="Calibri" w:cstheme="minorHAnsi"/>
        </w:rPr>
        <w:t>a recent meta-analysis</w:t>
      </w:r>
      <w:r w:rsidR="0023611D" w:rsidRPr="00D12904">
        <w:rPr>
          <w:rFonts w:eastAsia="Calibri" w:cstheme="minorHAnsi"/>
        </w:rPr>
        <w:t xml:space="preserve"> (</w:t>
      </w:r>
      <w:r w:rsidRPr="00D12904">
        <w:rPr>
          <w:rFonts w:eastAsia="Calibri" w:cstheme="minorHAnsi"/>
        </w:rPr>
        <w:t>Kavallar 2023</w:t>
      </w:r>
      <w:r w:rsidR="007844A5" w:rsidRPr="00D12904">
        <w:rPr>
          <w:rStyle w:val="FootnoteReference"/>
        </w:rPr>
        <w:footnoteReference w:id="7"/>
      </w:r>
      <w:r w:rsidR="0023611D" w:rsidRPr="00D12904">
        <w:rPr>
          <w:rFonts w:eastAsia="Calibri" w:cstheme="minorHAnsi"/>
        </w:rPr>
        <w:t>)</w:t>
      </w:r>
      <w:bookmarkEnd w:id="20"/>
      <w:bookmarkEnd w:id="21"/>
      <w:r w:rsidR="00064E90" w:rsidRPr="00D12904">
        <w:rPr>
          <w:rFonts w:eastAsia="Calibri" w:cstheme="minorHAnsi"/>
        </w:rPr>
        <w:t>.</w:t>
      </w:r>
      <w:r w:rsidR="005C7C41" w:rsidRPr="00D12904">
        <w:rPr>
          <w:rFonts w:eastAsia="Calibri" w:cstheme="minorHAnsi"/>
        </w:rPr>
        <w:t xml:space="preserve"> </w:t>
      </w:r>
    </w:p>
    <w:p w14:paraId="0625C973" w14:textId="47416E7C" w:rsidR="00CB47FC" w:rsidRDefault="001132C1" w:rsidP="00D04A83">
      <w:pPr>
        <w:pStyle w:val="3-BodyText"/>
      </w:pPr>
      <w:bookmarkStart w:id="22" w:name="_Ref166207103"/>
      <w:bookmarkStart w:id="23" w:name="_Hlk166168151"/>
      <w:r w:rsidRPr="00D12904">
        <w:t xml:space="preserve">The natural history of PFIC patients (primarily PFIC1 and PFIC2) has been investigated in a large, multi-centre, retrospective database, referred to as </w:t>
      </w:r>
      <w:r w:rsidR="00B33FBD" w:rsidRPr="00D12904">
        <w:t xml:space="preserve">NAPPED </w:t>
      </w:r>
      <w:r w:rsidR="00667747" w:rsidRPr="00D12904">
        <w:t xml:space="preserve">(Natural course and Prognosis of PFIC and Effect of biliary Diversion; </w:t>
      </w:r>
      <w:r w:rsidR="00B33FBD" w:rsidRPr="00D12904">
        <w:t>N=590)</w:t>
      </w:r>
      <w:r w:rsidR="00B33FBD" w:rsidRPr="00D12904">
        <w:rPr>
          <w:snapToGrid/>
        </w:rPr>
        <w:t xml:space="preserve">. </w:t>
      </w:r>
      <w:r w:rsidR="00EB3612" w:rsidRPr="00D12904">
        <w:t xml:space="preserve">From the NAPPED </w:t>
      </w:r>
      <w:r w:rsidR="00B33FBD" w:rsidRPr="00D12904">
        <w:t>data</w:t>
      </w:r>
      <w:r w:rsidR="00EB3612" w:rsidRPr="00D12904">
        <w:t xml:space="preserve">, </w:t>
      </w:r>
      <w:r w:rsidR="002D0852" w:rsidRPr="00D12904">
        <w:t xml:space="preserve">approximately 70% of PFIC1 and PFIC2 patients underwent </w:t>
      </w:r>
      <w:r w:rsidR="008277EE" w:rsidRPr="00D12904">
        <w:t>SBD</w:t>
      </w:r>
      <w:r w:rsidR="002D0852" w:rsidRPr="00D12904">
        <w:t xml:space="preserve"> by age </w:t>
      </w:r>
      <w:r w:rsidR="00EA28B4" w:rsidRPr="00D12904">
        <w:t>18</w:t>
      </w:r>
      <w:r w:rsidR="00EA28B4">
        <w:t> </w:t>
      </w:r>
      <w:r w:rsidR="002D0852" w:rsidRPr="00D12904">
        <w:t>years</w:t>
      </w:r>
      <w:r w:rsidR="0004565F" w:rsidRPr="00D12904">
        <w:t>.</w:t>
      </w:r>
      <w:r w:rsidR="002D0852">
        <w:t xml:space="preserve"> </w:t>
      </w:r>
      <w:r w:rsidR="0004565F">
        <w:t xml:space="preserve">Surgeries </w:t>
      </w:r>
      <w:r w:rsidR="00104991">
        <w:t>were</w:t>
      </w:r>
      <w:r w:rsidR="00EB3612">
        <w:t xml:space="preserve"> </w:t>
      </w:r>
      <w:r w:rsidR="0004565F">
        <w:t xml:space="preserve">most </w:t>
      </w:r>
      <w:r w:rsidR="00EB3612">
        <w:t>commonly performed</w:t>
      </w:r>
      <w:r w:rsidR="00594EB5">
        <w:t xml:space="preserve"> at a younger age</w:t>
      </w:r>
      <w:r w:rsidR="00EB3612">
        <w:t xml:space="preserve"> (</w:t>
      </w:r>
      <w:r w:rsidR="00DF3971">
        <w:t xml:space="preserve">see </w:t>
      </w:r>
      <w:r w:rsidR="00EB3612" w:rsidRPr="00EB3612">
        <w:fldChar w:fldCharType="begin"/>
      </w:r>
      <w:r w:rsidR="00EB3612" w:rsidRPr="00EB3612">
        <w:instrText xml:space="preserve"> REF _Ref165891197 \h  \* MERGEFORMAT </w:instrText>
      </w:r>
      <w:r w:rsidR="00EB3612" w:rsidRPr="00EB3612">
        <w:fldChar w:fldCharType="separate"/>
      </w:r>
      <w:r w:rsidR="008B4717">
        <w:t xml:space="preserve">Figure </w:t>
      </w:r>
      <w:r w:rsidR="008B4717">
        <w:rPr>
          <w:noProof/>
        </w:rPr>
        <w:t>1</w:t>
      </w:r>
      <w:r w:rsidR="00EB3612" w:rsidRPr="00EB3612">
        <w:fldChar w:fldCharType="end"/>
      </w:r>
      <w:r w:rsidR="00EB3612" w:rsidRPr="00EB3612">
        <w:t xml:space="preserve"> and </w:t>
      </w:r>
      <w:r w:rsidR="00EB3612" w:rsidRPr="00EB3612">
        <w:fldChar w:fldCharType="begin"/>
      </w:r>
      <w:r w:rsidR="00EB3612" w:rsidRPr="00EB3612">
        <w:instrText xml:space="preserve"> REF _Ref165891198 \h  \* MERGEFORMAT </w:instrText>
      </w:r>
      <w:r w:rsidR="00EB3612" w:rsidRPr="00EB3612">
        <w:fldChar w:fldCharType="separate"/>
      </w:r>
      <w:r w:rsidR="008B4717" w:rsidRPr="00D33C2C">
        <w:t xml:space="preserve">Figure </w:t>
      </w:r>
      <w:r w:rsidR="008B4717">
        <w:rPr>
          <w:noProof/>
        </w:rPr>
        <w:t>2</w:t>
      </w:r>
      <w:r w:rsidR="00EB3612" w:rsidRPr="00EB3612">
        <w:fldChar w:fldCharType="end"/>
      </w:r>
      <w:r w:rsidR="00EB3612">
        <w:t xml:space="preserve">). </w:t>
      </w:r>
      <w:r w:rsidR="0035337A">
        <w:t>A greater proportion of p</w:t>
      </w:r>
      <w:r w:rsidR="00CB47FC" w:rsidRPr="00D33C2C">
        <w:t xml:space="preserve">atients with </w:t>
      </w:r>
      <w:r w:rsidR="00EB3612">
        <w:t xml:space="preserve">the PFIC2 </w:t>
      </w:r>
      <w:r w:rsidR="00CB47FC" w:rsidRPr="00DF78DB">
        <w:rPr>
          <w:i/>
          <w:iCs/>
        </w:rPr>
        <w:t>BSEP1</w:t>
      </w:r>
      <w:r w:rsidR="00CB47FC" w:rsidRPr="00D33C2C">
        <w:t xml:space="preserve"> </w:t>
      </w:r>
      <w:r w:rsidR="00EB3612">
        <w:t xml:space="preserve">subtype </w:t>
      </w:r>
      <w:r w:rsidR="0035337A">
        <w:t xml:space="preserve">underwent </w:t>
      </w:r>
      <w:r w:rsidR="00CB47FC" w:rsidRPr="00D33C2C">
        <w:t xml:space="preserve">SBD compared to </w:t>
      </w:r>
      <w:r w:rsidR="00CB47FC" w:rsidRPr="00DF78DB">
        <w:rPr>
          <w:i/>
          <w:iCs/>
        </w:rPr>
        <w:t xml:space="preserve">BSEP2 </w:t>
      </w:r>
      <w:r w:rsidR="00CB47FC" w:rsidRPr="00D33C2C">
        <w:t xml:space="preserve">and </w:t>
      </w:r>
      <w:r w:rsidR="00CB47FC" w:rsidRPr="00DF78DB">
        <w:rPr>
          <w:i/>
          <w:iCs/>
        </w:rPr>
        <w:t>BSEP3</w:t>
      </w:r>
      <w:r w:rsidR="00104991">
        <w:t xml:space="preserve">. </w:t>
      </w:r>
      <w:r w:rsidR="00331E2C">
        <w:t xml:space="preserve">This had implications on the submission’s indirect </w:t>
      </w:r>
      <w:r w:rsidR="00663BE5">
        <w:t xml:space="preserve">treatment </w:t>
      </w:r>
      <w:r w:rsidR="00331E2C">
        <w:t xml:space="preserve">comparison (see paragraphs </w:t>
      </w:r>
      <w:r w:rsidR="00990630">
        <w:fldChar w:fldCharType="begin"/>
      </w:r>
      <w:r w:rsidR="00990630">
        <w:instrText xml:space="preserve"> REF _Ref166073355 \r \h </w:instrText>
      </w:r>
      <w:r w:rsidR="00990630">
        <w:fldChar w:fldCharType="separate"/>
      </w:r>
      <w:r w:rsidR="008B4717">
        <w:t>6.14</w:t>
      </w:r>
      <w:r w:rsidR="00990630">
        <w:fldChar w:fldCharType="end"/>
      </w:r>
      <w:r w:rsidR="00990630">
        <w:t xml:space="preserve"> </w:t>
      </w:r>
      <w:r w:rsidR="00331E2C">
        <w:t xml:space="preserve">and </w:t>
      </w:r>
      <w:r w:rsidR="00990630">
        <w:fldChar w:fldCharType="begin"/>
      </w:r>
      <w:r w:rsidR="00990630">
        <w:instrText xml:space="preserve"> REF _Ref166073356 \r \h </w:instrText>
      </w:r>
      <w:r w:rsidR="00990630">
        <w:fldChar w:fldCharType="separate"/>
      </w:r>
      <w:r w:rsidR="008B4717">
        <w:t>6.15</w:t>
      </w:r>
      <w:r w:rsidR="00990630">
        <w:fldChar w:fldCharType="end"/>
      </w:r>
      <w:r w:rsidR="00331E2C">
        <w:t>).</w:t>
      </w:r>
      <w:bookmarkEnd w:id="22"/>
      <w:r w:rsidR="00331E2C">
        <w:t xml:space="preserve"> </w:t>
      </w:r>
    </w:p>
    <w:p w14:paraId="6658AA27" w14:textId="05F011C8" w:rsidR="008277EE" w:rsidRPr="00D33C2C" w:rsidRDefault="008277EE" w:rsidP="008277EE">
      <w:pPr>
        <w:pStyle w:val="TableFigureHeading"/>
      </w:pPr>
      <w:bookmarkStart w:id="24" w:name="_Ref165891197"/>
      <w:r>
        <w:t xml:space="preserve">Figure </w:t>
      </w:r>
      <w:r w:rsidR="00DF1200">
        <w:fldChar w:fldCharType="begin"/>
      </w:r>
      <w:r w:rsidR="00DF1200">
        <w:instrText xml:space="preserve"> SEQ Figure \* ARABIC </w:instrText>
      </w:r>
      <w:r w:rsidR="00DF1200">
        <w:fldChar w:fldCharType="separate"/>
      </w:r>
      <w:r w:rsidR="008B4717">
        <w:rPr>
          <w:noProof/>
        </w:rPr>
        <w:t>1</w:t>
      </w:r>
      <w:r w:rsidR="00DF1200">
        <w:rPr>
          <w:noProof/>
        </w:rPr>
        <w:fldChar w:fldCharType="end"/>
      </w:r>
      <w:bookmarkEnd w:id="24"/>
      <w:r>
        <w:t>: Surgical biliary diversion</w:t>
      </w:r>
      <w:r w:rsidRPr="00D33C2C">
        <w:t xml:space="preserve"> rates by age in PFIC1</w:t>
      </w:r>
    </w:p>
    <w:bookmarkEnd w:id="23"/>
    <w:p w14:paraId="1C53CA1E" w14:textId="128286C5" w:rsidR="00CB47FC" w:rsidRDefault="00DF291B" w:rsidP="008E7567">
      <w:pPr>
        <w:pStyle w:val="3-BodyText"/>
        <w:keepNext/>
        <w:keepLines/>
        <w:numPr>
          <w:ilvl w:val="0"/>
          <w:numId w:val="0"/>
        </w:numPr>
        <w:spacing w:after="0"/>
      </w:pPr>
      <w:r w:rsidRPr="00DF291B">
        <w:rPr>
          <w:noProof/>
        </w:rPr>
        <w:drawing>
          <wp:inline distT="0" distB="0" distL="0" distR="0" wp14:anchorId="6E232A67" wp14:editId="798AB534">
            <wp:extent cx="3422015" cy="1998933"/>
            <wp:effectExtent l="0" t="0" r="6985" b="1905"/>
            <wp:docPr id="992556099" name="Picture 1" descr="Figure 1: Surgical biliary diversion rates by age in PF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556099" name="Picture 1" descr="Figure 1: Surgical biliary diversion rates by age in PFIC1"/>
                    <pic:cNvPicPr/>
                  </pic:nvPicPr>
                  <pic:blipFill>
                    <a:blip r:embed="rId8"/>
                    <a:stretch>
                      <a:fillRect/>
                    </a:stretch>
                  </pic:blipFill>
                  <pic:spPr>
                    <a:xfrm>
                      <a:off x="0" y="0"/>
                      <a:ext cx="3439081" cy="2008902"/>
                    </a:xfrm>
                    <a:prstGeom prst="rect">
                      <a:avLst/>
                    </a:prstGeom>
                  </pic:spPr>
                </pic:pic>
              </a:graphicData>
            </a:graphic>
          </wp:inline>
        </w:drawing>
      </w:r>
    </w:p>
    <w:p w14:paraId="50C874FB" w14:textId="2DAB5F67" w:rsidR="00CB47FC" w:rsidRDefault="00CB47FC" w:rsidP="008277EE">
      <w:pPr>
        <w:pStyle w:val="TableFigureFooter"/>
        <w:keepNext/>
        <w:keepLines/>
      </w:pPr>
      <w:r w:rsidRPr="00D33C2C">
        <w:t xml:space="preserve">Source: Figure </w:t>
      </w:r>
      <w:r w:rsidR="00DF291B">
        <w:t>2, p7 van Wessel 2021</w:t>
      </w:r>
    </w:p>
    <w:p w14:paraId="353CAC2F" w14:textId="07981505" w:rsidR="00CB47FC" w:rsidRDefault="00CB47FC" w:rsidP="00EA28B4">
      <w:pPr>
        <w:pStyle w:val="TableFigureFooter"/>
        <w:contextualSpacing w:val="0"/>
      </w:pPr>
      <w:r w:rsidRPr="00D33C2C">
        <w:t>PFIC = progressive familial intrahepatic cholestasis</w:t>
      </w:r>
    </w:p>
    <w:p w14:paraId="20703429" w14:textId="5EA1FAF6" w:rsidR="008277EE" w:rsidRPr="00D33C2C" w:rsidRDefault="008277EE" w:rsidP="001E3DED">
      <w:pPr>
        <w:pStyle w:val="TableFigureHeading"/>
        <w:jc w:val="both"/>
      </w:pPr>
      <w:bookmarkStart w:id="25" w:name="_Ref165891198"/>
      <w:r w:rsidRPr="00D33C2C">
        <w:lastRenderedPageBreak/>
        <w:t xml:space="preserve">Figure </w:t>
      </w:r>
      <w:r w:rsidR="00DF1200">
        <w:fldChar w:fldCharType="begin"/>
      </w:r>
      <w:r w:rsidR="00DF1200">
        <w:instrText xml:space="preserve"> SEQ Figure \* ARABIC </w:instrText>
      </w:r>
      <w:r w:rsidR="00DF1200">
        <w:fldChar w:fldCharType="separate"/>
      </w:r>
      <w:r w:rsidR="008B4717">
        <w:rPr>
          <w:noProof/>
        </w:rPr>
        <w:t>2</w:t>
      </w:r>
      <w:r w:rsidR="00DF1200">
        <w:rPr>
          <w:noProof/>
        </w:rPr>
        <w:fldChar w:fldCharType="end"/>
      </w:r>
      <w:bookmarkEnd w:id="25"/>
      <w:r w:rsidRPr="00D33C2C">
        <w:t xml:space="preserve">: Surgical biliary diversion rates by age </w:t>
      </w:r>
      <w:r>
        <w:t xml:space="preserve">and BSEP subtype </w:t>
      </w:r>
      <w:r w:rsidRPr="00D33C2C">
        <w:t>in PFIC2</w:t>
      </w:r>
    </w:p>
    <w:p w14:paraId="4D546B8C" w14:textId="77777777" w:rsidR="00CB47FC" w:rsidRPr="00D33C2C" w:rsidRDefault="00CB47FC" w:rsidP="001E3DED">
      <w:pPr>
        <w:pStyle w:val="3-BodyText"/>
        <w:keepNext/>
        <w:numPr>
          <w:ilvl w:val="0"/>
          <w:numId w:val="0"/>
        </w:numPr>
        <w:spacing w:after="0"/>
        <w:rPr>
          <w:i/>
          <w:iCs/>
        </w:rPr>
      </w:pPr>
      <w:r w:rsidRPr="00D33C2C">
        <w:rPr>
          <w:i/>
          <w:iCs/>
          <w:noProof/>
        </w:rPr>
        <w:drawing>
          <wp:inline distT="0" distB="0" distL="0" distR="0" wp14:anchorId="36438A8D" wp14:editId="2ABC2838">
            <wp:extent cx="3494638" cy="2588346"/>
            <wp:effectExtent l="0" t="0" r="0" b="2540"/>
            <wp:docPr id="1165525211" name="Picture 2" descr="Figure 2: Surgical biliary diversion rates by age and BSEP subtype in PF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525211" name="Picture 2" descr="Figure 2: Surgical biliary diversion rates by age and BSEP subtype in PFIC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7164" cy="2605030"/>
                    </a:xfrm>
                    <a:prstGeom prst="rect">
                      <a:avLst/>
                    </a:prstGeom>
                    <a:noFill/>
                  </pic:spPr>
                </pic:pic>
              </a:graphicData>
            </a:graphic>
          </wp:inline>
        </w:drawing>
      </w:r>
    </w:p>
    <w:p w14:paraId="5AD4AFD6" w14:textId="77777777" w:rsidR="00CB47FC" w:rsidRPr="00D33C2C" w:rsidRDefault="00CB47FC" w:rsidP="001E3DED">
      <w:pPr>
        <w:pStyle w:val="TableFigureFooter"/>
        <w:keepNext/>
      </w:pPr>
      <w:r w:rsidRPr="00D33C2C">
        <w:t>Source: Figure 3-9, section 3.4.2.1, p148 of the submission</w:t>
      </w:r>
    </w:p>
    <w:p w14:paraId="2C6A8EEB" w14:textId="30130945" w:rsidR="00CB47FC" w:rsidRDefault="00CB47FC" w:rsidP="00426875">
      <w:pPr>
        <w:pStyle w:val="TableFigureFooter"/>
        <w:contextualSpacing w:val="0"/>
      </w:pPr>
      <w:r w:rsidRPr="00D33C2C">
        <w:t>BSEP = bile sale exporter pump</w:t>
      </w:r>
      <w:r w:rsidR="00DE7B08">
        <w:t xml:space="preserve">; </w:t>
      </w:r>
      <w:r w:rsidR="00DE7B08" w:rsidRPr="00D33C2C">
        <w:t>PFIC = progressive familial intrahepatic cholestasis</w:t>
      </w:r>
    </w:p>
    <w:p w14:paraId="7C1961E8" w14:textId="323C8817" w:rsidR="00A72CAC" w:rsidRDefault="00E5561C" w:rsidP="00E5561C">
      <w:pPr>
        <w:pStyle w:val="3-BodyText"/>
      </w:pPr>
      <w:r w:rsidRPr="00D33C2C">
        <w:t xml:space="preserve">Odevixibat is an ileal bile acid transport (IBAT) inhibitor that binds to IBAT at the distal ileum and decreases reabsorption of </w:t>
      </w:r>
      <w:r w:rsidR="00130164">
        <w:t>bile acid</w:t>
      </w:r>
      <w:r w:rsidR="00130164" w:rsidRPr="00D33C2C">
        <w:t xml:space="preserve"> </w:t>
      </w:r>
      <w:r w:rsidRPr="00D33C2C">
        <w:t>from the small intestine to the liver</w:t>
      </w:r>
      <w:r w:rsidR="006E1E4A">
        <w:t>,</w:t>
      </w:r>
      <w:r w:rsidRPr="00D33C2C">
        <w:t xml:space="preserve"> thereby reducing sBA levels. The submission claims that odevixibat will replace the need for PEBD and delay </w:t>
      </w:r>
      <w:r w:rsidR="006E1E4A">
        <w:t xml:space="preserve">time to </w:t>
      </w:r>
      <w:r w:rsidRPr="00D33C2C">
        <w:t>or avoid LT</w:t>
      </w:r>
      <w:r w:rsidR="00530D99">
        <w:t xml:space="preserve"> – see </w:t>
      </w:r>
      <w:r w:rsidR="001825BF" w:rsidRPr="001825BF">
        <w:rPr>
          <w:rFonts w:cstheme="minorHAnsi"/>
        </w:rPr>
        <w:fldChar w:fldCharType="begin"/>
      </w:r>
      <w:r w:rsidR="001825BF" w:rsidRPr="001825BF">
        <w:rPr>
          <w:rFonts w:cstheme="minorHAnsi"/>
        </w:rPr>
        <w:instrText xml:space="preserve"> REF _Ref169509230 \h  \* MERGEFORMAT </w:instrText>
      </w:r>
      <w:r w:rsidR="001825BF" w:rsidRPr="001825BF">
        <w:rPr>
          <w:rFonts w:cstheme="minorHAnsi"/>
        </w:rPr>
      </w:r>
      <w:r w:rsidR="001825BF" w:rsidRPr="001825BF">
        <w:rPr>
          <w:rFonts w:cstheme="minorHAnsi"/>
        </w:rPr>
        <w:fldChar w:fldCharType="separate"/>
      </w:r>
      <w:r w:rsidR="008B4717" w:rsidRPr="008B4717">
        <w:rPr>
          <w:rFonts w:cstheme="minorHAnsi"/>
        </w:rPr>
        <w:t xml:space="preserve">Figure </w:t>
      </w:r>
      <w:r w:rsidR="008B4717" w:rsidRPr="008B4717">
        <w:rPr>
          <w:rFonts w:cstheme="minorHAnsi"/>
          <w:noProof/>
        </w:rPr>
        <w:t>3</w:t>
      </w:r>
      <w:r w:rsidR="001825BF" w:rsidRPr="001825BF">
        <w:rPr>
          <w:rFonts w:cstheme="minorHAnsi"/>
        </w:rPr>
        <w:fldChar w:fldCharType="end"/>
      </w:r>
      <w:r w:rsidRPr="00D33C2C">
        <w:t xml:space="preserve">. </w:t>
      </w:r>
    </w:p>
    <w:p w14:paraId="2EEB11ED" w14:textId="18EE62B1" w:rsidR="00530D99" w:rsidRPr="00D33C2C" w:rsidRDefault="001825BF" w:rsidP="001E3DED">
      <w:pPr>
        <w:pStyle w:val="Caption"/>
        <w:keepNext/>
        <w:keepLines/>
        <w:spacing w:after="0"/>
        <w:jc w:val="left"/>
      </w:pPr>
      <w:bookmarkStart w:id="26" w:name="_Ref169509230"/>
      <w:r w:rsidRPr="001825BF">
        <w:rPr>
          <w:rFonts w:ascii="Arial Narrow" w:hAnsi="Arial Narrow"/>
          <w:color w:val="auto"/>
          <w:sz w:val="20"/>
          <w:szCs w:val="20"/>
        </w:rPr>
        <w:t xml:space="preserve">Figure </w:t>
      </w:r>
      <w:r w:rsidRPr="001825BF">
        <w:rPr>
          <w:rFonts w:ascii="Arial Narrow" w:hAnsi="Arial Narrow"/>
          <w:color w:val="auto"/>
          <w:sz w:val="20"/>
          <w:szCs w:val="20"/>
        </w:rPr>
        <w:fldChar w:fldCharType="begin"/>
      </w:r>
      <w:r w:rsidRPr="001825BF">
        <w:rPr>
          <w:rFonts w:ascii="Arial Narrow" w:hAnsi="Arial Narrow"/>
          <w:color w:val="auto"/>
          <w:sz w:val="20"/>
          <w:szCs w:val="20"/>
        </w:rPr>
        <w:instrText xml:space="preserve"> SEQ Figure \* ARABIC </w:instrText>
      </w:r>
      <w:r w:rsidRPr="001825BF">
        <w:rPr>
          <w:rFonts w:ascii="Arial Narrow" w:hAnsi="Arial Narrow"/>
          <w:color w:val="auto"/>
          <w:sz w:val="20"/>
          <w:szCs w:val="20"/>
        </w:rPr>
        <w:fldChar w:fldCharType="separate"/>
      </w:r>
      <w:r w:rsidR="008B4717">
        <w:rPr>
          <w:rFonts w:ascii="Arial Narrow" w:hAnsi="Arial Narrow"/>
          <w:noProof/>
          <w:color w:val="auto"/>
          <w:sz w:val="20"/>
          <w:szCs w:val="20"/>
        </w:rPr>
        <w:t>3</w:t>
      </w:r>
      <w:r w:rsidRPr="001825BF">
        <w:rPr>
          <w:rFonts w:ascii="Arial Narrow" w:hAnsi="Arial Narrow"/>
          <w:color w:val="auto"/>
          <w:sz w:val="20"/>
          <w:szCs w:val="20"/>
        </w:rPr>
        <w:fldChar w:fldCharType="end"/>
      </w:r>
      <w:bookmarkEnd w:id="26"/>
      <w:r w:rsidRPr="001825BF">
        <w:rPr>
          <w:rFonts w:ascii="Arial Narrow" w:hAnsi="Arial Narrow"/>
          <w:color w:val="auto"/>
          <w:sz w:val="20"/>
          <w:szCs w:val="20"/>
        </w:rPr>
        <w:t xml:space="preserve">: </w:t>
      </w:r>
      <w:r w:rsidR="00530D99" w:rsidRPr="001825BF">
        <w:rPr>
          <w:rFonts w:ascii="Arial Narrow" w:hAnsi="Arial Narrow"/>
          <w:color w:val="auto"/>
          <w:sz w:val="20"/>
          <w:szCs w:val="20"/>
        </w:rPr>
        <w:t>Proposed clinical management algorithm</w:t>
      </w:r>
      <w:r w:rsidR="00530D99" w:rsidRPr="00D33C2C">
        <w:rPr>
          <w:noProof/>
        </w:rPr>
        <w:drawing>
          <wp:inline distT="0" distB="0" distL="0" distR="0" wp14:anchorId="2C55D5BF" wp14:editId="61D94CDC">
            <wp:extent cx="5010912" cy="3301416"/>
            <wp:effectExtent l="0" t="0" r="0" b="0"/>
            <wp:docPr id="30979777" name="Picture 30979777" descr="Figure 3: 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9777" name="Picture 30979777" descr="Figure 3: Proposed clinical management algorithm"/>
                    <pic:cNvPicPr/>
                  </pic:nvPicPr>
                  <pic:blipFill>
                    <a:blip r:embed="rId10"/>
                    <a:stretch>
                      <a:fillRect/>
                    </a:stretch>
                  </pic:blipFill>
                  <pic:spPr>
                    <a:xfrm>
                      <a:off x="0" y="0"/>
                      <a:ext cx="5024891" cy="3310626"/>
                    </a:xfrm>
                    <a:prstGeom prst="rect">
                      <a:avLst/>
                    </a:prstGeom>
                  </pic:spPr>
                </pic:pic>
              </a:graphicData>
            </a:graphic>
          </wp:inline>
        </w:drawing>
      </w:r>
    </w:p>
    <w:p w14:paraId="37AB8D85" w14:textId="77777777" w:rsidR="00530D99" w:rsidRPr="00D33C2C" w:rsidRDefault="00530D99" w:rsidP="001E3DED">
      <w:pPr>
        <w:pStyle w:val="TableFigureFooter"/>
        <w:keepNext/>
        <w:keepLines/>
      </w:pPr>
      <w:r w:rsidRPr="00D33C2C">
        <w:t>Source: Figure 1-6, p43 of the submission</w:t>
      </w:r>
    </w:p>
    <w:p w14:paraId="70618F04" w14:textId="77777777" w:rsidR="00DE7B08" w:rsidRDefault="00530D99" w:rsidP="001E3DED">
      <w:pPr>
        <w:pStyle w:val="TableFigureFooter"/>
        <w:keepNext/>
        <w:keepLines/>
      </w:pPr>
      <w:r w:rsidRPr="00D33C2C">
        <w:t xml:space="preserve">SBD = surgical bile diversion; UDCA = ursodeoxycholic acid. </w:t>
      </w:r>
    </w:p>
    <w:p w14:paraId="4B60F89D" w14:textId="656F0D63" w:rsidR="00530D99" w:rsidRPr="00D33C2C" w:rsidRDefault="00530D99" w:rsidP="001E3DED">
      <w:pPr>
        <w:pStyle w:val="TableFigureFooter"/>
        <w:keepNext/>
        <w:keepLines/>
      </w:pPr>
      <w:r w:rsidRPr="00D33C2C">
        <w:t>SBD is most commonly a partial external biliary diversion (PEBD)</w:t>
      </w:r>
    </w:p>
    <w:p w14:paraId="611568CB" w14:textId="45D8C806" w:rsidR="00530D99" w:rsidRDefault="00530D99" w:rsidP="00530D99">
      <w:pPr>
        <w:pStyle w:val="TableFigureFooter"/>
        <w:contextualSpacing w:val="0"/>
      </w:pPr>
      <w:r w:rsidRPr="00D33C2C">
        <w:t>* More frequent in PFIC1</w:t>
      </w:r>
    </w:p>
    <w:p w14:paraId="5327DC10" w14:textId="336AF0BA" w:rsidR="002B226B" w:rsidRPr="00446A51" w:rsidRDefault="00B847FF" w:rsidP="00986D6E">
      <w:pPr>
        <w:pStyle w:val="3-BodyText"/>
      </w:pPr>
      <w:bookmarkStart w:id="27" w:name="_Ref166154381"/>
      <w:r w:rsidRPr="00446A51">
        <w:lastRenderedPageBreak/>
        <w:t xml:space="preserve">The positioning of odevixibat </w:t>
      </w:r>
      <w:r w:rsidR="00530D99">
        <w:t xml:space="preserve">as an alternative to SBD in the proposed clinical algorithm (and the economic model and financial estimates) </w:t>
      </w:r>
      <w:r w:rsidR="008277EE">
        <w:t xml:space="preserve">did </w:t>
      </w:r>
      <w:r w:rsidR="00530D99">
        <w:t xml:space="preserve">not align with the </w:t>
      </w:r>
      <w:r w:rsidRPr="00446A51">
        <w:t xml:space="preserve">requested restriction. Although the clinical management algorithm proposed that odevixibat will replace the need for </w:t>
      </w:r>
      <w:r w:rsidR="008277EE">
        <w:t>SBD</w:t>
      </w:r>
      <w:r w:rsidRPr="00446A51">
        <w:t xml:space="preserve"> and delay time to or avoid LT, the requested restriction did not limit odevixibat to any specific position, such that odevixibat could theoretically be used before </w:t>
      </w:r>
      <w:r w:rsidR="00530D99">
        <w:t>or</w:t>
      </w:r>
      <w:r w:rsidR="00530D99" w:rsidRPr="00446A51">
        <w:t xml:space="preserve"> </w:t>
      </w:r>
      <w:r w:rsidRPr="00446A51">
        <w:t xml:space="preserve">after </w:t>
      </w:r>
      <w:r w:rsidR="008277EE">
        <w:t xml:space="preserve">other </w:t>
      </w:r>
      <w:r w:rsidRPr="00446A51">
        <w:t xml:space="preserve">oral therapies and surgical interventions (SBD and LT). </w:t>
      </w:r>
      <w:r w:rsidR="00BC6E85" w:rsidRPr="00446A51">
        <w:t xml:space="preserve">This was inconsistent with the economic </w:t>
      </w:r>
      <w:r w:rsidR="005B16C0" w:rsidRPr="00446A51">
        <w:t>model</w:t>
      </w:r>
      <w:r w:rsidR="00F4076C">
        <w:t>,</w:t>
      </w:r>
      <w:r w:rsidR="00AE5080">
        <w:t xml:space="preserve"> </w:t>
      </w:r>
      <w:r w:rsidR="008277EE">
        <w:t xml:space="preserve">which </w:t>
      </w:r>
      <w:r w:rsidR="00BC6E85" w:rsidRPr="00446A51">
        <w:t xml:space="preserve">assumed </w:t>
      </w:r>
      <w:r w:rsidR="002B226B" w:rsidRPr="00446A51">
        <w:t xml:space="preserve">patients would not undergo </w:t>
      </w:r>
      <w:r w:rsidR="006E71A3">
        <w:t xml:space="preserve">SBD </w:t>
      </w:r>
      <w:r w:rsidR="002B226B" w:rsidRPr="00446A51">
        <w:t>after odevixibat;</w:t>
      </w:r>
      <w:r w:rsidR="00A34E86" w:rsidRPr="00446A51">
        <w:t xml:space="preserve"> </w:t>
      </w:r>
      <w:r w:rsidR="002B226B" w:rsidRPr="00446A51">
        <w:t xml:space="preserve">and the financial estimates </w:t>
      </w:r>
      <w:r w:rsidR="00663BE5" w:rsidRPr="00446A51">
        <w:t>which</w:t>
      </w:r>
      <w:r w:rsidR="005B16C0" w:rsidRPr="00446A51">
        <w:t xml:space="preserve"> </w:t>
      </w:r>
      <w:r w:rsidR="002B226B" w:rsidRPr="00446A51">
        <w:t>assumed patients who</w:t>
      </w:r>
      <w:r w:rsidR="00E632A7" w:rsidRPr="00446A51">
        <w:t xml:space="preserve"> have</w:t>
      </w:r>
      <w:r w:rsidR="002B226B" w:rsidRPr="00446A51">
        <w:t xml:space="preserve"> previously had </w:t>
      </w:r>
      <w:r w:rsidR="000D6A96" w:rsidRPr="00446A51">
        <w:t xml:space="preserve">surgical intervention </w:t>
      </w:r>
      <w:r w:rsidR="00ED4ADC" w:rsidRPr="00446A51">
        <w:t xml:space="preserve">(SBD or LT) </w:t>
      </w:r>
      <w:r w:rsidR="002B226B" w:rsidRPr="00446A51">
        <w:t>were ineligible for odevixibat</w:t>
      </w:r>
      <w:r w:rsidR="008277EE">
        <w:t xml:space="preserve"> despite this being allowed in PEDFIC 1 (provided the SBD was at least 6</w:t>
      </w:r>
      <w:r w:rsidR="00864B7B">
        <w:t> </w:t>
      </w:r>
      <w:r w:rsidR="008277EE">
        <w:t>months prior to commencement on the trial)</w:t>
      </w:r>
      <w:r w:rsidR="002B226B" w:rsidRPr="00446A51">
        <w:t>.</w:t>
      </w:r>
      <w:bookmarkEnd w:id="27"/>
    </w:p>
    <w:p w14:paraId="317A16D4" w14:textId="5ED6A6C4" w:rsidR="00385391" w:rsidRPr="00446A51" w:rsidRDefault="00385391" w:rsidP="00385391">
      <w:pPr>
        <w:pStyle w:val="3-BodyText"/>
        <w:rPr>
          <w:snapToGrid/>
        </w:rPr>
      </w:pPr>
      <w:bookmarkStart w:id="28" w:name="_Ref165899211"/>
      <w:r w:rsidRPr="00E93883">
        <w:rPr>
          <w:snapToGrid/>
        </w:rPr>
        <w:t>In the submission’s economic model, it was assumed that patients treated with odevixibat who do not respond (or lose response) will not undergo PEBD. The submission justified that the mode of action of odevixibat and PEBD is similar</w:t>
      </w:r>
      <w:r w:rsidR="00143118">
        <w:rPr>
          <w:snapToGrid/>
        </w:rPr>
        <w:t>,</w:t>
      </w:r>
      <w:r w:rsidRPr="00E93883">
        <w:rPr>
          <w:snapToGrid/>
        </w:rPr>
        <w:t xml:space="preserve"> hence it was unlikely that a patient would </w:t>
      </w:r>
      <w:r w:rsidR="00C64949">
        <w:rPr>
          <w:snapToGrid/>
        </w:rPr>
        <w:t>benefit from</w:t>
      </w:r>
      <w:r w:rsidR="00C64949" w:rsidRPr="00E93883">
        <w:rPr>
          <w:snapToGrid/>
        </w:rPr>
        <w:t xml:space="preserve"> </w:t>
      </w:r>
      <w:r w:rsidRPr="00E93883">
        <w:rPr>
          <w:snapToGrid/>
        </w:rPr>
        <w:t xml:space="preserve">PEBD if they did not respond to odevixibat. </w:t>
      </w:r>
      <w:r w:rsidRPr="00446A51">
        <w:rPr>
          <w:snapToGrid/>
        </w:rPr>
        <w:t>It was unclear whether this assumption was reasonable</w:t>
      </w:r>
      <w:r w:rsidR="00C64949">
        <w:rPr>
          <w:snapToGrid/>
        </w:rPr>
        <w:t xml:space="preserve">. </w:t>
      </w:r>
      <w:r w:rsidRPr="00446A51">
        <w:rPr>
          <w:snapToGrid/>
        </w:rPr>
        <w:t>Clinical experts from the NICE</w:t>
      </w:r>
      <w:r w:rsidR="009B4841" w:rsidRPr="00446A51">
        <w:rPr>
          <w:snapToGrid/>
        </w:rPr>
        <w:t xml:space="preserve"> </w:t>
      </w:r>
      <w:r w:rsidRPr="00446A51">
        <w:rPr>
          <w:snapToGrid/>
        </w:rPr>
        <w:t xml:space="preserve">explained </w:t>
      </w:r>
      <w:r w:rsidRPr="00446A51">
        <w:t xml:space="preserve">that PEBD is rarely used in UK clinical practice and is only an option in a limited group, for example, those who have no liver fibrosis and whose liver disease is not advanced. NICE </w:t>
      </w:r>
      <w:r w:rsidRPr="00446A51">
        <w:rPr>
          <w:snapToGrid/>
        </w:rPr>
        <w:t>concluded that sequential use of odevixibat and PEBD was unlikely in practice.</w:t>
      </w:r>
      <w:r w:rsidR="009E614B" w:rsidRPr="00446A51">
        <w:rPr>
          <w:snapToGrid/>
        </w:rPr>
        <w:t xml:space="preserve"> Alam &amp; Lal 2022 noted that SBD is not recommended in patients with advanced liver fibrosis.</w:t>
      </w:r>
      <w:r w:rsidR="009B4841" w:rsidRPr="00446A51">
        <w:rPr>
          <w:rStyle w:val="FootnoteReference"/>
        </w:rPr>
        <w:footnoteReference w:id="8"/>
      </w:r>
      <w:r w:rsidR="009B4841" w:rsidRPr="00446A51">
        <w:t xml:space="preserve"> </w:t>
      </w:r>
      <w:r w:rsidRPr="00446A51">
        <w:rPr>
          <w:snapToGrid/>
        </w:rPr>
        <w:t xml:space="preserve">Conversely, recommendations for the management of paediatric PFIC patients from six European clinical experts suggested that in patients who do not respond to odevixibat and oral therapies, </w:t>
      </w:r>
      <w:r w:rsidR="008277EE">
        <w:rPr>
          <w:snapToGrid/>
        </w:rPr>
        <w:t>SBD</w:t>
      </w:r>
      <w:r w:rsidRPr="00446A51">
        <w:rPr>
          <w:snapToGrid/>
        </w:rPr>
        <w:t xml:space="preserve"> should be considered.</w:t>
      </w:r>
      <w:r w:rsidRPr="00446A51">
        <w:rPr>
          <w:rStyle w:val="FootnoteReference"/>
          <w:snapToGrid/>
        </w:rPr>
        <w:footnoteReference w:id="9"/>
      </w:r>
      <w:bookmarkEnd w:id="28"/>
      <w:r w:rsidRPr="00446A51">
        <w:rPr>
          <w:snapToGrid/>
        </w:rPr>
        <w:t xml:space="preserve"> </w:t>
      </w:r>
      <w:r w:rsidR="00C64949">
        <w:rPr>
          <w:snapToGrid/>
        </w:rPr>
        <w:t>N</w:t>
      </w:r>
      <w:r w:rsidR="00C64949" w:rsidRPr="00446A51">
        <w:rPr>
          <w:snapToGrid/>
        </w:rPr>
        <w:t>o Australian specific recommendations were presented in the submission nor apparent in the literature.</w:t>
      </w:r>
    </w:p>
    <w:p w14:paraId="136571B0" w14:textId="77777777" w:rsidR="00517DC0" w:rsidRPr="00517DC0" w:rsidRDefault="00B847FF" w:rsidP="00517DC0">
      <w:pPr>
        <w:pStyle w:val="3-BodyText"/>
      </w:pPr>
      <w:r w:rsidRPr="00446A51">
        <w:rPr>
          <w:snapToGrid/>
        </w:rPr>
        <w:t xml:space="preserve">Moreover, </w:t>
      </w:r>
      <w:r w:rsidR="00C874AF" w:rsidRPr="00446A51">
        <w:rPr>
          <w:snapToGrid/>
        </w:rPr>
        <w:t xml:space="preserve">the financial estimates assumed patients who have previously undergone SBD were not eligible for odevixibat and excluded these patients. This </w:t>
      </w:r>
      <w:r w:rsidR="00A34E86" w:rsidRPr="00446A51">
        <w:rPr>
          <w:snapToGrid/>
        </w:rPr>
        <w:t xml:space="preserve">may present an equity issue for prevalent patients who have previously had SBD. </w:t>
      </w:r>
    </w:p>
    <w:p w14:paraId="14D0051C" w14:textId="3F65D324" w:rsidR="00517DC0" w:rsidRPr="00D12904" w:rsidRDefault="006E71A3" w:rsidP="00517DC0">
      <w:pPr>
        <w:pStyle w:val="3-BodyText"/>
      </w:pPr>
      <w:r w:rsidRPr="00D12904">
        <w:t xml:space="preserve">The ESC considered the appropriate clinical positioning of odevixibat was uncertain. The ESC noted it may be clinically appropriate to allow use anywhere in the treatment algorithm (as proposed in the restriction criteria) but this was not consistent with the economic or financial model (as discussed in paragraphs </w:t>
      </w:r>
      <w:r w:rsidRPr="00D12904">
        <w:fldChar w:fldCharType="begin"/>
      </w:r>
      <w:r w:rsidRPr="00D12904">
        <w:instrText xml:space="preserve"> REF _Ref166154381 \r \h </w:instrText>
      </w:r>
      <w:r w:rsidR="00D12904">
        <w:instrText xml:space="preserve"> \* MERGEFORMAT </w:instrText>
      </w:r>
      <w:r w:rsidRPr="00D12904">
        <w:fldChar w:fldCharType="separate"/>
      </w:r>
      <w:r w:rsidR="008B4717">
        <w:t>4.11</w:t>
      </w:r>
      <w:r w:rsidRPr="00D12904">
        <w:fldChar w:fldCharType="end"/>
      </w:r>
      <w:r w:rsidRPr="00D12904">
        <w:t xml:space="preserve"> and </w:t>
      </w:r>
      <w:r w:rsidRPr="00D12904">
        <w:fldChar w:fldCharType="begin"/>
      </w:r>
      <w:r w:rsidRPr="00D12904">
        <w:instrText xml:space="preserve"> REF _Ref165899211 \r \h </w:instrText>
      </w:r>
      <w:r w:rsidR="00D12904">
        <w:instrText xml:space="preserve"> \* MERGEFORMAT </w:instrText>
      </w:r>
      <w:r w:rsidRPr="00D12904">
        <w:fldChar w:fldCharType="separate"/>
      </w:r>
      <w:r w:rsidR="008B4717">
        <w:t>4.12</w:t>
      </w:r>
      <w:r w:rsidRPr="00D12904">
        <w:fldChar w:fldCharType="end"/>
      </w:r>
      <w:r w:rsidRPr="00D12904">
        <w:t>).</w:t>
      </w:r>
      <w:bookmarkStart w:id="29" w:name="_Toc166210652"/>
      <w:bookmarkEnd w:id="17"/>
    </w:p>
    <w:p w14:paraId="02D5B5B9" w14:textId="77777777" w:rsidR="00D12904" w:rsidRPr="00C33D30" w:rsidRDefault="00D12904" w:rsidP="00D12904">
      <w:pPr>
        <w:ind w:firstLine="709"/>
        <w:rPr>
          <w:rFonts w:asciiTheme="minorHAnsi" w:hAnsiTheme="minorHAnsi"/>
          <w:i/>
        </w:rPr>
      </w:pPr>
      <w:r w:rsidRPr="00C33D30">
        <w:rPr>
          <w:rFonts w:asciiTheme="minorHAnsi" w:hAnsiTheme="minorHAnsi"/>
          <w:i/>
        </w:rPr>
        <w:t>For more detail on PBAC’s view, see section 7 PBAC outcome.</w:t>
      </w:r>
    </w:p>
    <w:p w14:paraId="0E62FFE4" w14:textId="4A1C1EC1" w:rsidR="00E5561C" w:rsidRPr="00D33C2C" w:rsidRDefault="00E5561C" w:rsidP="00E5561C">
      <w:pPr>
        <w:pStyle w:val="2-SectionHeading"/>
      </w:pPr>
      <w:r w:rsidRPr="00D33C2C">
        <w:lastRenderedPageBreak/>
        <w:t>Comparator</w:t>
      </w:r>
      <w:bookmarkEnd w:id="29"/>
    </w:p>
    <w:p w14:paraId="0962F823" w14:textId="30CD3377" w:rsidR="000940B1" w:rsidRPr="00D12904" w:rsidRDefault="00E5561C" w:rsidP="00203AB5">
      <w:pPr>
        <w:pStyle w:val="3-BodyText"/>
        <w:rPr>
          <w:snapToGrid/>
        </w:rPr>
      </w:pPr>
      <w:r w:rsidRPr="00005762">
        <w:rPr>
          <w:snapToGrid/>
        </w:rPr>
        <w:t xml:space="preserve">The submission nominated </w:t>
      </w:r>
      <w:r w:rsidR="00C64949">
        <w:rPr>
          <w:snapToGrid/>
        </w:rPr>
        <w:t>standard of care (</w:t>
      </w:r>
      <w:r w:rsidRPr="00005762">
        <w:rPr>
          <w:snapToGrid/>
        </w:rPr>
        <w:t>SOC</w:t>
      </w:r>
      <w:r w:rsidR="00C64949">
        <w:rPr>
          <w:snapToGrid/>
        </w:rPr>
        <w:t>)</w:t>
      </w:r>
      <w:r w:rsidR="00143118">
        <w:rPr>
          <w:snapToGrid/>
        </w:rPr>
        <w:t>,</w:t>
      </w:r>
      <w:r w:rsidRPr="00005762">
        <w:rPr>
          <w:snapToGrid/>
        </w:rPr>
        <w:t xml:space="preserve"> including PEBD and LT</w:t>
      </w:r>
      <w:r w:rsidR="00143118">
        <w:rPr>
          <w:snapToGrid/>
        </w:rPr>
        <w:t>,</w:t>
      </w:r>
      <w:r w:rsidRPr="00005762">
        <w:rPr>
          <w:snapToGrid/>
        </w:rPr>
        <w:t xml:space="preserve"> as the comparator.</w:t>
      </w:r>
      <w:r w:rsidR="006C4F3C" w:rsidRPr="006C4F3C">
        <w:rPr>
          <w:snapToGrid/>
        </w:rPr>
        <w:t xml:space="preserve"> </w:t>
      </w:r>
      <w:r w:rsidR="006C4F3C" w:rsidRPr="00B82617">
        <w:rPr>
          <w:snapToGrid/>
        </w:rPr>
        <w:t>The submission’s clinical management algorithm proposed that odevixibat will be used as a first line treatment with or without oral therapies and will replace PEBD</w:t>
      </w:r>
      <w:r w:rsidR="00746AF6">
        <w:rPr>
          <w:snapToGrid/>
        </w:rPr>
        <w:t xml:space="preserve"> and delay time to</w:t>
      </w:r>
      <w:r w:rsidR="008277EE">
        <w:rPr>
          <w:snapToGrid/>
        </w:rPr>
        <w:t>,</w:t>
      </w:r>
      <w:r w:rsidR="00746AF6">
        <w:rPr>
          <w:snapToGrid/>
        </w:rPr>
        <w:t xml:space="preserve"> or avoid</w:t>
      </w:r>
      <w:r w:rsidR="008277EE">
        <w:rPr>
          <w:snapToGrid/>
        </w:rPr>
        <w:t>,</w:t>
      </w:r>
      <w:r w:rsidR="00746AF6">
        <w:rPr>
          <w:snapToGrid/>
        </w:rPr>
        <w:t xml:space="preserve"> LT</w:t>
      </w:r>
      <w:r w:rsidR="006C4F3C" w:rsidRPr="00B82617">
        <w:rPr>
          <w:snapToGrid/>
        </w:rPr>
        <w:t>.</w:t>
      </w:r>
      <w:r w:rsidRPr="00005762">
        <w:rPr>
          <w:snapToGrid/>
        </w:rPr>
        <w:t xml:space="preserve"> </w:t>
      </w:r>
    </w:p>
    <w:p w14:paraId="04C0063B" w14:textId="4BEC4074" w:rsidR="000940B1" w:rsidRPr="00D12904" w:rsidRDefault="00530D99" w:rsidP="00506CD9">
      <w:pPr>
        <w:pStyle w:val="3-BodyText"/>
        <w:rPr>
          <w:snapToGrid/>
        </w:rPr>
      </w:pPr>
      <w:r w:rsidRPr="00D12904">
        <w:rPr>
          <w:snapToGrid/>
        </w:rPr>
        <w:t xml:space="preserve">The ESC considered that </w:t>
      </w:r>
      <w:r w:rsidR="004E188A" w:rsidRPr="00D12904">
        <w:rPr>
          <w:snapToGrid/>
        </w:rPr>
        <w:t xml:space="preserve">SOC was </w:t>
      </w:r>
      <w:r w:rsidR="00005762" w:rsidRPr="00D12904">
        <w:rPr>
          <w:snapToGrid/>
        </w:rPr>
        <w:t xml:space="preserve">a reasonable </w:t>
      </w:r>
      <w:r w:rsidR="0064784C" w:rsidRPr="00D12904">
        <w:rPr>
          <w:snapToGrid/>
        </w:rPr>
        <w:t>comparator</w:t>
      </w:r>
      <w:r w:rsidR="00005762" w:rsidRPr="00D12904">
        <w:rPr>
          <w:snapToGrid/>
        </w:rPr>
        <w:t>.</w:t>
      </w:r>
      <w:r w:rsidR="00005762" w:rsidRPr="00D12904">
        <w:t xml:space="preserve"> </w:t>
      </w:r>
      <w:r w:rsidR="000940B1" w:rsidRPr="00D12904">
        <w:rPr>
          <w:snapToGrid/>
        </w:rPr>
        <w:t>The submission effectively proposed that odevixibat would replace PEBD (as per the proposed clinical management algorithm and the economic model). However, t</w:t>
      </w:r>
      <w:r w:rsidR="006C4F3C" w:rsidRPr="00D12904">
        <w:rPr>
          <w:snapToGrid/>
        </w:rPr>
        <w:t xml:space="preserve">he </w:t>
      </w:r>
      <w:r w:rsidR="008277EE" w:rsidRPr="00D12904">
        <w:rPr>
          <w:snapToGrid/>
        </w:rPr>
        <w:t xml:space="preserve">ESC noted that the </w:t>
      </w:r>
      <w:r w:rsidR="006C4F3C" w:rsidRPr="00D12904">
        <w:rPr>
          <w:snapToGrid/>
        </w:rPr>
        <w:t xml:space="preserve">direct clinical evidence presented in the submission </w:t>
      </w:r>
      <w:r w:rsidR="00691111" w:rsidRPr="00D12904">
        <w:rPr>
          <w:snapToGrid/>
        </w:rPr>
        <w:t xml:space="preserve">(PEDFIC 1) </w:t>
      </w:r>
      <w:r w:rsidR="006C4F3C" w:rsidRPr="00D12904">
        <w:rPr>
          <w:snapToGrid/>
        </w:rPr>
        <w:t>compared odevixibat to placebo</w:t>
      </w:r>
      <w:r w:rsidR="003B4FC0" w:rsidRPr="00D12904">
        <w:rPr>
          <w:snapToGrid/>
        </w:rPr>
        <w:t xml:space="preserve"> only,</w:t>
      </w:r>
      <w:r w:rsidR="006C4F3C" w:rsidRPr="00D12904">
        <w:rPr>
          <w:snapToGrid/>
        </w:rPr>
        <w:t xml:space="preserve"> </w:t>
      </w:r>
      <w:r w:rsidR="003B4FC0" w:rsidRPr="00D12904">
        <w:rPr>
          <w:snapToGrid/>
        </w:rPr>
        <w:t xml:space="preserve">primarily </w:t>
      </w:r>
      <w:r w:rsidR="006C4F3C" w:rsidRPr="00D12904">
        <w:rPr>
          <w:snapToGrid/>
        </w:rPr>
        <w:t xml:space="preserve">in patients who </w:t>
      </w:r>
      <w:r w:rsidR="008277EE" w:rsidRPr="00D12904">
        <w:rPr>
          <w:snapToGrid/>
        </w:rPr>
        <w:t xml:space="preserve">had </w:t>
      </w:r>
      <w:r w:rsidR="006C4F3C" w:rsidRPr="00D12904">
        <w:rPr>
          <w:snapToGrid/>
        </w:rPr>
        <w:t xml:space="preserve">not undergone </w:t>
      </w:r>
      <w:r w:rsidR="008277EE" w:rsidRPr="00D12904">
        <w:rPr>
          <w:snapToGrid/>
        </w:rPr>
        <w:t xml:space="preserve">prior </w:t>
      </w:r>
      <w:r w:rsidRPr="00D12904">
        <w:rPr>
          <w:snapToGrid/>
        </w:rPr>
        <w:t>SBD</w:t>
      </w:r>
      <w:r w:rsidR="006C4F3C" w:rsidRPr="00D12904">
        <w:rPr>
          <w:snapToGrid/>
        </w:rPr>
        <w:t xml:space="preserve">, and </w:t>
      </w:r>
      <w:r w:rsidR="008277EE" w:rsidRPr="00D12904">
        <w:rPr>
          <w:snapToGrid/>
        </w:rPr>
        <w:t xml:space="preserve">that </w:t>
      </w:r>
      <w:r w:rsidR="006C4F3C" w:rsidRPr="00D12904">
        <w:rPr>
          <w:snapToGrid/>
        </w:rPr>
        <w:t xml:space="preserve">there was no direct evidence </w:t>
      </w:r>
      <w:r w:rsidR="008277EE" w:rsidRPr="00D12904">
        <w:rPr>
          <w:snapToGrid/>
        </w:rPr>
        <w:t xml:space="preserve">comparing </w:t>
      </w:r>
      <w:r w:rsidR="006C4F3C" w:rsidRPr="00D12904">
        <w:rPr>
          <w:snapToGrid/>
        </w:rPr>
        <w:t xml:space="preserve">odevixibat </w:t>
      </w:r>
      <w:r w:rsidR="008277EE" w:rsidRPr="00D12904">
        <w:rPr>
          <w:snapToGrid/>
        </w:rPr>
        <w:t>with</w:t>
      </w:r>
      <w:r w:rsidR="006C4F3C" w:rsidRPr="00D12904">
        <w:rPr>
          <w:snapToGrid/>
        </w:rPr>
        <w:t xml:space="preserve"> PEBD.</w:t>
      </w:r>
      <w:r w:rsidR="000940B1" w:rsidRPr="00D12904">
        <w:rPr>
          <w:snapToGrid/>
        </w:rPr>
        <w:t xml:space="preserve"> The submission attempted to address this with an indirect comparison study</w:t>
      </w:r>
      <w:r w:rsidR="00E426ED" w:rsidRPr="00D12904">
        <w:rPr>
          <w:snapToGrid/>
        </w:rPr>
        <w:t xml:space="preserve"> comparing odevixibat with PEBD</w:t>
      </w:r>
      <w:r w:rsidR="00ED7C9C" w:rsidRPr="00D12904">
        <w:rPr>
          <w:snapToGrid/>
        </w:rPr>
        <w:t xml:space="preserve">, </w:t>
      </w:r>
      <w:r w:rsidR="000940B1" w:rsidRPr="00D12904">
        <w:rPr>
          <w:snapToGrid/>
        </w:rPr>
        <w:t>OvEC</w:t>
      </w:r>
      <w:r w:rsidR="007D11E2" w:rsidRPr="00D12904">
        <w:rPr>
          <w:snapToGrid/>
        </w:rPr>
        <w:t xml:space="preserve"> Part B</w:t>
      </w:r>
      <w:r w:rsidR="00E426ED" w:rsidRPr="00D12904">
        <w:rPr>
          <w:snapToGrid/>
        </w:rPr>
        <w:t>. However</w:t>
      </w:r>
      <w:r w:rsidR="00143118" w:rsidRPr="00D12904">
        <w:rPr>
          <w:snapToGrid/>
        </w:rPr>
        <w:t>,</w:t>
      </w:r>
      <w:r w:rsidR="00E426ED" w:rsidRPr="00D12904">
        <w:rPr>
          <w:snapToGrid/>
        </w:rPr>
        <w:t xml:space="preserve"> </w:t>
      </w:r>
      <w:r w:rsidR="008277EE" w:rsidRPr="00D12904">
        <w:rPr>
          <w:snapToGrid/>
        </w:rPr>
        <w:t>there were a number of</w:t>
      </w:r>
      <w:r w:rsidR="00E426ED" w:rsidRPr="00D12904">
        <w:rPr>
          <w:snapToGrid/>
        </w:rPr>
        <w:t xml:space="preserve"> significant issues </w:t>
      </w:r>
      <w:r w:rsidR="008277EE" w:rsidRPr="00D12904">
        <w:rPr>
          <w:snapToGrid/>
        </w:rPr>
        <w:t xml:space="preserve">with this trial that </w:t>
      </w:r>
      <w:r w:rsidR="00E426ED" w:rsidRPr="00D12904">
        <w:rPr>
          <w:snapToGrid/>
        </w:rPr>
        <w:t>limited its usefulness</w:t>
      </w:r>
      <w:r w:rsidR="001100D7" w:rsidRPr="00D12904">
        <w:rPr>
          <w:snapToGrid/>
        </w:rPr>
        <w:t xml:space="preserve"> (see paragraphs </w:t>
      </w:r>
      <w:r w:rsidR="00794F95" w:rsidRPr="00D12904">
        <w:rPr>
          <w:snapToGrid/>
        </w:rPr>
        <w:fldChar w:fldCharType="begin"/>
      </w:r>
      <w:r w:rsidR="00794F95" w:rsidRPr="00D12904">
        <w:rPr>
          <w:snapToGrid/>
        </w:rPr>
        <w:instrText xml:space="preserve"> REF _Ref166207652 \r \h  \* MERGEFORMAT </w:instrText>
      </w:r>
      <w:r w:rsidR="00794F95" w:rsidRPr="00D12904">
        <w:rPr>
          <w:snapToGrid/>
        </w:rPr>
      </w:r>
      <w:r w:rsidR="00794F95" w:rsidRPr="00D12904">
        <w:rPr>
          <w:snapToGrid/>
        </w:rPr>
        <w:fldChar w:fldCharType="separate"/>
      </w:r>
      <w:r w:rsidR="008B4717">
        <w:rPr>
          <w:snapToGrid/>
        </w:rPr>
        <w:t>6.32</w:t>
      </w:r>
      <w:r w:rsidR="00794F95" w:rsidRPr="00D12904">
        <w:rPr>
          <w:snapToGrid/>
        </w:rPr>
        <w:fldChar w:fldCharType="end"/>
      </w:r>
      <w:r w:rsidR="00794F95" w:rsidRPr="00D12904">
        <w:rPr>
          <w:snapToGrid/>
        </w:rPr>
        <w:t xml:space="preserve"> </w:t>
      </w:r>
      <w:r w:rsidR="001100D7" w:rsidRPr="00D12904">
        <w:rPr>
          <w:snapToGrid/>
        </w:rPr>
        <w:t xml:space="preserve">and </w:t>
      </w:r>
      <w:r w:rsidR="00794F95" w:rsidRPr="00D12904">
        <w:rPr>
          <w:snapToGrid/>
        </w:rPr>
        <w:fldChar w:fldCharType="begin"/>
      </w:r>
      <w:r w:rsidR="00794F95" w:rsidRPr="00D12904">
        <w:rPr>
          <w:snapToGrid/>
        </w:rPr>
        <w:instrText xml:space="preserve"> REF _Ref164702982 \r \h  \* MERGEFORMAT </w:instrText>
      </w:r>
      <w:r w:rsidR="00794F95" w:rsidRPr="00D12904">
        <w:rPr>
          <w:snapToGrid/>
        </w:rPr>
      </w:r>
      <w:r w:rsidR="00794F95" w:rsidRPr="00D12904">
        <w:rPr>
          <w:snapToGrid/>
        </w:rPr>
        <w:fldChar w:fldCharType="separate"/>
      </w:r>
      <w:r w:rsidR="008B4717">
        <w:rPr>
          <w:snapToGrid/>
        </w:rPr>
        <w:t>6.33</w:t>
      </w:r>
      <w:r w:rsidR="00794F95" w:rsidRPr="00D12904">
        <w:rPr>
          <w:snapToGrid/>
        </w:rPr>
        <w:fldChar w:fldCharType="end"/>
      </w:r>
      <w:r w:rsidR="001100D7" w:rsidRPr="00D12904">
        <w:rPr>
          <w:snapToGrid/>
        </w:rPr>
        <w:t>)</w:t>
      </w:r>
      <w:r w:rsidR="00E426ED" w:rsidRPr="00D12904">
        <w:rPr>
          <w:snapToGrid/>
        </w:rPr>
        <w:t>.</w:t>
      </w:r>
    </w:p>
    <w:p w14:paraId="22CC1B46" w14:textId="124F126D" w:rsidR="00B82617" w:rsidRPr="00D12904" w:rsidRDefault="00BE6F3F" w:rsidP="000F461E">
      <w:pPr>
        <w:pStyle w:val="3-BodyText"/>
        <w:rPr>
          <w:snapToGrid/>
        </w:rPr>
      </w:pPr>
      <w:r w:rsidRPr="00D12904">
        <w:rPr>
          <w:snapToGrid/>
        </w:rPr>
        <w:t>SOC also included off-label oral therapies (i.e., UDCA and rifampicin); however, these are expected to be used alongside odevixibat</w:t>
      </w:r>
      <w:r w:rsidR="008277EE" w:rsidRPr="00D12904">
        <w:rPr>
          <w:snapToGrid/>
        </w:rPr>
        <w:t>,</w:t>
      </w:r>
      <w:r w:rsidRPr="00D12904">
        <w:rPr>
          <w:snapToGrid/>
        </w:rPr>
        <w:t xml:space="preserve"> rather than be replaced. </w:t>
      </w:r>
      <w:r w:rsidR="002D22E3" w:rsidRPr="00D12904">
        <w:rPr>
          <w:snapToGrid/>
        </w:rPr>
        <w:t xml:space="preserve">Moreover, </w:t>
      </w:r>
      <w:r w:rsidR="00426875" w:rsidRPr="00D12904">
        <w:rPr>
          <w:snapToGrid/>
        </w:rPr>
        <w:t xml:space="preserve">the </w:t>
      </w:r>
      <w:r w:rsidR="002D22E3" w:rsidRPr="00D12904">
        <w:rPr>
          <w:snapToGrid/>
        </w:rPr>
        <w:t>submission</w:t>
      </w:r>
      <w:r w:rsidR="00426875" w:rsidRPr="00D12904">
        <w:rPr>
          <w:snapToGrid/>
        </w:rPr>
        <w:t xml:space="preserve"> suggested that </w:t>
      </w:r>
      <w:r w:rsidR="00AB1719" w:rsidRPr="00D12904">
        <w:rPr>
          <w:snapToGrid/>
        </w:rPr>
        <w:t xml:space="preserve">LT is effectively replaced by odevixibat </w:t>
      </w:r>
      <w:r w:rsidR="00426875" w:rsidRPr="00D12904">
        <w:rPr>
          <w:snapToGrid/>
        </w:rPr>
        <w:t xml:space="preserve">in </w:t>
      </w:r>
      <w:r w:rsidR="00AB1719" w:rsidRPr="00D12904">
        <w:rPr>
          <w:snapToGrid/>
        </w:rPr>
        <w:t xml:space="preserve">the proportion of </w:t>
      </w:r>
      <w:r w:rsidR="00426875" w:rsidRPr="00D12904">
        <w:rPr>
          <w:snapToGrid/>
        </w:rPr>
        <w:t xml:space="preserve">patients who achieve and maintain a sBA </w:t>
      </w:r>
      <w:r w:rsidR="00143118" w:rsidRPr="00D12904">
        <w:rPr>
          <w:snapToGrid/>
        </w:rPr>
        <w:t xml:space="preserve">and </w:t>
      </w:r>
      <w:r w:rsidR="00426875" w:rsidRPr="00D12904">
        <w:rPr>
          <w:snapToGrid/>
        </w:rPr>
        <w:t>pruritus response</w:t>
      </w:r>
      <w:r w:rsidR="00AB1719" w:rsidRPr="00D12904">
        <w:rPr>
          <w:snapToGrid/>
        </w:rPr>
        <w:t xml:space="preserve"> while on treatment with odevixibat</w:t>
      </w:r>
      <w:r w:rsidR="00426875" w:rsidRPr="00D12904">
        <w:rPr>
          <w:snapToGrid/>
        </w:rPr>
        <w:t xml:space="preserve">. </w:t>
      </w:r>
    </w:p>
    <w:p w14:paraId="2E0F45D6" w14:textId="3912E4D7" w:rsidR="00CC26B6" w:rsidRPr="00D12904" w:rsidRDefault="002E20A9" w:rsidP="00C4478D">
      <w:pPr>
        <w:pStyle w:val="3-BodyText"/>
        <w:rPr>
          <w:snapToGrid/>
          <w:color w:val="0066FF"/>
        </w:rPr>
      </w:pPr>
      <w:bookmarkStart w:id="30" w:name="_Ref169170132"/>
      <w:r w:rsidRPr="00D12904">
        <w:rPr>
          <w:snapToGrid/>
        </w:rPr>
        <w:t xml:space="preserve">As discussed in paragraph </w:t>
      </w:r>
      <w:r w:rsidR="00286F00" w:rsidRPr="00D12904">
        <w:fldChar w:fldCharType="begin"/>
      </w:r>
      <w:r w:rsidR="00286F00" w:rsidRPr="00D12904">
        <w:rPr>
          <w:snapToGrid/>
        </w:rPr>
        <w:instrText xml:space="preserve"> REF _Ref166205382 \r \h </w:instrText>
      </w:r>
      <w:r w:rsidR="00D12904" w:rsidRPr="00D12904">
        <w:instrText xml:space="preserve"> \* MERGEFORMAT </w:instrText>
      </w:r>
      <w:r w:rsidR="00286F00" w:rsidRPr="00D12904">
        <w:fldChar w:fldCharType="separate"/>
      </w:r>
      <w:r w:rsidR="008B4717">
        <w:rPr>
          <w:snapToGrid/>
        </w:rPr>
        <w:t>4.8</w:t>
      </w:r>
      <w:r w:rsidR="00286F00" w:rsidRPr="00D12904">
        <w:fldChar w:fldCharType="end"/>
      </w:r>
      <w:r w:rsidRPr="00D12904">
        <w:rPr>
          <w:snapToGrid/>
        </w:rPr>
        <w:t xml:space="preserve">, PEBD is the most common type of </w:t>
      </w:r>
      <w:r w:rsidR="00530D99" w:rsidRPr="00D12904">
        <w:rPr>
          <w:snapToGrid/>
        </w:rPr>
        <w:t>SBD</w:t>
      </w:r>
      <w:r w:rsidRPr="00D12904">
        <w:rPr>
          <w:snapToGrid/>
        </w:rPr>
        <w:t xml:space="preserve">. The submission assumed that PEBD </w:t>
      </w:r>
      <w:r w:rsidR="00A00C43" w:rsidRPr="00D12904">
        <w:rPr>
          <w:snapToGrid/>
        </w:rPr>
        <w:t xml:space="preserve">will represent all </w:t>
      </w:r>
      <w:r w:rsidR="00530D99" w:rsidRPr="00D12904">
        <w:rPr>
          <w:snapToGrid/>
        </w:rPr>
        <w:t>SBD</w:t>
      </w:r>
      <w:r w:rsidR="00A00C43" w:rsidRPr="00D12904">
        <w:rPr>
          <w:snapToGrid/>
        </w:rPr>
        <w:t>s</w:t>
      </w:r>
      <w:r w:rsidR="00DA18C6" w:rsidRPr="00D12904">
        <w:rPr>
          <w:snapToGrid/>
        </w:rPr>
        <w:t xml:space="preserve"> in the economic model</w:t>
      </w:r>
      <w:r w:rsidR="00A00C43" w:rsidRPr="00D12904">
        <w:rPr>
          <w:snapToGrid/>
        </w:rPr>
        <w:t xml:space="preserve">. </w:t>
      </w:r>
      <w:r w:rsidR="00E74052" w:rsidRPr="00D12904">
        <w:rPr>
          <w:snapToGrid/>
        </w:rPr>
        <w:t xml:space="preserve">Other types of </w:t>
      </w:r>
      <w:r w:rsidR="00530D99" w:rsidRPr="00D12904">
        <w:rPr>
          <w:snapToGrid/>
        </w:rPr>
        <w:t>SBDs</w:t>
      </w:r>
      <w:r w:rsidR="00E74052" w:rsidRPr="00D12904">
        <w:rPr>
          <w:snapToGrid/>
        </w:rPr>
        <w:t xml:space="preserve"> were not considered</w:t>
      </w:r>
      <w:r w:rsidR="006C4A97" w:rsidRPr="00D12904">
        <w:rPr>
          <w:snapToGrid/>
        </w:rPr>
        <w:t xml:space="preserve"> which may not have been reasonable. </w:t>
      </w:r>
      <w:r w:rsidR="00263480" w:rsidRPr="00D12904">
        <w:rPr>
          <w:snapToGrid/>
        </w:rPr>
        <w:t xml:space="preserve">A meta-analysis by </w:t>
      </w:r>
      <w:r w:rsidR="00B23043" w:rsidRPr="00D12904">
        <w:rPr>
          <w:snapToGrid/>
        </w:rPr>
        <w:t>Bolia 2022</w:t>
      </w:r>
      <w:r w:rsidR="00263480" w:rsidRPr="00D12904">
        <w:rPr>
          <w:snapToGrid/>
        </w:rPr>
        <w:t xml:space="preserve"> (N=424, 25 studies)</w:t>
      </w:r>
      <w:r w:rsidR="00B23043" w:rsidRPr="00D12904">
        <w:rPr>
          <w:snapToGrid/>
        </w:rPr>
        <w:t xml:space="preserve"> </w:t>
      </w:r>
      <w:r w:rsidR="00263480" w:rsidRPr="00D12904">
        <w:rPr>
          <w:snapToGrid/>
        </w:rPr>
        <w:t>compared outcomes of PEBD (n=301), PIBD (n=93) and IE (n=30) in PFIC patients (mostly PFIC1 and 2).</w:t>
      </w:r>
      <w:r w:rsidR="00C8109D" w:rsidRPr="00D12904">
        <w:rPr>
          <w:rStyle w:val="FootnoteReference"/>
        </w:rPr>
        <w:footnoteReference w:id="10"/>
      </w:r>
      <w:r w:rsidR="00263480" w:rsidRPr="00D12904">
        <w:rPr>
          <w:snapToGrid/>
        </w:rPr>
        <w:t xml:space="preserve"> Bolia 2022 </w:t>
      </w:r>
      <w:r w:rsidR="00B23043" w:rsidRPr="00D12904">
        <w:rPr>
          <w:snapToGrid/>
        </w:rPr>
        <w:t xml:space="preserve">reported that </w:t>
      </w:r>
      <w:r w:rsidR="00D73E5A">
        <w:rPr>
          <w:snapToGrid/>
        </w:rPr>
        <w:t>a</w:t>
      </w:r>
      <w:r w:rsidR="00B23043" w:rsidRPr="00D12904">
        <w:rPr>
          <w:snapToGrid/>
        </w:rPr>
        <w:t xml:space="preserve">lthough statistically significant differences were not observed between different types of SBD, there </w:t>
      </w:r>
      <w:r w:rsidR="00536E2D" w:rsidRPr="00D12904">
        <w:rPr>
          <w:snapToGrid/>
        </w:rPr>
        <w:t>were</w:t>
      </w:r>
      <w:r w:rsidR="00B23043" w:rsidRPr="00D12904">
        <w:rPr>
          <w:snapToGrid/>
        </w:rPr>
        <w:t xml:space="preserve"> notable point estimate differences</w:t>
      </w:r>
      <w:r w:rsidR="00BE6F48" w:rsidRPr="00D12904">
        <w:rPr>
          <w:snapToGrid/>
        </w:rPr>
        <w:t xml:space="preserve"> in the relative efficacy and post-surgery complications </w:t>
      </w:r>
      <w:r w:rsidR="00536E2D" w:rsidRPr="00D12904">
        <w:rPr>
          <w:snapToGrid/>
        </w:rPr>
        <w:t xml:space="preserve">that </w:t>
      </w:r>
      <w:r w:rsidR="00BE6F48" w:rsidRPr="00D12904">
        <w:rPr>
          <w:snapToGrid/>
        </w:rPr>
        <w:t xml:space="preserve">may have implications on costs and benefits </w:t>
      </w:r>
      <w:r w:rsidR="00337192" w:rsidRPr="00D12904">
        <w:rPr>
          <w:snapToGrid/>
        </w:rPr>
        <w:t>of biliary diversion surgeries</w:t>
      </w:r>
      <w:r w:rsidR="0004730A" w:rsidRPr="00D12904">
        <w:rPr>
          <w:snapToGrid/>
        </w:rPr>
        <w:t>,</w:t>
      </w:r>
      <w:r w:rsidR="00337192" w:rsidRPr="00D12904">
        <w:rPr>
          <w:snapToGrid/>
        </w:rPr>
        <w:t xml:space="preserve"> </w:t>
      </w:r>
      <w:r w:rsidR="00DE31F1" w:rsidRPr="00D12904">
        <w:rPr>
          <w:snapToGrid/>
        </w:rPr>
        <w:t xml:space="preserve">and it may not be reasonable to assume that PEBD </w:t>
      </w:r>
      <w:r w:rsidR="00AE1A9B" w:rsidRPr="00D12904">
        <w:rPr>
          <w:snapToGrid/>
        </w:rPr>
        <w:t>was representative of all SBD</w:t>
      </w:r>
      <w:r w:rsidR="00B23043" w:rsidRPr="00D12904">
        <w:rPr>
          <w:snapToGrid/>
        </w:rPr>
        <w:t>.</w:t>
      </w:r>
      <w:r w:rsidR="00CD2D6C" w:rsidRPr="00D12904">
        <w:rPr>
          <w:snapToGrid/>
        </w:rPr>
        <w:t xml:space="preserve"> </w:t>
      </w:r>
      <w:r w:rsidR="006C4A97" w:rsidRPr="00D12904">
        <w:rPr>
          <w:snapToGrid/>
          <w:lang w:val="en-US"/>
        </w:rPr>
        <w:t>In addition</w:t>
      </w:r>
      <w:r w:rsidR="00B23043" w:rsidRPr="00D12904">
        <w:rPr>
          <w:snapToGrid/>
          <w:lang w:val="en-US"/>
        </w:rPr>
        <w:t xml:space="preserve">, </w:t>
      </w:r>
      <w:r w:rsidR="00E74052" w:rsidRPr="00D12904">
        <w:rPr>
          <w:snapToGrid/>
        </w:rPr>
        <w:t>o</w:t>
      </w:r>
      <w:r w:rsidR="00CC26B6" w:rsidRPr="00D12904">
        <w:rPr>
          <w:snapToGrid/>
        </w:rPr>
        <w:t xml:space="preserve">bservational data from NAPPED suggested </w:t>
      </w:r>
      <w:r w:rsidR="00B146C3">
        <w:rPr>
          <w:snapToGrid/>
        </w:rPr>
        <w:t xml:space="preserve">that more than </w:t>
      </w:r>
      <w:r w:rsidR="00CC26B6" w:rsidRPr="00D12904">
        <w:rPr>
          <w:snapToGrid/>
        </w:rPr>
        <w:t>20% of PFIC patients underwent non-PEBD surgeries</w:t>
      </w:r>
      <w:r w:rsidR="00D1287B" w:rsidRPr="00D12904">
        <w:rPr>
          <w:snapToGrid/>
        </w:rPr>
        <w:t xml:space="preserve">, including ileal exclusion, </w:t>
      </w:r>
      <w:r w:rsidR="00D34944" w:rsidRPr="00D12904">
        <w:rPr>
          <w:snapToGrid/>
        </w:rPr>
        <w:t xml:space="preserve">gallbladder colic diversion, </w:t>
      </w:r>
      <w:r w:rsidR="00D1287B" w:rsidRPr="00D12904">
        <w:rPr>
          <w:snapToGrid/>
        </w:rPr>
        <w:t>and total biliary diversion surgery</w:t>
      </w:r>
      <w:r w:rsidR="00CC26B6" w:rsidRPr="00D12904">
        <w:t>.</w:t>
      </w:r>
      <w:r w:rsidR="00CC26B6" w:rsidRPr="00D12904">
        <w:rPr>
          <w:rStyle w:val="FootnoteReference"/>
        </w:rPr>
        <w:footnoteReference w:id="11"/>
      </w:r>
      <w:r w:rsidR="00CC26B6" w:rsidRPr="00D12904">
        <w:rPr>
          <w:vertAlign w:val="superscript"/>
        </w:rPr>
        <w:t xml:space="preserve">, </w:t>
      </w:r>
      <w:r w:rsidR="00CC26B6" w:rsidRPr="00D12904">
        <w:rPr>
          <w:rStyle w:val="FootnoteReference"/>
        </w:rPr>
        <w:footnoteReference w:id="12"/>
      </w:r>
      <w:bookmarkEnd w:id="30"/>
      <w:r w:rsidR="00CC26B6" w:rsidRPr="00D12904">
        <w:t xml:space="preserve"> </w:t>
      </w:r>
    </w:p>
    <w:p w14:paraId="68A6219C" w14:textId="712DFCB7" w:rsidR="00530D99" w:rsidRPr="00D12904" w:rsidRDefault="00530D99" w:rsidP="00C4478D">
      <w:pPr>
        <w:pStyle w:val="3-BodyText"/>
        <w:rPr>
          <w:snapToGrid/>
          <w:color w:val="0066FF"/>
        </w:rPr>
      </w:pPr>
      <w:r w:rsidRPr="00D12904">
        <w:t xml:space="preserve">The ESC noted </w:t>
      </w:r>
      <w:r w:rsidR="006E71A3" w:rsidRPr="00D12904">
        <w:t xml:space="preserve">the submission nominated </w:t>
      </w:r>
      <w:r w:rsidRPr="00D12904">
        <w:t>maralixibat, another IBAT inhibitor, a</w:t>
      </w:r>
      <w:r w:rsidR="006E71A3" w:rsidRPr="00D12904">
        <w:t>s a</w:t>
      </w:r>
      <w:r w:rsidRPr="00D12904">
        <w:t xml:space="preserve"> near market comparator.</w:t>
      </w:r>
    </w:p>
    <w:p w14:paraId="19D04D8E" w14:textId="77777777" w:rsidR="00D12904" w:rsidRPr="00C33D30" w:rsidRDefault="00D12904" w:rsidP="00D12904">
      <w:pPr>
        <w:ind w:firstLine="709"/>
        <w:rPr>
          <w:rFonts w:asciiTheme="minorHAnsi" w:hAnsiTheme="minorHAnsi"/>
          <w:i/>
        </w:rPr>
      </w:pPr>
      <w:r w:rsidRPr="00C33D30">
        <w:rPr>
          <w:rFonts w:asciiTheme="minorHAnsi" w:hAnsiTheme="minorHAnsi"/>
          <w:i/>
        </w:rPr>
        <w:lastRenderedPageBreak/>
        <w:t>For more detail on PBAC’s view, see section 7 PBAC outcome.</w:t>
      </w:r>
    </w:p>
    <w:p w14:paraId="3D9379F4" w14:textId="77777777" w:rsidR="00E5561C" w:rsidRPr="00D33C2C" w:rsidRDefault="00E5561C" w:rsidP="00E5561C">
      <w:pPr>
        <w:pStyle w:val="2-SectionHeading"/>
      </w:pPr>
      <w:bookmarkStart w:id="31" w:name="_Toc166210653"/>
      <w:bookmarkStart w:id="32" w:name="_Toc22897640"/>
      <w:bookmarkStart w:id="33" w:name="_Toc22898852"/>
      <w:bookmarkStart w:id="34" w:name="_Toc22898865"/>
      <w:r w:rsidRPr="00D33C2C">
        <w:t>Consideration of the evidence</w:t>
      </w:r>
      <w:bookmarkEnd w:id="31"/>
    </w:p>
    <w:p w14:paraId="6470C370" w14:textId="77777777" w:rsidR="00D12904" w:rsidRPr="006E1229" w:rsidRDefault="00D12904" w:rsidP="00835221">
      <w:pPr>
        <w:pStyle w:val="4-SubsectionHeading"/>
      </w:pPr>
      <w:bookmarkStart w:id="35" w:name="_Hlk76375935"/>
      <w:bookmarkStart w:id="36" w:name="_Toc166210654"/>
      <w:r w:rsidRPr="006E1229">
        <w:t>Sponsor hearing</w:t>
      </w:r>
    </w:p>
    <w:p w14:paraId="55068FDB" w14:textId="618FB048" w:rsidR="00D12904" w:rsidRPr="00836F75" w:rsidRDefault="00D12904" w:rsidP="00D12904">
      <w:pPr>
        <w:widowControl w:val="0"/>
        <w:numPr>
          <w:ilvl w:val="1"/>
          <w:numId w:val="1"/>
        </w:numPr>
        <w:spacing w:after="120"/>
        <w:rPr>
          <w:rFonts w:asciiTheme="minorHAnsi" w:hAnsiTheme="minorHAnsi"/>
          <w:bCs/>
          <w:snapToGrid w:val="0"/>
        </w:rPr>
      </w:pPr>
      <w:bookmarkStart w:id="37" w:name="_Hlk76382586"/>
      <w:r w:rsidRPr="00836F75">
        <w:rPr>
          <w:rFonts w:asciiTheme="minorHAnsi" w:hAnsiTheme="minorHAnsi"/>
          <w:bCs/>
          <w:snapToGrid w:val="0"/>
        </w:rPr>
        <w:t xml:space="preserve">The sponsor requested a hearing for this item. The clinician discussed the natural history of the disease, </w:t>
      </w:r>
      <w:r w:rsidR="00200A2E">
        <w:rPr>
          <w:rFonts w:asciiTheme="minorHAnsi" w:hAnsiTheme="minorHAnsi"/>
          <w:bCs/>
          <w:snapToGrid w:val="0"/>
        </w:rPr>
        <w:t xml:space="preserve">including </w:t>
      </w:r>
      <w:r w:rsidRPr="00836F75">
        <w:rPr>
          <w:rFonts w:asciiTheme="minorHAnsi" w:hAnsiTheme="minorHAnsi"/>
          <w:bCs/>
          <w:snapToGrid w:val="0"/>
        </w:rPr>
        <w:t xml:space="preserve">how </w:t>
      </w:r>
      <w:r w:rsidR="004C1387">
        <w:rPr>
          <w:rFonts w:asciiTheme="minorHAnsi" w:hAnsiTheme="minorHAnsi"/>
          <w:bCs/>
          <w:snapToGrid w:val="0"/>
        </w:rPr>
        <w:t>treatment with odevixibat</w:t>
      </w:r>
      <w:r w:rsidRPr="00836F75">
        <w:rPr>
          <w:rFonts w:asciiTheme="minorHAnsi" w:hAnsiTheme="minorHAnsi"/>
          <w:bCs/>
          <w:snapToGrid w:val="0"/>
        </w:rPr>
        <w:t xml:space="preserve"> would be </w:t>
      </w:r>
      <w:r w:rsidR="004C1387">
        <w:rPr>
          <w:rFonts w:asciiTheme="minorHAnsi" w:hAnsiTheme="minorHAnsi"/>
          <w:bCs/>
          <w:snapToGrid w:val="0"/>
        </w:rPr>
        <w:t xml:space="preserve">initiated, how response would be </w:t>
      </w:r>
      <w:r w:rsidR="00327FC6">
        <w:rPr>
          <w:rFonts w:asciiTheme="minorHAnsi" w:hAnsiTheme="minorHAnsi"/>
          <w:bCs/>
          <w:snapToGrid w:val="0"/>
        </w:rPr>
        <w:t>assessed,</w:t>
      </w:r>
      <w:r w:rsidR="004C1387">
        <w:rPr>
          <w:rFonts w:asciiTheme="minorHAnsi" w:hAnsiTheme="minorHAnsi"/>
          <w:bCs/>
          <w:snapToGrid w:val="0"/>
        </w:rPr>
        <w:t xml:space="preserve"> and </w:t>
      </w:r>
      <w:r w:rsidR="00200A2E">
        <w:rPr>
          <w:rFonts w:asciiTheme="minorHAnsi" w:hAnsiTheme="minorHAnsi"/>
          <w:bCs/>
          <w:snapToGrid w:val="0"/>
        </w:rPr>
        <w:t xml:space="preserve">how </w:t>
      </w:r>
      <w:r w:rsidR="004C1387">
        <w:rPr>
          <w:rFonts w:asciiTheme="minorHAnsi" w:hAnsiTheme="minorHAnsi"/>
          <w:bCs/>
          <w:snapToGrid w:val="0"/>
        </w:rPr>
        <w:t>dosing</w:t>
      </w:r>
      <w:r w:rsidR="00200A2E">
        <w:rPr>
          <w:rFonts w:asciiTheme="minorHAnsi" w:hAnsiTheme="minorHAnsi"/>
          <w:bCs/>
          <w:snapToGrid w:val="0"/>
        </w:rPr>
        <w:t xml:space="preserve"> would be</w:t>
      </w:r>
      <w:r w:rsidR="004C1387">
        <w:rPr>
          <w:rFonts w:asciiTheme="minorHAnsi" w:hAnsiTheme="minorHAnsi"/>
          <w:bCs/>
          <w:snapToGrid w:val="0"/>
        </w:rPr>
        <w:t xml:space="preserve"> escalat</w:t>
      </w:r>
      <w:r w:rsidR="009E425D">
        <w:rPr>
          <w:rFonts w:asciiTheme="minorHAnsi" w:hAnsiTheme="minorHAnsi"/>
          <w:bCs/>
          <w:snapToGrid w:val="0"/>
        </w:rPr>
        <w:t>ed</w:t>
      </w:r>
      <w:r w:rsidR="004C1387">
        <w:rPr>
          <w:rFonts w:asciiTheme="minorHAnsi" w:hAnsiTheme="minorHAnsi"/>
          <w:bCs/>
          <w:snapToGrid w:val="0"/>
        </w:rPr>
        <w:t xml:space="preserve"> in clinical practice</w:t>
      </w:r>
      <w:r w:rsidR="009E425D">
        <w:rPr>
          <w:rFonts w:asciiTheme="minorHAnsi" w:hAnsiTheme="minorHAnsi"/>
          <w:bCs/>
          <w:snapToGrid w:val="0"/>
        </w:rPr>
        <w:t xml:space="preserve">. </w:t>
      </w:r>
      <w:r w:rsidR="00200A2E">
        <w:rPr>
          <w:rFonts w:asciiTheme="minorHAnsi" w:hAnsiTheme="minorHAnsi"/>
          <w:bCs/>
          <w:snapToGrid w:val="0"/>
        </w:rPr>
        <w:t>I</w:t>
      </w:r>
      <w:r w:rsidRPr="00836F75">
        <w:rPr>
          <w:rFonts w:asciiTheme="minorHAnsi" w:hAnsiTheme="minorHAnsi"/>
          <w:bCs/>
          <w:snapToGrid w:val="0"/>
        </w:rPr>
        <w:t>n response to the Committee’s qu</w:t>
      </w:r>
      <w:r>
        <w:rPr>
          <w:rFonts w:asciiTheme="minorHAnsi" w:hAnsiTheme="minorHAnsi"/>
          <w:bCs/>
          <w:snapToGrid w:val="0"/>
        </w:rPr>
        <w:t>estions</w:t>
      </w:r>
      <w:r w:rsidR="009E425D">
        <w:rPr>
          <w:rFonts w:asciiTheme="minorHAnsi" w:hAnsiTheme="minorHAnsi"/>
          <w:bCs/>
          <w:snapToGrid w:val="0"/>
        </w:rPr>
        <w:t xml:space="preserve">, </w:t>
      </w:r>
      <w:r w:rsidR="00200A2E">
        <w:rPr>
          <w:rFonts w:asciiTheme="minorHAnsi" w:hAnsiTheme="minorHAnsi"/>
          <w:bCs/>
          <w:snapToGrid w:val="0"/>
        </w:rPr>
        <w:t xml:space="preserve">the clinician discussed the </w:t>
      </w:r>
      <w:r w:rsidR="009E425D">
        <w:rPr>
          <w:rFonts w:asciiTheme="minorHAnsi" w:hAnsiTheme="minorHAnsi"/>
          <w:bCs/>
          <w:snapToGrid w:val="0"/>
        </w:rPr>
        <w:t xml:space="preserve">role of surgical biliary diversion </w:t>
      </w:r>
      <w:r w:rsidR="00815C6A">
        <w:rPr>
          <w:rFonts w:asciiTheme="minorHAnsi" w:hAnsiTheme="minorHAnsi"/>
          <w:bCs/>
          <w:snapToGrid w:val="0"/>
        </w:rPr>
        <w:t xml:space="preserve">(including PEBD) </w:t>
      </w:r>
      <w:r w:rsidR="009E425D">
        <w:rPr>
          <w:rFonts w:asciiTheme="minorHAnsi" w:hAnsiTheme="minorHAnsi"/>
          <w:bCs/>
          <w:snapToGrid w:val="0"/>
        </w:rPr>
        <w:t xml:space="preserve">in patients who fail to </w:t>
      </w:r>
      <w:r w:rsidR="00815C6A">
        <w:rPr>
          <w:rFonts w:asciiTheme="minorHAnsi" w:hAnsiTheme="minorHAnsi"/>
          <w:bCs/>
          <w:snapToGrid w:val="0"/>
        </w:rPr>
        <w:t xml:space="preserve">adequately </w:t>
      </w:r>
      <w:r w:rsidR="009E425D">
        <w:rPr>
          <w:rFonts w:asciiTheme="minorHAnsi" w:hAnsiTheme="minorHAnsi"/>
          <w:bCs/>
          <w:snapToGrid w:val="0"/>
        </w:rPr>
        <w:t>respond to odevixibat</w:t>
      </w:r>
      <w:r>
        <w:rPr>
          <w:rFonts w:asciiTheme="minorHAnsi" w:hAnsiTheme="minorHAnsi"/>
          <w:bCs/>
          <w:snapToGrid w:val="0"/>
        </w:rPr>
        <w:t>.</w:t>
      </w:r>
      <w:r w:rsidR="00815C6A">
        <w:rPr>
          <w:rFonts w:asciiTheme="minorHAnsi" w:hAnsiTheme="minorHAnsi"/>
          <w:bCs/>
          <w:snapToGrid w:val="0"/>
        </w:rPr>
        <w:t xml:space="preserve"> The clinician stated that there are rare cases where patients who do not achieve a satisfactory response to odevixibat alone </w:t>
      </w:r>
      <w:r w:rsidR="003C7EE0">
        <w:rPr>
          <w:rFonts w:asciiTheme="minorHAnsi" w:hAnsiTheme="minorHAnsi"/>
          <w:bCs/>
          <w:snapToGrid w:val="0"/>
        </w:rPr>
        <w:t xml:space="preserve">have undergone SBD and </w:t>
      </w:r>
      <w:r w:rsidR="009A29AF">
        <w:rPr>
          <w:rFonts w:asciiTheme="minorHAnsi" w:hAnsiTheme="minorHAnsi"/>
          <w:bCs/>
          <w:snapToGrid w:val="0"/>
        </w:rPr>
        <w:t>achieved additional</w:t>
      </w:r>
      <w:r w:rsidR="00815C6A">
        <w:rPr>
          <w:rFonts w:asciiTheme="minorHAnsi" w:hAnsiTheme="minorHAnsi"/>
          <w:bCs/>
          <w:snapToGrid w:val="0"/>
        </w:rPr>
        <w:t xml:space="preserve"> relief of symptoms.</w:t>
      </w:r>
      <w:r w:rsidR="00E53858">
        <w:rPr>
          <w:rFonts w:asciiTheme="minorHAnsi" w:hAnsiTheme="minorHAnsi"/>
          <w:bCs/>
          <w:snapToGrid w:val="0"/>
        </w:rPr>
        <w:t xml:space="preserve"> </w:t>
      </w:r>
      <w:r w:rsidRPr="00836F75">
        <w:rPr>
          <w:rFonts w:asciiTheme="minorHAnsi" w:hAnsiTheme="minorHAnsi"/>
          <w:bCs/>
          <w:snapToGrid w:val="0"/>
        </w:rPr>
        <w:t>The PBAC considered that the hearing was informative as it provided a clinical perspective on treating this uncommon disease.</w:t>
      </w:r>
    </w:p>
    <w:bookmarkEnd w:id="37"/>
    <w:p w14:paraId="63596FBC" w14:textId="6EFF49B9" w:rsidR="00D12904" w:rsidRPr="006E1229" w:rsidRDefault="00D12904" w:rsidP="00835221">
      <w:pPr>
        <w:pStyle w:val="4-SubsectionHeading"/>
      </w:pPr>
      <w:r w:rsidRPr="006E1229">
        <w:t>Consumer comments</w:t>
      </w:r>
    </w:p>
    <w:p w14:paraId="79206ABE" w14:textId="606A9C89" w:rsidR="00D12904" w:rsidRPr="00836F75" w:rsidRDefault="00D12904" w:rsidP="00D12904">
      <w:pPr>
        <w:widowControl w:val="0"/>
        <w:numPr>
          <w:ilvl w:val="1"/>
          <w:numId w:val="1"/>
        </w:numPr>
        <w:spacing w:after="120"/>
        <w:rPr>
          <w:rFonts w:asciiTheme="minorHAnsi" w:hAnsiTheme="minorHAnsi"/>
          <w:bCs/>
          <w:snapToGrid w:val="0"/>
        </w:rPr>
      </w:pPr>
      <w:bookmarkStart w:id="38" w:name="_Hlk76382618"/>
      <w:r w:rsidRPr="00836F75">
        <w:rPr>
          <w:rFonts w:asciiTheme="minorHAnsi" w:hAnsiTheme="minorHAnsi"/>
          <w:bCs/>
          <w:snapToGrid w:val="0"/>
        </w:rPr>
        <w:t>The PBAC noted and welcomed the input from individuals (</w:t>
      </w:r>
      <w:r w:rsidR="00F4076C">
        <w:rPr>
          <w:rFonts w:asciiTheme="minorHAnsi" w:hAnsiTheme="minorHAnsi"/>
          <w:bCs/>
          <w:snapToGrid w:val="0"/>
        </w:rPr>
        <w:t>35</w:t>
      </w:r>
      <w:r w:rsidRPr="00836F75">
        <w:rPr>
          <w:rFonts w:asciiTheme="minorHAnsi" w:hAnsiTheme="minorHAnsi"/>
          <w:bCs/>
          <w:snapToGrid w:val="0"/>
        </w:rPr>
        <w:t>), health care professionals (</w:t>
      </w:r>
      <w:r w:rsidR="007A3DC1">
        <w:rPr>
          <w:rFonts w:asciiTheme="minorHAnsi" w:hAnsiTheme="minorHAnsi"/>
          <w:bCs/>
          <w:snapToGrid w:val="0"/>
        </w:rPr>
        <w:t>4</w:t>
      </w:r>
      <w:r w:rsidRPr="00836F75">
        <w:rPr>
          <w:rFonts w:asciiTheme="minorHAnsi" w:hAnsiTheme="minorHAnsi"/>
          <w:bCs/>
          <w:snapToGrid w:val="0"/>
        </w:rPr>
        <w:t>) and organisations (</w:t>
      </w:r>
      <w:r w:rsidR="007A3DC1">
        <w:rPr>
          <w:rFonts w:asciiTheme="minorHAnsi" w:hAnsiTheme="minorHAnsi"/>
          <w:bCs/>
          <w:snapToGrid w:val="0"/>
        </w:rPr>
        <w:t>3</w:t>
      </w:r>
      <w:r w:rsidRPr="00836F75">
        <w:rPr>
          <w:rFonts w:asciiTheme="minorHAnsi" w:hAnsiTheme="minorHAnsi"/>
          <w:bCs/>
          <w:snapToGrid w:val="0"/>
        </w:rPr>
        <w:t xml:space="preserve">) via the Consumer Comments facility on the PBS website. The comments described a range of benefits of treatment </w:t>
      </w:r>
      <w:r w:rsidRPr="00625768">
        <w:rPr>
          <w:rFonts w:asciiTheme="minorHAnsi" w:hAnsiTheme="minorHAnsi"/>
          <w:bCs/>
          <w:snapToGrid w:val="0"/>
        </w:rPr>
        <w:t xml:space="preserve">with </w:t>
      </w:r>
      <w:r w:rsidR="007A3DC1" w:rsidRPr="00625768">
        <w:rPr>
          <w:rFonts w:asciiTheme="minorHAnsi" w:hAnsiTheme="minorHAnsi"/>
          <w:bCs/>
          <w:snapToGrid w:val="0"/>
        </w:rPr>
        <w:t>odevixibat</w:t>
      </w:r>
      <w:r w:rsidR="00397DEA">
        <w:rPr>
          <w:rFonts w:asciiTheme="minorHAnsi" w:hAnsiTheme="minorHAnsi"/>
          <w:bCs/>
          <w:snapToGrid w:val="0"/>
        </w:rPr>
        <w:t xml:space="preserve">. Health care professionals </w:t>
      </w:r>
      <w:r w:rsidR="00F4076C">
        <w:rPr>
          <w:rFonts w:asciiTheme="minorHAnsi" w:hAnsiTheme="minorHAnsi"/>
          <w:bCs/>
          <w:snapToGrid w:val="0"/>
        </w:rPr>
        <w:t xml:space="preserve">emphasised the lack of alternative therapies, </w:t>
      </w:r>
      <w:r w:rsidR="00397DEA">
        <w:rPr>
          <w:rFonts w:asciiTheme="minorHAnsi" w:hAnsiTheme="minorHAnsi"/>
          <w:bCs/>
          <w:snapToGrid w:val="0"/>
        </w:rPr>
        <w:t xml:space="preserve">the potential for </w:t>
      </w:r>
      <w:r w:rsidR="00F4076C">
        <w:rPr>
          <w:rFonts w:asciiTheme="minorHAnsi" w:hAnsiTheme="minorHAnsi"/>
          <w:bCs/>
          <w:snapToGrid w:val="0"/>
        </w:rPr>
        <w:t xml:space="preserve">significantly </w:t>
      </w:r>
      <w:r w:rsidR="00397DEA">
        <w:rPr>
          <w:rFonts w:asciiTheme="minorHAnsi" w:hAnsiTheme="minorHAnsi"/>
          <w:bCs/>
          <w:snapToGrid w:val="0"/>
        </w:rPr>
        <w:t xml:space="preserve">improved quality of life </w:t>
      </w:r>
      <w:r w:rsidR="00F4076C">
        <w:rPr>
          <w:rFonts w:asciiTheme="minorHAnsi" w:hAnsiTheme="minorHAnsi"/>
          <w:bCs/>
          <w:snapToGrid w:val="0"/>
        </w:rPr>
        <w:t xml:space="preserve">for patients and caregivers with “life </w:t>
      </w:r>
      <w:r w:rsidR="00327FC6">
        <w:rPr>
          <w:rFonts w:asciiTheme="minorHAnsi" w:hAnsiTheme="minorHAnsi"/>
          <w:bCs/>
          <w:snapToGrid w:val="0"/>
        </w:rPr>
        <w:t>changing” reduction</w:t>
      </w:r>
      <w:r w:rsidR="00397DEA">
        <w:rPr>
          <w:rFonts w:asciiTheme="minorHAnsi" w:hAnsiTheme="minorHAnsi"/>
          <w:bCs/>
          <w:snapToGrid w:val="0"/>
        </w:rPr>
        <w:t xml:space="preserve"> or </w:t>
      </w:r>
      <w:r w:rsidR="00625768" w:rsidRPr="00625768">
        <w:rPr>
          <w:rFonts w:asciiTheme="minorHAnsi" w:hAnsiTheme="minorHAnsi"/>
          <w:bCs/>
          <w:snapToGrid w:val="0"/>
        </w:rPr>
        <w:t xml:space="preserve">resolution of </w:t>
      </w:r>
      <w:r w:rsidR="00C8253D">
        <w:rPr>
          <w:rFonts w:asciiTheme="minorHAnsi" w:hAnsiTheme="minorHAnsi"/>
          <w:bCs/>
          <w:snapToGrid w:val="0"/>
        </w:rPr>
        <w:t xml:space="preserve">both </w:t>
      </w:r>
      <w:r w:rsidR="00625768" w:rsidRPr="00625768">
        <w:rPr>
          <w:rFonts w:asciiTheme="minorHAnsi" w:hAnsiTheme="minorHAnsi"/>
          <w:bCs/>
          <w:snapToGrid w:val="0"/>
        </w:rPr>
        <w:t>symptoms</w:t>
      </w:r>
      <w:r w:rsidR="008A3D6D">
        <w:rPr>
          <w:rFonts w:asciiTheme="minorHAnsi" w:hAnsiTheme="minorHAnsi"/>
          <w:bCs/>
          <w:snapToGrid w:val="0"/>
        </w:rPr>
        <w:t xml:space="preserve"> and </w:t>
      </w:r>
      <w:r w:rsidR="00C8253D">
        <w:rPr>
          <w:rFonts w:asciiTheme="minorHAnsi" w:hAnsiTheme="minorHAnsi"/>
          <w:bCs/>
          <w:snapToGrid w:val="0"/>
        </w:rPr>
        <w:t xml:space="preserve">complications of the </w:t>
      </w:r>
      <w:r w:rsidR="008A3D6D">
        <w:rPr>
          <w:rFonts w:asciiTheme="minorHAnsi" w:hAnsiTheme="minorHAnsi"/>
          <w:bCs/>
          <w:snapToGrid w:val="0"/>
        </w:rPr>
        <w:t>disease, the relatively good safety profile (</w:t>
      </w:r>
      <w:r w:rsidR="00B146C3">
        <w:rPr>
          <w:rFonts w:asciiTheme="minorHAnsi" w:hAnsiTheme="minorHAnsi"/>
          <w:bCs/>
          <w:snapToGrid w:val="0"/>
        </w:rPr>
        <w:t xml:space="preserve">common adverse events include </w:t>
      </w:r>
      <w:r w:rsidR="008A3D6D">
        <w:rPr>
          <w:rFonts w:asciiTheme="minorHAnsi" w:hAnsiTheme="minorHAnsi"/>
          <w:bCs/>
          <w:snapToGrid w:val="0"/>
        </w:rPr>
        <w:t>diarrhoea and abdominal pain)</w:t>
      </w:r>
      <w:r w:rsidR="00625768" w:rsidRPr="00625768">
        <w:rPr>
          <w:rFonts w:asciiTheme="minorHAnsi" w:hAnsiTheme="minorHAnsi"/>
          <w:bCs/>
          <w:snapToGrid w:val="0"/>
        </w:rPr>
        <w:t xml:space="preserve">, </w:t>
      </w:r>
      <w:r w:rsidR="008A3D6D">
        <w:rPr>
          <w:rFonts w:asciiTheme="minorHAnsi" w:hAnsiTheme="minorHAnsi"/>
          <w:bCs/>
          <w:snapToGrid w:val="0"/>
        </w:rPr>
        <w:t xml:space="preserve">and a reduction in </w:t>
      </w:r>
      <w:r w:rsidR="00C8253D">
        <w:rPr>
          <w:rFonts w:asciiTheme="minorHAnsi" w:hAnsiTheme="minorHAnsi"/>
          <w:bCs/>
          <w:snapToGrid w:val="0"/>
        </w:rPr>
        <w:t xml:space="preserve">the need for </w:t>
      </w:r>
      <w:r w:rsidR="008A3D6D">
        <w:rPr>
          <w:rFonts w:asciiTheme="minorHAnsi" w:hAnsiTheme="minorHAnsi"/>
          <w:bCs/>
          <w:snapToGrid w:val="0"/>
        </w:rPr>
        <w:t>hospitalisations and surgical interventions</w:t>
      </w:r>
      <w:r w:rsidR="00625768" w:rsidRPr="00625768">
        <w:rPr>
          <w:rFonts w:asciiTheme="minorHAnsi" w:hAnsiTheme="minorHAnsi"/>
          <w:bCs/>
          <w:snapToGrid w:val="0"/>
        </w:rPr>
        <w:t xml:space="preserve">. </w:t>
      </w:r>
      <w:bookmarkStart w:id="39" w:name="_Hlk97141379"/>
      <w:r w:rsidR="00397DEA">
        <w:rPr>
          <w:rFonts w:asciiTheme="minorHAnsi" w:hAnsiTheme="minorHAnsi"/>
          <w:bCs/>
          <w:snapToGrid w:val="0"/>
        </w:rPr>
        <w:t>Consumers commented on</w:t>
      </w:r>
      <w:r w:rsidR="005B202B">
        <w:rPr>
          <w:rFonts w:asciiTheme="minorHAnsi" w:hAnsiTheme="minorHAnsi"/>
          <w:bCs/>
          <w:snapToGrid w:val="0"/>
        </w:rPr>
        <w:t xml:space="preserve"> benefits including </w:t>
      </w:r>
      <w:bookmarkStart w:id="40" w:name="_Hlk171937017"/>
      <w:r w:rsidR="001824B5">
        <w:rPr>
          <w:rFonts w:asciiTheme="minorHAnsi" w:hAnsiTheme="minorHAnsi"/>
          <w:bCs/>
          <w:snapToGrid w:val="0"/>
        </w:rPr>
        <w:t xml:space="preserve">improved quality of life associated with </w:t>
      </w:r>
      <w:r w:rsidR="005B202B">
        <w:rPr>
          <w:rFonts w:asciiTheme="minorHAnsi" w:hAnsiTheme="minorHAnsi"/>
          <w:bCs/>
          <w:snapToGrid w:val="0"/>
        </w:rPr>
        <w:t>reduced itch</w:t>
      </w:r>
      <w:r w:rsidR="001824B5">
        <w:rPr>
          <w:rFonts w:asciiTheme="minorHAnsi" w:hAnsiTheme="minorHAnsi"/>
          <w:bCs/>
          <w:snapToGrid w:val="0"/>
        </w:rPr>
        <w:t>, reduced bleeding due to scratching</w:t>
      </w:r>
      <w:r w:rsidR="005B202B">
        <w:rPr>
          <w:rFonts w:asciiTheme="minorHAnsi" w:hAnsiTheme="minorHAnsi"/>
          <w:bCs/>
          <w:snapToGrid w:val="0"/>
        </w:rPr>
        <w:t>, improved sleep</w:t>
      </w:r>
      <w:r w:rsidR="000D029F">
        <w:rPr>
          <w:rFonts w:asciiTheme="minorHAnsi" w:hAnsiTheme="minorHAnsi"/>
          <w:bCs/>
          <w:snapToGrid w:val="0"/>
        </w:rPr>
        <w:t xml:space="preserve">, reduced anxiety, less growth delay, </w:t>
      </w:r>
      <w:r w:rsidR="005B202B">
        <w:rPr>
          <w:rFonts w:asciiTheme="minorHAnsi" w:hAnsiTheme="minorHAnsi"/>
          <w:bCs/>
          <w:snapToGrid w:val="0"/>
        </w:rPr>
        <w:t xml:space="preserve">improved energy </w:t>
      </w:r>
      <w:r w:rsidR="00463522">
        <w:rPr>
          <w:rFonts w:asciiTheme="minorHAnsi" w:hAnsiTheme="minorHAnsi"/>
          <w:bCs/>
          <w:snapToGrid w:val="0"/>
        </w:rPr>
        <w:t xml:space="preserve">and appetite, </w:t>
      </w:r>
      <w:r w:rsidR="001824B5">
        <w:rPr>
          <w:rFonts w:asciiTheme="minorHAnsi" w:hAnsiTheme="minorHAnsi"/>
          <w:bCs/>
          <w:snapToGrid w:val="0"/>
        </w:rPr>
        <w:t>and an increase in</w:t>
      </w:r>
      <w:r w:rsidR="005B202B">
        <w:rPr>
          <w:rFonts w:asciiTheme="minorHAnsi" w:hAnsiTheme="minorHAnsi"/>
          <w:bCs/>
          <w:snapToGrid w:val="0"/>
        </w:rPr>
        <w:t xml:space="preserve"> ability to attend school and work</w:t>
      </w:r>
      <w:bookmarkEnd w:id="40"/>
      <w:r w:rsidR="005B202B">
        <w:rPr>
          <w:rFonts w:asciiTheme="minorHAnsi" w:hAnsiTheme="minorHAnsi"/>
          <w:bCs/>
          <w:snapToGrid w:val="0"/>
        </w:rPr>
        <w:t>.</w:t>
      </w:r>
      <w:bookmarkEnd w:id="39"/>
      <w:r w:rsidR="00622176">
        <w:rPr>
          <w:rFonts w:asciiTheme="minorHAnsi" w:hAnsiTheme="minorHAnsi"/>
          <w:bCs/>
          <w:snapToGrid w:val="0"/>
        </w:rPr>
        <w:t xml:space="preserve"> </w:t>
      </w:r>
      <w:r w:rsidR="00E71FA8">
        <w:rPr>
          <w:rFonts w:asciiTheme="minorHAnsi" w:hAnsiTheme="minorHAnsi"/>
          <w:bCs/>
          <w:snapToGrid w:val="0"/>
        </w:rPr>
        <w:t>Caregivers described</w:t>
      </w:r>
      <w:r w:rsidR="00325F87">
        <w:rPr>
          <w:rFonts w:asciiTheme="minorHAnsi" w:hAnsiTheme="minorHAnsi"/>
          <w:bCs/>
          <w:snapToGrid w:val="0"/>
        </w:rPr>
        <w:t xml:space="preserve"> that “everything changed for us since our kids are taking (odevixibat)” and that “life changed almost immediately”, highlighting the positive impact of treatment on families.</w:t>
      </w:r>
      <w:r w:rsidR="00E71FA8">
        <w:rPr>
          <w:rFonts w:asciiTheme="minorHAnsi" w:hAnsiTheme="minorHAnsi"/>
          <w:bCs/>
          <w:snapToGrid w:val="0"/>
        </w:rPr>
        <w:t xml:space="preserve"> </w:t>
      </w:r>
      <w:r w:rsidR="008A3D6D">
        <w:rPr>
          <w:rFonts w:asciiTheme="minorHAnsi" w:hAnsiTheme="minorHAnsi"/>
          <w:bCs/>
          <w:snapToGrid w:val="0"/>
        </w:rPr>
        <w:t xml:space="preserve">While many consumers commented on gastrointestinal side effects, tolerability of the treatment was emphasised. </w:t>
      </w:r>
      <w:r w:rsidR="00622176">
        <w:rPr>
          <w:rFonts w:asciiTheme="minorHAnsi" w:hAnsiTheme="minorHAnsi"/>
          <w:bCs/>
          <w:snapToGrid w:val="0"/>
        </w:rPr>
        <w:t>Consumers also commented that odevixibat would save time and money related to traveling to medical appointments associated with diversion surgery or transplant.</w:t>
      </w:r>
    </w:p>
    <w:p w14:paraId="6BABE6FE" w14:textId="630A0EC5" w:rsidR="00D12904" w:rsidRDefault="00D12904" w:rsidP="00D12904">
      <w:pPr>
        <w:widowControl w:val="0"/>
        <w:numPr>
          <w:ilvl w:val="1"/>
          <w:numId w:val="1"/>
        </w:numPr>
        <w:spacing w:after="120"/>
        <w:rPr>
          <w:rFonts w:asciiTheme="minorHAnsi" w:hAnsiTheme="minorHAnsi"/>
          <w:bCs/>
          <w:snapToGrid w:val="0"/>
        </w:rPr>
      </w:pPr>
      <w:r w:rsidRPr="00836F75">
        <w:rPr>
          <w:rFonts w:asciiTheme="minorHAnsi" w:hAnsiTheme="minorHAnsi"/>
          <w:bCs/>
          <w:snapToGrid w:val="0"/>
        </w:rPr>
        <w:t xml:space="preserve">The PBAC noted the advice received from </w:t>
      </w:r>
      <w:r w:rsidR="007A3DC1">
        <w:rPr>
          <w:rFonts w:asciiTheme="minorHAnsi" w:hAnsiTheme="minorHAnsi"/>
          <w:bCs/>
          <w:snapToGrid w:val="0"/>
        </w:rPr>
        <w:t>PFIC Network, PFIC and Related Disorders Australia</w:t>
      </w:r>
      <w:r w:rsidR="009649BA">
        <w:rPr>
          <w:rFonts w:asciiTheme="minorHAnsi" w:hAnsiTheme="minorHAnsi"/>
          <w:bCs/>
          <w:snapToGrid w:val="0"/>
        </w:rPr>
        <w:t xml:space="preserve">, and Liver Foundation </w:t>
      </w:r>
      <w:r w:rsidR="000C5271">
        <w:rPr>
          <w:rFonts w:asciiTheme="minorHAnsi" w:hAnsiTheme="minorHAnsi"/>
          <w:bCs/>
          <w:snapToGrid w:val="0"/>
        </w:rPr>
        <w:t xml:space="preserve">stating </w:t>
      </w:r>
      <w:r w:rsidR="009649BA">
        <w:rPr>
          <w:rFonts w:asciiTheme="minorHAnsi" w:hAnsiTheme="minorHAnsi"/>
          <w:bCs/>
          <w:snapToGrid w:val="0"/>
        </w:rPr>
        <w:t xml:space="preserve">that PFIC </w:t>
      </w:r>
      <w:r w:rsidR="000C5271">
        <w:rPr>
          <w:rFonts w:asciiTheme="minorHAnsi" w:hAnsiTheme="minorHAnsi"/>
          <w:bCs/>
          <w:snapToGrid w:val="0"/>
        </w:rPr>
        <w:t xml:space="preserve">often </w:t>
      </w:r>
      <w:r w:rsidR="009649BA">
        <w:rPr>
          <w:rFonts w:asciiTheme="minorHAnsi" w:hAnsiTheme="minorHAnsi"/>
          <w:bCs/>
          <w:snapToGrid w:val="0"/>
        </w:rPr>
        <w:t>result</w:t>
      </w:r>
      <w:r w:rsidR="000C5271">
        <w:rPr>
          <w:rFonts w:asciiTheme="minorHAnsi" w:hAnsiTheme="minorHAnsi"/>
          <w:bCs/>
          <w:snapToGrid w:val="0"/>
        </w:rPr>
        <w:t>s</w:t>
      </w:r>
      <w:r w:rsidR="009649BA">
        <w:rPr>
          <w:rFonts w:asciiTheme="minorHAnsi" w:hAnsiTheme="minorHAnsi"/>
          <w:bCs/>
          <w:snapToGrid w:val="0"/>
        </w:rPr>
        <w:t xml:space="preserve"> in</w:t>
      </w:r>
      <w:r w:rsidR="00370251">
        <w:rPr>
          <w:rFonts w:asciiTheme="minorHAnsi" w:hAnsiTheme="minorHAnsi"/>
          <w:bCs/>
          <w:snapToGrid w:val="0"/>
        </w:rPr>
        <w:t xml:space="preserve"> a</w:t>
      </w:r>
      <w:r w:rsidR="008A3D6D">
        <w:rPr>
          <w:rFonts w:asciiTheme="minorHAnsi" w:hAnsiTheme="minorHAnsi"/>
          <w:bCs/>
          <w:snapToGrid w:val="0"/>
        </w:rPr>
        <w:t xml:space="preserve"> </w:t>
      </w:r>
      <w:r w:rsidR="000C5271">
        <w:rPr>
          <w:rFonts w:asciiTheme="minorHAnsi" w:hAnsiTheme="minorHAnsi"/>
          <w:bCs/>
          <w:snapToGrid w:val="0"/>
        </w:rPr>
        <w:t>“</w:t>
      </w:r>
      <w:r w:rsidR="008A3D6D">
        <w:rPr>
          <w:rFonts w:asciiTheme="minorHAnsi" w:hAnsiTheme="minorHAnsi"/>
          <w:bCs/>
          <w:snapToGrid w:val="0"/>
        </w:rPr>
        <w:t>horrendous</w:t>
      </w:r>
      <w:r w:rsidR="00370251">
        <w:rPr>
          <w:rFonts w:asciiTheme="minorHAnsi" w:hAnsiTheme="minorHAnsi"/>
          <w:bCs/>
          <w:snapToGrid w:val="0"/>
        </w:rPr>
        <w:t xml:space="preserve"> itch</w:t>
      </w:r>
      <w:r w:rsidR="000C5271">
        <w:rPr>
          <w:rFonts w:asciiTheme="minorHAnsi" w:hAnsiTheme="minorHAnsi"/>
          <w:bCs/>
          <w:snapToGrid w:val="0"/>
        </w:rPr>
        <w:t>”</w:t>
      </w:r>
      <w:r w:rsidR="00370251">
        <w:rPr>
          <w:rFonts w:asciiTheme="minorHAnsi" w:hAnsiTheme="minorHAnsi"/>
          <w:bCs/>
          <w:snapToGrid w:val="0"/>
        </w:rPr>
        <w:t xml:space="preserve"> that</w:t>
      </w:r>
      <w:r w:rsidR="000C5271">
        <w:rPr>
          <w:rFonts w:asciiTheme="minorHAnsi" w:hAnsiTheme="minorHAnsi"/>
          <w:bCs/>
          <w:snapToGrid w:val="0"/>
        </w:rPr>
        <w:t xml:space="preserve">, </w:t>
      </w:r>
      <w:r w:rsidR="00370251">
        <w:rPr>
          <w:rFonts w:asciiTheme="minorHAnsi" w:hAnsiTheme="minorHAnsi"/>
          <w:bCs/>
          <w:snapToGrid w:val="0"/>
        </w:rPr>
        <w:t xml:space="preserve">in some cases </w:t>
      </w:r>
      <w:r w:rsidR="001732FF">
        <w:rPr>
          <w:rFonts w:asciiTheme="minorHAnsi" w:hAnsiTheme="minorHAnsi"/>
          <w:bCs/>
          <w:snapToGrid w:val="0"/>
        </w:rPr>
        <w:t>may be incessant</w:t>
      </w:r>
      <w:r w:rsidR="000C5271">
        <w:rPr>
          <w:rFonts w:asciiTheme="minorHAnsi" w:hAnsiTheme="minorHAnsi"/>
          <w:bCs/>
          <w:snapToGrid w:val="0"/>
        </w:rPr>
        <w:t xml:space="preserve"> and </w:t>
      </w:r>
      <w:r w:rsidR="00370251">
        <w:rPr>
          <w:rFonts w:asciiTheme="minorHAnsi" w:hAnsiTheme="minorHAnsi"/>
          <w:bCs/>
          <w:snapToGrid w:val="0"/>
        </w:rPr>
        <w:t xml:space="preserve">lead to </w:t>
      </w:r>
      <w:r w:rsidR="000C5271">
        <w:rPr>
          <w:rFonts w:asciiTheme="minorHAnsi" w:hAnsiTheme="minorHAnsi"/>
          <w:bCs/>
          <w:snapToGrid w:val="0"/>
        </w:rPr>
        <w:t xml:space="preserve">continuous </w:t>
      </w:r>
      <w:r w:rsidR="00F46F8C">
        <w:rPr>
          <w:rFonts w:asciiTheme="minorHAnsi" w:hAnsiTheme="minorHAnsi"/>
          <w:bCs/>
          <w:snapToGrid w:val="0"/>
        </w:rPr>
        <w:t xml:space="preserve">scratching and bleeding, </w:t>
      </w:r>
      <w:r w:rsidR="009649BA">
        <w:rPr>
          <w:rFonts w:asciiTheme="minorHAnsi" w:hAnsiTheme="minorHAnsi"/>
          <w:bCs/>
          <w:snapToGrid w:val="0"/>
        </w:rPr>
        <w:t>lack of sleep</w:t>
      </w:r>
      <w:r w:rsidR="00F46F8C">
        <w:rPr>
          <w:rFonts w:asciiTheme="minorHAnsi" w:hAnsiTheme="minorHAnsi"/>
          <w:bCs/>
          <w:snapToGrid w:val="0"/>
        </w:rPr>
        <w:t>, anxiety, depression</w:t>
      </w:r>
      <w:r w:rsidR="00E71FA8">
        <w:rPr>
          <w:rFonts w:asciiTheme="minorHAnsi" w:hAnsiTheme="minorHAnsi"/>
          <w:bCs/>
          <w:snapToGrid w:val="0"/>
        </w:rPr>
        <w:t>,</w:t>
      </w:r>
      <w:r w:rsidR="00F46F8C">
        <w:rPr>
          <w:rFonts w:asciiTheme="minorHAnsi" w:hAnsiTheme="minorHAnsi"/>
          <w:bCs/>
          <w:snapToGrid w:val="0"/>
        </w:rPr>
        <w:t xml:space="preserve"> post-traumatic stress disorder, </w:t>
      </w:r>
      <w:r w:rsidR="00370251">
        <w:rPr>
          <w:rFonts w:asciiTheme="minorHAnsi" w:hAnsiTheme="minorHAnsi"/>
          <w:bCs/>
          <w:snapToGrid w:val="0"/>
        </w:rPr>
        <w:t xml:space="preserve">and </w:t>
      </w:r>
      <w:r w:rsidR="00F46F8C">
        <w:rPr>
          <w:rFonts w:asciiTheme="minorHAnsi" w:hAnsiTheme="minorHAnsi"/>
          <w:bCs/>
          <w:snapToGrid w:val="0"/>
        </w:rPr>
        <w:t xml:space="preserve">ultimately </w:t>
      </w:r>
      <w:r w:rsidR="00370251">
        <w:rPr>
          <w:rFonts w:asciiTheme="minorHAnsi" w:hAnsiTheme="minorHAnsi"/>
          <w:bCs/>
          <w:snapToGrid w:val="0"/>
        </w:rPr>
        <w:t xml:space="preserve">poor quality of life for patients, as well as their families. </w:t>
      </w:r>
      <w:r w:rsidR="00F47C4D">
        <w:rPr>
          <w:rFonts w:asciiTheme="minorHAnsi" w:hAnsiTheme="minorHAnsi"/>
          <w:bCs/>
          <w:snapToGrid w:val="0"/>
        </w:rPr>
        <w:t xml:space="preserve">The advice stated that the itch associated with PFIC has led </w:t>
      </w:r>
      <w:r w:rsidR="00B146C3">
        <w:rPr>
          <w:rFonts w:asciiTheme="minorHAnsi" w:hAnsiTheme="minorHAnsi"/>
          <w:bCs/>
          <w:snapToGrid w:val="0"/>
        </w:rPr>
        <w:t xml:space="preserve">to </w:t>
      </w:r>
      <w:r w:rsidR="00F47C4D">
        <w:rPr>
          <w:rFonts w:asciiTheme="minorHAnsi" w:hAnsiTheme="minorHAnsi"/>
          <w:bCs/>
          <w:snapToGrid w:val="0"/>
        </w:rPr>
        <w:t>job losses</w:t>
      </w:r>
      <w:r w:rsidR="00B146C3">
        <w:rPr>
          <w:rFonts w:asciiTheme="minorHAnsi" w:hAnsiTheme="minorHAnsi"/>
          <w:bCs/>
          <w:snapToGrid w:val="0"/>
        </w:rPr>
        <w:t xml:space="preserve"> and</w:t>
      </w:r>
      <w:r w:rsidR="00F47C4D">
        <w:rPr>
          <w:rFonts w:asciiTheme="minorHAnsi" w:hAnsiTheme="minorHAnsi"/>
          <w:bCs/>
          <w:snapToGrid w:val="0"/>
        </w:rPr>
        <w:t xml:space="preserve"> children being unable to attend school</w:t>
      </w:r>
      <w:r w:rsidR="00B146C3">
        <w:rPr>
          <w:rFonts w:asciiTheme="minorHAnsi" w:hAnsiTheme="minorHAnsi"/>
          <w:bCs/>
          <w:snapToGrid w:val="0"/>
        </w:rPr>
        <w:t xml:space="preserve">. The organisations stated </w:t>
      </w:r>
      <w:r w:rsidR="009A29AF">
        <w:rPr>
          <w:rFonts w:asciiTheme="minorHAnsi" w:hAnsiTheme="minorHAnsi"/>
          <w:bCs/>
          <w:snapToGrid w:val="0"/>
        </w:rPr>
        <w:t>tha</w:t>
      </w:r>
      <w:r w:rsidR="001732FF">
        <w:rPr>
          <w:rFonts w:asciiTheme="minorHAnsi" w:hAnsiTheme="minorHAnsi"/>
          <w:bCs/>
          <w:snapToGrid w:val="0"/>
        </w:rPr>
        <w:t xml:space="preserve">t </w:t>
      </w:r>
      <w:r w:rsidR="00B146C3">
        <w:rPr>
          <w:rFonts w:asciiTheme="minorHAnsi" w:hAnsiTheme="minorHAnsi"/>
          <w:bCs/>
          <w:snapToGrid w:val="0"/>
        </w:rPr>
        <w:t>the</w:t>
      </w:r>
      <w:r w:rsidR="001732FF">
        <w:rPr>
          <w:rFonts w:asciiTheme="minorHAnsi" w:hAnsiTheme="minorHAnsi"/>
          <w:bCs/>
          <w:snapToGrid w:val="0"/>
        </w:rPr>
        <w:t xml:space="preserve"> PBS listing </w:t>
      </w:r>
      <w:r w:rsidR="00B146C3">
        <w:rPr>
          <w:rFonts w:asciiTheme="minorHAnsi" w:hAnsiTheme="minorHAnsi"/>
          <w:bCs/>
          <w:snapToGrid w:val="0"/>
        </w:rPr>
        <w:t xml:space="preserve">of odevixibat </w:t>
      </w:r>
      <w:r w:rsidR="001732FF">
        <w:rPr>
          <w:rFonts w:asciiTheme="minorHAnsi" w:hAnsiTheme="minorHAnsi"/>
          <w:bCs/>
          <w:snapToGrid w:val="0"/>
        </w:rPr>
        <w:t>may “potentially reduce the need for costly and risky surgeries</w:t>
      </w:r>
      <w:r w:rsidR="00F47C4D">
        <w:rPr>
          <w:rFonts w:asciiTheme="minorHAnsi" w:hAnsiTheme="minorHAnsi"/>
          <w:bCs/>
          <w:snapToGrid w:val="0"/>
        </w:rPr>
        <w:t>”</w:t>
      </w:r>
      <w:r w:rsidR="00B146C3">
        <w:rPr>
          <w:rFonts w:asciiTheme="minorHAnsi" w:hAnsiTheme="minorHAnsi"/>
          <w:bCs/>
          <w:snapToGrid w:val="0"/>
        </w:rPr>
        <w:t xml:space="preserve">, </w:t>
      </w:r>
      <w:r w:rsidR="00E71FA8">
        <w:rPr>
          <w:rFonts w:asciiTheme="minorHAnsi" w:hAnsiTheme="minorHAnsi"/>
          <w:bCs/>
          <w:snapToGrid w:val="0"/>
        </w:rPr>
        <w:t>noting that</w:t>
      </w:r>
      <w:r w:rsidR="00B146C3">
        <w:rPr>
          <w:rFonts w:asciiTheme="minorHAnsi" w:hAnsiTheme="minorHAnsi"/>
          <w:bCs/>
          <w:snapToGrid w:val="0"/>
        </w:rPr>
        <w:t>,</w:t>
      </w:r>
      <w:r w:rsidR="00E71FA8">
        <w:rPr>
          <w:rFonts w:asciiTheme="minorHAnsi" w:hAnsiTheme="minorHAnsi"/>
          <w:bCs/>
          <w:snapToGrid w:val="0"/>
        </w:rPr>
        <w:t xml:space="preserve"> with respect to </w:t>
      </w:r>
      <w:r w:rsidR="00F46F8C">
        <w:rPr>
          <w:rFonts w:asciiTheme="minorHAnsi" w:hAnsiTheme="minorHAnsi"/>
          <w:bCs/>
          <w:snapToGrid w:val="0"/>
        </w:rPr>
        <w:t>liver transplant</w:t>
      </w:r>
      <w:r w:rsidR="00B146C3">
        <w:rPr>
          <w:rFonts w:asciiTheme="minorHAnsi" w:hAnsiTheme="minorHAnsi"/>
          <w:bCs/>
          <w:snapToGrid w:val="0"/>
        </w:rPr>
        <w:t>,</w:t>
      </w:r>
      <w:r w:rsidR="00F46F8C">
        <w:rPr>
          <w:rFonts w:asciiTheme="minorHAnsi" w:hAnsiTheme="minorHAnsi"/>
          <w:bCs/>
          <w:snapToGrid w:val="0"/>
        </w:rPr>
        <w:t xml:space="preserve"> some patients must wait</w:t>
      </w:r>
      <w:r w:rsidR="00370251">
        <w:rPr>
          <w:rFonts w:asciiTheme="minorHAnsi" w:hAnsiTheme="minorHAnsi"/>
          <w:bCs/>
          <w:snapToGrid w:val="0"/>
        </w:rPr>
        <w:t xml:space="preserve"> </w:t>
      </w:r>
      <w:r w:rsidR="00F46F8C">
        <w:rPr>
          <w:rFonts w:asciiTheme="minorHAnsi" w:hAnsiTheme="minorHAnsi"/>
          <w:bCs/>
          <w:snapToGrid w:val="0"/>
        </w:rPr>
        <w:t>u</w:t>
      </w:r>
      <w:r w:rsidR="00370251">
        <w:rPr>
          <w:rFonts w:asciiTheme="minorHAnsi" w:hAnsiTheme="minorHAnsi"/>
          <w:bCs/>
          <w:snapToGrid w:val="0"/>
        </w:rPr>
        <w:t xml:space="preserve">ntil they are “big enough or weigh enough to be able to handle </w:t>
      </w:r>
      <w:r w:rsidR="00370251">
        <w:rPr>
          <w:rFonts w:asciiTheme="minorHAnsi" w:hAnsiTheme="minorHAnsi"/>
          <w:bCs/>
          <w:snapToGrid w:val="0"/>
        </w:rPr>
        <w:lastRenderedPageBreak/>
        <w:t>it”</w:t>
      </w:r>
      <w:r w:rsidR="00E71FA8">
        <w:rPr>
          <w:rFonts w:asciiTheme="minorHAnsi" w:hAnsiTheme="minorHAnsi"/>
          <w:bCs/>
          <w:snapToGrid w:val="0"/>
        </w:rPr>
        <w:t xml:space="preserve">, and </w:t>
      </w:r>
      <w:r w:rsidR="00F46F8C">
        <w:rPr>
          <w:rFonts w:asciiTheme="minorHAnsi" w:hAnsiTheme="minorHAnsi"/>
          <w:bCs/>
          <w:snapToGrid w:val="0"/>
        </w:rPr>
        <w:t xml:space="preserve">that complications associated with surgery can lead to patients spending a substantial </w:t>
      </w:r>
      <w:r w:rsidR="00E71FA8">
        <w:rPr>
          <w:rFonts w:asciiTheme="minorHAnsi" w:hAnsiTheme="minorHAnsi"/>
          <w:bCs/>
          <w:snapToGrid w:val="0"/>
        </w:rPr>
        <w:t>amount</w:t>
      </w:r>
      <w:r w:rsidR="00F46F8C">
        <w:rPr>
          <w:rFonts w:asciiTheme="minorHAnsi" w:hAnsiTheme="minorHAnsi"/>
          <w:bCs/>
          <w:snapToGrid w:val="0"/>
        </w:rPr>
        <w:t xml:space="preserve"> </w:t>
      </w:r>
      <w:r w:rsidR="00E71FA8">
        <w:rPr>
          <w:rFonts w:asciiTheme="minorHAnsi" w:hAnsiTheme="minorHAnsi"/>
          <w:bCs/>
          <w:snapToGrid w:val="0"/>
        </w:rPr>
        <w:t xml:space="preserve">of time </w:t>
      </w:r>
      <w:r w:rsidR="00F46F8C">
        <w:rPr>
          <w:rFonts w:asciiTheme="minorHAnsi" w:hAnsiTheme="minorHAnsi"/>
          <w:bCs/>
          <w:snapToGrid w:val="0"/>
        </w:rPr>
        <w:t>in hospital.</w:t>
      </w:r>
    </w:p>
    <w:bookmarkEnd w:id="35"/>
    <w:bookmarkEnd w:id="38"/>
    <w:p w14:paraId="5DBA4D92" w14:textId="77777777" w:rsidR="00E5561C" w:rsidRPr="00D33C2C" w:rsidRDefault="00E5561C" w:rsidP="00E5561C">
      <w:pPr>
        <w:pStyle w:val="4-SubsectionHeading"/>
      </w:pPr>
      <w:r w:rsidRPr="00D33C2C">
        <w:t>Clinical trials and studies</w:t>
      </w:r>
      <w:bookmarkEnd w:id="32"/>
      <w:bookmarkEnd w:id="33"/>
      <w:bookmarkEnd w:id="36"/>
    </w:p>
    <w:p w14:paraId="4F3EC244" w14:textId="04F0EE49" w:rsidR="00E5561C" w:rsidRPr="00D33C2C" w:rsidRDefault="00E5561C" w:rsidP="00E5561C">
      <w:pPr>
        <w:pStyle w:val="3-BodyText"/>
      </w:pPr>
      <w:r w:rsidRPr="00D33C2C">
        <w:t>The submission was based on one direct randomised trial comparing odevixibat to placebo (PEDFIC 1, N=62)</w:t>
      </w:r>
      <w:r w:rsidR="00143118">
        <w:t xml:space="preserve">. Supplementary evidence was provided </w:t>
      </w:r>
      <w:r w:rsidRPr="00D33C2C">
        <w:t xml:space="preserve">by one ongoing single arm study (PEDFIC 2, N=69) and one </w:t>
      </w:r>
      <w:r w:rsidR="00870AE7" w:rsidRPr="00D33C2C">
        <w:t>indirect treatment comparison (</w:t>
      </w:r>
      <w:r w:rsidRPr="00D33C2C">
        <w:t>ITC</w:t>
      </w:r>
      <w:r w:rsidR="00870AE7" w:rsidRPr="00D33C2C">
        <w:t>)</w:t>
      </w:r>
      <w:r w:rsidR="006E1E4A">
        <w:t>,</w:t>
      </w:r>
      <w:r w:rsidRPr="00D33C2C">
        <w:t xml:space="preserve"> OvEC</w:t>
      </w:r>
      <w:r w:rsidR="006E1E4A">
        <w:t>,</w:t>
      </w:r>
      <w:r w:rsidRPr="00D33C2C">
        <w:t xml:space="preserve"> comparing odevixibat (based on patients from PEDFIC 1 and </w:t>
      </w:r>
      <w:r w:rsidR="004F2EF4">
        <w:t xml:space="preserve">PEDFIC </w:t>
      </w:r>
      <w:r w:rsidRPr="00D33C2C">
        <w:t xml:space="preserve">2, n=69) to external controls (based on patients from NAPPED, n=80 [Part A] and n=24 [Part B]). </w:t>
      </w:r>
    </w:p>
    <w:p w14:paraId="2AAF7CEF" w14:textId="701A5766" w:rsidR="00E572F7" w:rsidRPr="00D12904" w:rsidRDefault="00E572F7" w:rsidP="00E5561C">
      <w:pPr>
        <w:pStyle w:val="3-BodyText"/>
      </w:pPr>
      <w:r w:rsidRPr="00D33C2C">
        <w:t>PEDFIC 1 recruited patients with genetically confirmed PFIC1 and PFIC2</w:t>
      </w:r>
      <w:r w:rsidR="006566D8" w:rsidRPr="00D33C2C">
        <w:t xml:space="preserve"> aged between </w:t>
      </w:r>
      <w:r w:rsidR="00145646" w:rsidRPr="00D33C2C">
        <w:t>six months and 18-years old who had elevated sBA concentrations (≥</w:t>
      </w:r>
      <w:r w:rsidR="00101071">
        <w:t> </w:t>
      </w:r>
      <w:r w:rsidR="00145646" w:rsidRPr="00D33C2C">
        <w:t>100</w:t>
      </w:r>
      <w:r w:rsidR="00101071">
        <w:t> </w:t>
      </w:r>
      <w:r w:rsidR="00145646" w:rsidRPr="00D33C2C">
        <w:t>µmol/L from an average of two samples at least seven days apart) and a history of significant pruritus</w:t>
      </w:r>
      <w:r w:rsidR="00F93CF7" w:rsidRPr="00D33C2C">
        <w:t xml:space="preserve">. </w:t>
      </w:r>
      <w:r w:rsidR="008277EE">
        <w:t>Patients with other subtypes (</w:t>
      </w:r>
      <w:r w:rsidR="00517DC0">
        <w:t>e.g.</w:t>
      </w:r>
      <w:r w:rsidR="008277EE">
        <w:t xml:space="preserve"> PFIC3) were excluded, which may affect the generalisability of the trial. </w:t>
      </w:r>
      <w:r w:rsidR="00F93CF7" w:rsidRPr="00D33C2C">
        <w:t xml:space="preserve">Patients were randomised to </w:t>
      </w:r>
      <w:r w:rsidR="000A7CED">
        <w:t xml:space="preserve">receive </w:t>
      </w:r>
      <w:r w:rsidR="00F93CF7" w:rsidRPr="00D33C2C">
        <w:t xml:space="preserve">one of odevixibat </w:t>
      </w:r>
      <w:r w:rsidR="00101071" w:rsidRPr="00D33C2C">
        <w:t>40</w:t>
      </w:r>
      <w:r w:rsidR="00101071">
        <w:t> </w:t>
      </w:r>
      <w:r w:rsidR="00F93CF7" w:rsidRPr="00D33C2C">
        <w:t xml:space="preserve">mcg/kg/day, odevixibat </w:t>
      </w:r>
      <w:r w:rsidR="00101071" w:rsidRPr="00D33C2C">
        <w:t>120</w:t>
      </w:r>
      <w:r w:rsidR="00101071">
        <w:t> </w:t>
      </w:r>
      <w:r w:rsidR="00F93CF7" w:rsidRPr="00D33C2C">
        <w:t>mcg/kg/day, or placebo</w:t>
      </w:r>
      <w:r w:rsidR="00143118">
        <w:t xml:space="preserve"> for </w:t>
      </w:r>
      <w:r w:rsidR="00143118" w:rsidRPr="00D12904">
        <w:t>24 weeks</w:t>
      </w:r>
      <w:r w:rsidR="00BA4E5C" w:rsidRPr="00D12904">
        <w:t xml:space="preserve">. </w:t>
      </w:r>
    </w:p>
    <w:p w14:paraId="447D884E" w14:textId="1BF71D62" w:rsidR="0089791C" w:rsidRPr="00D12904" w:rsidRDefault="00E5561C" w:rsidP="00E5561C">
      <w:pPr>
        <w:pStyle w:val="3-BodyText"/>
        <w:rPr>
          <w:color w:val="0066FF"/>
        </w:rPr>
      </w:pPr>
      <w:r w:rsidRPr="00D12904">
        <w:t>PEDFIC 2 recruited patients who rolled over from PEDFIC 1</w:t>
      </w:r>
      <w:r w:rsidR="00F01079" w:rsidRPr="00D12904">
        <w:t>, both odevixibat-treated and placebo patients</w:t>
      </w:r>
      <w:r w:rsidRPr="00D12904">
        <w:t xml:space="preserve"> (Cohort 1</w:t>
      </w:r>
      <w:r w:rsidR="00F1619D" w:rsidRPr="00D12904">
        <w:t>, N=54</w:t>
      </w:r>
      <w:r w:rsidRPr="00D12904">
        <w:t>)</w:t>
      </w:r>
      <w:r w:rsidR="00F01079" w:rsidRPr="00D12904">
        <w:t>,</w:t>
      </w:r>
      <w:r w:rsidRPr="00D12904">
        <w:t xml:space="preserve"> and new PFIC patients</w:t>
      </w:r>
      <w:r w:rsidR="008277EE" w:rsidRPr="00D12904">
        <w:t xml:space="preserve"> who were not considered eligible for PEDFIC 1</w:t>
      </w:r>
      <w:r w:rsidR="00B146C3">
        <w:t xml:space="preserve"> </w:t>
      </w:r>
      <w:r w:rsidR="00B146C3" w:rsidRPr="00D12904">
        <w:t>(Cohort 2, N=16)</w:t>
      </w:r>
      <w:r w:rsidRPr="00D12904">
        <w:t xml:space="preserve">. Patients could be considered as odevixibat-experienced (i.e., </w:t>
      </w:r>
      <w:r w:rsidR="008277EE" w:rsidRPr="00D12904">
        <w:t xml:space="preserve">those from the </w:t>
      </w:r>
      <w:r w:rsidR="00874FCB" w:rsidRPr="00D12904">
        <w:t>40</w:t>
      </w:r>
      <w:r w:rsidR="00874FCB">
        <w:t> </w:t>
      </w:r>
      <w:r w:rsidR="00355E6E" w:rsidRPr="00D12904">
        <w:t xml:space="preserve">mcg/kg/day and </w:t>
      </w:r>
      <w:r w:rsidR="00874FCB" w:rsidRPr="00D12904">
        <w:t>120</w:t>
      </w:r>
      <w:r w:rsidR="00874FCB">
        <w:t> </w:t>
      </w:r>
      <w:r w:rsidR="00355E6E" w:rsidRPr="00D12904">
        <w:t xml:space="preserve">mcg/kg/day </w:t>
      </w:r>
      <w:r w:rsidRPr="00D12904">
        <w:t xml:space="preserve">odevixibat arms </w:t>
      </w:r>
      <w:r w:rsidR="008277EE" w:rsidRPr="00D12904">
        <w:t>of</w:t>
      </w:r>
      <w:r w:rsidRPr="00D12904">
        <w:t xml:space="preserve"> PEDFIC 1, n=34) and odevixibat-naïve (i.e., Cohort</w:t>
      </w:r>
      <w:r w:rsidR="006B48EA">
        <w:t> </w:t>
      </w:r>
      <w:r w:rsidRPr="00D12904">
        <w:t xml:space="preserve">2 </w:t>
      </w:r>
      <w:r w:rsidR="00355E6E" w:rsidRPr="00D12904">
        <w:t>and</w:t>
      </w:r>
      <w:r w:rsidRPr="00D12904">
        <w:t xml:space="preserve"> </w:t>
      </w:r>
      <w:r w:rsidR="008277EE" w:rsidRPr="00D12904">
        <w:t xml:space="preserve">those from the </w:t>
      </w:r>
      <w:r w:rsidRPr="00D12904">
        <w:t xml:space="preserve">placebo arm of PEDFIC 1, n=35). </w:t>
      </w:r>
      <w:r w:rsidR="00530D99" w:rsidRPr="00D12904">
        <w:t xml:space="preserve">The ESC noted that Cohort 2 patients were older than </w:t>
      </w:r>
      <w:r w:rsidR="008277EE" w:rsidRPr="00D12904">
        <w:t xml:space="preserve">those in </w:t>
      </w:r>
      <w:r w:rsidR="00530D99" w:rsidRPr="00D12904">
        <w:t xml:space="preserve">Cohort 1 (7.9 years vs ~4.5 years) and </w:t>
      </w:r>
      <w:r w:rsidR="008277EE" w:rsidRPr="00D12904">
        <w:t xml:space="preserve">that Cohort 2 </w:t>
      </w:r>
      <w:r w:rsidR="00530D99" w:rsidRPr="00D12904">
        <w:t xml:space="preserve">included patients with </w:t>
      </w:r>
      <w:r w:rsidR="008277EE" w:rsidRPr="00D12904">
        <w:t xml:space="preserve">the </w:t>
      </w:r>
      <w:r w:rsidR="00530D99" w:rsidRPr="00D12904">
        <w:t>PFIC3 subtype (5/16, 31%)</w:t>
      </w:r>
      <w:r w:rsidR="008277EE" w:rsidRPr="00D12904">
        <w:t xml:space="preserve">. These differences </w:t>
      </w:r>
      <w:r w:rsidR="00530D99" w:rsidRPr="00D12904">
        <w:t xml:space="preserve">suggested that </w:t>
      </w:r>
      <w:r w:rsidR="008277EE" w:rsidRPr="00D12904">
        <w:t xml:space="preserve">patients in Cohort 2 </w:t>
      </w:r>
      <w:r w:rsidR="00530D99" w:rsidRPr="00D12904">
        <w:t>may have had less severe disease than th</w:t>
      </w:r>
      <w:r w:rsidR="008277EE" w:rsidRPr="00D12904">
        <w:t>os</w:t>
      </w:r>
      <w:r w:rsidR="00530D99" w:rsidRPr="00D12904">
        <w:t xml:space="preserve">e who had </w:t>
      </w:r>
      <w:r w:rsidR="00762E81" w:rsidRPr="00D12904">
        <w:t>previously been enrolled in</w:t>
      </w:r>
      <w:r w:rsidR="00530D99" w:rsidRPr="00D12904">
        <w:t xml:space="preserve"> PEDFIC 1.</w:t>
      </w:r>
    </w:p>
    <w:p w14:paraId="35AF7795" w14:textId="12A7AB00" w:rsidR="00E5561C" w:rsidRPr="00213EF4" w:rsidRDefault="00544DF1" w:rsidP="00E5561C">
      <w:pPr>
        <w:pStyle w:val="3-BodyText"/>
        <w:rPr>
          <w:color w:val="0066FF"/>
        </w:rPr>
      </w:pPr>
      <w:r w:rsidRPr="00D12904">
        <w:t>All patients in PEDFIC 2 were treated with odevixibat 120</w:t>
      </w:r>
      <w:r w:rsidR="006B48EA">
        <w:t> </w:t>
      </w:r>
      <w:r w:rsidRPr="00D12904">
        <w:t xml:space="preserve">mcg/kg/day, irrespective of whether the patient had previously </w:t>
      </w:r>
      <w:r w:rsidR="006E1E4A" w:rsidRPr="00D12904">
        <w:t xml:space="preserve">received or </w:t>
      </w:r>
      <w:r w:rsidRPr="00D12904">
        <w:t>responded to odevixibat.</w:t>
      </w:r>
      <w:r w:rsidR="009D460A" w:rsidRPr="00D12904" w:rsidDel="009D460A">
        <w:t xml:space="preserve"> </w:t>
      </w:r>
      <w:r w:rsidR="009D460A">
        <w:t>T</w:t>
      </w:r>
      <w:r w:rsidR="00B84AB1" w:rsidRPr="00D12904">
        <w:t xml:space="preserve">he </w:t>
      </w:r>
      <w:r w:rsidR="00530D99" w:rsidRPr="00D12904">
        <w:t xml:space="preserve">ESC noted that </w:t>
      </w:r>
      <w:r w:rsidR="00B84AB1" w:rsidRPr="00D12904">
        <w:t xml:space="preserve">dose escalation in PEDFIC 2 </w:t>
      </w:r>
      <w:r w:rsidR="008277EE" w:rsidRPr="00D12904">
        <w:t xml:space="preserve">was </w:t>
      </w:r>
      <w:r w:rsidR="008277EE" w:rsidRPr="00B146C3">
        <w:t>mandated</w:t>
      </w:r>
      <w:r w:rsidR="008277EE" w:rsidRPr="00D12904">
        <w:t xml:space="preserve"> </w:t>
      </w:r>
      <w:r w:rsidR="00E80AA2" w:rsidRPr="00D12904">
        <w:t>irrespective of response</w:t>
      </w:r>
      <w:r w:rsidR="00C245FA">
        <w:t xml:space="preserve"> and </w:t>
      </w:r>
      <w:r w:rsidR="008277EE" w:rsidRPr="00D12904">
        <w:t xml:space="preserve">was not possible to </w:t>
      </w:r>
      <w:r w:rsidR="00517DC0" w:rsidRPr="00D12904">
        <w:t>assess if there was a benefit of increasing the dose from 40</w:t>
      </w:r>
      <w:r w:rsidR="006B48EA">
        <w:t> </w:t>
      </w:r>
      <w:r w:rsidR="00517DC0" w:rsidRPr="00D12904">
        <w:t>mcg/kg/day to 120</w:t>
      </w:r>
      <w:r w:rsidR="006B48EA">
        <w:t> </w:t>
      </w:r>
      <w:r w:rsidR="00517DC0" w:rsidRPr="00D12904">
        <w:t xml:space="preserve">mcg/kg/day. </w:t>
      </w:r>
      <w:r w:rsidR="00A0699C" w:rsidRPr="00D12904">
        <w:t xml:space="preserve">In the economic model, the submission claimed </w:t>
      </w:r>
      <w:r w:rsidR="00B146C3">
        <w:t>assumed</w:t>
      </w:r>
      <w:r w:rsidR="00B146C3" w:rsidRPr="00D12904">
        <w:t xml:space="preserve"> </w:t>
      </w:r>
      <w:r w:rsidR="00A0699C" w:rsidRPr="00D12904">
        <w:t xml:space="preserve">that </w:t>
      </w:r>
      <w:r w:rsidR="000A4B21" w:rsidRPr="00D12904">
        <w:t xml:space="preserve">25% of </w:t>
      </w:r>
      <w:r w:rsidR="00A0699C" w:rsidRPr="00D12904">
        <w:t xml:space="preserve">patients who did not respond to </w:t>
      </w:r>
      <w:r w:rsidR="000A4B21" w:rsidRPr="00D12904">
        <w:t>odevixibat 40</w:t>
      </w:r>
      <w:r w:rsidR="006B48EA">
        <w:t> </w:t>
      </w:r>
      <w:r w:rsidR="000A4B21" w:rsidRPr="00D12904">
        <w:t xml:space="preserve">mcg/kg/day in PEDFIC 1 responded after they were enrolled in PEDFIC 2 and treated with odevixibat </w:t>
      </w:r>
      <w:r w:rsidR="006B48EA" w:rsidRPr="00D12904">
        <w:t>120</w:t>
      </w:r>
      <w:r w:rsidR="006B48EA">
        <w:t> </w:t>
      </w:r>
      <w:r w:rsidR="000A4B21" w:rsidRPr="00D12904">
        <w:t>mcg/kg/day</w:t>
      </w:r>
      <w:r w:rsidR="005A4106" w:rsidRPr="00D12904">
        <w:t xml:space="preserve">. This could not be </w:t>
      </w:r>
      <w:r w:rsidR="008277EE" w:rsidRPr="00D12904">
        <w:t xml:space="preserve">independently </w:t>
      </w:r>
      <w:r w:rsidR="005A4106" w:rsidRPr="00D12904">
        <w:t xml:space="preserve">verified. </w:t>
      </w:r>
      <w:r w:rsidR="007250B6">
        <w:t xml:space="preserve">The </w:t>
      </w:r>
      <w:r w:rsidR="00B146C3">
        <w:t>p</w:t>
      </w:r>
      <w:r w:rsidR="007250B6">
        <w:t>re-PBAC Response stated that the transition to PEDFIC 2 demonstrate</w:t>
      </w:r>
      <w:r w:rsidR="00B146C3">
        <w:t>d</w:t>
      </w:r>
      <w:r w:rsidR="007250B6">
        <w:t xml:space="preserve"> incremental benefit in patients who did not respond on </w:t>
      </w:r>
      <w:r w:rsidR="006B48EA">
        <w:t>40 </w:t>
      </w:r>
      <w:r w:rsidR="007250B6">
        <w:t>mcg/kg</w:t>
      </w:r>
      <w:r w:rsidR="00B146C3">
        <w:t>/day</w:t>
      </w:r>
      <w:r w:rsidR="007250B6">
        <w:t xml:space="preserve"> in PEDFIC 1</w:t>
      </w:r>
      <w:r w:rsidR="00B146C3">
        <w:t xml:space="preserve"> as d</w:t>
      </w:r>
      <w:r w:rsidR="007250B6" w:rsidRPr="00BD73C4">
        <w:t>ose escalati</w:t>
      </w:r>
      <w:r w:rsidR="00B146C3">
        <w:t>o</w:t>
      </w:r>
      <w:r w:rsidR="007250B6" w:rsidRPr="00BD73C4">
        <w:t xml:space="preserve">n to odevixibat </w:t>
      </w:r>
      <w:r w:rsidR="006B48EA" w:rsidRPr="00BD73C4">
        <w:t>120</w:t>
      </w:r>
      <w:r w:rsidR="006B48EA">
        <w:t> </w:t>
      </w:r>
      <w:r w:rsidR="007250B6">
        <w:t>mc</w:t>
      </w:r>
      <w:r w:rsidR="007250B6" w:rsidRPr="00BD73C4">
        <w:t xml:space="preserve">g/kg/day in 9 non-responders </w:t>
      </w:r>
      <w:r w:rsidR="007250B6">
        <w:t>(from the 40</w:t>
      </w:r>
      <w:r w:rsidR="006B48EA">
        <w:t> </w:t>
      </w:r>
      <w:r w:rsidR="007250B6">
        <w:t>mcg/kg</w:t>
      </w:r>
      <w:r w:rsidR="00B146C3">
        <w:t>/day</w:t>
      </w:r>
      <w:r w:rsidR="007250B6">
        <w:t xml:space="preserve"> dose on PEDFIC 1) </w:t>
      </w:r>
      <w:r w:rsidR="007250B6" w:rsidRPr="00BD73C4">
        <w:t xml:space="preserve">resulted in 4 (44%) patients meeting pruritis response at 12 and 24 weeks of treatment. </w:t>
      </w:r>
      <w:r w:rsidR="00B146C3">
        <w:t>The pre-PBAC response also stated that t</w:t>
      </w:r>
      <w:r w:rsidR="007250B6">
        <w:t xml:space="preserve">ransition from odevixibat </w:t>
      </w:r>
      <w:r w:rsidR="006B48EA">
        <w:t>40 </w:t>
      </w:r>
      <w:r w:rsidR="007250B6">
        <w:t>mcg/kg</w:t>
      </w:r>
      <w:r w:rsidR="00B146C3">
        <w:t>/day</w:t>
      </w:r>
      <w:r w:rsidR="007250B6">
        <w:t xml:space="preserve"> in PEDFIC 1 to odevixibat 120</w:t>
      </w:r>
      <w:r w:rsidR="006B48EA">
        <w:t> </w:t>
      </w:r>
      <w:r w:rsidR="007250B6">
        <w:t>mcg/kg</w:t>
      </w:r>
      <w:r w:rsidR="00B146C3">
        <w:t>/day</w:t>
      </w:r>
      <w:r w:rsidR="007250B6">
        <w:t xml:space="preserve"> in PEDFIC 2 resulted in a higher proportion of sBA responders</w:t>
      </w:r>
      <w:r w:rsidR="009D460A">
        <w:t xml:space="preserve">. </w:t>
      </w:r>
    </w:p>
    <w:p w14:paraId="278B508B" w14:textId="2E33D3CB" w:rsidR="00E5561C" w:rsidRPr="00D12904" w:rsidRDefault="00E5561C" w:rsidP="00E5561C">
      <w:pPr>
        <w:pStyle w:val="3-BodyText"/>
        <w:rPr>
          <w:color w:val="0066FF"/>
        </w:rPr>
      </w:pPr>
      <w:r w:rsidRPr="00D12904">
        <w:t>OvEC was conducted in two parts</w:t>
      </w:r>
      <w:r w:rsidR="0015308A" w:rsidRPr="00D12904">
        <w:t>.</w:t>
      </w:r>
      <w:r w:rsidRPr="00D12904">
        <w:t xml:space="preserve"> Part A compared odevixibat to controls who </w:t>
      </w:r>
      <w:r w:rsidR="000A7CED" w:rsidRPr="00D12904">
        <w:t xml:space="preserve">had </w:t>
      </w:r>
      <w:r w:rsidRPr="00D12904">
        <w:t xml:space="preserve">not undergone SBD and Part B compared odevixibat to controls who </w:t>
      </w:r>
      <w:r w:rsidR="000A7CED" w:rsidRPr="00D12904">
        <w:t xml:space="preserve">had </w:t>
      </w:r>
      <w:r w:rsidRPr="00D12904">
        <w:t xml:space="preserve">undergone </w:t>
      </w:r>
      <w:r w:rsidRPr="00D12904">
        <w:lastRenderedPageBreak/>
        <w:t xml:space="preserve">SBD. </w:t>
      </w:r>
      <w:r w:rsidR="003D79E2" w:rsidRPr="00D12904">
        <w:t>In OvEC, inverse probability of treatment weighting</w:t>
      </w:r>
      <w:r w:rsidR="00AA4D73">
        <w:t xml:space="preserve"> (IPTW)</w:t>
      </w:r>
      <w:r w:rsidR="003D79E2" w:rsidRPr="00D12904">
        <w:t xml:space="preserve">, estimated by propensity scores, was used to balance important baseline covariates across cohorts (including age, sex, PFIC type and BSEP genotype, height and weight z-scores, hepatic parameters, and geographic region). </w:t>
      </w:r>
    </w:p>
    <w:p w14:paraId="269DADED" w14:textId="691F087E" w:rsidR="00E5561C" w:rsidRPr="00D12904" w:rsidRDefault="00E5561C" w:rsidP="001772B3">
      <w:pPr>
        <w:pStyle w:val="3-BodyText"/>
      </w:pPr>
      <w:r w:rsidRPr="00D12904">
        <w:rPr>
          <w:snapToGrid/>
        </w:rPr>
        <w:t xml:space="preserve">Details of the PEDFIC 1, PEDFIC 2, and OvEC </w:t>
      </w:r>
      <w:r w:rsidR="000A7CED" w:rsidRPr="00D12904">
        <w:rPr>
          <w:snapToGrid/>
        </w:rPr>
        <w:t xml:space="preserve">studies </w:t>
      </w:r>
      <w:r w:rsidRPr="00D12904">
        <w:rPr>
          <w:snapToGrid/>
        </w:rPr>
        <w:t xml:space="preserve">presented in the submission are provided in the </w:t>
      </w:r>
      <w:r w:rsidRPr="00D12904">
        <w:rPr>
          <w:snapToGrid/>
        </w:rPr>
        <w:fldChar w:fldCharType="begin"/>
      </w:r>
      <w:r w:rsidRPr="00D12904">
        <w:rPr>
          <w:snapToGrid/>
        </w:rPr>
        <w:instrText xml:space="preserve"> REF _Ref164608812 \h </w:instrText>
      </w:r>
      <w:r w:rsidR="00D12904" w:rsidRPr="00D12904">
        <w:rPr>
          <w:snapToGrid/>
        </w:rPr>
        <w:instrText xml:space="preserve"> \* MERGEFORMAT </w:instrText>
      </w:r>
      <w:r w:rsidRPr="00D12904">
        <w:rPr>
          <w:snapToGrid/>
        </w:rPr>
      </w:r>
      <w:r w:rsidRPr="00D12904">
        <w:rPr>
          <w:snapToGrid/>
        </w:rPr>
        <w:fldChar w:fldCharType="separate"/>
      </w:r>
      <w:r w:rsidR="008B4717" w:rsidRPr="00D33C2C">
        <w:t xml:space="preserve">Table </w:t>
      </w:r>
      <w:r w:rsidR="008B4717">
        <w:rPr>
          <w:noProof/>
        </w:rPr>
        <w:t>3</w:t>
      </w:r>
      <w:r w:rsidRPr="00D12904">
        <w:rPr>
          <w:snapToGrid/>
        </w:rPr>
        <w:fldChar w:fldCharType="end"/>
      </w:r>
      <w:r w:rsidRPr="00D12904">
        <w:rPr>
          <w:snapToGrid/>
        </w:rPr>
        <w:t xml:space="preserve">. </w:t>
      </w:r>
      <w:r w:rsidR="0015132D" w:rsidRPr="00D12904">
        <w:rPr>
          <w:snapToGrid/>
        </w:rPr>
        <w:t xml:space="preserve">Hansen 2023 reported </w:t>
      </w:r>
      <w:r w:rsidR="007A2037" w:rsidRPr="00D12904">
        <w:rPr>
          <w:snapToGrid/>
        </w:rPr>
        <w:t xml:space="preserve">on OvEC </w:t>
      </w:r>
      <w:r w:rsidR="008325F2" w:rsidRPr="00D12904">
        <w:rPr>
          <w:snapToGrid/>
        </w:rPr>
        <w:t>P</w:t>
      </w:r>
      <w:r w:rsidR="007A2037" w:rsidRPr="00D12904">
        <w:rPr>
          <w:snapToGrid/>
        </w:rPr>
        <w:t xml:space="preserve">art A only. </w:t>
      </w:r>
      <w:r w:rsidR="0015132D" w:rsidRPr="00D12904">
        <w:rPr>
          <w:snapToGrid/>
        </w:rPr>
        <w:t>There were no publications for OvEC</w:t>
      </w:r>
      <w:r w:rsidR="007A2037" w:rsidRPr="00D12904">
        <w:rPr>
          <w:snapToGrid/>
        </w:rPr>
        <w:t xml:space="preserve"> Part B, and all data provided was from a </w:t>
      </w:r>
      <w:r w:rsidR="00132E71" w:rsidRPr="00D12904">
        <w:rPr>
          <w:snapToGrid/>
        </w:rPr>
        <w:t xml:space="preserve">conference </w:t>
      </w:r>
      <w:r w:rsidR="007A2037" w:rsidRPr="00D12904">
        <w:rPr>
          <w:snapToGrid/>
        </w:rPr>
        <w:t>presentation included in the submission</w:t>
      </w:r>
      <w:r w:rsidR="006E1E4A" w:rsidRPr="00D12904">
        <w:rPr>
          <w:snapToGrid/>
        </w:rPr>
        <w:t>. A</w:t>
      </w:r>
      <w:r w:rsidR="007A2037" w:rsidRPr="00D12904">
        <w:rPr>
          <w:snapToGrid/>
        </w:rPr>
        <w:t xml:space="preserve">s such, </w:t>
      </w:r>
      <w:r w:rsidR="008325F2" w:rsidRPr="00D12904">
        <w:rPr>
          <w:snapToGrid/>
        </w:rPr>
        <w:t>results from OvEC Part B could not be verified during the evaluation.</w:t>
      </w:r>
    </w:p>
    <w:p w14:paraId="0A26373D" w14:textId="047FF36F" w:rsidR="00E5561C" w:rsidRPr="00D33C2C" w:rsidRDefault="00E5561C" w:rsidP="001772B3">
      <w:pPr>
        <w:pStyle w:val="TableFigureHeading"/>
        <w:keepLines/>
        <w:rPr>
          <w:rStyle w:val="CommentReference"/>
          <w:b/>
          <w:szCs w:val="24"/>
        </w:rPr>
      </w:pPr>
      <w:bookmarkStart w:id="41" w:name="_Ref164608812"/>
      <w:r w:rsidRPr="00D33C2C">
        <w:t xml:space="preserve">Table </w:t>
      </w:r>
      <w:r w:rsidR="00DF1200">
        <w:fldChar w:fldCharType="begin"/>
      </w:r>
      <w:r w:rsidR="00DF1200">
        <w:instrText xml:space="preserve"> SEQ Table \* ARABIC </w:instrText>
      </w:r>
      <w:r w:rsidR="00DF1200">
        <w:fldChar w:fldCharType="separate"/>
      </w:r>
      <w:r w:rsidR="008B4717">
        <w:rPr>
          <w:noProof/>
        </w:rPr>
        <w:t>3</w:t>
      </w:r>
      <w:r w:rsidR="00DF1200">
        <w:rPr>
          <w:noProof/>
        </w:rPr>
        <w:fldChar w:fldCharType="end"/>
      </w:r>
      <w:bookmarkEnd w:id="41"/>
      <w:r w:rsidRPr="00D33C2C">
        <w:rPr>
          <w:rStyle w:val="CommentReference"/>
          <w:b/>
          <w:szCs w:val="24"/>
        </w:rPr>
        <w:t>: Trials, studies,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studies, and associated reports presented in the submission"/>
      </w:tblPr>
      <w:tblGrid>
        <w:gridCol w:w="1434"/>
        <w:gridCol w:w="4373"/>
        <w:gridCol w:w="3210"/>
      </w:tblGrid>
      <w:tr w:rsidR="00E5561C" w:rsidRPr="00D33C2C" w14:paraId="3A27F5FC" w14:textId="77777777" w:rsidTr="001772B3">
        <w:trPr>
          <w:cantSplit/>
          <w:tblHeader/>
        </w:trPr>
        <w:tc>
          <w:tcPr>
            <w:tcW w:w="795" w:type="pct"/>
            <w:vAlign w:val="center"/>
          </w:tcPr>
          <w:p w14:paraId="7721E657" w14:textId="77777777" w:rsidR="00E5561C" w:rsidRPr="00D33C2C" w:rsidRDefault="00E5561C" w:rsidP="001772B3">
            <w:pPr>
              <w:pStyle w:val="In-tableHeading"/>
              <w:keepLines/>
              <w:rPr>
                <w:lang w:val="en-AU"/>
              </w:rPr>
            </w:pPr>
            <w:r w:rsidRPr="00D33C2C">
              <w:rPr>
                <w:lang w:val="en-AU"/>
              </w:rPr>
              <w:t>Trial ID</w:t>
            </w:r>
          </w:p>
        </w:tc>
        <w:tc>
          <w:tcPr>
            <w:tcW w:w="2425" w:type="pct"/>
            <w:vAlign w:val="center"/>
          </w:tcPr>
          <w:p w14:paraId="6A8E86DF" w14:textId="77777777" w:rsidR="00E5561C" w:rsidRPr="00D33C2C" w:rsidRDefault="00E5561C" w:rsidP="001772B3">
            <w:pPr>
              <w:pStyle w:val="In-tableHeading"/>
              <w:keepLines/>
              <w:rPr>
                <w:lang w:val="en-AU"/>
              </w:rPr>
            </w:pPr>
            <w:r w:rsidRPr="00D33C2C">
              <w:rPr>
                <w:lang w:val="en-AU"/>
              </w:rPr>
              <w:t>Protocol title/ Publication title</w:t>
            </w:r>
          </w:p>
        </w:tc>
        <w:tc>
          <w:tcPr>
            <w:tcW w:w="1780" w:type="pct"/>
            <w:vAlign w:val="center"/>
          </w:tcPr>
          <w:p w14:paraId="78D90F2C" w14:textId="77777777" w:rsidR="00E5561C" w:rsidRPr="00D33C2C" w:rsidRDefault="00E5561C" w:rsidP="001772B3">
            <w:pPr>
              <w:pStyle w:val="In-tableHeading"/>
              <w:keepLines/>
              <w:rPr>
                <w:lang w:val="en-AU"/>
              </w:rPr>
            </w:pPr>
            <w:r w:rsidRPr="00D33C2C">
              <w:rPr>
                <w:lang w:val="en-AU"/>
              </w:rPr>
              <w:t>Publication citation</w:t>
            </w:r>
          </w:p>
        </w:tc>
      </w:tr>
      <w:tr w:rsidR="00E5561C" w:rsidRPr="00D33C2C" w14:paraId="51191E1D" w14:textId="77777777" w:rsidTr="001772B3">
        <w:trPr>
          <w:cantSplit/>
        </w:trPr>
        <w:tc>
          <w:tcPr>
            <w:tcW w:w="795" w:type="pct"/>
            <w:vMerge w:val="restart"/>
            <w:vAlign w:val="center"/>
          </w:tcPr>
          <w:p w14:paraId="2A1486B6" w14:textId="77777777" w:rsidR="00E5561C" w:rsidRPr="00D33C2C" w:rsidRDefault="00E5561C" w:rsidP="001772B3">
            <w:pPr>
              <w:pStyle w:val="TableText0"/>
              <w:keepLines/>
            </w:pPr>
            <w:r w:rsidRPr="00D33C2C">
              <w:t xml:space="preserve">PEDFIC1 </w:t>
            </w:r>
          </w:p>
          <w:p w14:paraId="7080B680" w14:textId="77777777" w:rsidR="00E5561C" w:rsidRPr="00D33C2C" w:rsidRDefault="00E5561C" w:rsidP="001772B3">
            <w:pPr>
              <w:pStyle w:val="TableText0"/>
              <w:keepLines/>
              <w:rPr>
                <w:rFonts w:ascii="Times" w:hAnsi="Times"/>
              </w:rPr>
            </w:pPr>
            <w:r w:rsidRPr="00D33C2C">
              <w:t>NCT03566238</w:t>
            </w:r>
          </w:p>
        </w:tc>
        <w:tc>
          <w:tcPr>
            <w:tcW w:w="2425" w:type="pct"/>
            <w:tcBorders>
              <w:bottom w:val="nil"/>
            </w:tcBorders>
            <w:vAlign w:val="center"/>
          </w:tcPr>
          <w:p w14:paraId="14E64A28" w14:textId="77777777" w:rsidR="00E5561C" w:rsidRPr="00D33C2C" w:rsidRDefault="00E5561C" w:rsidP="001772B3">
            <w:pPr>
              <w:pStyle w:val="TableText0"/>
              <w:keepLines/>
            </w:pPr>
            <w:r w:rsidRPr="00D33C2C">
              <w:t xml:space="preserve">PEDFIC 1 Clinical Study Report. Odevixibat treatment in progressive familial intrahepatic </w:t>
            </w:r>
          </w:p>
          <w:p w14:paraId="61B7AB88" w14:textId="77777777" w:rsidR="00E5561C" w:rsidRPr="00D33C2C" w:rsidRDefault="00E5561C" w:rsidP="001772B3">
            <w:pPr>
              <w:pStyle w:val="TableText0"/>
              <w:keepLines/>
            </w:pPr>
            <w:r w:rsidRPr="00D33C2C">
              <w:t>cholestasis: a randomised, placebo-controlled, phase 3 trial</w:t>
            </w:r>
          </w:p>
        </w:tc>
        <w:tc>
          <w:tcPr>
            <w:tcW w:w="1780" w:type="pct"/>
            <w:tcBorders>
              <w:bottom w:val="nil"/>
            </w:tcBorders>
          </w:tcPr>
          <w:p w14:paraId="5E3C79CA" w14:textId="77777777" w:rsidR="00E5561C" w:rsidRPr="00680E89" w:rsidRDefault="00E5561C" w:rsidP="001772B3">
            <w:pPr>
              <w:pStyle w:val="TableText0"/>
              <w:keepLines/>
              <w:rPr>
                <w:rFonts w:ascii="Times" w:hAnsi="Times"/>
              </w:rPr>
            </w:pPr>
            <w:r w:rsidRPr="00680E89">
              <w:t>September 2022</w:t>
            </w:r>
          </w:p>
        </w:tc>
      </w:tr>
      <w:tr w:rsidR="00E5561C" w:rsidRPr="00D33C2C" w14:paraId="537FCCF1" w14:textId="77777777" w:rsidTr="001772B3">
        <w:trPr>
          <w:cantSplit/>
        </w:trPr>
        <w:tc>
          <w:tcPr>
            <w:tcW w:w="795" w:type="pct"/>
            <w:vMerge/>
            <w:vAlign w:val="center"/>
          </w:tcPr>
          <w:p w14:paraId="4BA50F4F" w14:textId="77777777" w:rsidR="00E5561C" w:rsidRPr="00D33C2C" w:rsidRDefault="00E5561C" w:rsidP="001772B3">
            <w:pPr>
              <w:pStyle w:val="TableText0"/>
              <w:keepLines/>
            </w:pPr>
          </w:p>
        </w:tc>
        <w:tc>
          <w:tcPr>
            <w:tcW w:w="2425" w:type="pct"/>
            <w:tcBorders>
              <w:top w:val="nil"/>
              <w:bottom w:val="nil"/>
            </w:tcBorders>
            <w:vAlign w:val="center"/>
          </w:tcPr>
          <w:p w14:paraId="16491C33" w14:textId="77777777" w:rsidR="00E5561C" w:rsidRPr="00D33C2C" w:rsidRDefault="00E5561C" w:rsidP="001772B3">
            <w:pPr>
              <w:pStyle w:val="TableText0"/>
              <w:keepLines/>
            </w:pPr>
            <w:r w:rsidRPr="00D33C2C">
              <w:t>Thompson RJ, Arnell H, Artan R, Baumann U, Calvo PL, Czubkowski P, et al. Odevixibat treatment in progressive familial intrahepatic cholestasis: a randomised, placebo-controlled, phase 3 trial.</w:t>
            </w:r>
          </w:p>
        </w:tc>
        <w:tc>
          <w:tcPr>
            <w:tcW w:w="1780" w:type="pct"/>
            <w:tcBorders>
              <w:top w:val="nil"/>
              <w:bottom w:val="nil"/>
            </w:tcBorders>
          </w:tcPr>
          <w:p w14:paraId="0DCB837B" w14:textId="77777777" w:rsidR="00E5561C" w:rsidRPr="00680E89" w:rsidRDefault="00E5561C" w:rsidP="001772B3">
            <w:pPr>
              <w:pStyle w:val="TableText0"/>
              <w:keepLines/>
            </w:pPr>
            <w:r w:rsidRPr="00680E89">
              <w:t>Lancet Gastroenterol Hepatol. 2022 Sep. 7(9):830-842. doi: 10.1016/S2468-1253(22)00093-0. Epub 2022 Jul 1. PMID: 35780807</w:t>
            </w:r>
          </w:p>
        </w:tc>
      </w:tr>
      <w:tr w:rsidR="00E5561C" w:rsidRPr="00D33C2C" w14:paraId="65709606" w14:textId="77777777" w:rsidTr="001772B3">
        <w:trPr>
          <w:cantSplit/>
        </w:trPr>
        <w:tc>
          <w:tcPr>
            <w:tcW w:w="795" w:type="pct"/>
            <w:vMerge w:val="restart"/>
            <w:vAlign w:val="center"/>
          </w:tcPr>
          <w:p w14:paraId="68E6096C" w14:textId="77777777" w:rsidR="00E5561C" w:rsidRPr="00D33C2C" w:rsidRDefault="00E5561C" w:rsidP="001772B3">
            <w:pPr>
              <w:pStyle w:val="TableText0"/>
              <w:keepLines/>
            </w:pPr>
            <w:r w:rsidRPr="00D33C2C">
              <w:t>PEDFIC2</w:t>
            </w:r>
          </w:p>
          <w:p w14:paraId="5C046633" w14:textId="77777777" w:rsidR="00E5561C" w:rsidRPr="00D33C2C" w:rsidRDefault="00E5561C" w:rsidP="001772B3">
            <w:pPr>
              <w:pStyle w:val="TableText0"/>
              <w:keepLines/>
              <w:rPr>
                <w:rFonts w:ascii="Times" w:hAnsi="Times"/>
              </w:rPr>
            </w:pPr>
            <w:r w:rsidRPr="00D33C2C">
              <w:t>NCT03659916</w:t>
            </w:r>
          </w:p>
        </w:tc>
        <w:tc>
          <w:tcPr>
            <w:tcW w:w="2425" w:type="pct"/>
            <w:tcBorders>
              <w:bottom w:val="nil"/>
            </w:tcBorders>
            <w:vAlign w:val="center"/>
          </w:tcPr>
          <w:p w14:paraId="2FD196EF" w14:textId="77777777" w:rsidR="00E5561C" w:rsidRPr="00D33C2C" w:rsidRDefault="00E5561C" w:rsidP="001772B3">
            <w:pPr>
              <w:pStyle w:val="TableText0"/>
              <w:keepLines/>
            </w:pPr>
            <w:r w:rsidRPr="00D33C2C">
              <w:t xml:space="preserve">PEDFIC 2 Clinical Study Report. </w:t>
            </w:r>
            <w:r w:rsidRPr="00D33C2C">
              <w:rPr>
                <w:szCs w:val="18"/>
              </w:rPr>
              <w:t>An Open-label Extension Study to Evaluate Long-term Efficacy and Safety of A4250 in Children With Progressive Familial Intrahepatic Cholestasis Types 1 and 2 (PEDFIC 2)</w:t>
            </w:r>
          </w:p>
        </w:tc>
        <w:tc>
          <w:tcPr>
            <w:tcW w:w="1780" w:type="pct"/>
            <w:tcBorders>
              <w:bottom w:val="nil"/>
            </w:tcBorders>
          </w:tcPr>
          <w:p w14:paraId="16981197" w14:textId="77777777" w:rsidR="00E5561C" w:rsidRPr="00680E89" w:rsidRDefault="00E5561C" w:rsidP="001772B3">
            <w:pPr>
              <w:pStyle w:val="TableText0"/>
              <w:keepLines/>
            </w:pPr>
            <w:r w:rsidRPr="00680E89">
              <w:t xml:space="preserve">Ongoing, last update March 2024 </w:t>
            </w:r>
          </w:p>
          <w:p w14:paraId="62E77B43" w14:textId="77777777" w:rsidR="00E5561C" w:rsidRPr="00680E89" w:rsidRDefault="00E5561C" w:rsidP="001772B3">
            <w:pPr>
              <w:pStyle w:val="TableText0"/>
              <w:keepLines/>
            </w:pPr>
            <w:r w:rsidRPr="00680E89">
              <w:t>Interim analysis presented in the CSR was as of 15 July 2020</w:t>
            </w:r>
          </w:p>
        </w:tc>
      </w:tr>
      <w:tr w:rsidR="00E5561C" w:rsidRPr="00D33C2C" w14:paraId="0513F147" w14:textId="77777777" w:rsidTr="001772B3">
        <w:trPr>
          <w:cantSplit/>
        </w:trPr>
        <w:tc>
          <w:tcPr>
            <w:tcW w:w="795" w:type="pct"/>
            <w:vMerge/>
            <w:vAlign w:val="center"/>
          </w:tcPr>
          <w:p w14:paraId="2B385878" w14:textId="77777777" w:rsidR="00E5561C" w:rsidRPr="00D33C2C" w:rsidRDefault="00E5561C" w:rsidP="001772B3">
            <w:pPr>
              <w:pStyle w:val="TableText0"/>
              <w:keepLines/>
            </w:pPr>
          </w:p>
        </w:tc>
        <w:tc>
          <w:tcPr>
            <w:tcW w:w="2425" w:type="pct"/>
            <w:tcBorders>
              <w:top w:val="nil"/>
              <w:bottom w:val="single" w:sz="4" w:space="0" w:color="auto"/>
            </w:tcBorders>
            <w:vAlign w:val="center"/>
          </w:tcPr>
          <w:p w14:paraId="2BA6C9D6" w14:textId="77777777" w:rsidR="00E5561C" w:rsidRPr="00D33C2C" w:rsidRDefault="00E5561C" w:rsidP="001772B3">
            <w:pPr>
              <w:pStyle w:val="TableText0"/>
              <w:keepLines/>
            </w:pPr>
            <w:r w:rsidRPr="00D33C2C">
              <w:rPr>
                <w:szCs w:val="18"/>
              </w:rPr>
              <w:t>Thompson RJ, Artan R, Baumann U, Calvo PL, Czubkowski P, Dalgic B, et al. I</w:t>
            </w:r>
            <w:r w:rsidRPr="00D33C2C">
              <w:t>nterim results from an ongoing, open-label, single-arm trial of odevixibat in progressive familial intrahepatic cholestasis</w:t>
            </w:r>
          </w:p>
        </w:tc>
        <w:tc>
          <w:tcPr>
            <w:tcW w:w="1780" w:type="pct"/>
            <w:tcBorders>
              <w:top w:val="nil"/>
              <w:bottom w:val="single" w:sz="4" w:space="0" w:color="auto"/>
            </w:tcBorders>
          </w:tcPr>
          <w:p w14:paraId="3899F334" w14:textId="77777777" w:rsidR="00E5561C" w:rsidRPr="00680E89" w:rsidRDefault="00E5561C" w:rsidP="001772B3">
            <w:pPr>
              <w:pStyle w:val="TableText0"/>
              <w:keepLines/>
            </w:pPr>
            <w:r w:rsidRPr="00680E89">
              <w:t>JHEP Reports, 5 (8): 100782. 29 April 2023 https://doi.org/10.1016/j.jhepr.2023.100782</w:t>
            </w:r>
          </w:p>
        </w:tc>
      </w:tr>
      <w:tr w:rsidR="00E5561C" w:rsidRPr="00D33C2C" w14:paraId="10CE40D3" w14:textId="77777777" w:rsidTr="001772B3">
        <w:trPr>
          <w:cantSplit/>
        </w:trPr>
        <w:tc>
          <w:tcPr>
            <w:tcW w:w="795" w:type="pct"/>
            <w:vAlign w:val="center"/>
          </w:tcPr>
          <w:p w14:paraId="691BED08" w14:textId="77777777" w:rsidR="00E5561C" w:rsidRPr="00D33C2C" w:rsidRDefault="00E5561C" w:rsidP="001772B3">
            <w:pPr>
              <w:pStyle w:val="TableText0"/>
              <w:keepLines/>
            </w:pPr>
            <w:r w:rsidRPr="00D33C2C">
              <w:t xml:space="preserve">OvEC </w:t>
            </w:r>
          </w:p>
        </w:tc>
        <w:tc>
          <w:tcPr>
            <w:tcW w:w="2425" w:type="pct"/>
            <w:tcBorders>
              <w:bottom w:val="single" w:sz="4" w:space="0" w:color="auto"/>
            </w:tcBorders>
            <w:vAlign w:val="center"/>
          </w:tcPr>
          <w:p w14:paraId="6F614D9B" w14:textId="77777777" w:rsidR="00E5561C" w:rsidRPr="00D33C2C" w:rsidRDefault="00E5561C" w:rsidP="001772B3">
            <w:pPr>
              <w:pStyle w:val="TableText0"/>
              <w:keepLines/>
              <w:rPr>
                <w:rFonts w:ascii="Times" w:hAnsi="Times"/>
              </w:rPr>
            </w:pPr>
            <w:r w:rsidRPr="00D33C2C">
              <w:rPr>
                <w:szCs w:val="18"/>
              </w:rPr>
              <w:t>Hansen B, Valcheva V, Yu Q, van Wessel DBE, Thompson RJ, Gonzales E, et al. P1</w:t>
            </w:r>
            <w:r w:rsidRPr="00D33C2C">
              <w:rPr>
                <w:rFonts w:ascii="Arial" w:hAnsi="Arial" w:cs="Arial"/>
                <w:szCs w:val="18"/>
              </w:rPr>
              <w:t> </w:t>
            </w:r>
            <w:r w:rsidRPr="00D33C2C">
              <w:rPr>
                <w:szCs w:val="18"/>
              </w:rPr>
              <w:t>Analysis of long-term treatment effects of odevixibat on clinical outcomes in children with progressive familial intrahepatic cholestasis in odevixibat clinical studies vs external controls from the NAPPED database.</w:t>
            </w:r>
          </w:p>
        </w:tc>
        <w:tc>
          <w:tcPr>
            <w:tcW w:w="1780" w:type="pct"/>
            <w:tcBorders>
              <w:bottom w:val="single" w:sz="4" w:space="0" w:color="auto"/>
            </w:tcBorders>
          </w:tcPr>
          <w:p w14:paraId="02EB1D43" w14:textId="518DDD6A" w:rsidR="00E5561C" w:rsidRPr="00680E89" w:rsidRDefault="00E5561C" w:rsidP="001772B3">
            <w:pPr>
              <w:pStyle w:val="TableText0"/>
              <w:keepLines/>
              <w:rPr>
                <w:rFonts w:ascii="Times" w:hAnsi="Times"/>
              </w:rPr>
            </w:pPr>
            <w:r w:rsidRPr="00680E89">
              <w:rPr>
                <w:szCs w:val="18"/>
              </w:rPr>
              <w:t xml:space="preserve">Journal of </w:t>
            </w:r>
            <w:r w:rsidR="008277EE" w:rsidRPr="00680E89">
              <w:rPr>
                <w:szCs w:val="18"/>
              </w:rPr>
              <w:t>Hepatology</w:t>
            </w:r>
            <w:r w:rsidRPr="00680E89">
              <w:rPr>
                <w:szCs w:val="18"/>
              </w:rPr>
              <w:t>, 2023; 72: A13; 10.1136/gutjnl-2023-BASL.17.</w:t>
            </w:r>
          </w:p>
        </w:tc>
      </w:tr>
    </w:tbl>
    <w:p w14:paraId="53999BF2" w14:textId="77777777" w:rsidR="00E5561C" w:rsidRPr="00D33C2C" w:rsidRDefault="00E5561C" w:rsidP="00E230CB">
      <w:pPr>
        <w:pStyle w:val="TableFigureFooter"/>
        <w:rPr>
          <w:sz w:val="20"/>
        </w:rPr>
      </w:pPr>
      <w:r w:rsidRPr="00D33C2C">
        <w:t>Source: ‘Large files’ attachment to the submission</w:t>
      </w:r>
    </w:p>
    <w:p w14:paraId="470073B9" w14:textId="2AE9084F" w:rsidR="00E5561C" w:rsidRPr="00D33C2C" w:rsidRDefault="00E5561C" w:rsidP="00E5561C">
      <w:pPr>
        <w:pStyle w:val="3-BodyText"/>
      </w:pPr>
      <w:r w:rsidRPr="00D33C2C">
        <w:t xml:space="preserve">The key features of the included evidence are summarised in the </w:t>
      </w:r>
      <w:r w:rsidRPr="00D33C2C">
        <w:fldChar w:fldCharType="begin"/>
      </w:r>
      <w:r w:rsidRPr="00D33C2C">
        <w:instrText xml:space="preserve"> REF _Ref164608851 \h </w:instrText>
      </w:r>
      <w:r w:rsidRPr="00D33C2C">
        <w:fldChar w:fldCharType="separate"/>
      </w:r>
      <w:r w:rsidR="008B4717" w:rsidRPr="00D33C2C">
        <w:t xml:space="preserve">Table </w:t>
      </w:r>
      <w:r w:rsidR="008B4717">
        <w:rPr>
          <w:noProof/>
        </w:rPr>
        <w:t>4</w:t>
      </w:r>
      <w:r w:rsidRPr="00D33C2C">
        <w:fldChar w:fldCharType="end"/>
      </w:r>
      <w:r w:rsidRPr="00D33C2C">
        <w:t xml:space="preserve"> below. </w:t>
      </w:r>
    </w:p>
    <w:p w14:paraId="77644DC1" w14:textId="19E44E7B" w:rsidR="00E5561C" w:rsidRPr="00D33C2C" w:rsidRDefault="00E5561C" w:rsidP="00E230CB">
      <w:pPr>
        <w:pStyle w:val="TableFigureHeading"/>
        <w:keepLines/>
        <w:rPr>
          <w:rStyle w:val="CommentReference"/>
          <w:b/>
          <w:szCs w:val="24"/>
        </w:rPr>
      </w:pPr>
      <w:bookmarkStart w:id="42" w:name="_Ref164608851"/>
      <w:r w:rsidRPr="00D33C2C">
        <w:lastRenderedPageBreak/>
        <w:t xml:space="preserve">Table </w:t>
      </w:r>
      <w:r w:rsidR="00DF1200">
        <w:fldChar w:fldCharType="begin"/>
      </w:r>
      <w:r w:rsidR="00DF1200">
        <w:instrText xml:space="preserve"> SEQ Table \* ARABIC </w:instrText>
      </w:r>
      <w:r w:rsidR="00DF1200">
        <w:fldChar w:fldCharType="separate"/>
      </w:r>
      <w:r w:rsidR="008B4717">
        <w:rPr>
          <w:noProof/>
        </w:rPr>
        <w:t>4</w:t>
      </w:r>
      <w:r w:rsidR="00DF1200">
        <w:rPr>
          <w:noProof/>
        </w:rPr>
        <w:fldChar w:fldCharType="end"/>
      </w:r>
      <w:bookmarkEnd w:id="42"/>
      <w:r w:rsidRPr="00D33C2C">
        <w:rPr>
          <w:rStyle w:val="CommentReference"/>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4: Key features of the included evidence"/>
      </w:tblPr>
      <w:tblGrid>
        <w:gridCol w:w="957"/>
        <w:gridCol w:w="2040"/>
        <w:gridCol w:w="840"/>
        <w:gridCol w:w="602"/>
        <w:gridCol w:w="2160"/>
        <w:gridCol w:w="1201"/>
        <w:gridCol w:w="1217"/>
      </w:tblGrid>
      <w:tr w:rsidR="000F0307" w:rsidRPr="00D33C2C" w14:paraId="36C531D4" w14:textId="77777777" w:rsidTr="008277EE">
        <w:trPr>
          <w:cantSplit/>
          <w:tblHeader/>
        </w:trPr>
        <w:tc>
          <w:tcPr>
            <w:tcW w:w="530" w:type="pct"/>
            <w:shd w:val="clear" w:color="auto" w:fill="auto"/>
            <w:vAlign w:val="center"/>
          </w:tcPr>
          <w:p w14:paraId="5E07E53D" w14:textId="77777777" w:rsidR="00E5561C" w:rsidRPr="00D33C2C" w:rsidRDefault="00E5561C" w:rsidP="00E230CB">
            <w:pPr>
              <w:pStyle w:val="In-tableHeading"/>
              <w:keepLines/>
              <w:rPr>
                <w:lang w:val="en-AU"/>
              </w:rPr>
            </w:pPr>
            <w:r w:rsidRPr="00D33C2C">
              <w:rPr>
                <w:lang w:val="en-AU"/>
              </w:rPr>
              <w:t>Trial</w:t>
            </w:r>
          </w:p>
        </w:tc>
        <w:tc>
          <w:tcPr>
            <w:tcW w:w="1131" w:type="pct"/>
            <w:shd w:val="clear" w:color="auto" w:fill="auto"/>
            <w:vAlign w:val="center"/>
          </w:tcPr>
          <w:p w14:paraId="6FF24660" w14:textId="77777777" w:rsidR="00E5561C" w:rsidRPr="00D33C2C" w:rsidRDefault="00E5561C" w:rsidP="00E230CB">
            <w:pPr>
              <w:pStyle w:val="In-tableHeading"/>
              <w:keepLines/>
              <w:jc w:val="center"/>
              <w:rPr>
                <w:lang w:val="en-AU"/>
              </w:rPr>
            </w:pPr>
            <w:r w:rsidRPr="00D33C2C">
              <w:rPr>
                <w:lang w:val="en-AU"/>
              </w:rPr>
              <w:t>N</w:t>
            </w:r>
          </w:p>
        </w:tc>
        <w:tc>
          <w:tcPr>
            <w:tcW w:w="466" w:type="pct"/>
            <w:shd w:val="clear" w:color="auto" w:fill="auto"/>
            <w:vAlign w:val="center"/>
          </w:tcPr>
          <w:p w14:paraId="3C82BC53" w14:textId="77777777" w:rsidR="00E5561C" w:rsidRPr="00D33C2C" w:rsidRDefault="00E5561C" w:rsidP="00E230CB">
            <w:pPr>
              <w:pStyle w:val="In-tableHeading"/>
              <w:keepLines/>
              <w:jc w:val="center"/>
              <w:rPr>
                <w:lang w:val="en-AU"/>
              </w:rPr>
            </w:pPr>
            <w:r w:rsidRPr="00D33C2C">
              <w:rPr>
                <w:lang w:val="en-AU"/>
              </w:rPr>
              <w:t>Design/ duration</w:t>
            </w:r>
          </w:p>
        </w:tc>
        <w:tc>
          <w:tcPr>
            <w:tcW w:w="334" w:type="pct"/>
            <w:shd w:val="clear" w:color="auto" w:fill="auto"/>
            <w:vAlign w:val="center"/>
          </w:tcPr>
          <w:p w14:paraId="7E7F81E8" w14:textId="77777777" w:rsidR="00E5561C" w:rsidRPr="00D33C2C" w:rsidRDefault="00E5561C" w:rsidP="00E230CB">
            <w:pPr>
              <w:pStyle w:val="In-tableHeading"/>
              <w:keepLines/>
              <w:jc w:val="center"/>
              <w:rPr>
                <w:lang w:val="en-AU"/>
              </w:rPr>
            </w:pPr>
            <w:r w:rsidRPr="00D33C2C">
              <w:rPr>
                <w:lang w:val="en-AU"/>
              </w:rPr>
              <w:t>Risk of bias</w:t>
            </w:r>
          </w:p>
        </w:tc>
        <w:tc>
          <w:tcPr>
            <w:tcW w:w="1198" w:type="pct"/>
            <w:shd w:val="clear" w:color="auto" w:fill="auto"/>
            <w:vAlign w:val="center"/>
          </w:tcPr>
          <w:p w14:paraId="7CA7A59A" w14:textId="77777777" w:rsidR="00E5561C" w:rsidRPr="00D33C2C" w:rsidRDefault="00E5561C" w:rsidP="00E230CB">
            <w:pPr>
              <w:pStyle w:val="In-tableHeading"/>
              <w:keepLines/>
              <w:jc w:val="center"/>
              <w:rPr>
                <w:lang w:val="en-AU"/>
              </w:rPr>
            </w:pPr>
            <w:r w:rsidRPr="00D33C2C">
              <w:rPr>
                <w:lang w:val="en-AU"/>
              </w:rPr>
              <w:t>Patient population</w:t>
            </w:r>
          </w:p>
        </w:tc>
        <w:tc>
          <w:tcPr>
            <w:tcW w:w="666" w:type="pct"/>
            <w:shd w:val="clear" w:color="auto" w:fill="auto"/>
            <w:vAlign w:val="center"/>
          </w:tcPr>
          <w:p w14:paraId="4688FCC1" w14:textId="3147315F" w:rsidR="00E5561C" w:rsidRPr="00D33C2C" w:rsidRDefault="00E5561C" w:rsidP="00E230CB">
            <w:pPr>
              <w:pStyle w:val="In-tableHeading"/>
              <w:keepLines/>
              <w:jc w:val="center"/>
              <w:rPr>
                <w:vertAlign w:val="superscript"/>
                <w:lang w:val="en-AU"/>
              </w:rPr>
            </w:pPr>
            <w:r w:rsidRPr="00D33C2C">
              <w:rPr>
                <w:lang w:val="en-AU"/>
              </w:rPr>
              <w:t xml:space="preserve">Outcome(s) </w:t>
            </w:r>
            <w:r w:rsidR="001E491D" w:rsidRPr="00D33C2C">
              <w:rPr>
                <w:vertAlign w:val="superscript"/>
                <w:lang w:val="en-AU"/>
              </w:rPr>
              <w:t>d</w:t>
            </w:r>
          </w:p>
        </w:tc>
        <w:tc>
          <w:tcPr>
            <w:tcW w:w="676" w:type="pct"/>
            <w:shd w:val="clear" w:color="auto" w:fill="auto"/>
            <w:vAlign w:val="center"/>
          </w:tcPr>
          <w:p w14:paraId="1055630A" w14:textId="77777777" w:rsidR="00E5561C" w:rsidRPr="00D33C2C" w:rsidRDefault="00E5561C" w:rsidP="00E230CB">
            <w:pPr>
              <w:pStyle w:val="In-tableHeading"/>
              <w:keepLines/>
              <w:jc w:val="center"/>
              <w:rPr>
                <w:lang w:val="en-AU"/>
              </w:rPr>
            </w:pPr>
            <w:r w:rsidRPr="00D33C2C">
              <w:rPr>
                <w:lang w:val="en-AU"/>
              </w:rPr>
              <w:t>Use in modelled evaluation</w:t>
            </w:r>
          </w:p>
        </w:tc>
      </w:tr>
      <w:tr w:rsidR="008325F2" w:rsidRPr="00D33C2C" w14:paraId="3BF1E399" w14:textId="77777777" w:rsidTr="00E27A7F">
        <w:trPr>
          <w:cantSplit/>
        </w:trPr>
        <w:tc>
          <w:tcPr>
            <w:tcW w:w="5000" w:type="pct"/>
            <w:gridSpan w:val="7"/>
            <w:shd w:val="clear" w:color="auto" w:fill="auto"/>
            <w:vAlign w:val="center"/>
          </w:tcPr>
          <w:p w14:paraId="46155886" w14:textId="77777777" w:rsidR="00E5561C" w:rsidRPr="00D33C2C" w:rsidRDefault="00E5561C" w:rsidP="00E230CB">
            <w:pPr>
              <w:pStyle w:val="In-tableHeading"/>
              <w:keepLines/>
              <w:rPr>
                <w:lang w:val="en-AU"/>
              </w:rPr>
            </w:pPr>
            <w:r w:rsidRPr="00D33C2C">
              <w:rPr>
                <w:lang w:val="en-AU"/>
              </w:rPr>
              <w:t xml:space="preserve">Odevixibat vs placebo </w:t>
            </w:r>
          </w:p>
        </w:tc>
      </w:tr>
      <w:tr w:rsidR="000F0307" w:rsidRPr="00D33C2C" w14:paraId="6EE4AA79" w14:textId="77777777" w:rsidTr="008277EE">
        <w:trPr>
          <w:cantSplit/>
        </w:trPr>
        <w:tc>
          <w:tcPr>
            <w:tcW w:w="530" w:type="pct"/>
            <w:shd w:val="clear" w:color="auto" w:fill="auto"/>
            <w:vAlign w:val="center"/>
          </w:tcPr>
          <w:p w14:paraId="49B53308" w14:textId="77777777" w:rsidR="00E5561C" w:rsidRPr="00D33C2C" w:rsidRDefault="00E5561C" w:rsidP="00E230CB">
            <w:pPr>
              <w:pStyle w:val="TableText0"/>
              <w:keepLines/>
              <w:rPr>
                <w:vertAlign w:val="superscript"/>
              </w:rPr>
            </w:pPr>
            <w:r w:rsidRPr="00D33C2C">
              <w:t xml:space="preserve">PEDFIC 1 </w:t>
            </w:r>
            <w:r w:rsidRPr="00D33C2C">
              <w:rPr>
                <w:vertAlign w:val="superscript"/>
              </w:rPr>
              <w:t>a</w:t>
            </w:r>
          </w:p>
        </w:tc>
        <w:tc>
          <w:tcPr>
            <w:tcW w:w="1131" w:type="pct"/>
            <w:shd w:val="clear" w:color="auto" w:fill="auto"/>
            <w:vAlign w:val="center"/>
          </w:tcPr>
          <w:p w14:paraId="47739A90" w14:textId="77777777" w:rsidR="00E5561C" w:rsidRPr="00D33C2C" w:rsidRDefault="00E5561C" w:rsidP="00E230CB">
            <w:pPr>
              <w:pStyle w:val="TableText0"/>
              <w:keepLines/>
              <w:jc w:val="center"/>
            </w:pPr>
            <w:r w:rsidRPr="00D33C2C">
              <w:t>40 mcg/kg = 23</w:t>
            </w:r>
          </w:p>
          <w:p w14:paraId="38FD6C4A" w14:textId="77777777" w:rsidR="00E5561C" w:rsidRPr="00D33C2C" w:rsidRDefault="00E5561C" w:rsidP="00E230CB">
            <w:pPr>
              <w:pStyle w:val="TableText0"/>
              <w:keepLines/>
              <w:jc w:val="center"/>
            </w:pPr>
            <w:r w:rsidRPr="00D33C2C">
              <w:t>120 mcg/kg = 19</w:t>
            </w:r>
          </w:p>
          <w:p w14:paraId="6D3034E3" w14:textId="77777777" w:rsidR="00E5561C" w:rsidRPr="00D33C2C" w:rsidRDefault="00E5561C" w:rsidP="00E230CB">
            <w:pPr>
              <w:pStyle w:val="TableText0"/>
              <w:keepLines/>
              <w:jc w:val="center"/>
            </w:pPr>
            <w:r w:rsidRPr="00D33C2C">
              <w:t xml:space="preserve">Placebo = 20  </w:t>
            </w:r>
          </w:p>
        </w:tc>
        <w:tc>
          <w:tcPr>
            <w:tcW w:w="466" w:type="pct"/>
            <w:shd w:val="clear" w:color="auto" w:fill="auto"/>
            <w:vAlign w:val="center"/>
          </w:tcPr>
          <w:p w14:paraId="6D69D8C8" w14:textId="6F65FFB1" w:rsidR="00E5561C" w:rsidRPr="00D33C2C" w:rsidRDefault="00E5561C" w:rsidP="00E230CB">
            <w:pPr>
              <w:pStyle w:val="TableText0"/>
              <w:keepLines/>
              <w:jc w:val="center"/>
              <w:rPr>
                <w:vertAlign w:val="superscript"/>
              </w:rPr>
            </w:pPr>
            <w:r w:rsidRPr="00D33C2C">
              <w:t xml:space="preserve">R, DB, MC </w:t>
            </w:r>
          </w:p>
          <w:p w14:paraId="10AE554A" w14:textId="77777777" w:rsidR="00E5561C" w:rsidRPr="00D33C2C" w:rsidRDefault="00E5561C" w:rsidP="00E230CB">
            <w:pPr>
              <w:pStyle w:val="TableText0"/>
              <w:keepLines/>
              <w:jc w:val="center"/>
            </w:pPr>
            <w:r w:rsidRPr="00D33C2C">
              <w:t>24 weeks</w:t>
            </w:r>
          </w:p>
        </w:tc>
        <w:tc>
          <w:tcPr>
            <w:tcW w:w="334" w:type="pct"/>
            <w:shd w:val="clear" w:color="auto" w:fill="auto"/>
            <w:vAlign w:val="center"/>
          </w:tcPr>
          <w:p w14:paraId="0B0AA944" w14:textId="77777777" w:rsidR="00E5561C" w:rsidRPr="00530D99" w:rsidRDefault="00E5561C" w:rsidP="00E230CB">
            <w:pPr>
              <w:pStyle w:val="TableText0"/>
              <w:keepLines/>
              <w:jc w:val="center"/>
              <w:rPr>
                <w:iCs/>
              </w:rPr>
            </w:pPr>
            <w:r w:rsidRPr="00530D99">
              <w:rPr>
                <w:iCs/>
              </w:rPr>
              <w:t>Low</w:t>
            </w:r>
          </w:p>
        </w:tc>
        <w:tc>
          <w:tcPr>
            <w:tcW w:w="1198" w:type="pct"/>
            <w:shd w:val="clear" w:color="auto" w:fill="auto"/>
            <w:vAlign w:val="center"/>
          </w:tcPr>
          <w:p w14:paraId="280BB37A" w14:textId="77777777" w:rsidR="00143118" w:rsidRDefault="00E5561C" w:rsidP="00E230CB">
            <w:pPr>
              <w:pStyle w:val="TableText0"/>
              <w:keepLines/>
              <w:jc w:val="center"/>
            </w:pPr>
            <w:r w:rsidRPr="00D33C2C">
              <w:t>PFIC1 and 2</w:t>
            </w:r>
            <w:r w:rsidR="00143118">
              <w:t>;</w:t>
            </w:r>
            <w:r w:rsidRPr="00D33C2C">
              <w:t xml:space="preserve"> </w:t>
            </w:r>
            <w:r w:rsidR="00143118">
              <w:br/>
            </w:r>
            <w:r w:rsidRPr="00D33C2C">
              <w:t>≥</w:t>
            </w:r>
            <w:r w:rsidR="00143118">
              <w:t xml:space="preserve"> </w:t>
            </w:r>
            <w:r w:rsidRPr="00D33C2C">
              <w:t>6</w:t>
            </w:r>
            <w:r w:rsidR="00143118">
              <w:t xml:space="preserve"> </w:t>
            </w:r>
            <w:r w:rsidR="0021604B">
              <w:t>m</w:t>
            </w:r>
            <w:r w:rsidR="00143118">
              <w:t>onths</w:t>
            </w:r>
            <w:r w:rsidRPr="00D33C2C">
              <w:t xml:space="preserve"> and &lt;</w:t>
            </w:r>
            <w:r w:rsidR="00143118">
              <w:t xml:space="preserve"> </w:t>
            </w:r>
            <w:r w:rsidRPr="00D33C2C">
              <w:t>18</w:t>
            </w:r>
            <w:r w:rsidR="00143118">
              <w:t xml:space="preserve"> </w:t>
            </w:r>
            <w:r w:rsidRPr="00D33C2C">
              <w:t>y</w:t>
            </w:r>
            <w:r w:rsidR="00143118">
              <w:t>ears;</w:t>
            </w:r>
            <w:r w:rsidRPr="00D33C2C">
              <w:t xml:space="preserve"> </w:t>
            </w:r>
          </w:p>
          <w:p w14:paraId="330C3DB7" w14:textId="2F48804D" w:rsidR="00E5561C" w:rsidRPr="00D33C2C" w:rsidRDefault="00143118" w:rsidP="00E230CB">
            <w:pPr>
              <w:pStyle w:val="TableText0"/>
              <w:keepLines/>
              <w:jc w:val="center"/>
            </w:pPr>
            <w:r>
              <w:t>No</w:t>
            </w:r>
            <w:r w:rsidR="00E5561C" w:rsidRPr="00D33C2C">
              <w:t xml:space="preserve"> SBD </w:t>
            </w:r>
            <w:r>
              <w:t xml:space="preserve">within </w:t>
            </w:r>
            <w:r w:rsidR="00E5561C" w:rsidRPr="00D33C2C">
              <w:t>&lt;</w:t>
            </w:r>
            <w:r>
              <w:t xml:space="preserve"> </w:t>
            </w:r>
            <w:r w:rsidR="00E5561C" w:rsidRPr="00D33C2C">
              <w:t>6</w:t>
            </w:r>
            <w:r>
              <w:t xml:space="preserve"> </w:t>
            </w:r>
            <w:r w:rsidR="00E5561C" w:rsidRPr="00D33C2C">
              <w:t>m</w:t>
            </w:r>
            <w:r>
              <w:t>onths of enrolment</w:t>
            </w:r>
          </w:p>
        </w:tc>
        <w:tc>
          <w:tcPr>
            <w:tcW w:w="666" w:type="pct"/>
            <w:shd w:val="clear" w:color="auto" w:fill="auto"/>
            <w:vAlign w:val="center"/>
          </w:tcPr>
          <w:p w14:paraId="77A86F2B" w14:textId="133DC8FB" w:rsidR="00E5561C" w:rsidRPr="00D33C2C" w:rsidRDefault="00E5561C" w:rsidP="00E230CB">
            <w:pPr>
              <w:pStyle w:val="TableText0"/>
              <w:keepLines/>
              <w:jc w:val="center"/>
              <w:rPr>
                <w:vertAlign w:val="superscript"/>
              </w:rPr>
            </w:pPr>
            <w:r w:rsidRPr="00D33C2C">
              <w:t xml:space="preserve">sBA response, pruritus response, safety </w:t>
            </w:r>
          </w:p>
        </w:tc>
        <w:tc>
          <w:tcPr>
            <w:tcW w:w="676" w:type="pct"/>
            <w:shd w:val="clear" w:color="auto" w:fill="auto"/>
            <w:vAlign w:val="center"/>
          </w:tcPr>
          <w:p w14:paraId="13BDAEB9" w14:textId="77777777" w:rsidR="00E5561C" w:rsidRPr="00D33C2C" w:rsidRDefault="00E5561C" w:rsidP="00E230CB">
            <w:pPr>
              <w:pStyle w:val="TableText0"/>
              <w:keepLines/>
              <w:jc w:val="center"/>
            </w:pPr>
            <w:r w:rsidRPr="00D33C2C">
              <w:t>Not used</w:t>
            </w:r>
          </w:p>
        </w:tc>
      </w:tr>
      <w:tr w:rsidR="000F0307" w:rsidRPr="00D33C2C" w14:paraId="104AA125" w14:textId="77777777" w:rsidTr="008277EE">
        <w:trPr>
          <w:cantSplit/>
        </w:trPr>
        <w:tc>
          <w:tcPr>
            <w:tcW w:w="530" w:type="pct"/>
            <w:shd w:val="clear" w:color="auto" w:fill="auto"/>
            <w:vAlign w:val="center"/>
          </w:tcPr>
          <w:p w14:paraId="556CD7CC" w14:textId="77777777" w:rsidR="00E5561C" w:rsidRPr="00D33C2C" w:rsidRDefault="00E5561C" w:rsidP="00E230CB">
            <w:pPr>
              <w:pStyle w:val="TableText0"/>
              <w:keepLines/>
              <w:rPr>
                <w:vertAlign w:val="superscript"/>
              </w:rPr>
            </w:pPr>
            <w:r w:rsidRPr="00D33C2C">
              <w:t xml:space="preserve">PEDFIC 2 </w:t>
            </w:r>
            <w:r w:rsidRPr="00D33C2C">
              <w:rPr>
                <w:vertAlign w:val="superscript"/>
              </w:rPr>
              <w:t>b</w:t>
            </w:r>
          </w:p>
        </w:tc>
        <w:tc>
          <w:tcPr>
            <w:tcW w:w="1131" w:type="pct"/>
            <w:shd w:val="clear" w:color="auto" w:fill="auto"/>
            <w:vAlign w:val="center"/>
          </w:tcPr>
          <w:p w14:paraId="4B9F800E" w14:textId="77777777" w:rsidR="00E5561C" w:rsidRPr="00D33C2C" w:rsidRDefault="00E5561C" w:rsidP="00E230CB">
            <w:pPr>
              <w:pStyle w:val="TableText0"/>
              <w:keepLines/>
              <w:jc w:val="center"/>
            </w:pPr>
            <w:r w:rsidRPr="00D33C2C">
              <w:t>Cohort 1 = 54</w:t>
            </w:r>
          </w:p>
          <w:p w14:paraId="410075D9" w14:textId="77777777" w:rsidR="00E5561C" w:rsidRPr="00D33C2C" w:rsidRDefault="00E5561C" w:rsidP="00E230CB">
            <w:pPr>
              <w:pStyle w:val="TableText0"/>
              <w:keepLines/>
              <w:jc w:val="center"/>
            </w:pPr>
            <w:r w:rsidRPr="00D33C2C">
              <w:t>Cohort 2 = 16</w:t>
            </w:r>
          </w:p>
          <w:p w14:paraId="49B5DABA" w14:textId="77777777" w:rsidR="00E5561C" w:rsidRPr="00D33C2C" w:rsidRDefault="00E5561C" w:rsidP="00E230CB">
            <w:pPr>
              <w:pStyle w:val="TableText0"/>
              <w:keepLines/>
              <w:jc w:val="center"/>
            </w:pPr>
            <w:r w:rsidRPr="00D33C2C">
              <w:t xml:space="preserve">All received 120 mcg/kg </w:t>
            </w:r>
          </w:p>
        </w:tc>
        <w:tc>
          <w:tcPr>
            <w:tcW w:w="466" w:type="pct"/>
            <w:shd w:val="clear" w:color="auto" w:fill="auto"/>
            <w:vAlign w:val="center"/>
          </w:tcPr>
          <w:p w14:paraId="6094E3B1" w14:textId="2511BF53" w:rsidR="00E5561C" w:rsidRPr="00D33C2C" w:rsidRDefault="00E5561C" w:rsidP="00E230CB">
            <w:pPr>
              <w:pStyle w:val="TableText0"/>
              <w:keepLines/>
              <w:jc w:val="center"/>
            </w:pPr>
            <w:r w:rsidRPr="00D33C2C">
              <w:t>SA, OL</w:t>
            </w:r>
          </w:p>
          <w:p w14:paraId="4AEFDA23" w14:textId="77777777" w:rsidR="00E5561C" w:rsidRPr="00D33C2C" w:rsidRDefault="00E5561C" w:rsidP="00E230CB">
            <w:pPr>
              <w:pStyle w:val="TableText0"/>
              <w:keepLines/>
              <w:jc w:val="center"/>
            </w:pPr>
            <w:r w:rsidRPr="00D33C2C">
              <w:t>Ongoing</w:t>
            </w:r>
          </w:p>
        </w:tc>
        <w:tc>
          <w:tcPr>
            <w:tcW w:w="334" w:type="pct"/>
            <w:shd w:val="clear" w:color="auto" w:fill="auto"/>
            <w:vAlign w:val="center"/>
          </w:tcPr>
          <w:p w14:paraId="6E904C93" w14:textId="77777777" w:rsidR="00E5561C" w:rsidRPr="00530D99" w:rsidRDefault="00E5561C" w:rsidP="00E230CB">
            <w:pPr>
              <w:pStyle w:val="TableText0"/>
              <w:keepLines/>
              <w:jc w:val="center"/>
              <w:rPr>
                <w:iCs/>
              </w:rPr>
            </w:pPr>
            <w:r w:rsidRPr="00530D99">
              <w:rPr>
                <w:iCs/>
              </w:rPr>
              <w:t>High</w:t>
            </w:r>
          </w:p>
        </w:tc>
        <w:tc>
          <w:tcPr>
            <w:tcW w:w="1198" w:type="pct"/>
            <w:shd w:val="clear" w:color="auto" w:fill="auto"/>
            <w:vAlign w:val="center"/>
          </w:tcPr>
          <w:p w14:paraId="30D697C4" w14:textId="77777777" w:rsidR="00E5561C" w:rsidRPr="00D33C2C" w:rsidRDefault="00E5561C" w:rsidP="00E230CB">
            <w:pPr>
              <w:pStyle w:val="TableText0"/>
              <w:keepLines/>
              <w:jc w:val="center"/>
            </w:pPr>
            <w:r w:rsidRPr="00D33C2C">
              <w:t xml:space="preserve">Cohort 1 = PEDFIC 1 </w:t>
            </w:r>
          </w:p>
          <w:p w14:paraId="3389177D" w14:textId="77777777" w:rsidR="00E5561C" w:rsidRPr="00D33C2C" w:rsidRDefault="00E5561C" w:rsidP="00E230CB">
            <w:pPr>
              <w:pStyle w:val="TableText0"/>
              <w:keepLines/>
              <w:jc w:val="center"/>
            </w:pPr>
            <w:r w:rsidRPr="00D33C2C">
              <w:t>Cohort 2 = PFIC any subtype and age</w:t>
            </w:r>
          </w:p>
        </w:tc>
        <w:tc>
          <w:tcPr>
            <w:tcW w:w="666" w:type="pct"/>
            <w:shd w:val="clear" w:color="auto" w:fill="auto"/>
            <w:vAlign w:val="center"/>
          </w:tcPr>
          <w:p w14:paraId="2D56F5B8" w14:textId="77777777" w:rsidR="00E5561C" w:rsidRPr="00D33C2C" w:rsidRDefault="00E5561C" w:rsidP="00E230CB">
            <w:pPr>
              <w:pStyle w:val="TableText0"/>
              <w:keepLines/>
              <w:jc w:val="center"/>
            </w:pPr>
            <w:r w:rsidRPr="00D33C2C">
              <w:t>sBA levels and pruritus score</w:t>
            </w:r>
          </w:p>
        </w:tc>
        <w:tc>
          <w:tcPr>
            <w:tcW w:w="676" w:type="pct"/>
            <w:shd w:val="clear" w:color="auto" w:fill="auto"/>
            <w:vAlign w:val="center"/>
          </w:tcPr>
          <w:p w14:paraId="7C1D6F7A" w14:textId="77777777" w:rsidR="00E5561C" w:rsidRPr="00D33C2C" w:rsidRDefault="00E5561C" w:rsidP="00E230CB">
            <w:pPr>
              <w:pStyle w:val="TableText0"/>
              <w:keepLines/>
              <w:jc w:val="center"/>
            </w:pPr>
            <w:r w:rsidRPr="00D33C2C">
              <w:t>Used for discontinuation rates</w:t>
            </w:r>
          </w:p>
        </w:tc>
      </w:tr>
      <w:tr w:rsidR="008325F2" w:rsidRPr="00D33C2C" w14:paraId="2ADB5CA1" w14:textId="77777777" w:rsidTr="00E27A7F">
        <w:trPr>
          <w:cantSplit/>
        </w:trPr>
        <w:tc>
          <w:tcPr>
            <w:tcW w:w="5000" w:type="pct"/>
            <w:gridSpan w:val="7"/>
            <w:shd w:val="clear" w:color="auto" w:fill="auto"/>
            <w:vAlign w:val="center"/>
          </w:tcPr>
          <w:p w14:paraId="1A14CBCE" w14:textId="77777777" w:rsidR="00E5561C" w:rsidRPr="00D33C2C" w:rsidRDefault="00E5561C" w:rsidP="00E230CB">
            <w:pPr>
              <w:pStyle w:val="TableText0"/>
              <w:keepLines/>
              <w:rPr>
                <w:b/>
                <w:bCs w:val="0"/>
              </w:rPr>
            </w:pPr>
            <w:r w:rsidRPr="00D33C2C">
              <w:rPr>
                <w:b/>
                <w:bCs w:val="0"/>
              </w:rPr>
              <w:t>ITC: Odevixibat (PEDFIC 1 and 2) vs External Controls (NAPPED)</w:t>
            </w:r>
          </w:p>
        </w:tc>
      </w:tr>
      <w:tr w:rsidR="000F0307" w:rsidRPr="00D33C2C" w14:paraId="35BFD4C1" w14:textId="77777777" w:rsidTr="008277EE">
        <w:trPr>
          <w:cantSplit/>
        </w:trPr>
        <w:tc>
          <w:tcPr>
            <w:tcW w:w="530" w:type="pct"/>
            <w:shd w:val="clear" w:color="auto" w:fill="auto"/>
            <w:vAlign w:val="center"/>
          </w:tcPr>
          <w:p w14:paraId="3C7D4835" w14:textId="77777777" w:rsidR="00E5561C" w:rsidRPr="00D33C2C" w:rsidRDefault="00E5561C" w:rsidP="00E230CB">
            <w:pPr>
              <w:pStyle w:val="TableText0"/>
              <w:keepLines/>
              <w:rPr>
                <w:vertAlign w:val="superscript"/>
              </w:rPr>
            </w:pPr>
            <w:r w:rsidRPr="00D33C2C">
              <w:t xml:space="preserve">OvEC </w:t>
            </w:r>
            <w:r w:rsidRPr="00D33C2C">
              <w:rPr>
                <w:vertAlign w:val="superscript"/>
              </w:rPr>
              <w:t>c</w:t>
            </w:r>
          </w:p>
        </w:tc>
        <w:tc>
          <w:tcPr>
            <w:tcW w:w="1131" w:type="pct"/>
            <w:shd w:val="clear" w:color="auto" w:fill="auto"/>
            <w:vAlign w:val="center"/>
          </w:tcPr>
          <w:p w14:paraId="2D47EA2E" w14:textId="77777777" w:rsidR="00E5561C" w:rsidRPr="00D33C2C" w:rsidRDefault="00E5561C" w:rsidP="00E230CB">
            <w:pPr>
              <w:pStyle w:val="TableText0"/>
              <w:keepLines/>
              <w:jc w:val="center"/>
            </w:pPr>
            <w:r w:rsidRPr="00D33C2C">
              <w:t>Odevixibat ‘all doses’ = 69</w:t>
            </w:r>
          </w:p>
          <w:p w14:paraId="3AEFA0C8" w14:textId="77777777" w:rsidR="00E5561C" w:rsidRPr="00D33C2C" w:rsidRDefault="00E5561C" w:rsidP="00E230CB">
            <w:pPr>
              <w:pStyle w:val="TableText0"/>
              <w:keepLines/>
              <w:jc w:val="center"/>
            </w:pPr>
            <w:r w:rsidRPr="00D33C2C">
              <w:t>Control (Part A) = 80</w:t>
            </w:r>
          </w:p>
          <w:p w14:paraId="15F7E9BB" w14:textId="70099488" w:rsidR="00E5561C" w:rsidRPr="00D33C2C" w:rsidRDefault="00E5561C" w:rsidP="00E230CB">
            <w:pPr>
              <w:pStyle w:val="TableText0"/>
              <w:keepLines/>
              <w:jc w:val="center"/>
            </w:pPr>
            <w:r w:rsidRPr="00D33C2C">
              <w:t xml:space="preserve">Controls </w:t>
            </w:r>
            <w:r w:rsidR="006E1E4A">
              <w:t>(</w:t>
            </w:r>
            <w:r w:rsidRPr="00D33C2C">
              <w:t>Part B</w:t>
            </w:r>
            <w:r w:rsidR="006E1E4A">
              <w:t>)</w:t>
            </w:r>
            <w:r w:rsidRPr="00D33C2C">
              <w:t xml:space="preserve"> = 24</w:t>
            </w:r>
          </w:p>
        </w:tc>
        <w:tc>
          <w:tcPr>
            <w:tcW w:w="466" w:type="pct"/>
            <w:shd w:val="clear" w:color="auto" w:fill="auto"/>
            <w:vAlign w:val="center"/>
          </w:tcPr>
          <w:p w14:paraId="62CE72F0" w14:textId="77777777" w:rsidR="00E5561C" w:rsidRPr="00D33C2C" w:rsidRDefault="00E5561C" w:rsidP="00E230CB">
            <w:pPr>
              <w:pStyle w:val="TableText0"/>
              <w:keepLines/>
              <w:jc w:val="center"/>
            </w:pPr>
            <w:r w:rsidRPr="00D33C2C">
              <w:t>ITC</w:t>
            </w:r>
          </w:p>
          <w:p w14:paraId="251C5062" w14:textId="77777777" w:rsidR="00E5561C" w:rsidRPr="00D33C2C" w:rsidRDefault="00E5561C" w:rsidP="00E230CB">
            <w:pPr>
              <w:pStyle w:val="TableText0"/>
              <w:keepLines/>
              <w:jc w:val="center"/>
            </w:pPr>
            <w:r w:rsidRPr="00D33C2C">
              <w:t>22.6 months follow-up</w:t>
            </w:r>
          </w:p>
        </w:tc>
        <w:tc>
          <w:tcPr>
            <w:tcW w:w="334" w:type="pct"/>
            <w:shd w:val="clear" w:color="auto" w:fill="auto"/>
            <w:vAlign w:val="center"/>
          </w:tcPr>
          <w:p w14:paraId="4A44885B" w14:textId="77777777" w:rsidR="00E5561C" w:rsidRPr="00530D99" w:rsidRDefault="00E5561C" w:rsidP="00E230CB">
            <w:pPr>
              <w:pStyle w:val="TableText0"/>
              <w:keepLines/>
              <w:jc w:val="center"/>
              <w:rPr>
                <w:iCs/>
              </w:rPr>
            </w:pPr>
            <w:r w:rsidRPr="00530D99">
              <w:rPr>
                <w:iCs/>
              </w:rPr>
              <w:t>High</w:t>
            </w:r>
          </w:p>
        </w:tc>
        <w:tc>
          <w:tcPr>
            <w:tcW w:w="1198" w:type="pct"/>
            <w:shd w:val="clear" w:color="auto" w:fill="auto"/>
            <w:vAlign w:val="center"/>
          </w:tcPr>
          <w:p w14:paraId="422FF336" w14:textId="77777777" w:rsidR="00E5561C" w:rsidRPr="00D33C2C" w:rsidRDefault="00E5561C" w:rsidP="00E230CB">
            <w:pPr>
              <w:pStyle w:val="TableText0"/>
              <w:keepLines/>
              <w:jc w:val="center"/>
            </w:pPr>
            <w:r w:rsidRPr="00D33C2C">
              <w:t>PFIC1 and 2</w:t>
            </w:r>
          </w:p>
          <w:p w14:paraId="44922486" w14:textId="251EADFD" w:rsidR="00E5561C" w:rsidRPr="00D33C2C" w:rsidRDefault="00E5561C" w:rsidP="00E230CB">
            <w:pPr>
              <w:pStyle w:val="TableText0"/>
              <w:keepLines/>
              <w:jc w:val="center"/>
            </w:pPr>
            <w:r w:rsidRPr="00D33C2C">
              <w:t>≥</w:t>
            </w:r>
            <w:r w:rsidR="00143118">
              <w:t xml:space="preserve"> </w:t>
            </w:r>
            <w:r w:rsidRPr="00D33C2C">
              <w:t>6</w:t>
            </w:r>
            <w:r w:rsidR="00143118">
              <w:t xml:space="preserve"> </w:t>
            </w:r>
            <w:r w:rsidR="0021604B">
              <w:t>m</w:t>
            </w:r>
            <w:r w:rsidR="00143118">
              <w:t>onths</w:t>
            </w:r>
            <w:r w:rsidRPr="00D33C2C">
              <w:t xml:space="preserve"> and &lt;</w:t>
            </w:r>
            <w:r w:rsidR="00143118">
              <w:t xml:space="preserve"> </w:t>
            </w:r>
            <w:r w:rsidRPr="00D33C2C">
              <w:t>18</w:t>
            </w:r>
            <w:r w:rsidR="00143118">
              <w:t xml:space="preserve"> </w:t>
            </w:r>
            <w:r w:rsidRPr="00D33C2C">
              <w:t>y</w:t>
            </w:r>
            <w:r w:rsidR="00143118">
              <w:t>ears</w:t>
            </w:r>
          </w:p>
          <w:p w14:paraId="35901494" w14:textId="77777777" w:rsidR="00E5561C" w:rsidRPr="00D33C2C" w:rsidRDefault="00E5561C" w:rsidP="00E230CB">
            <w:pPr>
              <w:pStyle w:val="TableText0"/>
              <w:keepLines/>
              <w:jc w:val="center"/>
            </w:pPr>
            <w:r w:rsidRPr="00D33C2C">
              <w:t>Part A = no prior SBD</w:t>
            </w:r>
          </w:p>
          <w:p w14:paraId="73723AD1" w14:textId="2CF4AAE0" w:rsidR="00E5561C" w:rsidRPr="00D33C2C" w:rsidRDefault="00E5561C" w:rsidP="00E230CB">
            <w:pPr>
              <w:pStyle w:val="TableText0"/>
              <w:keepLines/>
              <w:jc w:val="center"/>
            </w:pPr>
            <w:r w:rsidRPr="00D33C2C">
              <w:t xml:space="preserve">Part B = </w:t>
            </w:r>
            <w:r w:rsidR="00143118">
              <w:t xml:space="preserve">prior </w:t>
            </w:r>
            <w:r w:rsidRPr="00D33C2C">
              <w:t>SBD</w:t>
            </w:r>
          </w:p>
        </w:tc>
        <w:tc>
          <w:tcPr>
            <w:tcW w:w="666" w:type="pct"/>
            <w:shd w:val="clear" w:color="auto" w:fill="auto"/>
            <w:vAlign w:val="center"/>
          </w:tcPr>
          <w:p w14:paraId="004767F4" w14:textId="77777777" w:rsidR="00E5561C" w:rsidRPr="00D33C2C" w:rsidRDefault="00E5561C" w:rsidP="00E230CB">
            <w:pPr>
              <w:pStyle w:val="TableText0"/>
              <w:keepLines/>
              <w:jc w:val="center"/>
            </w:pPr>
            <w:r w:rsidRPr="00D33C2C">
              <w:t>EFS (primary)</w:t>
            </w:r>
          </w:p>
          <w:p w14:paraId="4E6BB137" w14:textId="77777777" w:rsidR="00E5561C" w:rsidRPr="00D33C2C" w:rsidRDefault="00E5561C" w:rsidP="00E230CB">
            <w:pPr>
              <w:pStyle w:val="TableText0"/>
              <w:keepLines/>
              <w:jc w:val="center"/>
            </w:pPr>
            <w:r w:rsidRPr="00D33C2C">
              <w:t>NLS, DFS, OS (secondary)</w:t>
            </w:r>
          </w:p>
        </w:tc>
        <w:tc>
          <w:tcPr>
            <w:tcW w:w="676" w:type="pct"/>
            <w:shd w:val="clear" w:color="auto" w:fill="auto"/>
            <w:vAlign w:val="center"/>
          </w:tcPr>
          <w:p w14:paraId="147A5FF4" w14:textId="77777777" w:rsidR="00E5561C" w:rsidRPr="00D33C2C" w:rsidRDefault="00E5561C" w:rsidP="00E230CB">
            <w:pPr>
              <w:pStyle w:val="TableText0"/>
              <w:keepLines/>
              <w:jc w:val="center"/>
            </w:pPr>
            <w:r w:rsidRPr="00D33C2C">
              <w:t xml:space="preserve">Base case </w:t>
            </w:r>
          </w:p>
        </w:tc>
      </w:tr>
    </w:tbl>
    <w:p w14:paraId="1B51C409" w14:textId="0A533141" w:rsidR="00E5561C" w:rsidRPr="00D33C2C" w:rsidRDefault="00E5561C" w:rsidP="00E230CB">
      <w:pPr>
        <w:pStyle w:val="TableFigureFooter"/>
        <w:keepNext/>
        <w:keepLines/>
      </w:pPr>
      <w:r w:rsidRPr="00D33C2C">
        <w:t xml:space="preserve">Source: </w:t>
      </w:r>
      <w:r w:rsidR="00707676" w:rsidRPr="00D33C2C">
        <w:t>Section 2</w:t>
      </w:r>
      <w:r w:rsidR="00281D4B">
        <w:t xml:space="preserve"> of the submission</w:t>
      </w:r>
      <w:r w:rsidR="00707676" w:rsidRPr="00D33C2C">
        <w:t>.</w:t>
      </w:r>
    </w:p>
    <w:p w14:paraId="2ADA5188" w14:textId="257D2DE5" w:rsidR="00E5561C" w:rsidRPr="00D33C2C" w:rsidRDefault="00E5561C" w:rsidP="00E230CB">
      <w:pPr>
        <w:pStyle w:val="TableFigureFooter"/>
        <w:keepNext/>
        <w:keepLines/>
      </w:pPr>
      <w:r w:rsidRPr="00D33C2C">
        <w:t>DB = double blind; DFS = diversion-free survival; EFS = event free survival; ITC = indirect treatment comparison; MC = multi-centre; NLS = native liver survival; OL = open label; OS = overall survival; PFIC = progressive familiar intrahepatic cholestasis; R = randomised; SA = single arm; sBA = serum bile acid</w:t>
      </w:r>
      <w:r w:rsidR="0021604B">
        <w:t>; SBD = surgical biliary diversion</w:t>
      </w:r>
    </w:p>
    <w:p w14:paraId="14769418" w14:textId="77777777" w:rsidR="00E5561C" w:rsidRPr="00D33C2C" w:rsidRDefault="00E5561C" w:rsidP="00E230CB">
      <w:pPr>
        <w:pStyle w:val="TableFigureFooter"/>
        <w:keepNext/>
        <w:keepLines/>
      </w:pPr>
      <w:r w:rsidRPr="00D33C2C">
        <w:rPr>
          <w:vertAlign w:val="superscript"/>
        </w:rPr>
        <w:t xml:space="preserve">a </w:t>
      </w:r>
      <w:r w:rsidRPr="00D33C2C">
        <w:t xml:space="preserve">PEDFIC 1 24-week study period was completed and patients could roll over to PEDFIC 2 (prior to or at completion of study). </w:t>
      </w:r>
    </w:p>
    <w:p w14:paraId="241C0D59" w14:textId="77777777" w:rsidR="00E5561C" w:rsidRPr="00D33C2C" w:rsidRDefault="00E5561C" w:rsidP="00E230CB">
      <w:pPr>
        <w:pStyle w:val="TableFigureFooter"/>
        <w:keepNext/>
        <w:keepLines/>
      </w:pPr>
      <w:r w:rsidRPr="00D33C2C">
        <w:rPr>
          <w:vertAlign w:val="superscript"/>
        </w:rPr>
        <w:t xml:space="preserve">b </w:t>
      </w:r>
      <w:r w:rsidRPr="00D33C2C">
        <w:t>PEDFIC 2 interim analysis as of 15 July 2020 reporting on results at 24 weeks; 71 patients enrolled but 69 dosed; Cohort 1 comprised PEDFIC 1 patients (both odevixibat-treated and placebo); Cohort 2 comprised new PFIC patients</w:t>
      </w:r>
    </w:p>
    <w:p w14:paraId="6338E4C0" w14:textId="77777777" w:rsidR="00E5561C" w:rsidRPr="00D33C2C" w:rsidRDefault="00E5561C" w:rsidP="00E230CB">
      <w:pPr>
        <w:pStyle w:val="TableFigureFooter"/>
        <w:keepNext/>
        <w:keepLines/>
      </w:pPr>
      <w:r w:rsidRPr="00D33C2C">
        <w:rPr>
          <w:vertAlign w:val="superscript"/>
        </w:rPr>
        <w:t xml:space="preserve">c </w:t>
      </w:r>
      <w:r w:rsidRPr="00D33C2C">
        <w:t>Data extracted from PEDFIC 1 and PEDFIC 2 on 31 January 2022 and from the NAPPED database on 23 February 2020. Part A compared odevixibat to SOC in SBD-free patients. Part B compared odevixibat to patients who have had SBD.</w:t>
      </w:r>
    </w:p>
    <w:p w14:paraId="18AC764A" w14:textId="4557DD1E" w:rsidR="00E5561C" w:rsidRPr="00D33C2C" w:rsidRDefault="00E5561C" w:rsidP="00E230CB">
      <w:pPr>
        <w:pStyle w:val="TableFigureFooter"/>
        <w:keepNext/>
        <w:keepLines/>
        <w:ind w:left="113" w:hanging="113"/>
      </w:pPr>
      <w:r w:rsidRPr="00D33C2C">
        <w:rPr>
          <w:vertAlign w:val="superscript"/>
        </w:rPr>
        <w:t>d</w:t>
      </w:r>
      <w:r w:rsidRPr="00D33C2C">
        <w:t xml:space="preserve"> sBA response </w:t>
      </w:r>
      <w:r w:rsidR="00E02CED" w:rsidRPr="00D33C2C">
        <w:t xml:space="preserve">in PEDFIC 1 and PEDFIC 2 </w:t>
      </w:r>
      <w:r w:rsidRPr="00D33C2C">
        <w:t xml:space="preserve">defined as </w:t>
      </w:r>
      <w:r w:rsidR="0021604B">
        <w:t>≥</w:t>
      </w:r>
      <w:r w:rsidRPr="00D33C2C">
        <w:t>70% reduction in fasting sBA concentration from baseline or reaching a level ≤</w:t>
      </w:r>
      <w:r w:rsidR="00E230CB">
        <w:t> </w:t>
      </w:r>
      <w:r w:rsidRPr="00D33C2C">
        <w:t>70</w:t>
      </w:r>
      <w:r w:rsidR="00E230CB">
        <w:t> </w:t>
      </w:r>
      <w:r w:rsidRPr="00D33C2C">
        <w:t>µmol/L</w:t>
      </w:r>
      <w:r w:rsidR="00E02CED" w:rsidRPr="00D33C2C">
        <w:t>. However</w:t>
      </w:r>
      <w:r w:rsidR="00D22BE4">
        <w:t>,</w:t>
      </w:r>
      <w:r w:rsidR="00E02CED" w:rsidRPr="00D33C2C">
        <w:t xml:space="preserve"> in NAPPED </w:t>
      </w:r>
      <w:r w:rsidR="000004E7" w:rsidRPr="00D33C2C">
        <w:t xml:space="preserve">(used in the control arm of OvEC) </w:t>
      </w:r>
      <w:r w:rsidR="00CC1987" w:rsidRPr="00D33C2C">
        <w:t>sBA response was defined as ≥75% reduction in sBA from baseline or sBA levels ≤65 µmol/L.</w:t>
      </w:r>
    </w:p>
    <w:p w14:paraId="2B42B4E0" w14:textId="6C886D0A" w:rsidR="00E5561C" w:rsidRPr="00D33C2C" w:rsidRDefault="000A7CED" w:rsidP="00E230CB">
      <w:pPr>
        <w:pStyle w:val="TableFigureFooter"/>
        <w:keepNext/>
        <w:keepLines/>
        <w:ind w:left="113"/>
      </w:pPr>
      <w:r>
        <w:t>P</w:t>
      </w:r>
      <w:r w:rsidRPr="00D33C2C">
        <w:t xml:space="preserve">ruritus </w:t>
      </w:r>
      <w:r w:rsidR="00E5561C" w:rsidRPr="00D33C2C">
        <w:t xml:space="preserve">response defined as Observer reported outcome (ObsRO) score of </w:t>
      </w:r>
      <w:r w:rsidR="00E5561C" w:rsidRPr="00D33C2C">
        <w:rPr>
          <w:rFonts w:cs="Calibri"/>
        </w:rPr>
        <w:t>≤</w:t>
      </w:r>
      <w:r w:rsidR="00E5561C" w:rsidRPr="00D33C2C">
        <w:t>1 or at least a 1-point drop from baseline</w:t>
      </w:r>
    </w:p>
    <w:p w14:paraId="3921AD7F" w14:textId="77777777" w:rsidR="00E5561C" w:rsidRPr="00D33C2C" w:rsidRDefault="00E5561C" w:rsidP="00E230CB">
      <w:pPr>
        <w:pStyle w:val="TableFigureFooter"/>
        <w:keepNext/>
        <w:keepLines/>
        <w:ind w:left="113"/>
      </w:pPr>
      <w:r w:rsidRPr="00D33C2C">
        <w:t>EFS defined as time to first surgical biliary diversion, liver transplant, or death</w:t>
      </w:r>
    </w:p>
    <w:p w14:paraId="5C09BCD9" w14:textId="77777777" w:rsidR="00E5561C" w:rsidRPr="00D33C2C" w:rsidRDefault="00E5561C" w:rsidP="00E230CB">
      <w:pPr>
        <w:pStyle w:val="TableFigureFooter"/>
        <w:keepNext/>
        <w:keepLines/>
        <w:ind w:left="113"/>
      </w:pPr>
      <w:r w:rsidRPr="00D33C2C">
        <w:t>NLS defined as time to first liver transplant or death</w:t>
      </w:r>
    </w:p>
    <w:p w14:paraId="7C9EB741" w14:textId="0CD0C73B" w:rsidR="00E5561C" w:rsidRPr="00D33C2C" w:rsidRDefault="00E5561C" w:rsidP="00E230CB">
      <w:pPr>
        <w:pStyle w:val="TableFigureFooter"/>
        <w:keepNext/>
        <w:keepLines/>
        <w:ind w:left="113"/>
      </w:pPr>
      <w:r w:rsidRPr="00D33C2C">
        <w:t xml:space="preserve">DFS defined as time to first </w:t>
      </w:r>
      <w:r w:rsidR="005431D0">
        <w:t xml:space="preserve">biliary </w:t>
      </w:r>
      <w:r w:rsidRPr="00D33C2C">
        <w:t>diversion surgery or death</w:t>
      </w:r>
    </w:p>
    <w:p w14:paraId="6FE9446D" w14:textId="77777777" w:rsidR="00E5561C" w:rsidRPr="00D33C2C" w:rsidRDefault="00E5561C" w:rsidP="00E5561C">
      <w:pPr>
        <w:pStyle w:val="TableFigureFooter"/>
        <w:ind w:left="113"/>
      </w:pPr>
      <w:r w:rsidRPr="00D33C2C">
        <w:t>OS define as time to death</w:t>
      </w:r>
    </w:p>
    <w:p w14:paraId="62F307B3" w14:textId="3C2DB0B3" w:rsidR="00E5561C" w:rsidRPr="00D12904" w:rsidRDefault="00E5561C" w:rsidP="00E5561C">
      <w:pPr>
        <w:pStyle w:val="3-BodyText"/>
        <w:rPr>
          <w:color w:val="0066FF"/>
        </w:rPr>
      </w:pPr>
      <w:bookmarkStart w:id="43" w:name="_Ref172635672"/>
      <w:r w:rsidRPr="00D33C2C">
        <w:t xml:space="preserve">The submission </w:t>
      </w:r>
      <w:r w:rsidRPr="00D12904">
        <w:t xml:space="preserve">presented PEDFIC 2 interim results at 24 weeks (data cutoff on </w:t>
      </w:r>
      <w:r w:rsidR="00E230CB" w:rsidRPr="00D12904">
        <w:t>15</w:t>
      </w:r>
      <w:r w:rsidR="00E230CB">
        <w:t> </w:t>
      </w:r>
      <w:r w:rsidRPr="00D12904">
        <w:t>July</w:t>
      </w:r>
      <w:r w:rsidR="00E230CB">
        <w:t> </w:t>
      </w:r>
      <w:r w:rsidRPr="00D12904">
        <w:t>2020</w:t>
      </w:r>
      <w:r w:rsidR="00132E71" w:rsidRPr="00D12904">
        <w:t>, n=70</w:t>
      </w:r>
      <w:r w:rsidRPr="00D12904">
        <w:t xml:space="preserve">). </w:t>
      </w:r>
      <w:r w:rsidR="008277EE" w:rsidRPr="00D12904">
        <w:t>The ESC noted that a</w:t>
      </w:r>
      <w:r w:rsidRPr="00D12904">
        <w:t xml:space="preserve"> </w:t>
      </w:r>
      <w:r w:rsidR="000A7CED" w:rsidRPr="00D12904">
        <w:t xml:space="preserve">further </w:t>
      </w:r>
      <w:r w:rsidRPr="00D12904">
        <w:t>interim analysis</w:t>
      </w:r>
      <w:r w:rsidR="000A7CED" w:rsidRPr="00D12904">
        <w:t>,</w:t>
      </w:r>
      <w:r w:rsidRPr="00D12904">
        <w:t xml:space="preserve"> </w:t>
      </w:r>
      <w:r w:rsidR="004D29C9" w:rsidRPr="00D12904">
        <w:t xml:space="preserve">with </w:t>
      </w:r>
      <w:r w:rsidRPr="00D12904">
        <w:t>results at 72</w:t>
      </w:r>
      <w:r w:rsidR="00E230CB">
        <w:t> </w:t>
      </w:r>
      <w:r w:rsidRPr="00D12904">
        <w:t>weeks</w:t>
      </w:r>
      <w:r w:rsidR="000A7CED" w:rsidRPr="00D12904">
        <w:t xml:space="preserve"> (data cutoff 31 July 2022),</w:t>
      </w:r>
      <w:r w:rsidR="004D29C9" w:rsidRPr="00D12904">
        <w:t xml:space="preserve"> was presented in the TGA </w:t>
      </w:r>
      <w:r w:rsidR="00D22BE4" w:rsidRPr="00D12904">
        <w:t>Clinical Evaluation Report</w:t>
      </w:r>
      <w:r w:rsidRPr="00D12904">
        <w:t xml:space="preserve">. This included a total of 114 patients (63 patients had completed the 72-week treatment period, 25 patients were </w:t>
      </w:r>
      <w:r w:rsidR="004D29C9" w:rsidRPr="00D12904">
        <w:t>still on treatment</w:t>
      </w:r>
      <w:r w:rsidRPr="00D12904">
        <w:t xml:space="preserve"> and 26 had discontinued treatment prior to Week 72). </w:t>
      </w:r>
      <w:r w:rsidR="008277EE" w:rsidRPr="00D12904">
        <w:t>The ESC noted that it appeared that an additional 44</w:t>
      </w:r>
      <w:r w:rsidR="002C0833">
        <w:t> </w:t>
      </w:r>
      <w:r w:rsidR="008277EE" w:rsidRPr="00D12904">
        <w:t xml:space="preserve">patients were recruited into Cohort 2 of PEDFIC 2 between the July 2020 and the July 2022 data cutoffs. </w:t>
      </w:r>
      <w:r w:rsidR="00327B9D">
        <w:t>Noting that these later results were provided to the TGA, t</w:t>
      </w:r>
      <w:r w:rsidR="00B146C3" w:rsidRPr="00C245FA">
        <w:t>he ESC considered that the submission should have included this updated evidence.</w:t>
      </w:r>
      <w:bookmarkEnd w:id="43"/>
    </w:p>
    <w:p w14:paraId="207B52D8" w14:textId="70C628D8" w:rsidR="00E5561C" w:rsidRPr="00446A51" w:rsidRDefault="004368DE" w:rsidP="00732812">
      <w:pPr>
        <w:pStyle w:val="3-BodyText"/>
      </w:pPr>
      <w:bookmarkStart w:id="44" w:name="_Ref164740177"/>
      <w:r w:rsidRPr="00D12904">
        <w:t>Of the included evidence, only OvEC Part B provided any information regarding the comparative efficacy of odevixibat with the nominated comparator of SOC</w:t>
      </w:r>
      <w:r w:rsidR="006E1E4A" w:rsidRPr="00D12904">
        <w:t>, i.e. included patients who had undergone PEBD</w:t>
      </w:r>
      <w:r w:rsidRPr="00D12904">
        <w:t>. The only direct</w:t>
      </w:r>
      <w:r w:rsidRPr="00446A51">
        <w:t xml:space="preserve"> evidence was from PEDFIC</w:t>
      </w:r>
      <w:r w:rsidR="00281D4B" w:rsidRPr="00446A51">
        <w:t> </w:t>
      </w:r>
      <w:r w:rsidRPr="00446A51">
        <w:t xml:space="preserve">1, which compared odevixibat with placebo </w:t>
      </w:r>
      <w:r w:rsidR="00E5561C" w:rsidRPr="00446A51">
        <w:t xml:space="preserve">in </w:t>
      </w:r>
      <w:r w:rsidR="008277EE">
        <w:t xml:space="preserve">patients who were </w:t>
      </w:r>
      <w:r w:rsidR="00E5561C" w:rsidRPr="00446A51">
        <w:t xml:space="preserve">mostly </w:t>
      </w:r>
      <w:r w:rsidR="00530D99">
        <w:t>SBD</w:t>
      </w:r>
      <w:r w:rsidR="00E5561C" w:rsidRPr="00446A51">
        <w:t xml:space="preserve">-free </w:t>
      </w:r>
      <w:r w:rsidR="00AB2BEA" w:rsidRPr="00446A51">
        <w:t xml:space="preserve">(i.e., patients </w:t>
      </w:r>
      <w:r w:rsidR="008277EE">
        <w:t>who had not received</w:t>
      </w:r>
      <w:r w:rsidR="00AB2BEA" w:rsidRPr="00446A51">
        <w:t xml:space="preserve"> SBD within six months of enrolment were included in PEDFIC 1)</w:t>
      </w:r>
      <w:r w:rsidR="00732812" w:rsidRPr="00446A51">
        <w:t>.</w:t>
      </w:r>
      <w:r w:rsidR="00E5561C" w:rsidRPr="00446A51">
        <w:t xml:space="preserve"> OvEC Part A </w:t>
      </w:r>
      <w:r w:rsidR="00732812" w:rsidRPr="00446A51">
        <w:t xml:space="preserve">also </w:t>
      </w:r>
      <w:r w:rsidR="008277EE">
        <w:t>compared</w:t>
      </w:r>
      <w:r w:rsidR="00732812" w:rsidRPr="00446A51">
        <w:t xml:space="preserve"> odevixibat </w:t>
      </w:r>
      <w:r w:rsidR="008277EE">
        <w:t xml:space="preserve">with </w:t>
      </w:r>
      <w:r w:rsidR="00732812" w:rsidRPr="00446A51">
        <w:t>patients who ha</w:t>
      </w:r>
      <w:r w:rsidR="000A7CED" w:rsidRPr="00446A51">
        <w:t>d</w:t>
      </w:r>
      <w:r w:rsidR="00732812" w:rsidRPr="00446A51">
        <w:t xml:space="preserve"> not </w:t>
      </w:r>
      <w:r w:rsidR="000A7CED" w:rsidRPr="00446A51">
        <w:t xml:space="preserve">undergone </w:t>
      </w:r>
      <w:r w:rsidR="008277EE">
        <w:t xml:space="preserve">a prior </w:t>
      </w:r>
      <w:r w:rsidR="0021604B" w:rsidRPr="00446A51">
        <w:t>SBD</w:t>
      </w:r>
      <w:r w:rsidR="00E5561C" w:rsidRPr="00446A51">
        <w:t>.</w:t>
      </w:r>
      <w:bookmarkEnd w:id="44"/>
    </w:p>
    <w:p w14:paraId="3625E2C4" w14:textId="37255229" w:rsidR="00E5561C" w:rsidRPr="00446A51" w:rsidRDefault="00E5561C" w:rsidP="00E5561C">
      <w:pPr>
        <w:pStyle w:val="3-BodyText"/>
      </w:pPr>
      <w:r w:rsidRPr="00446A51">
        <w:lastRenderedPageBreak/>
        <w:t>PEDFIC 1 was considered</w:t>
      </w:r>
      <w:r w:rsidR="00A65512" w:rsidRPr="00446A51">
        <w:t xml:space="preserve"> to have a</w:t>
      </w:r>
      <w:r w:rsidRPr="00446A51">
        <w:t xml:space="preserve"> low risk of bias overall but</w:t>
      </w:r>
      <w:r w:rsidR="000A7CED" w:rsidRPr="00446A51">
        <w:t>,</w:t>
      </w:r>
      <w:r w:rsidRPr="00446A51">
        <w:t xml:space="preserve"> given the severity of itching associated with PFIC and the use of a placebo-control arm, there was potential for performance bias in relation to the subjectively reported patient reported outcomes (PROs) and observer reported outcomes (ObsRO) (e.g., pruritus scratching scores, sleep disturbances, QoL, and safety). PEDFIC 2 was a</w:t>
      </w:r>
      <w:r w:rsidR="00A65512" w:rsidRPr="00446A51">
        <w:t xml:space="preserve"> single arm</w:t>
      </w:r>
      <w:r w:rsidR="00FE1FB6" w:rsidRPr="00446A51">
        <w:t>,</w:t>
      </w:r>
      <w:r w:rsidRPr="00446A51">
        <w:t xml:space="preserve"> open-label </w:t>
      </w:r>
      <w:r w:rsidR="00FE1FB6" w:rsidRPr="00446A51">
        <w:t xml:space="preserve">study </w:t>
      </w:r>
      <w:r w:rsidRPr="00446A51">
        <w:t xml:space="preserve">and was considered at high risk of bias. </w:t>
      </w:r>
    </w:p>
    <w:p w14:paraId="434E4105" w14:textId="41BE5241" w:rsidR="009027DA" w:rsidRPr="00446A51" w:rsidRDefault="00E5561C" w:rsidP="004C442F">
      <w:pPr>
        <w:pStyle w:val="3-BodyText"/>
      </w:pPr>
      <w:bookmarkStart w:id="45" w:name="_Ref166073355"/>
      <w:bookmarkStart w:id="46" w:name="_Ref164703403"/>
      <w:r w:rsidRPr="00446A51">
        <w:t>In OvEC</w:t>
      </w:r>
      <w:r w:rsidR="00FE1FB6" w:rsidRPr="00446A51">
        <w:t xml:space="preserve"> Part A</w:t>
      </w:r>
      <w:r w:rsidRPr="00446A51">
        <w:t xml:space="preserve">, </w:t>
      </w:r>
      <w:r w:rsidR="00FE1FB6" w:rsidRPr="00446A51">
        <w:t xml:space="preserve">the control arm </w:t>
      </w:r>
      <w:r w:rsidR="00143118" w:rsidRPr="00446A51">
        <w:t>(</w:t>
      </w:r>
      <w:r w:rsidRPr="00446A51">
        <w:t>from NAPPED</w:t>
      </w:r>
      <w:r w:rsidR="00143118" w:rsidRPr="00446A51">
        <w:t>)</w:t>
      </w:r>
      <w:r w:rsidRPr="00446A51">
        <w:t xml:space="preserve"> </w:t>
      </w:r>
      <w:r w:rsidR="008277EE">
        <w:t xml:space="preserve">included patients who </w:t>
      </w:r>
      <w:r w:rsidRPr="00446A51">
        <w:t xml:space="preserve">were younger (mean age 2.5 vs 4.1 years) and </w:t>
      </w:r>
      <w:r w:rsidR="008277EE">
        <w:t>had</w:t>
      </w:r>
      <w:r w:rsidR="000A7CED" w:rsidRPr="00446A51">
        <w:t xml:space="preserve"> </w:t>
      </w:r>
      <w:r w:rsidRPr="00446A51">
        <w:t xml:space="preserve">greater proportion </w:t>
      </w:r>
      <w:r w:rsidR="00FA2B46" w:rsidRPr="00446A51">
        <w:t xml:space="preserve">of patients with </w:t>
      </w:r>
      <w:r w:rsidR="000A7CED" w:rsidRPr="00446A51">
        <w:t xml:space="preserve">the </w:t>
      </w:r>
      <w:r w:rsidRPr="00446A51">
        <w:t xml:space="preserve">PFIC2 </w:t>
      </w:r>
      <w:r w:rsidRPr="008277EE">
        <w:rPr>
          <w:i/>
          <w:iCs/>
        </w:rPr>
        <w:t>BSEP</w:t>
      </w:r>
      <w:r w:rsidR="00FA2B46" w:rsidRPr="008277EE">
        <w:rPr>
          <w:i/>
          <w:iCs/>
        </w:rPr>
        <w:t>1</w:t>
      </w:r>
      <w:r w:rsidRPr="00446A51">
        <w:t xml:space="preserve"> subtype (39% [31/80] vs 29% [15/69]) compared to </w:t>
      </w:r>
      <w:r w:rsidR="00FE1FB6" w:rsidRPr="00446A51">
        <w:t>odevixibat</w:t>
      </w:r>
      <w:r w:rsidR="00D8715F" w:rsidRPr="00446A51">
        <w:t>-</w:t>
      </w:r>
      <w:r w:rsidR="00FE1FB6" w:rsidRPr="00446A51">
        <w:t xml:space="preserve">treated patients </w:t>
      </w:r>
      <w:r w:rsidR="00143118" w:rsidRPr="00446A51">
        <w:t>(</w:t>
      </w:r>
      <w:r w:rsidR="00FE1FB6" w:rsidRPr="00446A51">
        <w:t xml:space="preserve">from </w:t>
      </w:r>
      <w:r w:rsidRPr="00446A51">
        <w:t xml:space="preserve">PEDFIC 1 and </w:t>
      </w:r>
      <w:r w:rsidR="00D22BE4" w:rsidRPr="00446A51">
        <w:t xml:space="preserve">PEDFIC </w:t>
      </w:r>
      <w:r w:rsidRPr="00446A51">
        <w:t>2</w:t>
      </w:r>
      <w:r w:rsidR="00143118" w:rsidRPr="00446A51">
        <w:t>)</w:t>
      </w:r>
      <w:r w:rsidR="002A79BD" w:rsidRPr="00446A51">
        <w:t>.</w:t>
      </w:r>
      <w:r w:rsidR="00FE1FB6" w:rsidRPr="00446A51">
        <w:t xml:space="preserve"> </w:t>
      </w:r>
      <w:r w:rsidR="002A79BD" w:rsidRPr="00446A51">
        <w:t>Th</w:t>
      </w:r>
      <w:r w:rsidR="008277EE">
        <w:t>erefore, th</w:t>
      </w:r>
      <w:r w:rsidR="002A79BD" w:rsidRPr="00446A51">
        <w:t xml:space="preserve">e patients in the control arm of OvEC Part A </w:t>
      </w:r>
      <w:r w:rsidRPr="00446A51">
        <w:t>potentially reflected a more severe phenotype</w:t>
      </w:r>
      <w:r w:rsidR="008277EE">
        <w:t xml:space="preserve">. This was also </w:t>
      </w:r>
      <w:r w:rsidRPr="00446A51">
        <w:t>suggested by lower</w:t>
      </w:r>
      <w:r w:rsidR="00B66088" w:rsidRPr="00446A51">
        <w:t xml:space="preserve"> mean</w:t>
      </w:r>
      <w:r w:rsidRPr="00446A51">
        <w:t xml:space="preserve"> height (</w:t>
      </w:r>
      <w:r w:rsidR="00D22BE4" w:rsidRPr="00446A51">
        <w:noBreakHyphen/>
      </w:r>
      <w:r w:rsidRPr="00446A51">
        <w:t>1.9 vs -1.6) and weight z-scores (-1.4 vs -1).</w:t>
      </w:r>
      <w:bookmarkEnd w:id="45"/>
      <w:r w:rsidRPr="00446A51">
        <w:t xml:space="preserve"> </w:t>
      </w:r>
    </w:p>
    <w:p w14:paraId="7FE32D00" w14:textId="05F50698" w:rsidR="00CF4048" w:rsidRPr="00446A51" w:rsidRDefault="00CF4048" w:rsidP="007D1D51">
      <w:pPr>
        <w:pStyle w:val="3-BodyText"/>
      </w:pPr>
      <w:bookmarkStart w:id="47" w:name="_Ref166073356"/>
      <w:r w:rsidRPr="00446A51">
        <w:t xml:space="preserve">SBD </w:t>
      </w:r>
      <w:r w:rsidR="008277EE">
        <w:t xml:space="preserve">was </w:t>
      </w:r>
      <w:r w:rsidRPr="00446A51">
        <w:t xml:space="preserve">commonly </w:t>
      </w:r>
      <w:r w:rsidR="008277EE">
        <w:t>performed</w:t>
      </w:r>
      <w:r w:rsidRPr="00446A51">
        <w:t xml:space="preserve"> by age three in PFIC1 </w:t>
      </w:r>
      <w:r w:rsidR="00143118" w:rsidRPr="00446A51">
        <w:t xml:space="preserve">patients </w:t>
      </w:r>
      <w:r w:rsidRPr="00446A51">
        <w:t xml:space="preserve">and by age five in PFIC2 patients; and a greater proportion of PFIC2 </w:t>
      </w:r>
      <w:r w:rsidRPr="008277EE">
        <w:rPr>
          <w:i/>
          <w:iCs/>
        </w:rPr>
        <w:t>BSEP1</w:t>
      </w:r>
      <w:r w:rsidRPr="00446A51">
        <w:t xml:space="preserve"> patients underwent SBD compared to patients with the </w:t>
      </w:r>
      <w:r w:rsidRPr="008277EE">
        <w:rPr>
          <w:i/>
          <w:iCs/>
        </w:rPr>
        <w:t>BSEP2</w:t>
      </w:r>
      <w:r w:rsidRPr="00446A51">
        <w:t xml:space="preserve"> and </w:t>
      </w:r>
      <w:r w:rsidRPr="008277EE">
        <w:rPr>
          <w:i/>
          <w:iCs/>
        </w:rPr>
        <w:t>BSEP3</w:t>
      </w:r>
      <w:r w:rsidRPr="00446A51">
        <w:t xml:space="preserve"> genotypes</w:t>
      </w:r>
      <w:r w:rsidR="004C442F" w:rsidRPr="00446A51">
        <w:t xml:space="preserve"> (see </w:t>
      </w:r>
      <w:r w:rsidR="004C442F" w:rsidRPr="00446A51">
        <w:fldChar w:fldCharType="begin"/>
      </w:r>
      <w:r w:rsidR="004C442F" w:rsidRPr="00446A51">
        <w:instrText xml:space="preserve"> REF _Ref165891197 \h  \* MERGEFORMAT </w:instrText>
      </w:r>
      <w:r w:rsidR="004C442F" w:rsidRPr="00446A51">
        <w:fldChar w:fldCharType="separate"/>
      </w:r>
      <w:r w:rsidR="008B4717">
        <w:t xml:space="preserve">Figure </w:t>
      </w:r>
      <w:r w:rsidR="008B4717">
        <w:rPr>
          <w:noProof/>
        </w:rPr>
        <w:t>1</w:t>
      </w:r>
      <w:r w:rsidR="004C442F" w:rsidRPr="00446A51">
        <w:fldChar w:fldCharType="end"/>
      </w:r>
      <w:r w:rsidR="004C442F" w:rsidRPr="00446A51">
        <w:t xml:space="preserve"> and </w:t>
      </w:r>
      <w:r w:rsidR="004C442F" w:rsidRPr="00446A51">
        <w:fldChar w:fldCharType="begin"/>
      </w:r>
      <w:r w:rsidR="004C442F" w:rsidRPr="00446A51">
        <w:instrText xml:space="preserve"> REF _Ref165891198 \h  \* MERGEFORMAT </w:instrText>
      </w:r>
      <w:r w:rsidR="004C442F" w:rsidRPr="00446A51">
        <w:fldChar w:fldCharType="separate"/>
      </w:r>
      <w:r w:rsidR="008B4717" w:rsidRPr="00D33C2C">
        <w:t xml:space="preserve">Figure </w:t>
      </w:r>
      <w:r w:rsidR="008B4717">
        <w:rPr>
          <w:noProof/>
        </w:rPr>
        <w:t>2</w:t>
      </w:r>
      <w:r w:rsidR="004C442F" w:rsidRPr="00446A51">
        <w:fldChar w:fldCharType="end"/>
      </w:r>
      <w:r w:rsidR="004C442F" w:rsidRPr="00446A51">
        <w:t>)</w:t>
      </w:r>
      <w:r w:rsidRPr="00446A51">
        <w:t xml:space="preserve">. </w:t>
      </w:r>
      <w:bookmarkStart w:id="48" w:name="_Ref165894235"/>
      <w:r w:rsidR="008277EE">
        <w:t>Therefore,</w:t>
      </w:r>
      <w:r w:rsidR="00E5561C" w:rsidRPr="00446A51">
        <w:t xml:space="preserve"> </w:t>
      </w:r>
      <w:r w:rsidRPr="00446A51">
        <w:t>patients in the control arm</w:t>
      </w:r>
      <w:r w:rsidR="00920BB3" w:rsidRPr="00446A51">
        <w:t xml:space="preserve"> of OvEC Part A</w:t>
      </w:r>
      <w:r w:rsidRPr="00446A51">
        <w:t xml:space="preserve"> inherently had a higher probability of undergoing SBD during the follow up period due to their younger age at baseline compared to the older odevixibat</w:t>
      </w:r>
      <w:r w:rsidRPr="00446A51">
        <w:noBreakHyphen/>
        <w:t xml:space="preserve">treated patients (i.e., patients from NAPPED aged 2.5 years had a higher </w:t>
      </w:r>
      <w:r w:rsidR="00F4031A" w:rsidRPr="00446A51">
        <w:t>likelihood</w:t>
      </w:r>
      <w:r w:rsidRPr="00446A51">
        <w:t xml:space="preserve"> of SBD compared to odevixibat-treated patients aged 4.1 years whose probability of SBD plateaus after this age). As such, </w:t>
      </w:r>
      <w:r w:rsidR="00E5561C" w:rsidRPr="00446A51">
        <w:t>the event</w:t>
      </w:r>
      <w:r w:rsidR="0079434A" w:rsidRPr="00446A51">
        <w:t xml:space="preserve"> </w:t>
      </w:r>
      <w:r w:rsidR="00E5561C" w:rsidRPr="00446A51">
        <w:t>free survival (EFS</w:t>
      </w:r>
      <w:r w:rsidR="00F4031A" w:rsidRPr="00446A51">
        <w:t>),</w:t>
      </w:r>
      <w:r w:rsidR="00FA2B46" w:rsidRPr="00446A51">
        <w:t xml:space="preserve"> defined as time to first </w:t>
      </w:r>
      <w:r w:rsidR="008277EE">
        <w:t>SBD</w:t>
      </w:r>
      <w:r w:rsidR="00FA2B46" w:rsidRPr="00446A51">
        <w:t xml:space="preserve">, </w:t>
      </w:r>
      <w:r w:rsidR="008277EE">
        <w:t>LT</w:t>
      </w:r>
      <w:r w:rsidR="00FA2B46" w:rsidRPr="00446A51">
        <w:t>, or death</w:t>
      </w:r>
      <w:r w:rsidR="00F4031A" w:rsidRPr="00446A51">
        <w:t>,</w:t>
      </w:r>
      <w:r w:rsidR="00E5561C" w:rsidRPr="00446A51">
        <w:t xml:space="preserve"> in OvEC was potentially biased in favour of odevixibat</w:t>
      </w:r>
      <w:r w:rsidR="00543DD2" w:rsidRPr="00446A51">
        <w:t>.</w:t>
      </w:r>
      <w:bookmarkEnd w:id="47"/>
      <w:r w:rsidR="006E1E4A" w:rsidRPr="00446A51">
        <w:t xml:space="preserve"> </w:t>
      </w:r>
    </w:p>
    <w:p w14:paraId="5157E82D" w14:textId="71E27F77" w:rsidR="002A79BD" w:rsidRPr="00446A51" w:rsidRDefault="008277EE" w:rsidP="00E5561C">
      <w:pPr>
        <w:pStyle w:val="3-BodyText"/>
      </w:pPr>
      <w:bookmarkStart w:id="49" w:name="_Ref174174086"/>
      <w:bookmarkEnd w:id="46"/>
      <w:bookmarkEnd w:id="48"/>
      <w:r w:rsidRPr="007250B6">
        <w:t>The ESC noted that</w:t>
      </w:r>
      <w:r>
        <w:t xml:space="preserve"> n</w:t>
      </w:r>
      <w:r w:rsidR="002A79BD" w:rsidRPr="00446A51">
        <w:t xml:space="preserve">o baseline characteristics for OvEC Part B </w:t>
      </w:r>
      <w:r w:rsidR="00143118" w:rsidRPr="00446A51">
        <w:t xml:space="preserve">were </w:t>
      </w:r>
      <w:r w:rsidR="002A79BD" w:rsidRPr="00446A51">
        <w:t xml:space="preserve">reported. As such, it was not possible to assess transitivity between treatment arms in OvEC </w:t>
      </w:r>
      <w:r w:rsidR="00CA3034" w:rsidRPr="00446A51">
        <w:t>P</w:t>
      </w:r>
      <w:r w:rsidR="002A79BD" w:rsidRPr="00446A51">
        <w:t>art B and the risk of bias should be considered high</w:t>
      </w:r>
      <w:r w:rsidR="00C47103" w:rsidRPr="00446A51">
        <w:t xml:space="preserve"> due to lack of information</w:t>
      </w:r>
      <w:r w:rsidR="002A79BD" w:rsidRPr="00446A51">
        <w:t>.</w:t>
      </w:r>
      <w:bookmarkEnd w:id="49"/>
    </w:p>
    <w:p w14:paraId="53858BEE" w14:textId="77777777" w:rsidR="00E5561C" w:rsidRPr="00D33C2C" w:rsidRDefault="00E5561C" w:rsidP="00E5561C">
      <w:pPr>
        <w:pStyle w:val="4-SubsectionHeading"/>
      </w:pPr>
      <w:bookmarkStart w:id="50" w:name="_Toc22897641"/>
      <w:bookmarkStart w:id="51" w:name="_Toc22898853"/>
      <w:bookmarkStart w:id="52" w:name="_Toc166210655"/>
      <w:r w:rsidRPr="00D33C2C">
        <w:t>Comparative effectiveness</w:t>
      </w:r>
      <w:bookmarkEnd w:id="50"/>
      <w:bookmarkEnd w:id="51"/>
      <w:bookmarkEnd w:id="52"/>
    </w:p>
    <w:p w14:paraId="455619C7" w14:textId="2A651FD1" w:rsidR="00E5561C" w:rsidRPr="00D33C2C" w:rsidRDefault="00E5561C" w:rsidP="00E5561C">
      <w:pPr>
        <w:pStyle w:val="3-BodyText"/>
      </w:pPr>
      <w:r w:rsidRPr="00D33C2C">
        <w:rPr>
          <w:snapToGrid/>
        </w:rPr>
        <w:t xml:space="preserve">Results for the primary endpoint, sBA response </w:t>
      </w:r>
      <w:r w:rsidR="00E626A1">
        <w:rPr>
          <w:snapToGrid/>
        </w:rPr>
        <w:t>(</w:t>
      </w:r>
      <w:r w:rsidR="00E626A1">
        <w:rPr>
          <w:rFonts w:cstheme="minorHAnsi"/>
          <w:snapToGrid/>
        </w:rPr>
        <w:t>≥</w:t>
      </w:r>
      <w:r w:rsidR="00E626A1" w:rsidRPr="00E626A1">
        <w:rPr>
          <w:rFonts w:cstheme="minorHAnsi"/>
          <w:snapToGrid/>
        </w:rPr>
        <w:t>70% reduction in fasting sBA concentration from baseline to the end of treatment or reaching a level ≤</w:t>
      </w:r>
      <w:r w:rsidR="000D6DF2">
        <w:rPr>
          <w:rFonts w:cstheme="minorHAnsi"/>
          <w:snapToGrid/>
        </w:rPr>
        <w:t> </w:t>
      </w:r>
      <w:r w:rsidR="00E626A1" w:rsidRPr="00E626A1">
        <w:rPr>
          <w:rFonts w:cstheme="minorHAnsi"/>
          <w:snapToGrid/>
        </w:rPr>
        <w:t>70</w:t>
      </w:r>
      <w:r w:rsidR="000D6DF2">
        <w:rPr>
          <w:rFonts w:cstheme="minorHAnsi"/>
          <w:snapToGrid/>
        </w:rPr>
        <w:t> </w:t>
      </w:r>
      <w:r w:rsidR="00E626A1" w:rsidRPr="00E626A1">
        <w:rPr>
          <w:rFonts w:cstheme="minorHAnsi"/>
          <w:snapToGrid/>
        </w:rPr>
        <w:t>µmol/L</w:t>
      </w:r>
      <w:r w:rsidR="00E626A1">
        <w:rPr>
          <w:rFonts w:cstheme="minorHAnsi"/>
          <w:snapToGrid/>
        </w:rPr>
        <w:t>)</w:t>
      </w:r>
      <w:r w:rsidR="00E626A1" w:rsidRPr="00E626A1">
        <w:rPr>
          <w:rFonts w:cstheme="minorHAnsi"/>
          <w:snapToGrid/>
        </w:rPr>
        <w:t xml:space="preserve"> </w:t>
      </w:r>
      <w:r w:rsidRPr="00D33C2C">
        <w:rPr>
          <w:snapToGrid/>
        </w:rPr>
        <w:t xml:space="preserve">and </w:t>
      </w:r>
      <w:r w:rsidR="00517DC0" w:rsidRPr="00D33C2C">
        <w:t>the key secondary endpoint</w:t>
      </w:r>
      <w:r w:rsidR="00517DC0">
        <w:t>s</w:t>
      </w:r>
      <w:r w:rsidR="00327B9D">
        <w:t>;</w:t>
      </w:r>
      <w:r w:rsidR="00517DC0" w:rsidRPr="00D33C2C">
        <w:rPr>
          <w:snapToGrid/>
        </w:rPr>
        <w:t xml:space="preserve"> </w:t>
      </w:r>
      <w:r w:rsidRPr="00D33C2C">
        <w:rPr>
          <w:snapToGrid/>
        </w:rPr>
        <w:t>pruritus response</w:t>
      </w:r>
      <w:r w:rsidR="00E626A1">
        <w:rPr>
          <w:snapToGrid/>
        </w:rPr>
        <w:t xml:space="preserve"> (</w:t>
      </w:r>
      <w:r w:rsidR="00E626A1" w:rsidRPr="00E626A1">
        <w:rPr>
          <w:snapToGrid/>
        </w:rPr>
        <w:t>defined as a scratching score of ≤1 or at least a 1-point</w:t>
      </w:r>
      <w:r w:rsidR="00A13BD3">
        <w:rPr>
          <w:snapToGrid/>
        </w:rPr>
        <w:t xml:space="preserve"> reduction</w:t>
      </w:r>
      <w:r w:rsidR="00E626A1" w:rsidRPr="00E626A1">
        <w:rPr>
          <w:snapToGrid/>
        </w:rPr>
        <w:t xml:space="preserve"> from baseline on the </w:t>
      </w:r>
      <w:r w:rsidR="00E626A1">
        <w:rPr>
          <w:snapToGrid/>
        </w:rPr>
        <w:t xml:space="preserve">PRUCISION </w:t>
      </w:r>
      <w:r w:rsidR="00E626A1" w:rsidRPr="00E626A1">
        <w:rPr>
          <w:snapToGrid/>
        </w:rPr>
        <w:t>ObsRO instrument</w:t>
      </w:r>
      <w:r w:rsidR="00B533DA">
        <w:rPr>
          <w:snapToGrid/>
        </w:rPr>
        <w:t xml:space="preserve"> </w:t>
      </w:r>
      <w:r w:rsidR="00B533DA" w:rsidRPr="00B533DA">
        <w:rPr>
          <w:snapToGrid/>
        </w:rPr>
        <w:t>[</w:t>
      </w:r>
      <w:r w:rsidR="00B533DA" w:rsidRPr="00B533DA">
        <w:t>referred to as ObsRO from herein</w:t>
      </w:r>
      <w:r w:rsidR="00B533DA">
        <w:t>]</w:t>
      </w:r>
      <w:r w:rsidR="00E626A1">
        <w:rPr>
          <w:snapToGrid/>
        </w:rPr>
        <w:t>)</w:t>
      </w:r>
      <w:r w:rsidRPr="00D33C2C">
        <w:t xml:space="preserve"> and pruritus response for </w:t>
      </w:r>
      <w:r w:rsidRPr="00D33C2C">
        <w:rPr>
          <w:rFonts w:cs="Calibri"/>
        </w:rPr>
        <w:t>≥</w:t>
      </w:r>
      <w:r w:rsidRPr="00D33C2C">
        <w:t>50% of the time</w:t>
      </w:r>
      <w:r w:rsidRPr="00D33C2C">
        <w:rPr>
          <w:snapToGrid/>
        </w:rPr>
        <w:t xml:space="preserve"> from PEDFIC 1 are presented in </w:t>
      </w:r>
      <w:r w:rsidRPr="00D33C2C">
        <w:rPr>
          <w:snapToGrid/>
        </w:rPr>
        <w:fldChar w:fldCharType="begin"/>
      </w:r>
      <w:r w:rsidRPr="00D33C2C">
        <w:rPr>
          <w:snapToGrid/>
        </w:rPr>
        <w:instrText xml:space="preserve"> REF _Ref164608051 \h </w:instrText>
      </w:r>
      <w:r w:rsidRPr="00D33C2C">
        <w:rPr>
          <w:snapToGrid/>
        </w:rPr>
      </w:r>
      <w:r w:rsidRPr="00D33C2C">
        <w:rPr>
          <w:snapToGrid/>
        </w:rPr>
        <w:fldChar w:fldCharType="separate"/>
      </w:r>
      <w:r w:rsidR="008B4717" w:rsidRPr="00D33C2C">
        <w:t xml:space="preserve">Table </w:t>
      </w:r>
      <w:r w:rsidR="008B4717">
        <w:rPr>
          <w:noProof/>
        </w:rPr>
        <w:t>5</w:t>
      </w:r>
      <w:r w:rsidRPr="00D33C2C">
        <w:rPr>
          <w:snapToGrid/>
        </w:rPr>
        <w:fldChar w:fldCharType="end"/>
      </w:r>
      <w:r w:rsidRPr="00D33C2C">
        <w:rPr>
          <w:snapToGrid/>
        </w:rPr>
        <w:t xml:space="preserve">. </w:t>
      </w:r>
    </w:p>
    <w:p w14:paraId="1327CBDA" w14:textId="5EC3FE25" w:rsidR="00E5561C" w:rsidRPr="00D33C2C" w:rsidRDefault="00E5561C" w:rsidP="00841B85">
      <w:pPr>
        <w:pStyle w:val="TableFigureHeading"/>
        <w:keepLines/>
        <w:jc w:val="both"/>
        <w:rPr>
          <w:snapToGrid w:val="0"/>
        </w:rPr>
      </w:pPr>
      <w:bookmarkStart w:id="53" w:name="_Ref164608051"/>
      <w:r w:rsidRPr="00D33C2C">
        <w:lastRenderedPageBreak/>
        <w:t xml:space="preserve">Table </w:t>
      </w:r>
      <w:r w:rsidR="00DF1200">
        <w:fldChar w:fldCharType="begin"/>
      </w:r>
      <w:r w:rsidR="00DF1200">
        <w:instrText xml:space="preserve"> SEQ Table \* ARABIC </w:instrText>
      </w:r>
      <w:r w:rsidR="00DF1200">
        <w:fldChar w:fldCharType="separate"/>
      </w:r>
      <w:r w:rsidR="008B4717">
        <w:rPr>
          <w:noProof/>
        </w:rPr>
        <w:t>5</w:t>
      </w:r>
      <w:r w:rsidR="00DF1200">
        <w:rPr>
          <w:noProof/>
        </w:rPr>
        <w:fldChar w:fldCharType="end"/>
      </w:r>
      <w:bookmarkEnd w:id="53"/>
      <w:r w:rsidRPr="00D33C2C">
        <w:t>: Proportion sBA response, pruritus response, and pruritus response for ≥50% of the time at 24 weeks– PEDFIC 1 (FAS)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5: Proportion sBA response, pruritus response, and pruritus response for ≥50% of the time at 24 weeks– PEDFIC 1 (FAS)"/>
      </w:tblPr>
      <w:tblGrid>
        <w:gridCol w:w="3256"/>
        <w:gridCol w:w="1275"/>
        <w:gridCol w:w="1701"/>
        <w:gridCol w:w="1418"/>
        <w:gridCol w:w="1367"/>
      </w:tblGrid>
      <w:tr w:rsidR="00E5561C" w:rsidRPr="00D33C2C" w14:paraId="218E1B33" w14:textId="77777777" w:rsidTr="00F704A2">
        <w:trPr>
          <w:trHeight w:val="227"/>
        </w:trPr>
        <w:tc>
          <w:tcPr>
            <w:tcW w:w="3256" w:type="dxa"/>
            <w:tcBorders>
              <w:bottom w:val="single" w:sz="4" w:space="0" w:color="auto"/>
            </w:tcBorders>
            <w:shd w:val="clear" w:color="auto" w:fill="auto"/>
            <w:noWrap/>
            <w:tcMar>
              <w:left w:w="20" w:type="dxa"/>
              <w:right w:w="20" w:type="dxa"/>
            </w:tcMar>
            <w:vAlign w:val="center"/>
          </w:tcPr>
          <w:p w14:paraId="78C41487" w14:textId="77777777" w:rsidR="00E5561C" w:rsidRPr="00D33C2C" w:rsidRDefault="00E5561C" w:rsidP="00D97D10">
            <w:pPr>
              <w:pStyle w:val="Tabletext"/>
              <w:keepNext/>
              <w:keepLines/>
              <w:rPr>
                <w:b/>
                <w:bCs/>
                <w:szCs w:val="20"/>
              </w:rPr>
            </w:pPr>
          </w:p>
        </w:tc>
        <w:tc>
          <w:tcPr>
            <w:tcW w:w="1275" w:type="dxa"/>
            <w:tcBorders>
              <w:bottom w:val="single" w:sz="4" w:space="0" w:color="auto"/>
            </w:tcBorders>
            <w:shd w:val="clear" w:color="auto" w:fill="auto"/>
            <w:noWrap/>
            <w:tcMar>
              <w:left w:w="20" w:type="dxa"/>
              <w:right w:w="20" w:type="dxa"/>
            </w:tcMar>
            <w:vAlign w:val="center"/>
            <w:hideMark/>
          </w:tcPr>
          <w:p w14:paraId="637D5E42" w14:textId="20519E80" w:rsidR="00E5561C" w:rsidRPr="00D33C2C" w:rsidRDefault="00E5561C" w:rsidP="000D7093">
            <w:pPr>
              <w:pStyle w:val="Tabletext"/>
              <w:keepNext/>
              <w:keepLines/>
              <w:jc w:val="center"/>
              <w:rPr>
                <w:b/>
                <w:bCs/>
                <w:szCs w:val="20"/>
              </w:rPr>
            </w:pPr>
            <w:r w:rsidRPr="00D33C2C">
              <w:rPr>
                <w:b/>
                <w:bCs/>
                <w:szCs w:val="20"/>
              </w:rPr>
              <w:t>Placebo, n=20</w:t>
            </w:r>
          </w:p>
        </w:tc>
        <w:tc>
          <w:tcPr>
            <w:tcW w:w="1701" w:type="dxa"/>
            <w:tcBorders>
              <w:bottom w:val="single" w:sz="4" w:space="0" w:color="auto"/>
            </w:tcBorders>
            <w:shd w:val="clear" w:color="auto" w:fill="auto"/>
            <w:noWrap/>
            <w:tcMar>
              <w:left w:w="20" w:type="dxa"/>
              <w:right w:w="20" w:type="dxa"/>
            </w:tcMar>
            <w:vAlign w:val="center"/>
            <w:hideMark/>
          </w:tcPr>
          <w:p w14:paraId="5B95F738" w14:textId="77777777" w:rsidR="00E5561C" w:rsidRPr="00D33C2C" w:rsidRDefault="00E5561C" w:rsidP="00D97D10">
            <w:pPr>
              <w:pStyle w:val="Tabletext"/>
              <w:keepNext/>
              <w:keepLines/>
              <w:jc w:val="center"/>
              <w:rPr>
                <w:b/>
                <w:bCs/>
                <w:szCs w:val="20"/>
              </w:rPr>
            </w:pPr>
            <w:r w:rsidRPr="00D33C2C">
              <w:rPr>
                <w:b/>
                <w:bCs/>
                <w:szCs w:val="20"/>
              </w:rPr>
              <w:t>40 mcg/kg, n=23</w:t>
            </w:r>
          </w:p>
        </w:tc>
        <w:tc>
          <w:tcPr>
            <w:tcW w:w="1418" w:type="dxa"/>
            <w:tcBorders>
              <w:bottom w:val="single" w:sz="4" w:space="0" w:color="auto"/>
            </w:tcBorders>
            <w:shd w:val="clear" w:color="auto" w:fill="auto"/>
            <w:noWrap/>
            <w:tcMar>
              <w:left w:w="20" w:type="dxa"/>
              <w:right w:w="20" w:type="dxa"/>
            </w:tcMar>
            <w:vAlign w:val="center"/>
            <w:hideMark/>
          </w:tcPr>
          <w:p w14:paraId="233A191B" w14:textId="763A5F20" w:rsidR="00E5561C" w:rsidRPr="00D33C2C" w:rsidRDefault="00E5561C" w:rsidP="00D97D10">
            <w:pPr>
              <w:pStyle w:val="Tabletext"/>
              <w:keepNext/>
              <w:keepLines/>
              <w:jc w:val="center"/>
              <w:rPr>
                <w:b/>
                <w:bCs/>
                <w:szCs w:val="20"/>
              </w:rPr>
            </w:pPr>
            <w:r w:rsidRPr="00D33C2C">
              <w:rPr>
                <w:b/>
                <w:bCs/>
                <w:szCs w:val="20"/>
              </w:rPr>
              <w:t>120 mcg/kg</w:t>
            </w:r>
            <w:r w:rsidR="000D7093">
              <w:rPr>
                <w:b/>
                <w:bCs/>
                <w:szCs w:val="20"/>
              </w:rPr>
              <w:t xml:space="preserve">, </w:t>
            </w:r>
            <w:r w:rsidRPr="00D33C2C">
              <w:rPr>
                <w:b/>
                <w:bCs/>
                <w:szCs w:val="20"/>
              </w:rPr>
              <w:t>n=19</w:t>
            </w:r>
          </w:p>
        </w:tc>
        <w:tc>
          <w:tcPr>
            <w:tcW w:w="1367" w:type="dxa"/>
            <w:tcBorders>
              <w:bottom w:val="single" w:sz="4" w:space="0" w:color="auto"/>
            </w:tcBorders>
            <w:shd w:val="clear" w:color="auto" w:fill="auto"/>
            <w:noWrap/>
            <w:tcMar>
              <w:left w:w="20" w:type="dxa"/>
              <w:right w:w="20" w:type="dxa"/>
            </w:tcMar>
            <w:vAlign w:val="center"/>
            <w:hideMark/>
          </w:tcPr>
          <w:p w14:paraId="06E1DAA8" w14:textId="77777777" w:rsidR="00E5561C" w:rsidRPr="00D33C2C" w:rsidRDefault="00E5561C" w:rsidP="00D97D10">
            <w:pPr>
              <w:pStyle w:val="Tabletext"/>
              <w:keepNext/>
              <w:keepLines/>
              <w:jc w:val="center"/>
              <w:rPr>
                <w:b/>
                <w:bCs/>
                <w:szCs w:val="20"/>
              </w:rPr>
            </w:pPr>
            <w:r w:rsidRPr="00D33C2C">
              <w:rPr>
                <w:b/>
                <w:bCs/>
                <w:szCs w:val="20"/>
              </w:rPr>
              <w:t>All doses, n=42</w:t>
            </w:r>
          </w:p>
        </w:tc>
      </w:tr>
      <w:tr w:rsidR="00E5561C" w:rsidRPr="00D33C2C" w14:paraId="62F10A42" w14:textId="77777777" w:rsidTr="000A7CED">
        <w:trPr>
          <w:trHeight w:val="227"/>
        </w:trPr>
        <w:tc>
          <w:tcPr>
            <w:tcW w:w="9017" w:type="dxa"/>
            <w:gridSpan w:val="5"/>
            <w:tcBorders>
              <w:top w:val="single" w:sz="4" w:space="0" w:color="auto"/>
              <w:left w:val="single" w:sz="4" w:space="0" w:color="auto"/>
              <w:bottom w:val="single" w:sz="4" w:space="0" w:color="auto"/>
              <w:right w:val="single" w:sz="4" w:space="0" w:color="auto"/>
            </w:tcBorders>
            <w:shd w:val="clear" w:color="auto" w:fill="auto"/>
            <w:noWrap/>
            <w:tcMar>
              <w:left w:w="20" w:type="dxa"/>
              <w:right w:w="20" w:type="dxa"/>
            </w:tcMar>
            <w:vAlign w:val="center"/>
          </w:tcPr>
          <w:p w14:paraId="63B647E5" w14:textId="77777777" w:rsidR="00E5561C" w:rsidRPr="00D33C2C" w:rsidRDefault="00E5561C" w:rsidP="00D97D10">
            <w:pPr>
              <w:pStyle w:val="Tabletext"/>
              <w:keepNext/>
              <w:keepLines/>
              <w:rPr>
                <w:b/>
                <w:bCs/>
                <w:szCs w:val="20"/>
              </w:rPr>
            </w:pPr>
            <w:r w:rsidRPr="00D33C2C">
              <w:rPr>
                <w:b/>
                <w:bCs/>
                <w:szCs w:val="20"/>
              </w:rPr>
              <w:t>Proportion of sBA response (primary)</w:t>
            </w:r>
          </w:p>
        </w:tc>
      </w:tr>
      <w:tr w:rsidR="00E5561C" w:rsidRPr="00D33C2C" w14:paraId="7BD90C82" w14:textId="77777777" w:rsidTr="00F704A2">
        <w:trPr>
          <w:trHeight w:val="227"/>
        </w:trPr>
        <w:tc>
          <w:tcPr>
            <w:tcW w:w="3256" w:type="dxa"/>
            <w:tcBorders>
              <w:top w:val="single" w:sz="4" w:space="0" w:color="auto"/>
            </w:tcBorders>
            <w:shd w:val="clear" w:color="auto" w:fill="auto"/>
            <w:noWrap/>
            <w:tcMar>
              <w:left w:w="20" w:type="dxa"/>
              <w:right w:w="20" w:type="dxa"/>
            </w:tcMar>
            <w:vAlign w:val="center"/>
            <w:hideMark/>
          </w:tcPr>
          <w:p w14:paraId="54237FA9" w14:textId="77777777" w:rsidR="00E5561C" w:rsidRPr="00D33C2C" w:rsidRDefault="00E5561C" w:rsidP="00D97D10">
            <w:pPr>
              <w:pStyle w:val="Tabletext"/>
              <w:keepNext/>
              <w:keepLines/>
              <w:rPr>
                <w:szCs w:val="20"/>
              </w:rPr>
            </w:pPr>
            <w:r w:rsidRPr="00D33C2C">
              <w:rPr>
                <w:szCs w:val="20"/>
              </w:rPr>
              <w:t>Responders, n (%)</w:t>
            </w:r>
          </w:p>
        </w:tc>
        <w:tc>
          <w:tcPr>
            <w:tcW w:w="1275" w:type="dxa"/>
            <w:tcBorders>
              <w:top w:val="single" w:sz="4" w:space="0" w:color="auto"/>
            </w:tcBorders>
            <w:shd w:val="clear" w:color="auto" w:fill="auto"/>
            <w:noWrap/>
            <w:tcMar>
              <w:left w:w="20" w:type="dxa"/>
              <w:right w:w="20" w:type="dxa"/>
            </w:tcMar>
            <w:vAlign w:val="center"/>
            <w:hideMark/>
          </w:tcPr>
          <w:p w14:paraId="70E54FA2" w14:textId="77777777" w:rsidR="00E5561C" w:rsidRPr="00D33C2C" w:rsidRDefault="00E5561C" w:rsidP="00D97D10">
            <w:pPr>
              <w:pStyle w:val="Tabletext"/>
              <w:keepNext/>
              <w:keepLines/>
              <w:jc w:val="center"/>
              <w:rPr>
                <w:szCs w:val="20"/>
              </w:rPr>
            </w:pPr>
            <w:r w:rsidRPr="00D33C2C">
              <w:rPr>
                <w:szCs w:val="20"/>
              </w:rPr>
              <w:t>0</w:t>
            </w:r>
          </w:p>
        </w:tc>
        <w:tc>
          <w:tcPr>
            <w:tcW w:w="1701" w:type="dxa"/>
            <w:tcBorders>
              <w:top w:val="single" w:sz="4" w:space="0" w:color="auto"/>
            </w:tcBorders>
            <w:shd w:val="clear" w:color="auto" w:fill="auto"/>
            <w:noWrap/>
            <w:tcMar>
              <w:left w:w="20" w:type="dxa"/>
              <w:right w:w="20" w:type="dxa"/>
            </w:tcMar>
            <w:vAlign w:val="center"/>
            <w:hideMark/>
          </w:tcPr>
          <w:p w14:paraId="282CE081" w14:textId="77777777" w:rsidR="00E5561C" w:rsidRPr="00D33C2C" w:rsidRDefault="00E5561C" w:rsidP="00D97D10">
            <w:pPr>
              <w:pStyle w:val="Tabletext"/>
              <w:keepNext/>
              <w:keepLines/>
              <w:jc w:val="center"/>
              <w:rPr>
                <w:szCs w:val="20"/>
              </w:rPr>
            </w:pPr>
            <w:r w:rsidRPr="00D33C2C">
              <w:rPr>
                <w:szCs w:val="20"/>
              </w:rPr>
              <w:t>10 (43.5)</w:t>
            </w:r>
          </w:p>
        </w:tc>
        <w:tc>
          <w:tcPr>
            <w:tcW w:w="1418" w:type="dxa"/>
            <w:tcBorders>
              <w:top w:val="single" w:sz="4" w:space="0" w:color="auto"/>
            </w:tcBorders>
            <w:shd w:val="clear" w:color="auto" w:fill="auto"/>
            <w:noWrap/>
            <w:tcMar>
              <w:left w:w="20" w:type="dxa"/>
              <w:right w:w="20" w:type="dxa"/>
            </w:tcMar>
            <w:vAlign w:val="center"/>
            <w:hideMark/>
          </w:tcPr>
          <w:p w14:paraId="5CAD8902" w14:textId="77777777" w:rsidR="00E5561C" w:rsidRPr="00D33C2C" w:rsidRDefault="00E5561C" w:rsidP="00D97D10">
            <w:pPr>
              <w:pStyle w:val="Tabletext"/>
              <w:keepNext/>
              <w:keepLines/>
              <w:jc w:val="center"/>
              <w:rPr>
                <w:szCs w:val="20"/>
              </w:rPr>
            </w:pPr>
            <w:r w:rsidRPr="00D33C2C">
              <w:rPr>
                <w:szCs w:val="20"/>
              </w:rPr>
              <w:t>4 (21.1)</w:t>
            </w:r>
          </w:p>
        </w:tc>
        <w:tc>
          <w:tcPr>
            <w:tcW w:w="1367" w:type="dxa"/>
            <w:tcBorders>
              <w:top w:val="single" w:sz="4" w:space="0" w:color="auto"/>
            </w:tcBorders>
            <w:shd w:val="clear" w:color="auto" w:fill="auto"/>
            <w:noWrap/>
            <w:tcMar>
              <w:left w:w="20" w:type="dxa"/>
              <w:right w:w="20" w:type="dxa"/>
            </w:tcMar>
            <w:vAlign w:val="center"/>
            <w:hideMark/>
          </w:tcPr>
          <w:p w14:paraId="086DEAE5" w14:textId="77777777" w:rsidR="00E5561C" w:rsidRPr="00D33C2C" w:rsidRDefault="00E5561C" w:rsidP="00D97D10">
            <w:pPr>
              <w:pStyle w:val="Tabletext"/>
              <w:keepNext/>
              <w:keepLines/>
              <w:jc w:val="center"/>
              <w:rPr>
                <w:szCs w:val="20"/>
              </w:rPr>
            </w:pPr>
            <w:r w:rsidRPr="00D33C2C">
              <w:rPr>
                <w:szCs w:val="20"/>
              </w:rPr>
              <w:t>14 (33.3)</w:t>
            </w:r>
          </w:p>
        </w:tc>
      </w:tr>
      <w:tr w:rsidR="00E5561C" w:rsidRPr="00D33C2C" w14:paraId="54992AFE" w14:textId="77777777" w:rsidTr="00F704A2">
        <w:trPr>
          <w:trHeight w:val="227"/>
        </w:trPr>
        <w:tc>
          <w:tcPr>
            <w:tcW w:w="3256" w:type="dxa"/>
            <w:shd w:val="clear" w:color="auto" w:fill="auto"/>
            <w:noWrap/>
            <w:tcMar>
              <w:left w:w="20" w:type="dxa"/>
              <w:right w:w="20" w:type="dxa"/>
            </w:tcMar>
            <w:vAlign w:val="center"/>
            <w:hideMark/>
          </w:tcPr>
          <w:p w14:paraId="50C1D5B4" w14:textId="77777777" w:rsidR="00E5561C" w:rsidRPr="00D33C2C" w:rsidRDefault="00E5561C" w:rsidP="00D97D10">
            <w:pPr>
              <w:pStyle w:val="Tabletext"/>
              <w:keepNext/>
              <w:keepLines/>
              <w:rPr>
                <w:szCs w:val="20"/>
              </w:rPr>
            </w:pPr>
            <w:r w:rsidRPr="00D33C2C">
              <w:rPr>
                <w:szCs w:val="20"/>
              </w:rPr>
              <w:t>95% CI</w:t>
            </w:r>
          </w:p>
        </w:tc>
        <w:tc>
          <w:tcPr>
            <w:tcW w:w="1275" w:type="dxa"/>
            <w:shd w:val="clear" w:color="auto" w:fill="auto"/>
            <w:noWrap/>
            <w:tcMar>
              <w:left w:w="20" w:type="dxa"/>
              <w:right w:w="20" w:type="dxa"/>
            </w:tcMar>
            <w:vAlign w:val="center"/>
            <w:hideMark/>
          </w:tcPr>
          <w:p w14:paraId="37304B9C" w14:textId="77777777" w:rsidR="00E5561C" w:rsidRPr="00D33C2C" w:rsidRDefault="00E5561C" w:rsidP="00D97D10">
            <w:pPr>
              <w:pStyle w:val="Tabletext"/>
              <w:keepNext/>
              <w:keepLines/>
              <w:jc w:val="center"/>
              <w:rPr>
                <w:szCs w:val="20"/>
              </w:rPr>
            </w:pPr>
            <w:r w:rsidRPr="00D33C2C">
              <w:rPr>
                <w:szCs w:val="20"/>
              </w:rPr>
              <w:t>(0.00, 16.84)</w:t>
            </w:r>
          </w:p>
        </w:tc>
        <w:tc>
          <w:tcPr>
            <w:tcW w:w="1701" w:type="dxa"/>
            <w:shd w:val="clear" w:color="auto" w:fill="auto"/>
            <w:noWrap/>
            <w:tcMar>
              <w:left w:w="20" w:type="dxa"/>
              <w:right w:w="20" w:type="dxa"/>
            </w:tcMar>
            <w:vAlign w:val="center"/>
            <w:hideMark/>
          </w:tcPr>
          <w:p w14:paraId="52D164C1" w14:textId="77777777" w:rsidR="00E5561C" w:rsidRPr="00D33C2C" w:rsidRDefault="00E5561C" w:rsidP="00D97D10">
            <w:pPr>
              <w:pStyle w:val="Tabletext"/>
              <w:keepNext/>
              <w:keepLines/>
              <w:jc w:val="center"/>
              <w:rPr>
                <w:szCs w:val="20"/>
              </w:rPr>
            </w:pPr>
            <w:r w:rsidRPr="00D33C2C">
              <w:rPr>
                <w:szCs w:val="20"/>
              </w:rPr>
              <w:t>(23.19, 65.51)</w:t>
            </w:r>
          </w:p>
        </w:tc>
        <w:tc>
          <w:tcPr>
            <w:tcW w:w="1418" w:type="dxa"/>
            <w:shd w:val="clear" w:color="auto" w:fill="auto"/>
            <w:noWrap/>
            <w:tcMar>
              <w:left w:w="20" w:type="dxa"/>
              <w:right w:w="20" w:type="dxa"/>
            </w:tcMar>
            <w:vAlign w:val="center"/>
            <w:hideMark/>
          </w:tcPr>
          <w:p w14:paraId="46132C16" w14:textId="77777777" w:rsidR="00E5561C" w:rsidRPr="00D33C2C" w:rsidRDefault="00E5561C" w:rsidP="00D97D10">
            <w:pPr>
              <w:pStyle w:val="Tabletext"/>
              <w:keepNext/>
              <w:keepLines/>
              <w:jc w:val="center"/>
              <w:rPr>
                <w:szCs w:val="20"/>
              </w:rPr>
            </w:pPr>
            <w:r w:rsidRPr="00D33C2C">
              <w:rPr>
                <w:szCs w:val="20"/>
              </w:rPr>
              <w:t>(6.05, 45.57)</w:t>
            </w:r>
          </w:p>
        </w:tc>
        <w:tc>
          <w:tcPr>
            <w:tcW w:w="1367" w:type="dxa"/>
            <w:shd w:val="clear" w:color="auto" w:fill="auto"/>
            <w:noWrap/>
            <w:tcMar>
              <w:left w:w="20" w:type="dxa"/>
              <w:right w:w="20" w:type="dxa"/>
            </w:tcMar>
            <w:vAlign w:val="center"/>
            <w:hideMark/>
          </w:tcPr>
          <w:p w14:paraId="688F1803" w14:textId="77777777" w:rsidR="00E5561C" w:rsidRPr="00D33C2C" w:rsidRDefault="00E5561C" w:rsidP="00D97D10">
            <w:pPr>
              <w:pStyle w:val="Tabletext"/>
              <w:keepNext/>
              <w:keepLines/>
              <w:jc w:val="center"/>
              <w:rPr>
                <w:szCs w:val="20"/>
              </w:rPr>
            </w:pPr>
            <w:r w:rsidRPr="00D33C2C">
              <w:rPr>
                <w:szCs w:val="20"/>
              </w:rPr>
              <w:t>(19.57, 49.55)</w:t>
            </w:r>
          </w:p>
        </w:tc>
      </w:tr>
      <w:tr w:rsidR="00E5561C" w:rsidRPr="00D33C2C" w14:paraId="0B1E2BDF" w14:textId="77777777" w:rsidTr="00F704A2">
        <w:trPr>
          <w:trHeight w:val="227"/>
        </w:trPr>
        <w:tc>
          <w:tcPr>
            <w:tcW w:w="3256" w:type="dxa"/>
            <w:shd w:val="clear" w:color="auto" w:fill="auto"/>
            <w:noWrap/>
            <w:tcMar>
              <w:left w:w="20" w:type="dxa"/>
              <w:right w:w="20" w:type="dxa"/>
            </w:tcMar>
            <w:vAlign w:val="center"/>
            <w:hideMark/>
          </w:tcPr>
          <w:p w14:paraId="13132E70" w14:textId="38604B88" w:rsidR="00E5561C" w:rsidRPr="00D33C2C" w:rsidRDefault="004237C0" w:rsidP="00D97D10">
            <w:pPr>
              <w:pStyle w:val="Tabletext"/>
              <w:keepNext/>
              <w:keepLines/>
              <w:rPr>
                <w:szCs w:val="20"/>
              </w:rPr>
            </w:pPr>
            <w:r>
              <w:rPr>
                <w:szCs w:val="20"/>
              </w:rPr>
              <w:t xml:space="preserve">% </w:t>
            </w:r>
            <w:r w:rsidR="00E5561C" w:rsidRPr="00D33C2C">
              <w:rPr>
                <w:szCs w:val="20"/>
              </w:rPr>
              <w:t xml:space="preserve">Difference adjusted (95% CI) </w:t>
            </w:r>
          </w:p>
          <w:p w14:paraId="61E94232" w14:textId="3185FE7F" w:rsidR="00E5561C" w:rsidRPr="00D33C2C" w:rsidRDefault="00E5561C" w:rsidP="00D97D10">
            <w:pPr>
              <w:pStyle w:val="Tabletext"/>
              <w:keepNext/>
              <w:keepLines/>
              <w:rPr>
                <w:szCs w:val="20"/>
              </w:rPr>
            </w:pPr>
            <w:r w:rsidRPr="00D33C2C">
              <w:rPr>
                <w:szCs w:val="20"/>
              </w:rPr>
              <w:t>(Odevixibat</w:t>
            </w:r>
            <w:r w:rsidR="00143118">
              <w:rPr>
                <w:szCs w:val="20"/>
              </w:rPr>
              <w:t xml:space="preserve"> vs </w:t>
            </w:r>
            <w:r w:rsidRPr="00D33C2C">
              <w:rPr>
                <w:szCs w:val="20"/>
              </w:rPr>
              <w:t xml:space="preserve">Placebo) </w:t>
            </w:r>
          </w:p>
        </w:tc>
        <w:tc>
          <w:tcPr>
            <w:tcW w:w="1275" w:type="dxa"/>
            <w:shd w:val="clear" w:color="auto" w:fill="auto"/>
            <w:noWrap/>
            <w:tcMar>
              <w:left w:w="20" w:type="dxa"/>
              <w:right w:w="20" w:type="dxa"/>
            </w:tcMar>
            <w:vAlign w:val="center"/>
            <w:hideMark/>
          </w:tcPr>
          <w:p w14:paraId="4C9D6B41" w14:textId="77777777" w:rsidR="00E5561C" w:rsidRPr="00D33C2C" w:rsidRDefault="00E5561C" w:rsidP="00D97D10">
            <w:pPr>
              <w:pStyle w:val="Tabletext"/>
              <w:keepNext/>
              <w:keepLines/>
              <w:jc w:val="center"/>
              <w:rPr>
                <w:szCs w:val="20"/>
              </w:rPr>
            </w:pPr>
            <w:r w:rsidRPr="00D33C2C">
              <w:rPr>
                <w:szCs w:val="20"/>
              </w:rPr>
              <w:t>-</w:t>
            </w:r>
          </w:p>
        </w:tc>
        <w:tc>
          <w:tcPr>
            <w:tcW w:w="1701" w:type="dxa"/>
            <w:shd w:val="clear" w:color="auto" w:fill="auto"/>
            <w:noWrap/>
            <w:tcMar>
              <w:left w:w="20" w:type="dxa"/>
              <w:right w:w="20" w:type="dxa"/>
            </w:tcMar>
            <w:vAlign w:val="center"/>
            <w:hideMark/>
          </w:tcPr>
          <w:p w14:paraId="4E287674" w14:textId="6AD341BE" w:rsidR="00E5561C" w:rsidRPr="00D33C2C" w:rsidRDefault="007702F7" w:rsidP="00D97D10">
            <w:pPr>
              <w:pStyle w:val="Tabletext"/>
              <w:keepNext/>
              <w:keepLines/>
              <w:jc w:val="center"/>
              <w:rPr>
                <w:b/>
                <w:bCs/>
                <w:szCs w:val="20"/>
              </w:rPr>
            </w:pPr>
            <w:r>
              <w:rPr>
                <w:b/>
                <w:bCs/>
                <w:szCs w:val="20"/>
              </w:rPr>
              <w:t xml:space="preserve">44.1 (23.61, 64.64) </w:t>
            </w:r>
          </w:p>
        </w:tc>
        <w:tc>
          <w:tcPr>
            <w:tcW w:w="1418" w:type="dxa"/>
            <w:shd w:val="clear" w:color="auto" w:fill="auto"/>
            <w:noWrap/>
            <w:tcMar>
              <w:left w:w="20" w:type="dxa"/>
              <w:right w:w="20" w:type="dxa"/>
            </w:tcMar>
            <w:vAlign w:val="center"/>
            <w:hideMark/>
          </w:tcPr>
          <w:p w14:paraId="015511D1" w14:textId="248FF835" w:rsidR="00E5561C" w:rsidRPr="00D33C2C" w:rsidRDefault="007702F7" w:rsidP="00D97D10">
            <w:pPr>
              <w:pStyle w:val="Tabletext"/>
              <w:keepNext/>
              <w:keepLines/>
              <w:jc w:val="center"/>
              <w:rPr>
                <w:szCs w:val="20"/>
              </w:rPr>
            </w:pPr>
            <w:r>
              <w:rPr>
                <w:szCs w:val="20"/>
              </w:rPr>
              <w:t xml:space="preserve">21.6 (-0.5, 43.8) </w:t>
            </w:r>
          </w:p>
        </w:tc>
        <w:tc>
          <w:tcPr>
            <w:tcW w:w="1367" w:type="dxa"/>
            <w:shd w:val="clear" w:color="auto" w:fill="auto"/>
            <w:noWrap/>
            <w:tcMar>
              <w:left w:w="20" w:type="dxa"/>
              <w:right w:w="20" w:type="dxa"/>
            </w:tcMar>
            <w:vAlign w:val="center"/>
            <w:hideMark/>
          </w:tcPr>
          <w:p w14:paraId="379931F4" w14:textId="0B0D0726" w:rsidR="00E5561C" w:rsidRPr="00D33C2C" w:rsidRDefault="007702F7" w:rsidP="00D97D10">
            <w:pPr>
              <w:pStyle w:val="Tabletext"/>
              <w:keepNext/>
              <w:keepLines/>
              <w:jc w:val="center"/>
              <w:rPr>
                <w:szCs w:val="20"/>
              </w:rPr>
            </w:pPr>
            <w:r>
              <w:rPr>
                <w:szCs w:val="20"/>
              </w:rPr>
              <w:t xml:space="preserve">30.7 (12.6, 48.79) </w:t>
            </w:r>
          </w:p>
        </w:tc>
      </w:tr>
      <w:tr w:rsidR="00E5561C" w:rsidRPr="00D33C2C" w14:paraId="654F0800" w14:textId="77777777" w:rsidTr="00F704A2">
        <w:trPr>
          <w:trHeight w:val="227"/>
        </w:trPr>
        <w:tc>
          <w:tcPr>
            <w:tcW w:w="3256" w:type="dxa"/>
            <w:shd w:val="clear" w:color="auto" w:fill="auto"/>
            <w:noWrap/>
            <w:tcMar>
              <w:left w:w="20" w:type="dxa"/>
              <w:right w:w="20" w:type="dxa"/>
            </w:tcMar>
            <w:vAlign w:val="center"/>
            <w:hideMark/>
          </w:tcPr>
          <w:p w14:paraId="1F85BADE" w14:textId="20BA7EBD" w:rsidR="00E5561C" w:rsidRPr="00D33C2C" w:rsidRDefault="00E5561C" w:rsidP="00D97D10">
            <w:pPr>
              <w:pStyle w:val="Tabletext"/>
              <w:keepNext/>
              <w:keepLines/>
              <w:rPr>
                <w:szCs w:val="20"/>
              </w:rPr>
            </w:pPr>
            <w:r w:rsidRPr="00D33C2C">
              <w:rPr>
                <w:szCs w:val="20"/>
              </w:rPr>
              <w:t>1-sided unadjusted p-value</w:t>
            </w:r>
          </w:p>
        </w:tc>
        <w:tc>
          <w:tcPr>
            <w:tcW w:w="1275" w:type="dxa"/>
            <w:shd w:val="clear" w:color="auto" w:fill="auto"/>
            <w:noWrap/>
            <w:tcMar>
              <w:left w:w="20" w:type="dxa"/>
              <w:right w:w="20" w:type="dxa"/>
            </w:tcMar>
            <w:vAlign w:val="center"/>
            <w:hideMark/>
          </w:tcPr>
          <w:p w14:paraId="685E9A9B" w14:textId="77777777" w:rsidR="00E5561C" w:rsidRPr="00D33C2C" w:rsidRDefault="00E5561C" w:rsidP="00D97D10">
            <w:pPr>
              <w:pStyle w:val="Tabletext"/>
              <w:keepNext/>
              <w:keepLines/>
              <w:jc w:val="center"/>
              <w:rPr>
                <w:szCs w:val="20"/>
              </w:rPr>
            </w:pPr>
            <w:r w:rsidRPr="00D33C2C">
              <w:rPr>
                <w:szCs w:val="20"/>
              </w:rPr>
              <w:t>-</w:t>
            </w:r>
          </w:p>
        </w:tc>
        <w:tc>
          <w:tcPr>
            <w:tcW w:w="1701" w:type="dxa"/>
            <w:shd w:val="clear" w:color="auto" w:fill="auto"/>
            <w:noWrap/>
            <w:tcMar>
              <w:left w:w="20" w:type="dxa"/>
              <w:right w:w="20" w:type="dxa"/>
            </w:tcMar>
            <w:vAlign w:val="center"/>
            <w:hideMark/>
          </w:tcPr>
          <w:p w14:paraId="105E22D9" w14:textId="77777777" w:rsidR="00E5561C" w:rsidRPr="00D33C2C" w:rsidRDefault="00E5561C" w:rsidP="00D97D10">
            <w:pPr>
              <w:pStyle w:val="Tabletext"/>
              <w:keepNext/>
              <w:keepLines/>
              <w:jc w:val="center"/>
              <w:rPr>
                <w:szCs w:val="20"/>
              </w:rPr>
            </w:pPr>
            <w:r w:rsidRPr="00D33C2C">
              <w:rPr>
                <w:szCs w:val="20"/>
              </w:rPr>
              <w:t>0.0003</w:t>
            </w:r>
          </w:p>
        </w:tc>
        <w:tc>
          <w:tcPr>
            <w:tcW w:w="1418" w:type="dxa"/>
            <w:shd w:val="clear" w:color="auto" w:fill="auto"/>
            <w:noWrap/>
            <w:tcMar>
              <w:left w:w="20" w:type="dxa"/>
              <w:right w:w="20" w:type="dxa"/>
            </w:tcMar>
            <w:vAlign w:val="center"/>
            <w:hideMark/>
          </w:tcPr>
          <w:p w14:paraId="066B9FF3" w14:textId="77777777" w:rsidR="00E5561C" w:rsidRPr="00D33C2C" w:rsidRDefault="00E5561C" w:rsidP="00D97D10">
            <w:pPr>
              <w:pStyle w:val="Tabletext"/>
              <w:keepNext/>
              <w:keepLines/>
              <w:jc w:val="center"/>
              <w:rPr>
                <w:szCs w:val="20"/>
              </w:rPr>
            </w:pPr>
            <w:r w:rsidRPr="00D33C2C">
              <w:rPr>
                <w:szCs w:val="20"/>
              </w:rPr>
              <w:t>0.0174</w:t>
            </w:r>
          </w:p>
        </w:tc>
        <w:tc>
          <w:tcPr>
            <w:tcW w:w="1367" w:type="dxa"/>
            <w:shd w:val="clear" w:color="auto" w:fill="auto"/>
            <w:noWrap/>
            <w:tcMar>
              <w:left w:w="20" w:type="dxa"/>
              <w:right w:w="20" w:type="dxa"/>
            </w:tcMar>
            <w:vAlign w:val="center"/>
            <w:hideMark/>
          </w:tcPr>
          <w:p w14:paraId="69E3DAD5" w14:textId="77777777" w:rsidR="00E5561C" w:rsidRPr="00D33C2C" w:rsidRDefault="00E5561C" w:rsidP="00D97D10">
            <w:pPr>
              <w:pStyle w:val="Tabletext"/>
              <w:keepNext/>
              <w:keepLines/>
              <w:jc w:val="center"/>
              <w:rPr>
                <w:szCs w:val="20"/>
              </w:rPr>
            </w:pPr>
            <w:r w:rsidRPr="00D33C2C">
              <w:rPr>
                <w:szCs w:val="20"/>
              </w:rPr>
              <w:t>0.0015</w:t>
            </w:r>
          </w:p>
        </w:tc>
      </w:tr>
      <w:tr w:rsidR="00E5561C" w:rsidRPr="00D33C2C" w14:paraId="7BA6CF4F" w14:textId="77777777" w:rsidTr="00F704A2">
        <w:trPr>
          <w:trHeight w:val="227"/>
        </w:trPr>
        <w:tc>
          <w:tcPr>
            <w:tcW w:w="3256" w:type="dxa"/>
            <w:tcBorders>
              <w:bottom w:val="single" w:sz="4" w:space="0" w:color="auto"/>
            </w:tcBorders>
            <w:shd w:val="clear" w:color="auto" w:fill="auto"/>
            <w:noWrap/>
            <w:tcMar>
              <w:left w:w="20" w:type="dxa"/>
              <w:right w:w="20" w:type="dxa"/>
            </w:tcMar>
            <w:vAlign w:val="center"/>
            <w:hideMark/>
          </w:tcPr>
          <w:p w14:paraId="23F2D40C" w14:textId="77777777" w:rsidR="00E5561C" w:rsidRPr="00D33C2C" w:rsidRDefault="00E5561C" w:rsidP="00D97D10">
            <w:pPr>
              <w:pStyle w:val="Tabletext"/>
              <w:keepNext/>
              <w:keepLines/>
              <w:rPr>
                <w:szCs w:val="20"/>
              </w:rPr>
            </w:pPr>
            <w:r w:rsidRPr="00D33C2C">
              <w:rPr>
                <w:szCs w:val="20"/>
              </w:rPr>
              <w:t>1-sided adjusted p-value</w:t>
            </w:r>
          </w:p>
        </w:tc>
        <w:tc>
          <w:tcPr>
            <w:tcW w:w="1275" w:type="dxa"/>
            <w:tcBorders>
              <w:bottom w:val="single" w:sz="4" w:space="0" w:color="auto"/>
            </w:tcBorders>
            <w:shd w:val="clear" w:color="auto" w:fill="auto"/>
            <w:noWrap/>
            <w:tcMar>
              <w:left w:w="20" w:type="dxa"/>
              <w:right w:w="20" w:type="dxa"/>
            </w:tcMar>
            <w:vAlign w:val="center"/>
            <w:hideMark/>
          </w:tcPr>
          <w:p w14:paraId="35BDA75A" w14:textId="77777777" w:rsidR="00E5561C" w:rsidRPr="00D33C2C" w:rsidRDefault="00E5561C" w:rsidP="00D97D10">
            <w:pPr>
              <w:pStyle w:val="Tabletext"/>
              <w:keepNext/>
              <w:keepLines/>
              <w:jc w:val="center"/>
              <w:rPr>
                <w:szCs w:val="20"/>
              </w:rPr>
            </w:pPr>
            <w:r w:rsidRPr="00D33C2C">
              <w:rPr>
                <w:szCs w:val="20"/>
              </w:rPr>
              <w:t>-</w:t>
            </w:r>
          </w:p>
        </w:tc>
        <w:tc>
          <w:tcPr>
            <w:tcW w:w="1701" w:type="dxa"/>
            <w:tcBorders>
              <w:bottom w:val="single" w:sz="4" w:space="0" w:color="auto"/>
            </w:tcBorders>
            <w:shd w:val="clear" w:color="auto" w:fill="auto"/>
            <w:noWrap/>
            <w:tcMar>
              <w:left w:w="20" w:type="dxa"/>
              <w:right w:w="20" w:type="dxa"/>
            </w:tcMar>
            <w:vAlign w:val="center"/>
            <w:hideMark/>
          </w:tcPr>
          <w:p w14:paraId="47C9FD1D" w14:textId="77777777" w:rsidR="00E5561C" w:rsidRPr="00D33C2C" w:rsidRDefault="00E5561C" w:rsidP="00D97D10">
            <w:pPr>
              <w:pStyle w:val="Tabletext"/>
              <w:keepNext/>
              <w:keepLines/>
              <w:jc w:val="center"/>
              <w:rPr>
                <w:b/>
                <w:bCs/>
                <w:szCs w:val="20"/>
              </w:rPr>
            </w:pPr>
            <w:r w:rsidRPr="00D33C2C">
              <w:rPr>
                <w:b/>
                <w:bCs/>
                <w:szCs w:val="20"/>
              </w:rPr>
              <w:t>0.0015</w:t>
            </w:r>
          </w:p>
        </w:tc>
        <w:tc>
          <w:tcPr>
            <w:tcW w:w="1418" w:type="dxa"/>
            <w:tcBorders>
              <w:bottom w:val="single" w:sz="4" w:space="0" w:color="auto"/>
            </w:tcBorders>
            <w:shd w:val="clear" w:color="auto" w:fill="auto"/>
            <w:noWrap/>
            <w:tcMar>
              <w:left w:w="20" w:type="dxa"/>
              <w:right w:w="20" w:type="dxa"/>
            </w:tcMar>
            <w:vAlign w:val="center"/>
            <w:hideMark/>
          </w:tcPr>
          <w:p w14:paraId="2B001E13" w14:textId="77777777" w:rsidR="00E5561C" w:rsidRPr="00D33C2C" w:rsidRDefault="00E5561C" w:rsidP="00D97D10">
            <w:pPr>
              <w:pStyle w:val="Tabletext"/>
              <w:keepNext/>
              <w:keepLines/>
              <w:jc w:val="center"/>
              <w:rPr>
                <w:szCs w:val="20"/>
              </w:rPr>
            </w:pPr>
            <w:r w:rsidRPr="00D33C2C">
              <w:rPr>
                <w:szCs w:val="20"/>
              </w:rPr>
              <w:t>0.0174</w:t>
            </w:r>
          </w:p>
        </w:tc>
        <w:tc>
          <w:tcPr>
            <w:tcW w:w="1367" w:type="dxa"/>
            <w:tcBorders>
              <w:bottom w:val="single" w:sz="4" w:space="0" w:color="auto"/>
            </w:tcBorders>
            <w:shd w:val="clear" w:color="auto" w:fill="auto"/>
            <w:noWrap/>
            <w:tcMar>
              <w:left w:w="20" w:type="dxa"/>
              <w:right w:w="20" w:type="dxa"/>
            </w:tcMar>
            <w:vAlign w:val="center"/>
            <w:hideMark/>
          </w:tcPr>
          <w:p w14:paraId="3E8E7EE4" w14:textId="77777777" w:rsidR="00E5561C" w:rsidRPr="00D33C2C" w:rsidRDefault="00E5561C" w:rsidP="00D97D10">
            <w:pPr>
              <w:pStyle w:val="Tabletext"/>
              <w:keepNext/>
              <w:keepLines/>
              <w:jc w:val="center"/>
              <w:rPr>
                <w:szCs w:val="20"/>
              </w:rPr>
            </w:pPr>
            <w:r w:rsidRPr="00D33C2C">
              <w:rPr>
                <w:szCs w:val="20"/>
              </w:rPr>
              <w:t>-</w:t>
            </w:r>
          </w:p>
        </w:tc>
      </w:tr>
      <w:tr w:rsidR="00E5561C" w:rsidRPr="00D33C2C" w14:paraId="510C915B" w14:textId="77777777" w:rsidTr="000A7CED">
        <w:trPr>
          <w:trHeight w:val="227"/>
        </w:trPr>
        <w:tc>
          <w:tcPr>
            <w:tcW w:w="9017" w:type="dxa"/>
            <w:gridSpan w:val="5"/>
            <w:tcBorders>
              <w:top w:val="single" w:sz="4" w:space="0" w:color="auto"/>
              <w:left w:val="single" w:sz="4" w:space="0" w:color="auto"/>
              <w:bottom w:val="single" w:sz="4" w:space="0" w:color="auto"/>
              <w:right w:val="single" w:sz="4" w:space="0" w:color="auto"/>
            </w:tcBorders>
            <w:shd w:val="clear" w:color="auto" w:fill="auto"/>
            <w:noWrap/>
            <w:tcMar>
              <w:left w:w="20" w:type="dxa"/>
              <w:right w:w="20" w:type="dxa"/>
            </w:tcMar>
            <w:vAlign w:val="center"/>
            <w:hideMark/>
          </w:tcPr>
          <w:p w14:paraId="496C0BC6" w14:textId="1CE27BDE" w:rsidR="00E5561C" w:rsidRPr="00D33C2C" w:rsidRDefault="00E5561C" w:rsidP="00D97D10">
            <w:pPr>
              <w:pStyle w:val="Tabletext"/>
              <w:keepNext/>
              <w:keepLines/>
              <w:rPr>
                <w:szCs w:val="20"/>
              </w:rPr>
            </w:pPr>
            <w:r w:rsidRPr="00D33C2C">
              <w:rPr>
                <w:b/>
                <w:bCs/>
                <w:szCs w:val="20"/>
              </w:rPr>
              <w:t>Proportion of positive pruritus assessments (</w:t>
            </w:r>
            <w:r w:rsidR="0021511F">
              <w:rPr>
                <w:b/>
                <w:bCs/>
                <w:szCs w:val="20"/>
              </w:rPr>
              <w:t>secondary</w:t>
            </w:r>
            <w:r w:rsidRPr="00D33C2C">
              <w:rPr>
                <w:b/>
                <w:bCs/>
                <w:szCs w:val="20"/>
              </w:rPr>
              <w:t>)</w:t>
            </w:r>
          </w:p>
        </w:tc>
      </w:tr>
      <w:tr w:rsidR="00E5561C" w:rsidRPr="00D33C2C" w14:paraId="7DE3296E" w14:textId="77777777" w:rsidTr="00F704A2">
        <w:trPr>
          <w:trHeight w:val="227"/>
        </w:trPr>
        <w:tc>
          <w:tcPr>
            <w:tcW w:w="3256" w:type="dxa"/>
            <w:shd w:val="clear" w:color="auto" w:fill="auto"/>
            <w:noWrap/>
            <w:tcMar>
              <w:left w:w="20" w:type="dxa"/>
              <w:right w:w="20" w:type="dxa"/>
            </w:tcMar>
            <w:vAlign w:val="center"/>
            <w:hideMark/>
          </w:tcPr>
          <w:p w14:paraId="6A313582" w14:textId="77777777" w:rsidR="00E5561C" w:rsidRPr="00D33C2C" w:rsidRDefault="00E5561C" w:rsidP="00D97D10">
            <w:pPr>
              <w:pStyle w:val="Tabletext"/>
              <w:keepNext/>
              <w:keepLines/>
              <w:rPr>
                <w:szCs w:val="20"/>
              </w:rPr>
            </w:pPr>
            <w:r w:rsidRPr="00D33C2C">
              <w:rPr>
                <w:szCs w:val="20"/>
              </w:rPr>
              <w:t>% mean (SE)</w:t>
            </w:r>
          </w:p>
        </w:tc>
        <w:tc>
          <w:tcPr>
            <w:tcW w:w="1275" w:type="dxa"/>
            <w:shd w:val="clear" w:color="auto" w:fill="auto"/>
            <w:noWrap/>
            <w:tcMar>
              <w:left w:w="20" w:type="dxa"/>
              <w:right w:w="20" w:type="dxa"/>
            </w:tcMar>
            <w:vAlign w:val="center"/>
            <w:hideMark/>
          </w:tcPr>
          <w:p w14:paraId="7CDEBA2D" w14:textId="0DD7F65A" w:rsidR="00E5561C" w:rsidRPr="00D33C2C" w:rsidRDefault="00E5561C" w:rsidP="00D97D10">
            <w:pPr>
              <w:pStyle w:val="Tabletext"/>
              <w:keepNext/>
              <w:keepLines/>
              <w:jc w:val="center"/>
              <w:rPr>
                <w:szCs w:val="20"/>
              </w:rPr>
            </w:pPr>
            <w:r w:rsidRPr="00D33C2C">
              <w:rPr>
                <w:szCs w:val="20"/>
              </w:rPr>
              <w:t>28.74 (5.2</w:t>
            </w:r>
            <w:r w:rsidR="000413C5">
              <w:rPr>
                <w:szCs w:val="20"/>
              </w:rPr>
              <w:t>1</w:t>
            </w:r>
            <w:r w:rsidRPr="00D33C2C">
              <w:rPr>
                <w:szCs w:val="20"/>
              </w:rPr>
              <w:t>)</w:t>
            </w:r>
          </w:p>
        </w:tc>
        <w:tc>
          <w:tcPr>
            <w:tcW w:w="1701" w:type="dxa"/>
            <w:shd w:val="clear" w:color="auto" w:fill="auto"/>
            <w:noWrap/>
            <w:tcMar>
              <w:left w:w="20" w:type="dxa"/>
              <w:right w:w="20" w:type="dxa"/>
            </w:tcMar>
            <w:vAlign w:val="center"/>
            <w:hideMark/>
          </w:tcPr>
          <w:p w14:paraId="07995D84" w14:textId="3112A15B" w:rsidR="00E5561C" w:rsidRPr="00D33C2C" w:rsidRDefault="00E5561C" w:rsidP="00D97D10">
            <w:pPr>
              <w:pStyle w:val="Tabletext"/>
              <w:keepNext/>
              <w:keepLines/>
              <w:jc w:val="center"/>
              <w:rPr>
                <w:szCs w:val="20"/>
              </w:rPr>
            </w:pPr>
            <w:r w:rsidRPr="00D33C2C">
              <w:rPr>
                <w:szCs w:val="20"/>
              </w:rPr>
              <w:t>58.31 (6.2</w:t>
            </w:r>
            <w:r w:rsidR="000413C5">
              <w:rPr>
                <w:szCs w:val="20"/>
              </w:rPr>
              <w:t>1</w:t>
            </w:r>
            <w:r w:rsidRPr="00D33C2C">
              <w:rPr>
                <w:szCs w:val="20"/>
              </w:rPr>
              <w:t>)</w:t>
            </w:r>
          </w:p>
        </w:tc>
        <w:tc>
          <w:tcPr>
            <w:tcW w:w="1418" w:type="dxa"/>
            <w:shd w:val="clear" w:color="auto" w:fill="auto"/>
            <w:noWrap/>
            <w:tcMar>
              <w:left w:w="20" w:type="dxa"/>
              <w:right w:w="20" w:type="dxa"/>
            </w:tcMar>
            <w:vAlign w:val="center"/>
            <w:hideMark/>
          </w:tcPr>
          <w:p w14:paraId="21A54C86" w14:textId="32C4DE8D" w:rsidR="00E5561C" w:rsidRPr="00D33C2C" w:rsidRDefault="00E5561C" w:rsidP="00D97D10">
            <w:pPr>
              <w:pStyle w:val="Tabletext"/>
              <w:keepNext/>
              <w:keepLines/>
              <w:jc w:val="center"/>
              <w:rPr>
                <w:szCs w:val="20"/>
              </w:rPr>
            </w:pPr>
            <w:r w:rsidRPr="00D33C2C">
              <w:rPr>
                <w:szCs w:val="20"/>
              </w:rPr>
              <w:t>47.69 (8.11)</w:t>
            </w:r>
          </w:p>
        </w:tc>
        <w:tc>
          <w:tcPr>
            <w:tcW w:w="1367" w:type="dxa"/>
            <w:shd w:val="clear" w:color="auto" w:fill="auto"/>
            <w:noWrap/>
            <w:tcMar>
              <w:left w:w="20" w:type="dxa"/>
              <w:right w:w="20" w:type="dxa"/>
            </w:tcMar>
            <w:vAlign w:val="center"/>
            <w:hideMark/>
          </w:tcPr>
          <w:p w14:paraId="5D7573AA" w14:textId="459A8D6E" w:rsidR="00E5561C" w:rsidRPr="00D33C2C" w:rsidRDefault="00E5561C" w:rsidP="00D97D10">
            <w:pPr>
              <w:pStyle w:val="Tabletext"/>
              <w:keepNext/>
              <w:keepLines/>
              <w:jc w:val="center"/>
              <w:rPr>
                <w:szCs w:val="20"/>
              </w:rPr>
            </w:pPr>
            <w:r w:rsidRPr="00D33C2C">
              <w:rPr>
                <w:szCs w:val="20"/>
              </w:rPr>
              <w:t>53.51 (5.0</w:t>
            </w:r>
            <w:r w:rsidR="000413C5">
              <w:rPr>
                <w:szCs w:val="20"/>
              </w:rPr>
              <w:t>1</w:t>
            </w:r>
            <w:r w:rsidRPr="00D33C2C">
              <w:rPr>
                <w:szCs w:val="20"/>
              </w:rPr>
              <w:t>)</w:t>
            </w:r>
          </w:p>
        </w:tc>
      </w:tr>
      <w:tr w:rsidR="00E5561C" w:rsidRPr="00D33C2C" w14:paraId="48B3638D" w14:textId="77777777" w:rsidTr="00F704A2">
        <w:trPr>
          <w:trHeight w:val="227"/>
        </w:trPr>
        <w:tc>
          <w:tcPr>
            <w:tcW w:w="3256" w:type="dxa"/>
            <w:shd w:val="clear" w:color="auto" w:fill="auto"/>
            <w:noWrap/>
            <w:tcMar>
              <w:left w:w="20" w:type="dxa"/>
              <w:right w:w="20" w:type="dxa"/>
            </w:tcMar>
            <w:vAlign w:val="center"/>
            <w:hideMark/>
          </w:tcPr>
          <w:p w14:paraId="0EB957A7" w14:textId="77777777" w:rsidR="00E5561C" w:rsidRPr="00D33C2C" w:rsidRDefault="00E5561C" w:rsidP="00D97D10">
            <w:pPr>
              <w:pStyle w:val="Tabletext"/>
              <w:keepNext/>
              <w:keepLines/>
              <w:rPr>
                <w:szCs w:val="20"/>
              </w:rPr>
            </w:pPr>
            <w:r w:rsidRPr="00D33C2C">
              <w:rPr>
                <w:szCs w:val="20"/>
              </w:rPr>
              <w:t>% LS Mean (SE)</w:t>
            </w:r>
          </w:p>
        </w:tc>
        <w:tc>
          <w:tcPr>
            <w:tcW w:w="1275" w:type="dxa"/>
            <w:shd w:val="clear" w:color="auto" w:fill="auto"/>
            <w:noWrap/>
            <w:tcMar>
              <w:left w:w="20" w:type="dxa"/>
              <w:right w:w="20" w:type="dxa"/>
            </w:tcMar>
            <w:vAlign w:val="center"/>
            <w:hideMark/>
          </w:tcPr>
          <w:p w14:paraId="77644A5A" w14:textId="5530965E" w:rsidR="00E5561C" w:rsidRPr="00D33C2C" w:rsidRDefault="00E5561C" w:rsidP="00D97D10">
            <w:pPr>
              <w:pStyle w:val="Tabletext"/>
              <w:keepNext/>
              <w:keepLines/>
              <w:jc w:val="center"/>
              <w:rPr>
                <w:szCs w:val="20"/>
              </w:rPr>
            </w:pPr>
            <w:r w:rsidRPr="00D33C2C">
              <w:rPr>
                <w:szCs w:val="20"/>
              </w:rPr>
              <w:t>30.10 (9.1</w:t>
            </w:r>
            <w:r w:rsidR="000413C5">
              <w:rPr>
                <w:szCs w:val="20"/>
              </w:rPr>
              <w:t>2</w:t>
            </w:r>
            <w:r w:rsidRPr="00D33C2C">
              <w:rPr>
                <w:szCs w:val="20"/>
              </w:rPr>
              <w:t>)</w:t>
            </w:r>
          </w:p>
        </w:tc>
        <w:tc>
          <w:tcPr>
            <w:tcW w:w="1701" w:type="dxa"/>
            <w:shd w:val="clear" w:color="auto" w:fill="auto"/>
            <w:noWrap/>
            <w:tcMar>
              <w:left w:w="20" w:type="dxa"/>
              <w:right w:w="20" w:type="dxa"/>
            </w:tcMar>
            <w:vAlign w:val="center"/>
            <w:hideMark/>
          </w:tcPr>
          <w:p w14:paraId="5D8550BC" w14:textId="44057315" w:rsidR="00E5561C" w:rsidRPr="00D33C2C" w:rsidRDefault="00E5561C" w:rsidP="00D97D10">
            <w:pPr>
              <w:pStyle w:val="Tabletext"/>
              <w:keepNext/>
              <w:keepLines/>
              <w:jc w:val="center"/>
              <w:rPr>
                <w:szCs w:val="20"/>
              </w:rPr>
            </w:pPr>
            <w:r w:rsidRPr="00D33C2C">
              <w:rPr>
                <w:szCs w:val="20"/>
              </w:rPr>
              <w:t>58.34 (8.58)</w:t>
            </w:r>
          </w:p>
        </w:tc>
        <w:tc>
          <w:tcPr>
            <w:tcW w:w="1418" w:type="dxa"/>
            <w:shd w:val="clear" w:color="auto" w:fill="auto"/>
            <w:noWrap/>
            <w:tcMar>
              <w:left w:w="20" w:type="dxa"/>
              <w:right w:w="20" w:type="dxa"/>
            </w:tcMar>
            <w:vAlign w:val="center"/>
            <w:hideMark/>
          </w:tcPr>
          <w:p w14:paraId="5E7727D1" w14:textId="201CCBCA" w:rsidR="00E5561C" w:rsidRPr="00D33C2C" w:rsidRDefault="00E5561C" w:rsidP="00D97D10">
            <w:pPr>
              <w:pStyle w:val="Tabletext"/>
              <w:keepNext/>
              <w:keepLines/>
              <w:jc w:val="center"/>
              <w:rPr>
                <w:szCs w:val="20"/>
              </w:rPr>
            </w:pPr>
            <w:r w:rsidRPr="00D33C2C">
              <w:rPr>
                <w:szCs w:val="20"/>
              </w:rPr>
              <w:t>51.81 (9.4</w:t>
            </w:r>
            <w:r w:rsidR="000413C5">
              <w:rPr>
                <w:szCs w:val="20"/>
              </w:rPr>
              <w:t>6</w:t>
            </w:r>
            <w:r w:rsidRPr="00D33C2C">
              <w:rPr>
                <w:szCs w:val="20"/>
              </w:rPr>
              <w:t>)</w:t>
            </w:r>
          </w:p>
        </w:tc>
        <w:tc>
          <w:tcPr>
            <w:tcW w:w="1367" w:type="dxa"/>
            <w:shd w:val="clear" w:color="auto" w:fill="auto"/>
            <w:noWrap/>
            <w:tcMar>
              <w:left w:w="20" w:type="dxa"/>
              <w:right w:w="20" w:type="dxa"/>
            </w:tcMar>
            <w:vAlign w:val="center"/>
            <w:hideMark/>
          </w:tcPr>
          <w:p w14:paraId="1C3F6FDE" w14:textId="0BC2D216" w:rsidR="00E5561C" w:rsidRPr="00D33C2C" w:rsidRDefault="00E5561C" w:rsidP="00D97D10">
            <w:pPr>
              <w:pStyle w:val="Tabletext"/>
              <w:keepNext/>
              <w:keepLines/>
              <w:jc w:val="center"/>
              <w:rPr>
                <w:szCs w:val="20"/>
              </w:rPr>
            </w:pPr>
            <w:r w:rsidRPr="00D33C2C">
              <w:rPr>
                <w:szCs w:val="20"/>
              </w:rPr>
              <w:t>55.08 (7.6</w:t>
            </w:r>
            <w:r w:rsidR="000413C5">
              <w:rPr>
                <w:szCs w:val="20"/>
              </w:rPr>
              <w:t>4</w:t>
            </w:r>
            <w:r w:rsidRPr="00D33C2C">
              <w:rPr>
                <w:szCs w:val="20"/>
              </w:rPr>
              <w:t>)</w:t>
            </w:r>
          </w:p>
        </w:tc>
      </w:tr>
      <w:tr w:rsidR="00E5561C" w:rsidRPr="00D33C2C" w14:paraId="5910ECDB" w14:textId="77777777" w:rsidTr="00F704A2">
        <w:trPr>
          <w:trHeight w:val="227"/>
        </w:trPr>
        <w:tc>
          <w:tcPr>
            <w:tcW w:w="3256" w:type="dxa"/>
            <w:shd w:val="clear" w:color="auto" w:fill="auto"/>
            <w:noWrap/>
            <w:tcMar>
              <w:left w:w="20" w:type="dxa"/>
              <w:right w:w="20" w:type="dxa"/>
            </w:tcMar>
            <w:vAlign w:val="center"/>
            <w:hideMark/>
          </w:tcPr>
          <w:p w14:paraId="24FEF223" w14:textId="77777777" w:rsidR="00E5561C" w:rsidRPr="00D33C2C" w:rsidRDefault="00E5561C" w:rsidP="00D97D10">
            <w:pPr>
              <w:pStyle w:val="Tabletext"/>
              <w:keepNext/>
              <w:keepLines/>
              <w:rPr>
                <w:szCs w:val="20"/>
              </w:rPr>
            </w:pPr>
            <w:r w:rsidRPr="00D33C2C">
              <w:rPr>
                <w:szCs w:val="20"/>
              </w:rPr>
              <w:t xml:space="preserve">% LS Mean Difference (SE) </w:t>
            </w:r>
          </w:p>
          <w:p w14:paraId="639C015A" w14:textId="454C9B2E" w:rsidR="00E5561C" w:rsidRPr="00D33C2C" w:rsidRDefault="00E5561C" w:rsidP="00D97D10">
            <w:pPr>
              <w:pStyle w:val="Tabletext"/>
              <w:keepNext/>
              <w:keepLines/>
              <w:rPr>
                <w:szCs w:val="20"/>
              </w:rPr>
            </w:pPr>
            <w:r w:rsidRPr="00D33C2C">
              <w:rPr>
                <w:szCs w:val="20"/>
              </w:rPr>
              <w:t>(Odevixibat</w:t>
            </w:r>
            <w:r w:rsidR="00143118">
              <w:rPr>
                <w:szCs w:val="20"/>
              </w:rPr>
              <w:t xml:space="preserve"> vs </w:t>
            </w:r>
            <w:r w:rsidRPr="00D33C2C">
              <w:rPr>
                <w:szCs w:val="20"/>
              </w:rPr>
              <w:t xml:space="preserve">Placebo) </w:t>
            </w:r>
          </w:p>
        </w:tc>
        <w:tc>
          <w:tcPr>
            <w:tcW w:w="1275" w:type="dxa"/>
            <w:shd w:val="clear" w:color="auto" w:fill="auto"/>
            <w:noWrap/>
            <w:tcMar>
              <w:left w:w="20" w:type="dxa"/>
              <w:right w:w="20" w:type="dxa"/>
            </w:tcMar>
            <w:vAlign w:val="center"/>
            <w:hideMark/>
          </w:tcPr>
          <w:p w14:paraId="72ECD553" w14:textId="77777777" w:rsidR="00E5561C" w:rsidRPr="00D33C2C" w:rsidRDefault="00E5561C" w:rsidP="00D97D10">
            <w:pPr>
              <w:pStyle w:val="Tabletext"/>
              <w:keepNext/>
              <w:keepLines/>
              <w:jc w:val="center"/>
              <w:rPr>
                <w:szCs w:val="20"/>
              </w:rPr>
            </w:pPr>
            <w:r w:rsidRPr="00D33C2C">
              <w:rPr>
                <w:szCs w:val="20"/>
              </w:rPr>
              <w:t>-</w:t>
            </w:r>
          </w:p>
        </w:tc>
        <w:tc>
          <w:tcPr>
            <w:tcW w:w="1701" w:type="dxa"/>
            <w:shd w:val="clear" w:color="auto" w:fill="auto"/>
            <w:noWrap/>
            <w:tcMar>
              <w:left w:w="20" w:type="dxa"/>
              <w:right w:w="20" w:type="dxa"/>
            </w:tcMar>
            <w:vAlign w:val="center"/>
            <w:hideMark/>
          </w:tcPr>
          <w:p w14:paraId="02C0C61F" w14:textId="4C025754" w:rsidR="00E5561C" w:rsidRPr="00D33C2C" w:rsidRDefault="00E5561C" w:rsidP="00D97D10">
            <w:pPr>
              <w:pStyle w:val="Tabletext"/>
              <w:keepNext/>
              <w:keepLines/>
              <w:jc w:val="center"/>
              <w:rPr>
                <w:szCs w:val="20"/>
              </w:rPr>
            </w:pPr>
            <w:r w:rsidRPr="00D33C2C">
              <w:rPr>
                <w:szCs w:val="20"/>
              </w:rPr>
              <w:t>28.23 (9.18)</w:t>
            </w:r>
          </w:p>
        </w:tc>
        <w:tc>
          <w:tcPr>
            <w:tcW w:w="1418" w:type="dxa"/>
            <w:shd w:val="clear" w:color="auto" w:fill="auto"/>
            <w:noWrap/>
            <w:tcMar>
              <w:left w:w="20" w:type="dxa"/>
              <w:right w:w="20" w:type="dxa"/>
            </w:tcMar>
            <w:vAlign w:val="center"/>
            <w:hideMark/>
          </w:tcPr>
          <w:p w14:paraId="387D3534" w14:textId="10DD1A58" w:rsidR="00E5561C" w:rsidRPr="00D33C2C" w:rsidRDefault="00E5561C" w:rsidP="00D97D10">
            <w:pPr>
              <w:pStyle w:val="Tabletext"/>
              <w:keepNext/>
              <w:keepLines/>
              <w:jc w:val="center"/>
              <w:rPr>
                <w:szCs w:val="20"/>
              </w:rPr>
            </w:pPr>
            <w:r w:rsidRPr="00D33C2C">
              <w:rPr>
                <w:szCs w:val="20"/>
              </w:rPr>
              <w:t>21.71 (9.89)</w:t>
            </w:r>
          </w:p>
        </w:tc>
        <w:tc>
          <w:tcPr>
            <w:tcW w:w="1367" w:type="dxa"/>
            <w:shd w:val="clear" w:color="auto" w:fill="auto"/>
            <w:noWrap/>
            <w:tcMar>
              <w:left w:w="20" w:type="dxa"/>
              <w:right w:w="20" w:type="dxa"/>
            </w:tcMar>
            <w:vAlign w:val="center"/>
            <w:hideMark/>
          </w:tcPr>
          <w:p w14:paraId="366EF099" w14:textId="0D4859DE" w:rsidR="00E5561C" w:rsidRPr="00D33C2C" w:rsidRDefault="00E5561C" w:rsidP="00D97D10">
            <w:pPr>
              <w:pStyle w:val="Tabletext"/>
              <w:keepNext/>
              <w:keepLines/>
              <w:jc w:val="center"/>
              <w:rPr>
                <w:szCs w:val="20"/>
              </w:rPr>
            </w:pPr>
            <w:r w:rsidRPr="00D33C2C">
              <w:rPr>
                <w:szCs w:val="20"/>
              </w:rPr>
              <w:t>24.97 (8.24)</w:t>
            </w:r>
          </w:p>
        </w:tc>
      </w:tr>
      <w:tr w:rsidR="00E5561C" w:rsidRPr="00D33C2C" w14:paraId="78313304" w14:textId="77777777" w:rsidTr="00F704A2">
        <w:trPr>
          <w:trHeight w:val="227"/>
        </w:trPr>
        <w:tc>
          <w:tcPr>
            <w:tcW w:w="3256" w:type="dxa"/>
            <w:shd w:val="clear" w:color="auto" w:fill="auto"/>
            <w:noWrap/>
            <w:tcMar>
              <w:left w:w="20" w:type="dxa"/>
              <w:right w:w="20" w:type="dxa"/>
            </w:tcMar>
            <w:vAlign w:val="center"/>
            <w:hideMark/>
          </w:tcPr>
          <w:p w14:paraId="795B6E23" w14:textId="77777777" w:rsidR="00E5561C" w:rsidRPr="00D33C2C" w:rsidRDefault="00E5561C" w:rsidP="00D97D10">
            <w:pPr>
              <w:pStyle w:val="Tabletext"/>
              <w:keepNext/>
              <w:keepLines/>
              <w:rPr>
                <w:szCs w:val="20"/>
              </w:rPr>
            </w:pPr>
            <w:r w:rsidRPr="00D33C2C">
              <w:rPr>
                <w:szCs w:val="20"/>
              </w:rPr>
              <w:t>95% CI</w:t>
            </w:r>
          </w:p>
        </w:tc>
        <w:tc>
          <w:tcPr>
            <w:tcW w:w="1275" w:type="dxa"/>
            <w:shd w:val="clear" w:color="auto" w:fill="auto"/>
            <w:noWrap/>
            <w:tcMar>
              <w:left w:w="20" w:type="dxa"/>
              <w:right w:w="20" w:type="dxa"/>
            </w:tcMar>
            <w:vAlign w:val="center"/>
            <w:hideMark/>
          </w:tcPr>
          <w:p w14:paraId="439D3A16" w14:textId="77777777" w:rsidR="00E5561C" w:rsidRPr="00D33C2C" w:rsidRDefault="00E5561C" w:rsidP="00D97D10">
            <w:pPr>
              <w:pStyle w:val="Tabletext"/>
              <w:keepNext/>
              <w:keepLines/>
              <w:jc w:val="center"/>
              <w:rPr>
                <w:szCs w:val="20"/>
              </w:rPr>
            </w:pPr>
            <w:r w:rsidRPr="00D33C2C">
              <w:rPr>
                <w:szCs w:val="20"/>
              </w:rPr>
              <w:t>-</w:t>
            </w:r>
          </w:p>
        </w:tc>
        <w:tc>
          <w:tcPr>
            <w:tcW w:w="1701" w:type="dxa"/>
            <w:shd w:val="clear" w:color="auto" w:fill="auto"/>
            <w:noWrap/>
            <w:tcMar>
              <w:left w:w="20" w:type="dxa"/>
              <w:right w:w="20" w:type="dxa"/>
            </w:tcMar>
            <w:vAlign w:val="center"/>
            <w:hideMark/>
          </w:tcPr>
          <w:p w14:paraId="01CA4420" w14:textId="77777777" w:rsidR="00E5561C" w:rsidRPr="00D33C2C" w:rsidRDefault="00E5561C" w:rsidP="00D97D10">
            <w:pPr>
              <w:pStyle w:val="Tabletext"/>
              <w:keepNext/>
              <w:keepLines/>
              <w:jc w:val="center"/>
              <w:rPr>
                <w:szCs w:val="20"/>
              </w:rPr>
            </w:pPr>
            <w:r w:rsidRPr="00D33C2C">
              <w:rPr>
                <w:szCs w:val="20"/>
              </w:rPr>
              <w:t>(9.83, 46.64)</w:t>
            </w:r>
          </w:p>
        </w:tc>
        <w:tc>
          <w:tcPr>
            <w:tcW w:w="1418" w:type="dxa"/>
            <w:shd w:val="clear" w:color="auto" w:fill="auto"/>
            <w:noWrap/>
            <w:tcMar>
              <w:left w:w="20" w:type="dxa"/>
              <w:right w:w="20" w:type="dxa"/>
            </w:tcMar>
            <w:vAlign w:val="center"/>
            <w:hideMark/>
          </w:tcPr>
          <w:p w14:paraId="47A422D7" w14:textId="77777777" w:rsidR="00E5561C" w:rsidRPr="00D33C2C" w:rsidRDefault="00E5561C" w:rsidP="00D97D10">
            <w:pPr>
              <w:pStyle w:val="Tabletext"/>
              <w:keepNext/>
              <w:keepLines/>
              <w:jc w:val="center"/>
              <w:rPr>
                <w:szCs w:val="20"/>
              </w:rPr>
            </w:pPr>
            <w:r w:rsidRPr="00D33C2C">
              <w:rPr>
                <w:szCs w:val="20"/>
              </w:rPr>
              <w:t>(1.87, 41.54)</w:t>
            </w:r>
          </w:p>
        </w:tc>
        <w:tc>
          <w:tcPr>
            <w:tcW w:w="1367" w:type="dxa"/>
            <w:shd w:val="clear" w:color="auto" w:fill="auto"/>
            <w:noWrap/>
            <w:tcMar>
              <w:left w:w="20" w:type="dxa"/>
              <w:right w:w="20" w:type="dxa"/>
            </w:tcMar>
            <w:vAlign w:val="center"/>
            <w:hideMark/>
          </w:tcPr>
          <w:p w14:paraId="7ED97A2E" w14:textId="77777777" w:rsidR="00E5561C" w:rsidRPr="00D33C2C" w:rsidRDefault="00E5561C" w:rsidP="00D97D10">
            <w:pPr>
              <w:pStyle w:val="Tabletext"/>
              <w:keepNext/>
              <w:keepLines/>
              <w:jc w:val="center"/>
              <w:rPr>
                <w:szCs w:val="20"/>
              </w:rPr>
            </w:pPr>
            <w:r w:rsidRPr="00D33C2C">
              <w:rPr>
                <w:szCs w:val="20"/>
              </w:rPr>
              <w:t>(8.45, 41.49)</w:t>
            </w:r>
          </w:p>
        </w:tc>
      </w:tr>
      <w:tr w:rsidR="00E5561C" w:rsidRPr="00D33C2C" w14:paraId="33A19758" w14:textId="77777777" w:rsidTr="00F704A2">
        <w:trPr>
          <w:trHeight w:val="227"/>
        </w:trPr>
        <w:tc>
          <w:tcPr>
            <w:tcW w:w="3256" w:type="dxa"/>
            <w:tcBorders>
              <w:bottom w:val="single" w:sz="4" w:space="0" w:color="auto"/>
            </w:tcBorders>
            <w:shd w:val="clear" w:color="auto" w:fill="auto"/>
            <w:noWrap/>
            <w:tcMar>
              <w:left w:w="20" w:type="dxa"/>
              <w:right w:w="20" w:type="dxa"/>
            </w:tcMar>
            <w:vAlign w:val="center"/>
            <w:hideMark/>
          </w:tcPr>
          <w:p w14:paraId="127F077C" w14:textId="1C4AFE00" w:rsidR="00E5561C" w:rsidRPr="00D33C2C" w:rsidRDefault="00132E71" w:rsidP="00D97D10">
            <w:pPr>
              <w:pStyle w:val="Tabletext"/>
              <w:keepNext/>
              <w:keepLines/>
              <w:rPr>
                <w:szCs w:val="20"/>
              </w:rPr>
            </w:pPr>
            <w:r>
              <w:rPr>
                <w:szCs w:val="20"/>
              </w:rPr>
              <w:t>1</w:t>
            </w:r>
            <w:r w:rsidR="00E5561C" w:rsidRPr="00D33C2C">
              <w:rPr>
                <w:szCs w:val="20"/>
              </w:rPr>
              <w:t xml:space="preserve">-sided </w:t>
            </w:r>
            <w:r>
              <w:rPr>
                <w:szCs w:val="20"/>
              </w:rPr>
              <w:t xml:space="preserve">unadjusted </w:t>
            </w:r>
            <w:r w:rsidR="00E5561C" w:rsidRPr="00D33C2C">
              <w:rPr>
                <w:szCs w:val="20"/>
              </w:rPr>
              <w:t xml:space="preserve">p-value </w:t>
            </w:r>
          </w:p>
        </w:tc>
        <w:tc>
          <w:tcPr>
            <w:tcW w:w="1275" w:type="dxa"/>
            <w:tcBorders>
              <w:bottom w:val="single" w:sz="4" w:space="0" w:color="auto"/>
            </w:tcBorders>
            <w:shd w:val="clear" w:color="auto" w:fill="auto"/>
            <w:noWrap/>
            <w:tcMar>
              <w:left w:w="20" w:type="dxa"/>
              <w:right w:w="20" w:type="dxa"/>
            </w:tcMar>
            <w:vAlign w:val="center"/>
            <w:hideMark/>
          </w:tcPr>
          <w:p w14:paraId="2E4ECA3C" w14:textId="77777777" w:rsidR="00E5561C" w:rsidRPr="00D33C2C" w:rsidRDefault="00E5561C" w:rsidP="00D97D10">
            <w:pPr>
              <w:pStyle w:val="Tabletext"/>
              <w:keepNext/>
              <w:keepLines/>
              <w:jc w:val="center"/>
              <w:rPr>
                <w:szCs w:val="20"/>
              </w:rPr>
            </w:pPr>
            <w:r w:rsidRPr="00D33C2C">
              <w:rPr>
                <w:szCs w:val="20"/>
              </w:rPr>
              <w:t>-</w:t>
            </w:r>
          </w:p>
        </w:tc>
        <w:tc>
          <w:tcPr>
            <w:tcW w:w="1701" w:type="dxa"/>
            <w:tcBorders>
              <w:bottom w:val="single" w:sz="4" w:space="0" w:color="auto"/>
            </w:tcBorders>
            <w:shd w:val="clear" w:color="auto" w:fill="auto"/>
            <w:noWrap/>
            <w:tcMar>
              <w:left w:w="20" w:type="dxa"/>
              <w:right w:w="20" w:type="dxa"/>
            </w:tcMar>
            <w:vAlign w:val="center"/>
            <w:hideMark/>
          </w:tcPr>
          <w:p w14:paraId="1FB11D64" w14:textId="77777777" w:rsidR="00E5561C" w:rsidRPr="00D33C2C" w:rsidRDefault="00E5561C" w:rsidP="00D97D10">
            <w:pPr>
              <w:pStyle w:val="Tabletext"/>
              <w:keepNext/>
              <w:keepLines/>
              <w:jc w:val="center"/>
              <w:rPr>
                <w:szCs w:val="20"/>
              </w:rPr>
            </w:pPr>
            <w:r w:rsidRPr="00D33C2C">
              <w:rPr>
                <w:szCs w:val="20"/>
              </w:rPr>
              <w:t>0.0016</w:t>
            </w:r>
          </w:p>
        </w:tc>
        <w:tc>
          <w:tcPr>
            <w:tcW w:w="1418" w:type="dxa"/>
            <w:tcBorders>
              <w:bottom w:val="single" w:sz="4" w:space="0" w:color="auto"/>
            </w:tcBorders>
            <w:shd w:val="clear" w:color="auto" w:fill="auto"/>
            <w:noWrap/>
            <w:tcMar>
              <w:left w:w="20" w:type="dxa"/>
              <w:right w:w="20" w:type="dxa"/>
            </w:tcMar>
            <w:vAlign w:val="center"/>
            <w:hideMark/>
          </w:tcPr>
          <w:p w14:paraId="68C144A4" w14:textId="77777777" w:rsidR="00E5561C" w:rsidRPr="00D33C2C" w:rsidRDefault="00E5561C" w:rsidP="00D97D10">
            <w:pPr>
              <w:pStyle w:val="Tabletext"/>
              <w:keepNext/>
              <w:keepLines/>
              <w:jc w:val="center"/>
              <w:rPr>
                <w:szCs w:val="20"/>
              </w:rPr>
            </w:pPr>
            <w:r w:rsidRPr="00D33C2C">
              <w:rPr>
                <w:szCs w:val="20"/>
              </w:rPr>
              <w:t>0.0163</w:t>
            </w:r>
          </w:p>
        </w:tc>
        <w:tc>
          <w:tcPr>
            <w:tcW w:w="1367" w:type="dxa"/>
            <w:tcBorders>
              <w:bottom w:val="single" w:sz="4" w:space="0" w:color="auto"/>
            </w:tcBorders>
            <w:shd w:val="clear" w:color="auto" w:fill="auto"/>
            <w:noWrap/>
            <w:tcMar>
              <w:left w:w="20" w:type="dxa"/>
              <w:right w:w="20" w:type="dxa"/>
            </w:tcMar>
            <w:vAlign w:val="center"/>
            <w:hideMark/>
          </w:tcPr>
          <w:p w14:paraId="59733413" w14:textId="77777777" w:rsidR="00E5561C" w:rsidRPr="00D33C2C" w:rsidRDefault="00E5561C" w:rsidP="00D97D10">
            <w:pPr>
              <w:pStyle w:val="Tabletext"/>
              <w:keepNext/>
              <w:keepLines/>
              <w:jc w:val="center"/>
              <w:rPr>
                <w:szCs w:val="20"/>
              </w:rPr>
            </w:pPr>
            <w:r w:rsidRPr="00D33C2C">
              <w:rPr>
                <w:szCs w:val="20"/>
              </w:rPr>
              <w:t>0.0019</w:t>
            </w:r>
          </w:p>
        </w:tc>
      </w:tr>
      <w:tr w:rsidR="00E5561C" w:rsidRPr="00D33C2C" w14:paraId="4BF37D2E" w14:textId="77777777" w:rsidTr="000A7CED">
        <w:trPr>
          <w:trHeight w:val="227"/>
        </w:trPr>
        <w:tc>
          <w:tcPr>
            <w:tcW w:w="9017" w:type="dxa"/>
            <w:gridSpan w:val="5"/>
            <w:tcBorders>
              <w:top w:val="single" w:sz="4" w:space="0" w:color="auto"/>
              <w:left w:val="single" w:sz="4" w:space="0" w:color="auto"/>
              <w:bottom w:val="single" w:sz="4" w:space="0" w:color="auto"/>
              <w:right w:val="single" w:sz="4" w:space="0" w:color="auto"/>
            </w:tcBorders>
            <w:shd w:val="clear" w:color="auto" w:fill="auto"/>
            <w:noWrap/>
            <w:tcMar>
              <w:left w:w="20" w:type="dxa"/>
              <w:right w:w="20" w:type="dxa"/>
            </w:tcMar>
            <w:vAlign w:val="center"/>
            <w:hideMark/>
          </w:tcPr>
          <w:p w14:paraId="5937C7A9" w14:textId="77777777" w:rsidR="00E5561C" w:rsidRPr="00D33C2C" w:rsidRDefault="00E5561C" w:rsidP="00D97D10">
            <w:pPr>
              <w:pStyle w:val="Tabletext"/>
              <w:keepNext/>
              <w:keepLines/>
              <w:rPr>
                <w:b/>
                <w:bCs/>
                <w:szCs w:val="20"/>
              </w:rPr>
            </w:pPr>
            <w:r w:rsidRPr="00D33C2C">
              <w:rPr>
                <w:b/>
                <w:bCs/>
                <w:szCs w:val="20"/>
              </w:rPr>
              <w:t>Proportion of positive pruritus assessments for ≥50% of the time (secondary)</w:t>
            </w:r>
          </w:p>
        </w:tc>
      </w:tr>
      <w:tr w:rsidR="00E5561C" w:rsidRPr="00D33C2C" w14:paraId="6AD0104C" w14:textId="77777777" w:rsidTr="00F704A2">
        <w:trPr>
          <w:trHeight w:val="227"/>
        </w:trPr>
        <w:tc>
          <w:tcPr>
            <w:tcW w:w="3256" w:type="dxa"/>
            <w:tcBorders>
              <w:top w:val="single" w:sz="4" w:space="0" w:color="auto"/>
            </w:tcBorders>
            <w:shd w:val="clear" w:color="auto" w:fill="auto"/>
            <w:noWrap/>
            <w:tcMar>
              <w:left w:w="20" w:type="dxa"/>
              <w:right w:w="20" w:type="dxa"/>
            </w:tcMar>
            <w:vAlign w:val="center"/>
            <w:hideMark/>
          </w:tcPr>
          <w:p w14:paraId="57161EEF" w14:textId="77777777" w:rsidR="00E5561C" w:rsidRPr="00D33C2C" w:rsidRDefault="00E5561C" w:rsidP="00D97D10">
            <w:pPr>
              <w:pStyle w:val="Tabletext"/>
              <w:keepNext/>
              <w:keepLines/>
              <w:rPr>
                <w:szCs w:val="20"/>
              </w:rPr>
            </w:pPr>
            <w:r w:rsidRPr="00D33C2C">
              <w:rPr>
                <w:szCs w:val="20"/>
              </w:rPr>
              <w:t>Responders, n (%)</w:t>
            </w:r>
          </w:p>
        </w:tc>
        <w:tc>
          <w:tcPr>
            <w:tcW w:w="1275" w:type="dxa"/>
            <w:tcBorders>
              <w:top w:val="single" w:sz="4" w:space="0" w:color="auto"/>
            </w:tcBorders>
            <w:shd w:val="clear" w:color="auto" w:fill="auto"/>
            <w:noWrap/>
            <w:tcMar>
              <w:left w:w="20" w:type="dxa"/>
              <w:right w:w="20" w:type="dxa"/>
            </w:tcMar>
            <w:vAlign w:val="center"/>
            <w:hideMark/>
          </w:tcPr>
          <w:p w14:paraId="06AD8CC5" w14:textId="77777777" w:rsidR="00E5561C" w:rsidRPr="00D33C2C" w:rsidRDefault="00E5561C" w:rsidP="00D97D10">
            <w:pPr>
              <w:pStyle w:val="Tabletext"/>
              <w:keepNext/>
              <w:keepLines/>
              <w:jc w:val="center"/>
              <w:rPr>
                <w:szCs w:val="20"/>
              </w:rPr>
            </w:pPr>
            <w:r w:rsidRPr="00D33C2C">
              <w:rPr>
                <w:szCs w:val="20"/>
              </w:rPr>
              <w:t>4 (20.0)</w:t>
            </w:r>
          </w:p>
        </w:tc>
        <w:tc>
          <w:tcPr>
            <w:tcW w:w="1701" w:type="dxa"/>
            <w:tcBorders>
              <w:top w:val="single" w:sz="4" w:space="0" w:color="auto"/>
            </w:tcBorders>
            <w:shd w:val="clear" w:color="auto" w:fill="auto"/>
            <w:noWrap/>
            <w:tcMar>
              <w:left w:w="20" w:type="dxa"/>
              <w:right w:w="20" w:type="dxa"/>
            </w:tcMar>
            <w:vAlign w:val="center"/>
            <w:hideMark/>
          </w:tcPr>
          <w:p w14:paraId="4AFE2227" w14:textId="77777777" w:rsidR="00E5561C" w:rsidRPr="00D33C2C" w:rsidRDefault="00E5561C" w:rsidP="00D97D10">
            <w:pPr>
              <w:pStyle w:val="Tabletext"/>
              <w:keepNext/>
              <w:keepLines/>
              <w:jc w:val="center"/>
              <w:rPr>
                <w:szCs w:val="20"/>
              </w:rPr>
            </w:pPr>
            <w:r w:rsidRPr="00D33C2C">
              <w:rPr>
                <w:szCs w:val="20"/>
              </w:rPr>
              <w:t>17 (73.9)</w:t>
            </w:r>
          </w:p>
        </w:tc>
        <w:tc>
          <w:tcPr>
            <w:tcW w:w="1418" w:type="dxa"/>
            <w:tcBorders>
              <w:top w:val="single" w:sz="4" w:space="0" w:color="auto"/>
            </w:tcBorders>
            <w:shd w:val="clear" w:color="auto" w:fill="auto"/>
            <w:noWrap/>
            <w:tcMar>
              <w:left w:w="20" w:type="dxa"/>
              <w:right w:w="20" w:type="dxa"/>
            </w:tcMar>
            <w:vAlign w:val="center"/>
            <w:hideMark/>
          </w:tcPr>
          <w:p w14:paraId="1271220A" w14:textId="77777777" w:rsidR="00E5561C" w:rsidRPr="00D33C2C" w:rsidRDefault="00E5561C" w:rsidP="00D97D10">
            <w:pPr>
              <w:pStyle w:val="Tabletext"/>
              <w:keepNext/>
              <w:keepLines/>
              <w:jc w:val="center"/>
              <w:rPr>
                <w:szCs w:val="20"/>
              </w:rPr>
            </w:pPr>
            <w:r w:rsidRPr="00D33C2C">
              <w:rPr>
                <w:szCs w:val="20"/>
              </w:rPr>
              <w:t>9 (47.4)</w:t>
            </w:r>
          </w:p>
        </w:tc>
        <w:tc>
          <w:tcPr>
            <w:tcW w:w="1367" w:type="dxa"/>
            <w:tcBorders>
              <w:top w:val="single" w:sz="4" w:space="0" w:color="auto"/>
            </w:tcBorders>
            <w:shd w:val="clear" w:color="auto" w:fill="auto"/>
            <w:noWrap/>
            <w:tcMar>
              <w:left w:w="20" w:type="dxa"/>
              <w:right w:w="20" w:type="dxa"/>
            </w:tcMar>
            <w:vAlign w:val="center"/>
            <w:hideMark/>
          </w:tcPr>
          <w:p w14:paraId="19339461" w14:textId="77777777" w:rsidR="00E5561C" w:rsidRPr="00D33C2C" w:rsidRDefault="00E5561C" w:rsidP="00D97D10">
            <w:pPr>
              <w:pStyle w:val="Tabletext"/>
              <w:keepNext/>
              <w:keepLines/>
              <w:jc w:val="center"/>
              <w:rPr>
                <w:szCs w:val="20"/>
              </w:rPr>
            </w:pPr>
            <w:r w:rsidRPr="00D33C2C">
              <w:rPr>
                <w:szCs w:val="20"/>
              </w:rPr>
              <w:t>26 (61.9)</w:t>
            </w:r>
          </w:p>
        </w:tc>
      </w:tr>
      <w:tr w:rsidR="00E5561C" w:rsidRPr="00D33C2C" w14:paraId="38756CC4" w14:textId="77777777" w:rsidTr="00F704A2">
        <w:trPr>
          <w:trHeight w:val="227"/>
        </w:trPr>
        <w:tc>
          <w:tcPr>
            <w:tcW w:w="3256" w:type="dxa"/>
            <w:shd w:val="clear" w:color="auto" w:fill="auto"/>
            <w:noWrap/>
            <w:tcMar>
              <w:left w:w="20" w:type="dxa"/>
              <w:right w:w="20" w:type="dxa"/>
            </w:tcMar>
            <w:vAlign w:val="center"/>
            <w:hideMark/>
          </w:tcPr>
          <w:p w14:paraId="4B0E2341" w14:textId="77777777" w:rsidR="00E5561C" w:rsidRPr="00D33C2C" w:rsidRDefault="00E5561C" w:rsidP="00D97D10">
            <w:pPr>
              <w:pStyle w:val="Tabletext"/>
              <w:keepNext/>
              <w:keepLines/>
              <w:rPr>
                <w:szCs w:val="20"/>
              </w:rPr>
            </w:pPr>
            <w:r w:rsidRPr="00D33C2C">
              <w:rPr>
                <w:szCs w:val="20"/>
              </w:rPr>
              <w:t>95% CI</w:t>
            </w:r>
          </w:p>
        </w:tc>
        <w:tc>
          <w:tcPr>
            <w:tcW w:w="1275" w:type="dxa"/>
            <w:shd w:val="clear" w:color="auto" w:fill="auto"/>
            <w:noWrap/>
            <w:tcMar>
              <w:left w:w="20" w:type="dxa"/>
              <w:right w:w="20" w:type="dxa"/>
            </w:tcMar>
            <w:vAlign w:val="center"/>
            <w:hideMark/>
          </w:tcPr>
          <w:p w14:paraId="786B40F6" w14:textId="77777777" w:rsidR="00E5561C" w:rsidRPr="00D33C2C" w:rsidRDefault="00E5561C" w:rsidP="00D97D10">
            <w:pPr>
              <w:pStyle w:val="Tabletext"/>
              <w:keepNext/>
              <w:keepLines/>
              <w:jc w:val="center"/>
              <w:rPr>
                <w:szCs w:val="20"/>
              </w:rPr>
            </w:pPr>
            <w:r w:rsidRPr="00D33C2C">
              <w:rPr>
                <w:szCs w:val="20"/>
              </w:rPr>
              <w:t>(5.73, 43.66)</w:t>
            </w:r>
          </w:p>
        </w:tc>
        <w:tc>
          <w:tcPr>
            <w:tcW w:w="1701" w:type="dxa"/>
            <w:shd w:val="clear" w:color="auto" w:fill="auto"/>
            <w:noWrap/>
            <w:tcMar>
              <w:left w:w="20" w:type="dxa"/>
              <w:right w:w="20" w:type="dxa"/>
            </w:tcMar>
            <w:vAlign w:val="center"/>
            <w:hideMark/>
          </w:tcPr>
          <w:p w14:paraId="45A82117" w14:textId="77777777" w:rsidR="00E5561C" w:rsidRPr="00D33C2C" w:rsidRDefault="00E5561C" w:rsidP="00D97D10">
            <w:pPr>
              <w:pStyle w:val="Tabletext"/>
              <w:keepNext/>
              <w:keepLines/>
              <w:jc w:val="center"/>
              <w:rPr>
                <w:szCs w:val="20"/>
              </w:rPr>
            </w:pPr>
            <w:r w:rsidRPr="00D33C2C">
              <w:rPr>
                <w:szCs w:val="20"/>
              </w:rPr>
              <w:t>(51.59, 89.77)</w:t>
            </w:r>
          </w:p>
        </w:tc>
        <w:tc>
          <w:tcPr>
            <w:tcW w:w="1418" w:type="dxa"/>
            <w:shd w:val="clear" w:color="auto" w:fill="auto"/>
            <w:noWrap/>
            <w:tcMar>
              <w:left w:w="20" w:type="dxa"/>
              <w:right w:w="20" w:type="dxa"/>
            </w:tcMar>
            <w:vAlign w:val="center"/>
            <w:hideMark/>
          </w:tcPr>
          <w:p w14:paraId="5E0A55C8" w14:textId="77777777" w:rsidR="00E5561C" w:rsidRPr="00D33C2C" w:rsidRDefault="00E5561C" w:rsidP="00D97D10">
            <w:pPr>
              <w:pStyle w:val="Tabletext"/>
              <w:keepNext/>
              <w:keepLines/>
              <w:jc w:val="center"/>
              <w:rPr>
                <w:szCs w:val="20"/>
              </w:rPr>
            </w:pPr>
            <w:r w:rsidRPr="00D33C2C">
              <w:rPr>
                <w:szCs w:val="20"/>
              </w:rPr>
              <w:t>(24.45, 71.14)</w:t>
            </w:r>
          </w:p>
        </w:tc>
        <w:tc>
          <w:tcPr>
            <w:tcW w:w="1367" w:type="dxa"/>
            <w:shd w:val="clear" w:color="auto" w:fill="auto"/>
            <w:noWrap/>
            <w:tcMar>
              <w:left w:w="20" w:type="dxa"/>
              <w:right w:w="20" w:type="dxa"/>
            </w:tcMar>
            <w:vAlign w:val="center"/>
            <w:hideMark/>
          </w:tcPr>
          <w:p w14:paraId="4D89BF1C" w14:textId="77777777" w:rsidR="00E5561C" w:rsidRPr="00D33C2C" w:rsidRDefault="00E5561C" w:rsidP="00D97D10">
            <w:pPr>
              <w:pStyle w:val="Tabletext"/>
              <w:keepNext/>
              <w:keepLines/>
              <w:jc w:val="center"/>
              <w:rPr>
                <w:szCs w:val="20"/>
              </w:rPr>
            </w:pPr>
            <w:r w:rsidRPr="00D33C2C">
              <w:rPr>
                <w:szCs w:val="20"/>
              </w:rPr>
              <w:t>(45.64, 76.43)</w:t>
            </w:r>
          </w:p>
        </w:tc>
      </w:tr>
      <w:tr w:rsidR="00E5561C" w:rsidRPr="00D33C2C" w14:paraId="3DA0AAC7" w14:textId="77777777" w:rsidTr="00F704A2">
        <w:trPr>
          <w:trHeight w:val="227"/>
        </w:trPr>
        <w:tc>
          <w:tcPr>
            <w:tcW w:w="3256" w:type="dxa"/>
            <w:shd w:val="clear" w:color="auto" w:fill="auto"/>
            <w:noWrap/>
            <w:tcMar>
              <w:left w:w="20" w:type="dxa"/>
              <w:right w:w="20" w:type="dxa"/>
            </w:tcMar>
            <w:vAlign w:val="center"/>
            <w:hideMark/>
          </w:tcPr>
          <w:p w14:paraId="0BDA5BA5" w14:textId="3EC75939" w:rsidR="00E5561C" w:rsidRPr="00D33C2C" w:rsidRDefault="00E5561C" w:rsidP="00D97D10">
            <w:pPr>
              <w:pStyle w:val="Tabletext"/>
              <w:keepNext/>
              <w:keepLines/>
              <w:rPr>
                <w:szCs w:val="20"/>
              </w:rPr>
            </w:pPr>
            <w:r w:rsidRPr="00D33C2C">
              <w:rPr>
                <w:szCs w:val="20"/>
              </w:rPr>
              <w:t>Odds Ratio (95% CI) (Odevixibat</w:t>
            </w:r>
            <w:r w:rsidR="00143118">
              <w:rPr>
                <w:szCs w:val="20"/>
              </w:rPr>
              <w:t xml:space="preserve"> vs</w:t>
            </w:r>
            <w:r w:rsidR="00455B6B">
              <w:rPr>
                <w:szCs w:val="20"/>
              </w:rPr>
              <w:t xml:space="preserve"> </w:t>
            </w:r>
            <w:r w:rsidRPr="00D33C2C">
              <w:rPr>
                <w:szCs w:val="20"/>
              </w:rPr>
              <w:t>Placebo)</w:t>
            </w:r>
          </w:p>
        </w:tc>
        <w:tc>
          <w:tcPr>
            <w:tcW w:w="1275" w:type="dxa"/>
            <w:shd w:val="clear" w:color="auto" w:fill="auto"/>
            <w:noWrap/>
            <w:tcMar>
              <w:left w:w="20" w:type="dxa"/>
              <w:right w:w="20" w:type="dxa"/>
            </w:tcMar>
            <w:vAlign w:val="center"/>
            <w:hideMark/>
          </w:tcPr>
          <w:p w14:paraId="52FA8482" w14:textId="77777777" w:rsidR="00E5561C" w:rsidRPr="00D33C2C" w:rsidRDefault="00E5561C" w:rsidP="00D97D10">
            <w:pPr>
              <w:pStyle w:val="Tabletext"/>
              <w:keepNext/>
              <w:keepLines/>
              <w:jc w:val="center"/>
              <w:rPr>
                <w:szCs w:val="20"/>
              </w:rPr>
            </w:pPr>
            <w:r w:rsidRPr="00D33C2C">
              <w:rPr>
                <w:szCs w:val="20"/>
              </w:rPr>
              <w:t>-</w:t>
            </w:r>
          </w:p>
        </w:tc>
        <w:tc>
          <w:tcPr>
            <w:tcW w:w="1701" w:type="dxa"/>
            <w:shd w:val="clear" w:color="auto" w:fill="auto"/>
            <w:noWrap/>
            <w:tcMar>
              <w:left w:w="20" w:type="dxa"/>
              <w:right w:w="20" w:type="dxa"/>
            </w:tcMar>
            <w:vAlign w:val="center"/>
            <w:hideMark/>
          </w:tcPr>
          <w:p w14:paraId="6FBA5893" w14:textId="0EFD34EF" w:rsidR="00E5561C" w:rsidRPr="00D33C2C" w:rsidRDefault="00E5561C" w:rsidP="00D97D10">
            <w:pPr>
              <w:pStyle w:val="Tabletext"/>
              <w:keepNext/>
              <w:keepLines/>
              <w:jc w:val="center"/>
              <w:rPr>
                <w:szCs w:val="20"/>
              </w:rPr>
            </w:pPr>
            <w:r w:rsidRPr="00D33C2C">
              <w:rPr>
                <w:szCs w:val="20"/>
              </w:rPr>
              <w:t xml:space="preserve">16.22 </w:t>
            </w:r>
            <w:r w:rsidR="000A7CED">
              <w:rPr>
                <w:szCs w:val="20"/>
              </w:rPr>
              <w:br/>
            </w:r>
            <w:r w:rsidRPr="00D33C2C">
              <w:rPr>
                <w:szCs w:val="20"/>
              </w:rPr>
              <w:t>(2.54, 106.32)</w:t>
            </w:r>
          </w:p>
        </w:tc>
        <w:tc>
          <w:tcPr>
            <w:tcW w:w="1418" w:type="dxa"/>
            <w:shd w:val="clear" w:color="auto" w:fill="auto"/>
            <w:noWrap/>
            <w:tcMar>
              <w:left w:w="20" w:type="dxa"/>
              <w:right w:w="20" w:type="dxa"/>
            </w:tcMar>
            <w:vAlign w:val="center"/>
            <w:hideMark/>
          </w:tcPr>
          <w:p w14:paraId="5AE4E813" w14:textId="3114918A" w:rsidR="00E5561C" w:rsidRPr="00D33C2C" w:rsidRDefault="00E5561C" w:rsidP="00D97D10">
            <w:pPr>
              <w:pStyle w:val="Tabletext"/>
              <w:keepNext/>
              <w:keepLines/>
              <w:jc w:val="center"/>
              <w:rPr>
                <w:szCs w:val="20"/>
              </w:rPr>
            </w:pPr>
            <w:r w:rsidRPr="00D33C2C">
              <w:rPr>
                <w:szCs w:val="20"/>
              </w:rPr>
              <w:t xml:space="preserve">3.14 </w:t>
            </w:r>
            <w:r w:rsidR="000A7CED">
              <w:rPr>
                <w:szCs w:val="20"/>
              </w:rPr>
              <w:br/>
            </w:r>
            <w:r w:rsidRPr="00D33C2C">
              <w:rPr>
                <w:szCs w:val="20"/>
              </w:rPr>
              <w:t>(0.7</w:t>
            </w:r>
            <w:r w:rsidR="000413C5">
              <w:rPr>
                <w:szCs w:val="20"/>
              </w:rPr>
              <w:t>2</w:t>
            </w:r>
            <w:r w:rsidRPr="00D33C2C">
              <w:rPr>
                <w:szCs w:val="20"/>
              </w:rPr>
              <w:t>, 18.70)</w:t>
            </w:r>
          </w:p>
        </w:tc>
        <w:tc>
          <w:tcPr>
            <w:tcW w:w="1367" w:type="dxa"/>
            <w:shd w:val="clear" w:color="auto" w:fill="auto"/>
            <w:noWrap/>
            <w:tcMar>
              <w:left w:w="20" w:type="dxa"/>
              <w:right w:w="20" w:type="dxa"/>
            </w:tcMar>
            <w:vAlign w:val="center"/>
            <w:hideMark/>
          </w:tcPr>
          <w:p w14:paraId="1AA817AB" w14:textId="5752497E" w:rsidR="00E5561C" w:rsidRPr="00D33C2C" w:rsidRDefault="00E5561C" w:rsidP="00D97D10">
            <w:pPr>
              <w:pStyle w:val="Tabletext"/>
              <w:keepNext/>
              <w:keepLines/>
              <w:jc w:val="center"/>
              <w:rPr>
                <w:szCs w:val="20"/>
              </w:rPr>
            </w:pPr>
            <w:r w:rsidRPr="00D33C2C">
              <w:rPr>
                <w:szCs w:val="20"/>
              </w:rPr>
              <w:t xml:space="preserve">6.21 </w:t>
            </w:r>
            <w:r w:rsidR="000A7CED">
              <w:rPr>
                <w:szCs w:val="20"/>
              </w:rPr>
              <w:br/>
            </w:r>
            <w:r w:rsidRPr="00D33C2C">
              <w:rPr>
                <w:szCs w:val="20"/>
              </w:rPr>
              <w:t>(1.5</w:t>
            </w:r>
            <w:r w:rsidR="000413C5">
              <w:rPr>
                <w:szCs w:val="20"/>
              </w:rPr>
              <w:t>4</w:t>
            </w:r>
            <w:r w:rsidRPr="00D33C2C">
              <w:rPr>
                <w:szCs w:val="20"/>
              </w:rPr>
              <w:t>, 27.4</w:t>
            </w:r>
            <w:r w:rsidR="000413C5">
              <w:rPr>
                <w:szCs w:val="20"/>
              </w:rPr>
              <w:t>3</w:t>
            </w:r>
            <w:r w:rsidRPr="00D33C2C">
              <w:rPr>
                <w:szCs w:val="20"/>
              </w:rPr>
              <w:t>)</w:t>
            </w:r>
          </w:p>
        </w:tc>
      </w:tr>
      <w:tr w:rsidR="00E5561C" w:rsidRPr="00D33C2C" w14:paraId="5ABB1D4F" w14:textId="77777777" w:rsidTr="00F704A2">
        <w:trPr>
          <w:trHeight w:val="227"/>
        </w:trPr>
        <w:tc>
          <w:tcPr>
            <w:tcW w:w="3256" w:type="dxa"/>
            <w:shd w:val="clear" w:color="auto" w:fill="auto"/>
            <w:noWrap/>
            <w:tcMar>
              <w:left w:w="20" w:type="dxa"/>
              <w:right w:w="20" w:type="dxa"/>
            </w:tcMar>
            <w:vAlign w:val="center"/>
            <w:hideMark/>
          </w:tcPr>
          <w:p w14:paraId="57C45BD9" w14:textId="04C48AD3" w:rsidR="00E5561C" w:rsidRPr="00D33C2C" w:rsidRDefault="00132E71" w:rsidP="00D97D10">
            <w:pPr>
              <w:pStyle w:val="Tabletext"/>
              <w:keepNext/>
              <w:keepLines/>
              <w:rPr>
                <w:szCs w:val="20"/>
              </w:rPr>
            </w:pPr>
            <w:r>
              <w:rPr>
                <w:szCs w:val="20"/>
              </w:rPr>
              <w:t>1</w:t>
            </w:r>
            <w:r w:rsidR="00E5561C" w:rsidRPr="00D33C2C">
              <w:rPr>
                <w:szCs w:val="20"/>
              </w:rPr>
              <w:t>-</w:t>
            </w:r>
            <w:r>
              <w:rPr>
                <w:szCs w:val="20"/>
              </w:rPr>
              <w:t>s</w:t>
            </w:r>
            <w:r w:rsidR="00E5561C" w:rsidRPr="00D33C2C">
              <w:rPr>
                <w:szCs w:val="20"/>
              </w:rPr>
              <w:t xml:space="preserve">ided </w:t>
            </w:r>
            <w:r>
              <w:rPr>
                <w:szCs w:val="20"/>
              </w:rPr>
              <w:t>u</w:t>
            </w:r>
            <w:r w:rsidR="00E5561C" w:rsidRPr="00D33C2C">
              <w:rPr>
                <w:szCs w:val="20"/>
              </w:rPr>
              <w:t>nadjusted p-value</w:t>
            </w:r>
          </w:p>
        </w:tc>
        <w:tc>
          <w:tcPr>
            <w:tcW w:w="1275" w:type="dxa"/>
            <w:shd w:val="clear" w:color="auto" w:fill="auto"/>
            <w:noWrap/>
            <w:tcMar>
              <w:left w:w="20" w:type="dxa"/>
              <w:right w:w="20" w:type="dxa"/>
            </w:tcMar>
            <w:vAlign w:val="center"/>
            <w:hideMark/>
          </w:tcPr>
          <w:p w14:paraId="23047F95" w14:textId="77777777" w:rsidR="00E5561C" w:rsidRPr="00D33C2C" w:rsidRDefault="00E5561C" w:rsidP="00D97D10">
            <w:pPr>
              <w:pStyle w:val="Tabletext"/>
              <w:keepNext/>
              <w:keepLines/>
              <w:jc w:val="center"/>
              <w:rPr>
                <w:szCs w:val="20"/>
              </w:rPr>
            </w:pPr>
            <w:r w:rsidRPr="00D33C2C">
              <w:rPr>
                <w:szCs w:val="20"/>
              </w:rPr>
              <w:t>-</w:t>
            </w:r>
          </w:p>
        </w:tc>
        <w:tc>
          <w:tcPr>
            <w:tcW w:w="1701" w:type="dxa"/>
            <w:shd w:val="clear" w:color="auto" w:fill="auto"/>
            <w:noWrap/>
            <w:tcMar>
              <w:left w:w="20" w:type="dxa"/>
              <w:right w:w="20" w:type="dxa"/>
            </w:tcMar>
            <w:vAlign w:val="center"/>
            <w:hideMark/>
          </w:tcPr>
          <w:p w14:paraId="7E9F323E" w14:textId="77777777" w:rsidR="00E5561C" w:rsidRPr="00D33C2C" w:rsidRDefault="00E5561C" w:rsidP="00D97D10">
            <w:pPr>
              <w:pStyle w:val="Tabletext"/>
              <w:keepNext/>
              <w:keepLines/>
              <w:jc w:val="center"/>
              <w:rPr>
                <w:szCs w:val="20"/>
              </w:rPr>
            </w:pPr>
            <w:r w:rsidRPr="00D33C2C">
              <w:rPr>
                <w:szCs w:val="20"/>
              </w:rPr>
              <w:t>0.0002</w:t>
            </w:r>
          </w:p>
        </w:tc>
        <w:tc>
          <w:tcPr>
            <w:tcW w:w="1418" w:type="dxa"/>
            <w:shd w:val="clear" w:color="auto" w:fill="auto"/>
            <w:noWrap/>
            <w:tcMar>
              <w:left w:w="20" w:type="dxa"/>
              <w:right w:w="20" w:type="dxa"/>
            </w:tcMar>
            <w:vAlign w:val="center"/>
            <w:hideMark/>
          </w:tcPr>
          <w:p w14:paraId="3C5780CA" w14:textId="77777777" w:rsidR="00E5561C" w:rsidRPr="00D33C2C" w:rsidRDefault="00E5561C" w:rsidP="00D97D10">
            <w:pPr>
              <w:pStyle w:val="Tabletext"/>
              <w:keepNext/>
              <w:keepLines/>
              <w:jc w:val="center"/>
              <w:rPr>
                <w:szCs w:val="20"/>
              </w:rPr>
            </w:pPr>
            <w:r w:rsidRPr="00D33C2C">
              <w:rPr>
                <w:szCs w:val="20"/>
              </w:rPr>
              <w:t>0.0391</w:t>
            </w:r>
          </w:p>
        </w:tc>
        <w:tc>
          <w:tcPr>
            <w:tcW w:w="1367" w:type="dxa"/>
            <w:shd w:val="clear" w:color="auto" w:fill="auto"/>
            <w:noWrap/>
            <w:tcMar>
              <w:left w:w="20" w:type="dxa"/>
              <w:right w:w="20" w:type="dxa"/>
            </w:tcMar>
            <w:vAlign w:val="center"/>
            <w:hideMark/>
          </w:tcPr>
          <w:p w14:paraId="03F4A06D" w14:textId="77777777" w:rsidR="00E5561C" w:rsidRPr="00D33C2C" w:rsidRDefault="00E5561C" w:rsidP="00D97D10">
            <w:pPr>
              <w:pStyle w:val="Tabletext"/>
              <w:keepNext/>
              <w:keepLines/>
              <w:jc w:val="center"/>
              <w:rPr>
                <w:szCs w:val="20"/>
              </w:rPr>
            </w:pPr>
            <w:r w:rsidRPr="00D33C2C">
              <w:rPr>
                <w:szCs w:val="20"/>
              </w:rPr>
              <w:t>0.0016</w:t>
            </w:r>
          </w:p>
        </w:tc>
      </w:tr>
    </w:tbl>
    <w:p w14:paraId="695729AB" w14:textId="77777777" w:rsidR="007B5973" w:rsidRPr="00D33C2C" w:rsidRDefault="007B5973" w:rsidP="00D97D10">
      <w:pPr>
        <w:pStyle w:val="TableFigureFooter"/>
        <w:keepNext/>
        <w:keepLines/>
      </w:pPr>
      <w:r w:rsidRPr="00D33C2C">
        <w:t>Source: Table 2-17, p82, Table 2-19, p86, and Table 2-20, p88 of the submission</w:t>
      </w:r>
    </w:p>
    <w:p w14:paraId="4FE677C3" w14:textId="2C825DA1" w:rsidR="007B5973" w:rsidRPr="00D33C2C" w:rsidRDefault="007B5973" w:rsidP="00D97D10">
      <w:pPr>
        <w:pStyle w:val="TableFigureFooter"/>
        <w:keepNext/>
        <w:keepLines/>
      </w:pPr>
      <w:r w:rsidRPr="00D33C2C">
        <w:t xml:space="preserve">CI = confidence interval; FAS = full analysis set; </w:t>
      </w:r>
      <w:r w:rsidR="00B146C3">
        <w:t>LS = least squares;</w:t>
      </w:r>
      <w:r w:rsidR="00AE5080">
        <w:t xml:space="preserve"> </w:t>
      </w:r>
      <w:r w:rsidRPr="00D33C2C">
        <w:t>sBA = serum bile acid; SE = standard error</w:t>
      </w:r>
    </w:p>
    <w:p w14:paraId="0CC7B124" w14:textId="64D0057C" w:rsidR="00E5561C" w:rsidRPr="00517DC0" w:rsidRDefault="007B5973" w:rsidP="00D10473">
      <w:pPr>
        <w:pStyle w:val="TableFigureFooter"/>
        <w:keepLines/>
        <w:contextualSpacing w:val="0"/>
      </w:pPr>
      <w:r w:rsidRPr="00025951">
        <w:rPr>
          <w:b/>
          <w:bCs/>
        </w:rPr>
        <w:t>Bold</w:t>
      </w:r>
      <w:r w:rsidRPr="00025951">
        <w:t xml:space="preserve"> text indicates a statistically significant difference vs placebo</w:t>
      </w:r>
      <w:r w:rsidR="00025951" w:rsidRPr="00025951">
        <w:t xml:space="preserve">. </w:t>
      </w:r>
      <w:r w:rsidR="00025951" w:rsidRPr="00517DC0">
        <w:t xml:space="preserve">It was assumed that the </w:t>
      </w:r>
      <w:r w:rsidRPr="00517DC0">
        <w:t xml:space="preserve">overall Type 1 error of 0.025 was adjusted for </w:t>
      </w:r>
      <w:r w:rsidR="00025951" w:rsidRPr="00517DC0">
        <w:t xml:space="preserve">the </w:t>
      </w:r>
      <w:r w:rsidRPr="00517DC0">
        <w:t xml:space="preserve">two comparisons </w:t>
      </w:r>
      <w:r w:rsidR="00025951" w:rsidRPr="00517DC0">
        <w:t xml:space="preserve">of 40 mcg/kg/day vs placebo and 120 mcg/kg/day vs placebo </w:t>
      </w:r>
      <w:r w:rsidR="000D7093" w:rsidRPr="00517DC0">
        <w:t>(</w:t>
      </w:r>
      <w:r w:rsidRPr="00517DC0">
        <w:t>i.e., p&lt;0.0125 for each</w:t>
      </w:r>
      <w:r w:rsidR="000D7093" w:rsidRPr="00517DC0">
        <w:t>)</w:t>
      </w:r>
      <w:r w:rsidRPr="00517DC0">
        <w:t>.</w:t>
      </w:r>
    </w:p>
    <w:p w14:paraId="63E36746" w14:textId="250AE5AE" w:rsidR="00E5561C" w:rsidRPr="00D33C2C" w:rsidRDefault="00E5561C" w:rsidP="00E5561C">
      <w:pPr>
        <w:pStyle w:val="3-BodyText"/>
      </w:pPr>
      <w:r w:rsidRPr="00D33C2C">
        <w:t>Compared to patients treated with placebo at 24 weeks, there w</w:t>
      </w:r>
      <w:r w:rsidR="00D97D10" w:rsidRPr="00D33C2C">
        <w:t>as</w:t>
      </w:r>
      <w:r w:rsidRPr="00D33C2C">
        <w:t xml:space="preserve"> a higher proportion of patients treated with 40 mcg/kg/day odevixibat who had:</w:t>
      </w:r>
    </w:p>
    <w:p w14:paraId="25FDE749" w14:textId="234E4C18" w:rsidR="00E5561C" w:rsidRPr="00D33C2C" w:rsidRDefault="00E5561C" w:rsidP="001825BF">
      <w:pPr>
        <w:pStyle w:val="3-BodyText"/>
        <w:numPr>
          <w:ilvl w:val="1"/>
          <w:numId w:val="7"/>
        </w:numPr>
        <w:ind w:left="993"/>
      </w:pPr>
      <w:r w:rsidRPr="00D33C2C">
        <w:t>≥70% reduction in</w:t>
      </w:r>
      <w:r w:rsidR="000722DE">
        <w:t xml:space="preserve"> fasting</w:t>
      </w:r>
      <w:r w:rsidRPr="00D33C2C">
        <w:t xml:space="preserve"> sBA from baseline </w:t>
      </w:r>
      <w:r w:rsidR="000722DE">
        <w:t xml:space="preserve">or </w:t>
      </w:r>
      <w:r w:rsidR="000722DE" w:rsidRPr="00E626A1">
        <w:rPr>
          <w:rFonts w:cstheme="minorHAnsi"/>
          <w:snapToGrid/>
        </w:rPr>
        <w:t>reaching a level ≤</w:t>
      </w:r>
      <w:r w:rsidR="00D10473">
        <w:rPr>
          <w:rFonts w:cstheme="minorHAnsi"/>
          <w:snapToGrid/>
        </w:rPr>
        <w:t> </w:t>
      </w:r>
      <w:r w:rsidR="000722DE" w:rsidRPr="00E626A1">
        <w:rPr>
          <w:rFonts w:cstheme="minorHAnsi"/>
          <w:snapToGrid/>
        </w:rPr>
        <w:t>70</w:t>
      </w:r>
      <w:r w:rsidR="00D10473">
        <w:rPr>
          <w:rFonts w:cstheme="minorHAnsi"/>
          <w:snapToGrid/>
        </w:rPr>
        <w:t> </w:t>
      </w:r>
      <w:r w:rsidR="000722DE" w:rsidRPr="00E626A1">
        <w:rPr>
          <w:rFonts w:cstheme="minorHAnsi"/>
          <w:snapToGrid/>
        </w:rPr>
        <w:t>µmol/L</w:t>
      </w:r>
      <w:r w:rsidR="000722DE">
        <w:t xml:space="preserve"> </w:t>
      </w:r>
      <w:r w:rsidRPr="00D33C2C">
        <w:t>(adjusted % difference</w:t>
      </w:r>
      <w:r w:rsidR="000A7CED">
        <w:t xml:space="preserve"> </w:t>
      </w:r>
      <w:r w:rsidRPr="00D33C2C">
        <w:t>=</w:t>
      </w:r>
      <w:r w:rsidR="000A7CED">
        <w:t xml:space="preserve"> </w:t>
      </w:r>
      <w:r w:rsidRPr="00D33C2C">
        <w:t>44.1%, 95% CI</w:t>
      </w:r>
      <w:r w:rsidR="000A7CED">
        <w:t>:</w:t>
      </w:r>
      <w:r w:rsidRPr="00D33C2C">
        <w:t xml:space="preserve"> 23.61, 64.64, adjusted p=0.0015), and</w:t>
      </w:r>
    </w:p>
    <w:p w14:paraId="189EA2DB" w14:textId="102A5ED0" w:rsidR="00E5561C" w:rsidRPr="00D33C2C" w:rsidRDefault="00E5561C" w:rsidP="001825BF">
      <w:pPr>
        <w:pStyle w:val="3-BodyText"/>
        <w:numPr>
          <w:ilvl w:val="1"/>
          <w:numId w:val="7"/>
        </w:numPr>
        <w:ind w:left="993"/>
      </w:pPr>
      <w:r w:rsidRPr="00D33C2C">
        <w:t>A scratching score of ≤1 or at least a 1-point drop from baseline on the ObsRO instrument (least squares [LS] mean difference</w:t>
      </w:r>
      <w:r w:rsidR="000A7CED">
        <w:t xml:space="preserve"> </w:t>
      </w:r>
      <w:r w:rsidRPr="00D33C2C">
        <w:t>=</w:t>
      </w:r>
      <w:r w:rsidR="000A7CED">
        <w:t xml:space="preserve"> </w:t>
      </w:r>
      <w:r w:rsidRPr="00D33C2C">
        <w:t>28.2%, 95% CI</w:t>
      </w:r>
      <w:r w:rsidR="000A7CED">
        <w:t>:</w:t>
      </w:r>
      <w:r w:rsidRPr="00D33C2C">
        <w:t xml:space="preserve"> 9.83, 46.64, unadjusted p=0.0016). </w:t>
      </w:r>
    </w:p>
    <w:p w14:paraId="18DA5C0A" w14:textId="2FFE5F75" w:rsidR="00E5561C" w:rsidRPr="00D12904" w:rsidRDefault="006E1E4A" w:rsidP="00E5561C">
      <w:pPr>
        <w:pStyle w:val="3-BodyText"/>
      </w:pPr>
      <w:r>
        <w:t>For sBA, o</w:t>
      </w:r>
      <w:r w:rsidR="00E5561C" w:rsidRPr="00D33C2C">
        <w:t xml:space="preserve">nly </w:t>
      </w:r>
      <w:r w:rsidR="00E5561C" w:rsidRPr="00D12904">
        <w:t>adjusted p-values for the 40 mcg/kg</w:t>
      </w:r>
      <w:r w:rsidR="00184EBD" w:rsidRPr="00D12904">
        <w:t>/day</w:t>
      </w:r>
      <w:r w:rsidR="00E5561C" w:rsidRPr="00D12904">
        <w:t xml:space="preserve"> v</w:t>
      </w:r>
      <w:r w:rsidR="008277EE" w:rsidRPr="00D12904">
        <w:t>ersu</w:t>
      </w:r>
      <w:r w:rsidR="00E5561C" w:rsidRPr="00D12904">
        <w:t>s placebo and 120</w:t>
      </w:r>
      <w:r w:rsidR="00D10473">
        <w:t> </w:t>
      </w:r>
      <w:r w:rsidR="00E5561C" w:rsidRPr="00D12904">
        <w:t>mcg/kg</w:t>
      </w:r>
      <w:r w:rsidR="00184EBD" w:rsidRPr="00D12904">
        <w:t>/day</w:t>
      </w:r>
      <w:r w:rsidR="00E5561C" w:rsidRPr="00D12904">
        <w:t xml:space="preserve"> v</w:t>
      </w:r>
      <w:r w:rsidR="008277EE" w:rsidRPr="00D12904">
        <w:t>ersu</w:t>
      </w:r>
      <w:r w:rsidR="00E5561C" w:rsidRPr="00D12904">
        <w:t xml:space="preserve">s placebo </w:t>
      </w:r>
      <w:r w:rsidRPr="00D12904">
        <w:t xml:space="preserve">arms </w:t>
      </w:r>
      <w:r w:rsidR="00E5561C" w:rsidRPr="00D12904">
        <w:t>were presented and only the 40 mcg/kg</w:t>
      </w:r>
      <w:r w:rsidR="00184EBD" w:rsidRPr="00D12904">
        <w:t>/day</w:t>
      </w:r>
      <w:r w:rsidR="00E5561C" w:rsidRPr="00D12904">
        <w:t xml:space="preserve"> arm v</w:t>
      </w:r>
      <w:r w:rsidR="008277EE" w:rsidRPr="00D12904">
        <w:t>ersu</w:t>
      </w:r>
      <w:r w:rsidR="00E5561C" w:rsidRPr="00D12904">
        <w:t xml:space="preserve">s placebo demonstrated statistical significance. The </w:t>
      </w:r>
      <w:r w:rsidR="00AA4D73">
        <w:t xml:space="preserve">adjusted difference in </w:t>
      </w:r>
      <w:r w:rsidR="00E5561C" w:rsidRPr="00D12904">
        <w:t>proportion of sBA response in the 120</w:t>
      </w:r>
      <w:r w:rsidR="00841B85" w:rsidRPr="00D12904">
        <w:t> </w:t>
      </w:r>
      <w:r w:rsidR="00E5561C" w:rsidRPr="00D12904">
        <w:t>mcg/kg</w:t>
      </w:r>
      <w:r w:rsidR="00841B85" w:rsidRPr="00D12904">
        <w:t>/day</w:t>
      </w:r>
      <w:r w:rsidR="00E5561C" w:rsidRPr="00D12904">
        <w:t xml:space="preserve"> arm </w:t>
      </w:r>
      <w:r w:rsidR="008277EE" w:rsidRPr="00D12904">
        <w:t xml:space="preserve">(21.6%) </w:t>
      </w:r>
      <w:r w:rsidR="00E5561C" w:rsidRPr="00D12904">
        <w:t xml:space="preserve">was lower compared to the </w:t>
      </w:r>
      <w:r w:rsidR="00D10473" w:rsidRPr="00D12904">
        <w:t>40</w:t>
      </w:r>
      <w:r w:rsidR="00D10473">
        <w:t> </w:t>
      </w:r>
      <w:r w:rsidR="00E5561C" w:rsidRPr="00D12904">
        <w:t>mcg/kg</w:t>
      </w:r>
      <w:r w:rsidR="00184EBD" w:rsidRPr="00D12904">
        <w:t>/day</w:t>
      </w:r>
      <w:r w:rsidR="00E5561C" w:rsidRPr="00D12904">
        <w:t xml:space="preserve"> arm (44.1%). The </w:t>
      </w:r>
      <w:r w:rsidR="00AA4D73">
        <w:t xml:space="preserve">adjusted difference in the </w:t>
      </w:r>
      <w:r w:rsidR="00E5561C" w:rsidRPr="00D12904">
        <w:t>proportion of pruritus response was greater in the 40</w:t>
      </w:r>
      <w:r w:rsidR="00094176" w:rsidRPr="00D12904">
        <w:t> </w:t>
      </w:r>
      <w:r w:rsidR="00E5561C" w:rsidRPr="00D12904">
        <w:t>mcg/kg</w:t>
      </w:r>
      <w:r w:rsidR="00184EBD" w:rsidRPr="00D12904">
        <w:t>/day</w:t>
      </w:r>
      <w:r w:rsidR="00E5561C" w:rsidRPr="00D12904">
        <w:t xml:space="preserve"> </w:t>
      </w:r>
      <w:r w:rsidRPr="00D12904">
        <w:t xml:space="preserve">arm </w:t>
      </w:r>
      <w:r w:rsidR="00E5561C" w:rsidRPr="00D12904">
        <w:t xml:space="preserve">compared to the </w:t>
      </w:r>
      <w:r w:rsidR="00D10473" w:rsidRPr="00D12904">
        <w:t>120</w:t>
      </w:r>
      <w:r w:rsidR="00D10473">
        <w:t> </w:t>
      </w:r>
      <w:r w:rsidR="00E5561C" w:rsidRPr="00D12904">
        <w:t>mcg/kg</w:t>
      </w:r>
      <w:r w:rsidR="00184EBD" w:rsidRPr="00D12904">
        <w:t>/day</w:t>
      </w:r>
      <w:r w:rsidR="00E5561C" w:rsidRPr="00D12904">
        <w:t xml:space="preserve"> and placebo</w:t>
      </w:r>
      <w:r w:rsidRPr="00D12904">
        <w:t xml:space="preserve"> arms</w:t>
      </w:r>
      <w:r w:rsidR="00E5561C" w:rsidRPr="00D12904">
        <w:t xml:space="preserve">, </w:t>
      </w:r>
      <w:r w:rsidR="000A7CED" w:rsidRPr="00D12904">
        <w:t>al</w:t>
      </w:r>
      <w:r w:rsidR="00E5561C" w:rsidRPr="00D12904">
        <w:t xml:space="preserve">though statistical significance was unclear </w:t>
      </w:r>
      <w:r w:rsidR="008277EE" w:rsidRPr="00D12904">
        <w:t xml:space="preserve">as </w:t>
      </w:r>
      <w:r w:rsidR="00E5561C" w:rsidRPr="00D12904">
        <w:t>only unadjusted p-values were presented.</w:t>
      </w:r>
      <w:r w:rsidR="00530D99" w:rsidRPr="00D12904">
        <w:t xml:space="preserve"> Additionally, the ESC noted that approximately 30% of patients receiving placebo reported a pruritus response.</w:t>
      </w:r>
      <w:r w:rsidR="00E5561C" w:rsidRPr="00D12904">
        <w:t xml:space="preserve"> </w:t>
      </w:r>
      <w:r w:rsidR="00530D99" w:rsidRPr="00D12904">
        <w:t>A</w:t>
      </w:r>
      <w:r w:rsidR="000A7CED" w:rsidRPr="00D12904">
        <w:t xml:space="preserve">lthough </w:t>
      </w:r>
      <w:r w:rsidR="00E5561C" w:rsidRPr="00D12904">
        <w:t>maintaining pruritus response for more than 50% of the time (24</w:t>
      </w:r>
      <w:r w:rsidR="0050016C" w:rsidRPr="00D12904">
        <w:t> </w:t>
      </w:r>
      <w:r w:rsidR="00E5561C" w:rsidRPr="00D12904">
        <w:t xml:space="preserve">weeks) favoured </w:t>
      </w:r>
      <w:r w:rsidR="000A7CED" w:rsidRPr="00D12904">
        <w:t xml:space="preserve">the </w:t>
      </w:r>
      <w:r w:rsidR="00D10473" w:rsidRPr="00D12904">
        <w:t>40</w:t>
      </w:r>
      <w:r w:rsidR="00D10473">
        <w:t> </w:t>
      </w:r>
      <w:r w:rsidR="00E5561C" w:rsidRPr="00D12904">
        <w:t>mcg/kg</w:t>
      </w:r>
      <w:r w:rsidR="00E260B9" w:rsidRPr="00D12904">
        <w:t>/day</w:t>
      </w:r>
      <w:r w:rsidR="00E5561C" w:rsidRPr="00D12904">
        <w:t xml:space="preserve"> odevixibat arm</w:t>
      </w:r>
      <w:r w:rsidR="008277EE" w:rsidRPr="00D12904">
        <w:t xml:space="preserve"> </w:t>
      </w:r>
      <w:r w:rsidR="00132E71" w:rsidRPr="00D12904">
        <w:t xml:space="preserve">compared to </w:t>
      </w:r>
      <w:r w:rsidR="008277EE" w:rsidRPr="00D12904">
        <w:t xml:space="preserve">the </w:t>
      </w:r>
      <w:r w:rsidR="00D10473" w:rsidRPr="00D12904">
        <w:t>120</w:t>
      </w:r>
      <w:r w:rsidR="00D10473">
        <w:t> </w:t>
      </w:r>
      <w:r w:rsidR="008277EE" w:rsidRPr="00D12904">
        <w:t>mcg/kg/day and placebo arms</w:t>
      </w:r>
      <w:r w:rsidR="00E5561C" w:rsidRPr="00D12904">
        <w:t xml:space="preserve">, </w:t>
      </w:r>
      <w:r w:rsidR="000A7CED" w:rsidRPr="00D12904">
        <w:t xml:space="preserve">this </w:t>
      </w:r>
      <w:r w:rsidR="00E5561C" w:rsidRPr="00D12904">
        <w:t xml:space="preserve">was also uncertain </w:t>
      </w:r>
      <w:r w:rsidR="000A7CED" w:rsidRPr="00D12904">
        <w:t xml:space="preserve">as </w:t>
      </w:r>
      <w:r w:rsidR="00E5561C" w:rsidRPr="00D12904">
        <w:t xml:space="preserve">secondary endpoints in PEDFIC 1 were not adjusted for multiplicity. </w:t>
      </w:r>
    </w:p>
    <w:p w14:paraId="506BE14B" w14:textId="24B10EE9" w:rsidR="00043078" w:rsidRPr="00D12904" w:rsidRDefault="00043078" w:rsidP="00B3211B">
      <w:pPr>
        <w:pStyle w:val="3-BodyText"/>
      </w:pPr>
      <w:r w:rsidRPr="00D12904">
        <w:lastRenderedPageBreak/>
        <w:t>The TGA Clinical Evaluation Report stated that “post-hoc analyses showed that both [40</w:t>
      </w:r>
      <w:r w:rsidR="00D10473">
        <w:t> </w:t>
      </w:r>
      <w:r w:rsidRPr="00D12904">
        <w:t xml:space="preserve">mcg/kg/day and </w:t>
      </w:r>
      <w:r w:rsidR="00D10473" w:rsidRPr="00D12904">
        <w:t>120</w:t>
      </w:r>
      <w:r w:rsidR="00D10473">
        <w:t> </w:t>
      </w:r>
      <w:r w:rsidRPr="00D12904">
        <w:t>mcg/kg/day] doses are equally effective in reducing sBAs and reducing pruritus (e.g. no statistically significant difference). A starting dose of 40 mcg/kg/day is considered most appropriate” (TGA Clinical Evaluation Report for odevixibat, March 2024).</w:t>
      </w:r>
    </w:p>
    <w:p w14:paraId="7D86B647" w14:textId="06F20681" w:rsidR="00AA2DED" w:rsidRPr="00D12904" w:rsidRDefault="00E5561C" w:rsidP="00980C62">
      <w:pPr>
        <w:pStyle w:val="3-BodyText"/>
      </w:pPr>
      <w:r w:rsidRPr="00D12904">
        <w:t xml:space="preserve">Pruritus is an indicator for SBD or LT in children with PFIC and reduction in pruritus would be considered a clinically relevant outcome for patients. The submission </w:t>
      </w:r>
      <w:r w:rsidR="004506D5" w:rsidRPr="00D12904">
        <w:t xml:space="preserve">relied </w:t>
      </w:r>
      <w:r w:rsidRPr="00D12904">
        <w:t xml:space="preserve">on sBA response as a surrogate for pruritus </w:t>
      </w:r>
      <w:r w:rsidR="004506D5" w:rsidRPr="00D12904">
        <w:t xml:space="preserve">response </w:t>
      </w:r>
      <w:r w:rsidRPr="00D12904">
        <w:t>in the economic model</w:t>
      </w:r>
      <w:r w:rsidR="0050016C" w:rsidRPr="00D12904">
        <w:t xml:space="preserve">. </w:t>
      </w:r>
      <w:r w:rsidR="00D734DB" w:rsidRPr="00D12904">
        <w:t xml:space="preserve">Reductions in sBA levels after </w:t>
      </w:r>
      <w:r w:rsidR="008277EE" w:rsidRPr="00D12904">
        <w:t>SBD have</w:t>
      </w:r>
      <w:r w:rsidR="00D734DB" w:rsidRPr="00D12904">
        <w:t xml:space="preserve"> shown to be associated with improved pruritus symptoms.</w:t>
      </w:r>
      <w:r w:rsidR="00D734DB" w:rsidRPr="00D12904">
        <w:rPr>
          <w:rStyle w:val="FootnoteReference"/>
        </w:rPr>
        <w:footnoteReference w:id="13"/>
      </w:r>
      <w:r w:rsidR="00D734DB" w:rsidRPr="00D12904">
        <w:rPr>
          <w:vertAlign w:val="superscript"/>
        </w:rPr>
        <w:t xml:space="preserve"> </w:t>
      </w:r>
      <w:r w:rsidR="00D734DB" w:rsidRPr="00D12904">
        <w:t>A</w:t>
      </w:r>
      <w:r w:rsidRPr="00D12904">
        <w:t>lthough a strong correlation exists</w:t>
      </w:r>
      <w:r w:rsidR="00F94CCF" w:rsidRPr="00D12904">
        <w:t>;</w:t>
      </w:r>
      <w:r w:rsidRPr="00D12904">
        <w:t xml:space="preserve"> it </w:t>
      </w:r>
      <w:r w:rsidR="00A23209">
        <w:t>is</w:t>
      </w:r>
      <w:r w:rsidR="00A23209" w:rsidRPr="00D12904">
        <w:t xml:space="preserve"> </w:t>
      </w:r>
      <w:r w:rsidRPr="00D12904">
        <w:t>possible that sBA response may not always result in pruritus response.</w:t>
      </w:r>
      <w:r w:rsidR="007B7B9B" w:rsidRPr="00D12904">
        <w:t xml:space="preserve"> For example, in PEDFIC1, 3/14 (21%) reported sBA response but not pruritus response and 7/28 (25%) reported no sBA response but had pruritus response.</w:t>
      </w:r>
      <w:r w:rsidRPr="00D12904">
        <w:t xml:space="preserve"> </w:t>
      </w:r>
      <w:r w:rsidR="004F3FA8" w:rsidRPr="00D12904">
        <w:t>Given that pruritus response was measured directly as an outcome</w:t>
      </w:r>
      <w:r w:rsidR="00705854" w:rsidRPr="00D12904">
        <w:t xml:space="preserve"> (via the ObsRO)</w:t>
      </w:r>
      <w:r w:rsidR="004F3FA8" w:rsidRPr="00D12904">
        <w:t>, it was unclear why a surrogate (via sBA) was necessary</w:t>
      </w:r>
      <w:r w:rsidR="001C38B1" w:rsidRPr="00D12904">
        <w:t xml:space="preserve">. </w:t>
      </w:r>
      <w:r w:rsidR="00E77DFF" w:rsidRPr="00D12904">
        <w:t>Nonetheless, t</w:t>
      </w:r>
      <w:r w:rsidRPr="00D12904">
        <w:t>he TGA</w:t>
      </w:r>
      <w:r w:rsidR="000A7CED" w:rsidRPr="00D12904">
        <w:t>’s</w:t>
      </w:r>
      <w:r w:rsidRPr="00D12904">
        <w:t xml:space="preserve"> </w:t>
      </w:r>
      <w:r w:rsidR="00870B29" w:rsidRPr="00D12904">
        <w:t>Clinical Evaluation Report</w:t>
      </w:r>
      <w:r w:rsidR="00870B29" w:rsidRPr="00D12904" w:rsidDel="00870B29">
        <w:t xml:space="preserve"> </w:t>
      </w:r>
      <w:r w:rsidRPr="00D12904">
        <w:t>for odevixibat stated that</w:t>
      </w:r>
      <w:r w:rsidR="008277EE" w:rsidRPr="00D12904">
        <w:t>,</w:t>
      </w:r>
      <w:r w:rsidRPr="00D12904">
        <w:t xml:space="preserve"> </w:t>
      </w:r>
      <w:r w:rsidR="00D734DB" w:rsidRPr="00D12904">
        <w:t xml:space="preserve">based on the PEDFIC studies, </w:t>
      </w:r>
      <w:r w:rsidRPr="00D12904">
        <w:t>“the clinical relevance of reducing 70% in sBAs (change from baseline) and reduction of pruritus (change from baseline) has been sufficiently substantiated”</w:t>
      </w:r>
      <w:r w:rsidR="0096503A" w:rsidRPr="00D12904">
        <w:t xml:space="preserve"> (TGA Clinical Evaluation Report</w:t>
      </w:r>
      <w:r w:rsidR="0096503A" w:rsidRPr="00D12904" w:rsidDel="00870B29">
        <w:t xml:space="preserve"> </w:t>
      </w:r>
      <w:r w:rsidR="0096503A" w:rsidRPr="00D12904">
        <w:t xml:space="preserve">for odevixibat, </w:t>
      </w:r>
      <w:r w:rsidR="00D806A7" w:rsidRPr="00D12904">
        <w:t>March</w:t>
      </w:r>
      <w:r w:rsidR="00D806A7">
        <w:t> </w:t>
      </w:r>
      <w:r w:rsidR="0096503A" w:rsidRPr="00D12904">
        <w:t>2024).</w:t>
      </w:r>
      <w:r w:rsidRPr="00D12904">
        <w:t xml:space="preserve"> </w:t>
      </w:r>
    </w:p>
    <w:p w14:paraId="6B294450" w14:textId="5378783E" w:rsidR="00E5561C" w:rsidRPr="00D12904" w:rsidRDefault="00E5561C" w:rsidP="00E5561C">
      <w:pPr>
        <w:pStyle w:val="3-BodyText"/>
        <w:rPr>
          <w:rFonts w:cstheme="minorHAnsi"/>
        </w:rPr>
      </w:pPr>
      <w:r w:rsidRPr="00D12904">
        <w:t xml:space="preserve">However, the reliability of </w:t>
      </w:r>
      <w:r w:rsidR="000A7CED" w:rsidRPr="00D12904">
        <w:t xml:space="preserve">the </w:t>
      </w:r>
      <w:r w:rsidRPr="00D12904">
        <w:t xml:space="preserve">ObsRO </w:t>
      </w:r>
      <w:r w:rsidR="00F51463" w:rsidRPr="00D12904">
        <w:t>instrument</w:t>
      </w:r>
      <w:r w:rsidR="000A7CED" w:rsidRPr="00D12904">
        <w:t>,</w:t>
      </w:r>
      <w:r w:rsidR="00F51463" w:rsidRPr="00D12904">
        <w:t xml:space="preserve"> </w:t>
      </w:r>
      <w:r w:rsidR="000A7CED" w:rsidRPr="00D12904">
        <w:t xml:space="preserve">which was used </w:t>
      </w:r>
      <w:r w:rsidRPr="00D12904">
        <w:t>in PEDFIC</w:t>
      </w:r>
      <w:r w:rsidR="001942F7" w:rsidRPr="00D12904">
        <w:t> </w:t>
      </w:r>
      <w:r w:rsidRPr="00D12904">
        <w:t>1 to measure pruritus response</w:t>
      </w:r>
      <w:r w:rsidR="000A7CED" w:rsidRPr="00D12904">
        <w:t>,</w:t>
      </w:r>
      <w:r w:rsidRPr="00D12904">
        <w:t xml:space="preserve"> </w:t>
      </w:r>
      <w:r w:rsidR="00530D99" w:rsidRPr="00D12904">
        <w:t>was</w:t>
      </w:r>
      <w:r w:rsidRPr="00D12904">
        <w:t xml:space="preserve"> uncertain. There was a paucity of information regarding the scoring of the ObsRO</w:t>
      </w:r>
      <w:r w:rsidR="00114290" w:rsidRPr="00D12904">
        <w:t xml:space="preserve"> </w:t>
      </w:r>
      <w:r w:rsidR="00530D99" w:rsidRPr="00D12904">
        <w:t xml:space="preserve">in the submission </w:t>
      </w:r>
      <w:r w:rsidR="00114290" w:rsidRPr="00D12904">
        <w:t xml:space="preserve">and the </w:t>
      </w:r>
      <w:r w:rsidR="008277EE" w:rsidRPr="00D12904">
        <w:t xml:space="preserve">clinical </w:t>
      </w:r>
      <w:r w:rsidR="00114290" w:rsidRPr="00D12904">
        <w:t>significance of the definition of “a scratching score of ≤1 or at least a 1-point drop from baseline” was unclear</w:t>
      </w:r>
      <w:r w:rsidR="005B74C2" w:rsidRPr="00D12904">
        <w:t>. There was also</w:t>
      </w:r>
      <w:r w:rsidRPr="00D12904">
        <w:t xml:space="preserve"> uncertainty around the validity of the 9-item ObsRO used in PEDFIC</w:t>
      </w:r>
      <w:r w:rsidR="001942F7" w:rsidRPr="00D12904">
        <w:t> </w:t>
      </w:r>
      <w:r w:rsidRPr="00D12904">
        <w:t>1</w:t>
      </w:r>
      <w:r w:rsidR="00F51463" w:rsidRPr="00D12904">
        <w:t xml:space="preserve"> (the </w:t>
      </w:r>
      <w:r w:rsidR="009A194C" w:rsidRPr="00D12904">
        <w:t>validation study for the ObsRO instrument by Gwaltney 2022</w:t>
      </w:r>
      <w:r w:rsidR="009A194C" w:rsidRPr="00D12904">
        <w:rPr>
          <w:rStyle w:val="FootnoteReference"/>
        </w:rPr>
        <w:footnoteReference w:id="14"/>
      </w:r>
      <w:r w:rsidR="009A194C" w:rsidRPr="00D12904">
        <w:t xml:space="preserve"> appears to have been based on an 8-item ObsRO)</w:t>
      </w:r>
      <w:r w:rsidRPr="00D12904">
        <w:t xml:space="preserve">, and </w:t>
      </w:r>
      <w:r w:rsidR="003C05C9" w:rsidRPr="00D12904">
        <w:t xml:space="preserve">it was unclear if </w:t>
      </w:r>
      <w:r w:rsidRPr="00D12904">
        <w:t>it was reasonable to have used data from PEDFIC</w:t>
      </w:r>
      <w:r w:rsidR="00605C98" w:rsidRPr="00D12904">
        <w:t> </w:t>
      </w:r>
      <w:r w:rsidRPr="00D12904">
        <w:t xml:space="preserve">1 to validate results from the very same trial. </w:t>
      </w:r>
      <w:r w:rsidR="00530D99" w:rsidRPr="00D12904">
        <w:t xml:space="preserve"> The PSCR </w:t>
      </w:r>
      <w:r w:rsidR="008277EE" w:rsidRPr="00D12904">
        <w:t xml:space="preserve">indicated that the question regarding sleep and over the counter medications was not part of the validated ObsRO instrument and was included as the sponsor had an interest in this area. The PSCR </w:t>
      </w:r>
      <w:r w:rsidR="00530D99" w:rsidRPr="00D12904">
        <w:t xml:space="preserve">stated that the </w:t>
      </w:r>
      <w:r w:rsidR="00530D99" w:rsidRPr="00D12904">
        <w:rPr>
          <w:sz w:val="22"/>
          <w:szCs w:val="22"/>
          <w:lang w:eastAsia="en-US"/>
          <w14:ligatures w14:val="standardContextual"/>
        </w:rPr>
        <w:t xml:space="preserve">1 </w:t>
      </w:r>
      <w:r w:rsidR="00530D99" w:rsidRPr="00D12904">
        <w:rPr>
          <w:rFonts w:cstheme="minorHAnsi"/>
          <w:lang w:eastAsia="en-US"/>
          <w14:ligatures w14:val="standardContextual"/>
        </w:rPr>
        <w:t>point change in scale being clinically meaningful applied only to the 5-point pruritus scale (0-4); and the pruritus score was based on the average of only 2 of the 9-items of the ObsRO which were scored from 0-4 (i.e., “How bad was your worst itching since you went to bed last night?” and “How bad was your worst itching since you woke up this morning?”).</w:t>
      </w:r>
      <w:r w:rsidR="008277EE" w:rsidRPr="00D12904">
        <w:rPr>
          <w:rFonts w:cstheme="minorHAnsi"/>
          <w:lang w:eastAsia="en-US"/>
          <w14:ligatures w14:val="standardContextual"/>
        </w:rPr>
        <w:t xml:space="preserve"> The ESC noted that the PSCR did not address the clinical significance of an improvement in scratching score of </w:t>
      </w:r>
      <w:r w:rsidR="008277EE" w:rsidRPr="00D12904">
        <w:rPr>
          <w:rFonts w:cstheme="minorHAnsi"/>
          <w:lang w:eastAsia="en-US"/>
          <w14:ligatures w14:val="standardContextual"/>
        </w:rPr>
        <w:lastRenderedPageBreak/>
        <w:t>&lt; 1 or at least a 1 point</w:t>
      </w:r>
      <w:r w:rsidR="00835221">
        <w:rPr>
          <w:rFonts w:cstheme="minorHAnsi"/>
          <w:lang w:eastAsia="en-US"/>
          <w14:ligatures w14:val="standardContextual"/>
        </w:rPr>
        <w:t xml:space="preserve"> reduction</w:t>
      </w:r>
      <w:r w:rsidR="008277EE" w:rsidRPr="00D12904">
        <w:rPr>
          <w:rFonts w:cstheme="minorHAnsi"/>
          <w:lang w:eastAsia="en-US"/>
          <w14:ligatures w14:val="standardContextual"/>
        </w:rPr>
        <w:t xml:space="preserve"> from baseline.</w:t>
      </w:r>
      <w:r w:rsidR="009160AD" w:rsidRPr="00D12904">
        <w:rPr>
          <w:rFonts w:cstheme="minorHAnsi"/>
          <w:lang w:eastAsia="en-US"/>
          <w14:ligatures w14:val="standardContextual"/>
        </w:rPr>
        <w:t xml:space="preserve"> The ESC also expressed concern over the validity of the ObsR</w:t>
      </w:r>
      <w:r w:rsidR="001B385E" w:rsidRPr="00D12904">
        <w:rPr>
          <w:rFonts w:cstheme="minorHAnsi"/>
          <w:lang w:eastAsia="en-US"/>
          <w14:ligatures w14:val="standardContextual"/>
        </w:rPr>
        <w:t>O</w:t>
      </w:r>
      <w:r w:rsidR="009160AD" w:rsidRPr="00D12904">
        <w:rPr>
          <w:rFonts w:cstheme="minorHAnsi"/>
          <w:lang w:eastAsia="en-US"/>
          <w14:ligatures w14:val="standardContextual"/>
        </w:rPr>
        <w:t xml:space="preserve"> instrument, </w:t>
      </w:r>
      <w:r w:rsidR="001B385E" w:rsidRPr="00D12904">
        <w:rPr>
          <w:rFonts w:cstheme="minorHAnsi"/>
          <w:lang w:eastAsia="en-US"/>
          <w14:ligatures w14:val="standardContextual"/>
        </w:rPr>
        <w:t xml:space="preserve">noting </w:t>
      </w:r>
      <w:r w:rsidR="009160AD" w:rsidRPr="00D12904">
        <w:rPr>
          <w:rFonts w:cstheme="minorHAnsi"/>
          <w:lang w:eastAsia="en-US"/>
          <w14:ligatures w14:val="standardContextual"/>
        </w:rPr>
        <w:t xml:space="preserve">that it was not appropriate that the data from PEDFIC 1 be used to validate results from the same trial with no independent validation. </w:t>
      </w:r>
      <w:r w:rsidR="00A23209">
        <w:rPr>
          <w:rFonts w:cstheme="minorHAnsi"/>
          <w:lang w:eastAsia="en-US"/>
          <w14:ligatures w14:val="standardContextual"/>
        </w:rPr>
        <w:t xml:space="preserve">The </w:t>
      </w:r>
      <w:r w:rsidR="00B518C4">
        <w:rPr>
          <w:rFonts w:cstheme="minorHAnsi"/>
          <w:lang w:eastAsia="en-US"/>
          <w14:ligatures w14:val="standardContextual"/>
        </w:rPr>
        <w:t>PBAC</w:t>
      </w:r>
      <w:r w:rsidR="00A23209">
        <w:rPr>
          <w:rFonts w:cstheme="minorHAnsi"/>
          <w:lang w:eastAsia="en-US"/>
          <w14:ligatures w14:val="standardContextual"/>
        </w:rPr>
        <w:t xml:space="preserve"> also noted that the ObsRO instrument was applied by caregivers.</w:t>
      </w:r>
    </w:p>
    <w:p w14:paraId="292E96AB" w14:textId="55299A65" w:rsidR="00E5561C" w:rsidRPr="00D33C2C" w:rsidRDefault="00E5561C" w:rsidP="00E5561C">
      <w:pPr>
        <w:pStyle w:val="3-BodyText"/>
      </w:pPr>
      <w:r w:rsidRPr="00517DC0">
        <w:t>Other secondary endpoints in PEDFIC 1 included changes in growth, sleep, and hepatic parameters</w:t>
      </w:r>
      <w:r w:rsidRPr="00D33C2C">
        <w:t xml:space="preserve"> and changes in QoL as measured by the Paediatric Quality of Life Inventory (PedsQL; including the Family Impact Module)</w:t>
      </w:r>
      <w:r w:rsidR="000A7CED">
        <w:t>,</w:t>
      </w:r>
      <w:r w:rsidRPr="00D33C2C">
        <w:t xml:space="preserve"> Global Impression of Symptoms (GIS) and Global Impression of Change (GIC) scores. </w:t>
      </w:r>
      <w:r w:rsidR="00143118">
        <w:t>For the secondary endpoints, t</w:t>
      </w:r>
      <w:r w:rsidRPr="00D33C2C">
        <w:t xml:space="preserve">he </w:t>
      </w:r>
      <w:r w:rsidR="00143118">
        <w:t>result</w:t>
      </w:r>
      <w:r w:rsidR="00F97635">
        <w:t>s</w:t>
      </w:r>
      <w:r w:rsidR="00143118">
        <w:t xml:space="preserve"> tended to </w:t>
      </w:r>
      <w:r w:rsidRPr="00D33C2C">
        <w:t>favour odevixibat over placebo</w:t>
      </w:r>
      <w:r w:rsidR="000A7CED">
        <w:t>;</w:t>
      </w:r>
      <w:r w:rsidRPr="00D33C2C">
        <w:t xml:space="preserve"> however, </w:t>
      </w:r>
      <w:r w:rsidR="000A7CED">
        <w:t xml:space="preserve">the results should be </w:t>
      </w:r>
      <w:r w:rsidRPr="00D33C2C">
        <w:t>interpretat</w:t>
      </w:r>
      <w:r w:rsidR="000A7CED">
        <w:t>ed</w:t>
      </w:r>
      <w:r w:rsidRPr="00D33C2C">
        <w:t xml:space="preserve"> </w:t>
      </w:r>
      <w:r w:rsidR="000A7CED">
        <w:t>with</w:t>
      </w:r>
      <w:r w:rsidR="000A7CED" w:rsidRPr="00D33C2C">
        <w:t xml:space="preserve"> </w:t>
      </w:r>
      <w:r w:rsidRPr="00D33C2C">
        <w:t>caution</w:t>
      </w:r>
      <w:r w:rsidR="00751C3F">
        <w:t xml:space="preserve"> given the small patient numbers</w:t>
      </w:r>
      <w:r w:rsidR="00143118">
        <w:t xml:space="preserve"> (</w:t>
      </w:r>
      <w:r w:rsidR="00751C3F">
        <w:t>acknowledging that PFIC is a rare disease</w:t>
      </w:r>
      <w:r w:rsidR="008277EE">
        <w:t xml:space="preserve"> and that a number of enrolled patients appear not to have answered the questions</w:t>
      </w:r>
      <w:r w:rsidR="00143118">
        <w:t xml:space="preserve">) </w:t>
      </w:r>
      <w:r w:rsidR="00751C3F">
        <w:t>and</w:t>
      </w:r>
      <w:r w:rsidRPr="00D33C2C">
        <w:t xml:space="preserve"> </w:t>
      </w:r>
      <w:r w:rsidR="00143118">
        <w:t xml:space="preserve">as the </w:t>
      </w:r>
      <w:r w:rsidRPr="00D33C2C">
        <w:t xml:space="preserve">secondary endpoints were not adjusted for multiplicity. </w:t>
      </w:r>
    </w:p>
    <w:p w14:paraId="7B56DD48" w14:textId="62A5232D" w:rsidR="00E5561C" w:rsidRDefault="000A7CED" w:rsidP="00E5561C">
      <w:pPr>
        <w:pStyle w:val="3-BodyText"/>
      </w:pPr>
      <w:r>
        <w:t xml:space="preserve">Change in </w:t>
      </w:r>
      <w:r w:rsidR="00E5561C" w:rsidRPr="00D33C2C">
        <w:t xml:space="preserve">sBA levels and pruritus response from PEDFIC 2 interim analysis at </w:t>
      </w:r>
      <w:r w:rsidR="00B32212" w:rsidRPr="00D33C2C">
        <w:t>24</w:t>
      </w:r>
      <w:r w:rsidR="00B32212">
        <w:t> </w:t>
      </w:r>
      <w:r w:rsidR="00E5561C" w:rsidRPr="00D33C2C">
        <w:t xml:space="preserve">weeks (data cutoff 15 July 2020) are presented in </w:t>
      </w:r>
      <w:r w:rsidR="00570B72">
        <w:fldChar w:fldCharType="begin"/>
      </w:r>
      <w:r w:rsidR="00570B72">
        <w:instrText xml:space="preserve"> REF _Ref166849231 \h </w:instrText>
      </w:r>
      <w:r w:rsidR="00570B72">
        <w:fldChar w:fldCharType="separate"/>
      </w:r>
      <w:r w:rsidR="008B4717">
        <w:t xml:space="preserve">Figure </w:t>
      </w:r>
      <w:r w:rsidR="008B4717">
        <w:rPr>
          <w:noProof/>
        </w:rPr>
        <w:t>4</w:t>
      </w:r>
      <w:r w:rsidR="00570B72">
        <w:fldChar w:fldCharType="end"/>
      </w:r>
      <w:r w:rsidR="00570B72">
        <w:t xml:space="preserve"> and </w:t>
      </w:r>
      <w:r w:rsidR="00570B72">
        <w:fldChar w:fldCharType="begin"/>
      </w:r>
      <w:r w:rsidR="00570B72">
        <w:instrText xml:space="preserve"> REF _Ref166849232 \h </w:instrText>
      </w:r>
      <w:r w:rsidR="00570B72">
        <w:fldChar w:fldCharType="separate"/>
      </w:r>
      <w:r w:rsidR="008B4717">
        <w:t xml:space="preserve">Figure </w:t>
      </w:r>
      <w:r w:rsidR="008B4717">
        <w:rPr>
          <w:noProof/>
        </w:rPr>
        <w:t>5</w:t>
      </w:r>
      <w:r w:rsidR="00570B72">
        <w:fldChar w:fldCharType="end"/>
      </w:r>
      <w:r w:rsidR="00E5561C" w:rsidRPr="00D33C2C">
        <w:t>.</w:t>
      </w:r>
    </w:p>
    <w:p w14:paraId="241C2D67" w14:textId="2E9ED3F9" w:rsidR="008277EE" w:rsidRPr="00D33C2C" w:rsidRDefault="008277EE" w:rsidP="00B32212">
      <w:pPr>
        <w:pStyle w:val="TableFigureHeading"/>
      </w:pPr>
      <w:bookmarkStart w:id="54" w:name="_Ref166849231"/>
      <w:r>
        <w:t xml:space="preserve">Figure </w:t>
      </w:r>
      <w:r w:rsidR="00DF1200">
        <w:fldChar w:fldCharType="begin"/>
      </w:r>
      <w:r w:rsidR="00DF1200">
        <w:instrText xml:space="preserve"> SEQ Figure \* ARABIC </w:instrText>
      </w:r>
      <w:r w:rsidR="00DF1200">
        <w:fldChar w:fldCharType="separate"/>
      </w:r>
      <w:r w:rsidR="008B4717">
        <w:rPr>
          <w:noProof/>
        </w:rPr>
        <w:t>4</w:t>
      </w:r>
      <w:r w:rsidR="00DF1200">
        <w:rPr>
          <w:noProof/>
        </w:rPr>
        <w:fldChar w:fldCharType="end"/>
      </w:r>
      <w:bookmarkEnd w:id="54"/>
      <w:r w:rsidRPr="00D33C2C">
        <w:t>: Mean (SE) change in sBA concentration (µmol/L) during PEDFIC 1 and 2 to Week 24 data cutoff 15 July 2020</w:t>
      </w:r>
    </w:p>
    <w:p w14:paraId="1D940458" w14:textId="5A6BB396" w:rsidR="00570B72" w:rsidRDefault="00570B72" w:rsidP="00B32212">
      <w:pPr>
        <w:pStyle w:val="3-BodyText"/>
        <w:keepNext/>
        <w:numPr>
          <w:ilvl w:val="0"/>
          <w:numId w:val="0"/>
        </w:numPr>
        <w:spacing w:after="0"/>
      </w:pPr>
      <w:r>
        <w:rPr>
          <w:noProof/>
        </w:rPr>
        <w:drawing>
          <wp:inline distT="0" distB="0" distL="0" distR="0" wp14:anchorId="1B2B261F" wp14:editId="049BE104">
            <wp:extent cx="5730875" cy="2585085"/>
            <wp:effectExtent l="0" t="0" r="3175" b="5715"/>
            <wp:docPr id="1741030175" name="Picture 1" descr="Figure 4: Mean (SE) change in sBA concentration (µmol/L) during PEDFIC 1 and 2 to Week 24 data cutoff 15 July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30175" name="Picture 1" descr="Figure 4: Mean (SE) change in sBA concentration (µmol/L) during PEDFIC 1 and 2 to Week 24 data cutoff 15 July 20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875" cy="2585085"/>
                    </a:xfrm>
                    <a:prstGeom prst="rect">
                      <a:avLst/>
                    </a:prstGeom>
                    <a:noFill/>
                  </pic:spPr>
                </pic:pic>
              </a:graphicData>
            </a:graphic>
          </wp:inline>
        </w:drawing>
      </w:r>
    </w:p>
    <w:p w14:paraId="6243B25B" w14:textId="77777777" w:rsidR="00570B72" w:rsidRPr="00D33C2C" w:rsidRDefault="00570B72" w:rsidP="00B32212">
      <w:pPr>
        <w:pStyle w:val="TableFigureFooter"/>
        <w:keepNext/>
      </w:pPr>
      <w:r w:rsidRPr="00D33C2C">
        <w:t>Source: Figure 2-11, p85 of the submission</w:t>
      </w:r>
    </w:p>
    <w:p w14:paraId="5A1E36B5" w14:textId="6CFC52D2" w:rsidR="00570B72" w:rsidRDefault="00DE7B08" w:rsidP="00B32212">
      <w:pPr>
        <w:pStyle w:val="TableFigureFooter"/>
        <w:keepNext/>
      </w:pPr>
      <w:r>
        <w:t xml:space="preserve">Odevix = odevixibat; Pbo = placebo; </w:t>
      </w:r>
      <w:r w:rsidR="00570B72" w:rsidRPr="00D33C2C">
        <w:t>sBA = serum bile acid; SE = standard error</w:t>
      </w:r>
    </w:p>
    <w:p w14:paraId="04DD9CBA" w14:textId="77777777" w:rsidR="00655E95" w:rsidRPr="00D33C2C" w:rsidRDefault="00655E95" w:rsidP="00655E95">
      <w:pPr>
        <w:pStyle w:val="TableFigureFooter"/>
      </w:pPr>
      <w:r>
        <w:t xml:space="preserve">Note: </w:t>
      </w:r>
      <w:r w:rsidRPr="00D33C2C">
        <w:t xml:space="preserve">Cohort 2 + Placebo = </w:t>
      </w:r>
      <w:r>
        <w:t>Odevixibat-naïve p</w:t>
      </w:r>
      <w:r w:rsidRPr="00D33C2C">
        <w:t xml:space="preserve">atients </w:t>
      </w:r>
      <w:r>
        <w:t xml:space="preserve">i.e. those </w:t>
      </w:r>
      <w:r w:rsidRPr="00D33C2C">
        <w:t xml:space="preserve">enrolled </w:t>
      </w:r>
      <w:r>
        <w:t xml:space="preserve">directly </w:t>
      </w:r>
      <w:r w:rsidRPr="00D33C2C">
        <w:t>in</w:t>
      </w:r>
      <w:r>
        <w:t>to</w:t>
      </w:r>
      <w:r w:rsidRPr="00D33C2C">
        <w:t xml:space="preserve"> Cohort 2 and </w:t>
      </w:r>
      <w:r>
        <w:t>those</w:t>
      </w:r>
      <w:r w:rsidRPr="00D33C2C">
        <w:t xml:space="preserve"> who were assigned to placebo during participation in PEDFIC 1</w:t>
      </w:r>
      <w:r>
        <w:t xml:space="preserve">. </w:t>
      </w:r>
      <w:r w:rsidRPr="00D33C2C">
        <w:t>Baseline for PEDFIC 2/end of treatment for PEDFIC</w:t>
      </w:r>
    </w:p>
    <w:p w14:paraId="06BB7E08" w14:textId="52CCA80B" w:rsidR="008277EE" w:rsidRPr="00D33C2C" w:rsidRDefault="008277EE" w:rsidP="008277EE">
      <w:pPr>
        <w:pStyle w:val="TableFigureHeading"/>
      </w:pPr>
      <w:bookmarkStart w:id="55" w:name="_Ref166849232"/>
      <w:r>
        <w:lastRenderedPageBreak/>
        <w:t xml:space="preserve">Figure </w:t>
      </w:r>
      <w:r w:rsidR="00DF1200">
        <w:fldChar w:fldCharType="begin"/>
      </w:r>
      <w:r w:rsidR="00DF1200">
        <w:instrText xml:space="preserve"> SEQ Figure \* ARABIC </w:instrText>
      </w:r>
      <w:r w:rsidR="00DF1200">
        <w:fldChar w:fldCharType="separate"/>
      </w:r>
      <w:r w:rsidR="008B4717">
        <w:rPr>
          <w:noProof/>
        </w:rPr>
        <w:t>5</w:t>
      </w:r>
      <w:r w:rsidR="00DF1200">
        <w:rPr>
          <w:noProof/>
        </w:rPr>
        <w:fldChar w:fldCharType="end"/>
      </w:r>
      <w:bookmarkEnd w:id="55"/>
      <w:r w:rsidRPr="00D33C2C">
        <w:t>: Mean (SE) of the pruritus score by grouped weeks PEDFIC 1 and 2 data cutoff 15 July 2020</w:t>
      </w:r>
    </w:p>
    <w:p w14:paraId="0FA02C19" w14:textId="77777777" w:rsidR="00570B72" w:rsidRPr="00D33C2C" w:rsidRDefault="00570B72" w:rsidP="008277EE">
      <w:pPr>
        <w:keepNext/>
      </w:pPr>
      <w:r w:rsidRPr="00D33C2C">
        <w:rPr>
          <w:noProof/>
          <w:lang w:eastAsia="en-US"/>
        </w:rPr>
        <w:drawing>
          <wp:inline distT="0" distB="0" distL="0" distR="0" wp14:anchorId="66ACE212" wp14:editId="493EF3A3">
            <wp:extent cx="5732145" cy="2863623"/>
            <wp:effectExtent l="0" t="0" r="1905" b="0"/>
            <wp:docPr id="736088688" name="Picture 736088688" descr="Figure 5: Mean (SE) of the pruritus score by grouped weeks PEDFIC 1 and 2 data cutoff 15 July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88688" name="Picture 736088688" descr="Figure 5: Mean (SE) of the pruritus score by grouped weeks PEDFIC 1 and 2 data cutoff 15 July 2020"/>
                    <pic:cNvPicPr/>
                  </pic:nvPicPr>
                  <pic:blipFill>
                    <a:blip r:embed="rId12"/>
                    <a:stretch>
                      <a:fillRect/>
                    </a:stretch>
                  </pic:blipFill>
                  <pic:spPr>
                    <a:xfrm>
                      <a:off x="0" y="0"/>
                      <a:ext cx="5732145" cy="2863623"/>
                    </a:xfrm>
                    <a:prstGeom prst="rect">
                      <a:avLst/>
                    </a:prstGeom>
                  </pic:spPr>
                </pic:pic>
              </a:graphicData>
            </a:graphic>
          </wp:inline>
        </w:drawing>
      </w:r>
    </w:p>
    <w:p w14:paraId="3A96B200" w14:textId="77777777" w:rsidR="00570B72" w:rsidRPr="00D33C2C" w:rsidRDefault="00570B72" w:rsidP="008277EE">
      <w:pPr>
        <w:pStyle w:val="TableFigureFooter"/>
        <w:keepNext/>
      </w:pPr>
      <w:r w:rsidRPr="00D33C2C">
        <w:t>Source: Figure 2-21 p89 of the submission</w:t>
      </w:r>
    </w:p>
    <w:p w14:paraId="75A6BEA5" w14:textId="02139E81" w:rsidR="00570B72" w:rsidRDefault="00DE7B08" w:rsidP="008277EE">
      <w:pPr>
        <w:pStyle w:val="TableFigureFooter"/>
        <w:keepNext/>
      </w:pPr>
      <w:r>
        <w:t xml:space="preserve">Odevix = odevixibat; Pbo = placebo; </w:t>
      </w:r>
      <w:r w:rsidR="00570B72" w:rsidRPr="00D33C2C">
        <w:t>SE = standard error</w:t>
      </w:r>
    </w:p>
    <w:p w14:paraId="44284828" w14:textId="570C6B73" w:rsidR="00655E95" w:rsidRPr="00D33C2C" w:rsidRDefault="00655E95" w:rsidP="000E0BE5">
      <w:pPr>
        <w:pStyle w:val="TableFigureFooter"/>
      </w:pPr>
      <w:r>
        <w:t xml:space="preserve">Note: </w:t>
      </w:r>
      <w:r w:rsidRPr="00D33C2C">
        <w:t xml:space="preserve">Cohort 2 + Placebo = </w:t>
      </w:r>
      <w:r>
        <w:t>Odevixibat-naïve p</w:t>
      </w:r>
      <w:r w:rsidRPr="00D33C2C">
        <w:t xml:space="preserve">atients </w:t>
      </w:r>
      <w:r>
        <w:t xml:space="preserve">i.e. those </w:t>
      </w:r>
      <w:r w:rsidRPr="00D33C2C">
        <w:t xml:space="preserve">enrolled </w:t>
      </w:r>
      <w:r>
        <w:t xml:space="preserve">directly </w:t>
      </w:r>
      <w:r w:rsidRPr="00D33C2C">
        <w:t>in</w:t>
      </w:r>
      <w:r>
        <w:t>to</w:t>
      </w:r>
      <w:r w:rsidRPr="00D33C2C">
        <w:t xml:space="preserve"> Cohort 2 and </w:t>
      </w:r>
      <w:r>
        <w:t>those</w:t>
      </w:r>
      <w:r w:rsidRPr="00D33C2C">
        <w:t xml:space="preserve"> who were assigned to placebo during participation in PEDFIC 1</w:t>
      </w:r>
      <w:r>
        <w:t xml:space="preserve">. </w:t>
      </w:r>
      <w:r w:rsidRPr="00D33C2C">
        <w:t>Baseline for PEDFIC 2/end of treatment for PEDFIC</w:t>
      </w:r>
    </w:p>
    <w:p w14:paraId="6319563B" w14:textId="3E69C4EC" w:rsidR="00E5561C" w:rsidRPr="00D12904" w:rsidRDefault="000A7CED" w:rsidP="00E5561C">
      <w:pPr>
        <w:pStyle w:val="3-BodyText"/>
      </w:pPr>
      <w:r>
        <w:t>T</w:t>
      </w:r>
      <w:r w:rsidR="00E5561C" w:rsidRPr="00D33C2C">
        <w:t xml:space="preserve">wo patients </w:t>
      </w:r>
      <w:r w:rsidR="007965FC">
        <w:t xml:space="preserve">in PEDFIC 2 </w:t>
      </w:r>
      <w:r w:rsidR="00E5561C" w:rsidRPr="00D33C2C">
        <w:t xml:space="preserve">underwent surgery, both of whom were randomised to placebo in PEDFIC 1. One patient who underwent SBD at Week 37 did not see sBA reductions </w:t>
      </w:r>
      <w:r w:rsidR="00E5561C" w:rsidRPr="00D12904">
        <w:t>prior to SBD; and one patient underwent elective LT at Week 19 (PEDFIC 2 CSR).</w:t>
      </w:r>
      <w:r w:rsidR="005A4756" w:rsidRPr="00D12904">
        <w:t xml:space="preserve"> </w:t>
      </w:r>
    </w:p>
    <w:p w14:paraId="45680375" w14:textId="56ABE5D0" w:rsidR="00A41A70" w:rsidRDefault="00B146C3" w:rsidP="00A41A70">
      <w:pPr>
        <w:pStyle w:val="3-BodyText"/>
      </w:pPr>
      <w:bookmarkStart w:id="56" w:name="_Ref165899097"/>
      <w:r>
        <w:t xml:space="preserve">As noted in paragraph </w:t>
      </w:r>
      <w:r>
        <w:fldChar w:fldCharType="begin"/>
      </w:r>
      <w:r>
        <w:instrText xml:space="preserve"> REF _Ref172635672 \r \h </w:instrText>
      </w:r>
      <w:r>
        <w:fldChar w:fldCharType="separate"/>
      </w:r>
      <w:r w:rsidR="008B4717">
        <w:t>6.11</w:t>
      </w:r>
      <w:r>
        <w:fldChar w:fldCharType="end"/>
      </w:r>
      <w:r w:rsidR="0098582D">
        <w:t>, t</w:t>
      </w:r>
      <w:r w:rsidR="006466B6" w:rsidRPr="00D12904">
        <w:t>he TGA</w:t>
      </w:r>
      <w:r w:rsidR="000A7CED" w:rsidRPr="00D12904">
        <w:t>’s</w:t>
      </w:r>
      <w:r w:rsidR="006466B6" w:rsidRPr="00D12904">
        <w:t xml:space="preserve"> </w:t>
      </w:r>
      <w:r w:rsidR="00870B29" w:rsidRPr="00D12904">
        <w:t xml:space="preserve">Clinical Evaluation Report </w:t>
      </w:r>
      <w:r w:rsidR="006466B6" w:rsidRPr="00D12904">
        <w:t xml:space="preserve">included results </w:t>
      </w:r>
      <w:r w:rsidR="000A7CED" w:rsidRPr="00D12904">
        <w:t xml:space="preserve">from </w:t>
      </w:r>
      <w:r w:rsidR="00E5561C" w:rsidRPr="00D12904">
        <w:t xml:space="preserve">the </w:t>
      </w:r>
      <w:r w:rsidR="000A7CED" w:rsidRPr="00D12904">
        <w:t xml:space="preserve">additional </w:t>
      </w:r>
      <w:r w:rsidR="00E5561C" w:rsidRPr="00D12904">
        <w:t xml:space="preserve">interim analysis </w:t>
      </w:r>
      <w:r w:rsidR="000A7CED" w:rsidRPr="00D12904">
        <w:t xml:space="preserve">of </w:t>
      </w:r>
      <w:r w:rsidR="00E5561C" w:rsidRPr="00D12904">
        <w:t xml:space="preserve">PEDFIC 2 at the later data cut </w:t>
      </w:r>
      <w:r w:rsidR="00F97635" w:rsidRPr="00D12904">
        <w:t xml:space="preserve">on </w:t>
      </w:r>
      <w:r w:rsidR="00E5561C" w:rsidRPr="00D12904">
        <w:t>31 July 2022</w:t>
      </w:r>
      <w:r w:rsidR="006466B6" w:rsidRPr="00D12904">
        <w:t>.</w:t>
      </w:r>
      <w:r w:rsidR="00E5561C" w:rsidRPr="00D12904">
        <w:t xml:space="preserve"> </w:t>
      </w:r>
      <w:r w:rsidR="006466B6" w:rsidRPr="00D12904">
        <w:t xml:space="preserve">This interim analysis included </w:t>
      </w:r>
      <w:r w:rsidR="00006854" w:rsidRPr="00D12904">
        <w:t xml:space="preserve">more patients (up to 114, of </w:t>
      </w:r>
      <w:r w:rsidR="00A23209">
        <w:t>whom</w:t>
      </w:r>
      <w:r w:rsidR="00A23209" w:rsidRPr="00D33C2C">
        <w:t xml:space="preserve"> </w:t>
      </w:r>
      <w:r w:rsidR="00006854" w:rsidRPr="00D33C2C">
        <w:t>63 had completed at least 72 weeks of odevixibat treatment)</w:t>
      </w:r>
      <w:r w:rsidR="008277EE">
        <w:t xml:space="preserve">, </w:t>
      </w:r>
      <w:r w:rsidR="008277EE" w:rsidRPr="00E561B3">
        <w:t>presumably</w:t>
      </w:r>
      <w:r w:rsidR="008277EE">
        <w:t xml:space="preserve"> in Cohort 2</w:t>
      </w:r>
      <w:r w:rsidR="000A7CED">
        <w:t>.</w:t>
      </w:r>
      <w:bookmarkEnd w:id="56"/>
    </w:p>
    <w:p w14:paraId="3E65F418" w14:textId="6186A066" w:rsidR="00C2235F" w:rsidRDefault="00085930" w:rsidP="00C96BCA">
      <w:pPr>
        <w:pStyle w:val="3-BodyText"/>
      </w:pPr>
      <w:r>
        <w:t>Based on the interim analysis at the data cutoff on 31 July 2022, a</w:t>
      </w:r>
      <w:r w:rsidRPr="00D33C2C">
        <w:t xml:space="preserve"> trend </w:t>
      </w:r>
      <w:r>
        <w:t>of</w:t>
      </w:r>
      <w:r w:rsidRPr="00D33C2C">
        <w:t xml:space="preserve"> increasing sBA concentrations in the later periods of PEDFIC 2 (Weeks 46 to 72)</w:t>
      </w:r>
      <w:r>
        <w:t xml:space="preserve"> </w:t>
      </w:r>
      <w:r w:rsidRPr="00D33C2C">
        <w:t>in the odevixibat-experience</w:t>
      </w:r>
      <w:r>
        <w:t>d</w:t>
      </w:r>
      <w:r w:rsidRPr="00D33C2C">
        <w:t xml:space="preserve"> group was reported, but levels </w:t>
      </w:r>
      <w:r>
        <w:t xml:space="preserve">did not reach those </w:t>
      </w:r>
      <w:r w:rsidRPr="00D33C2C">
        <w:t xml:space="preserve">at baseline in </w:t>
      </w:r>
      <w:r w:rsidR="000E0BE5" w:rsidRPr="00D33C2C">
        <w:t>PEDFIC</w:t>
      </w:r>
      <w:r w:rsidR="000E0BE5">
        <w:t> </w:t>
      </w:r>
      <w:r w:rsidRPr="00D33C2C">
        <w:t>1</w:t>
      </w:r>
      <w:r>
        <w:t xml:space="preserve">. </w:t>
      </w:r>
      <w:r w:rsidRPr="00446A51">
        <w:t>This may suggest the durability of response wanes over time with ongoing treatment.</w:t>
      </w:r>
      <w:r>
        <w:t xml:space="preserve"> P</w:t>
      </w:r>
      <w:r w:rsidRPr="00D33C2C">
        <w:t>ruritus severity improved over the 72-week period in both Cohort 1 and 2. Fourteen patients underwent surgical intervention (three patients underwent SBD and 11 patients underwent LT).</w:t>
      </w:r>
      <w:r w:rsidRPr="000D5D16">
        <w:rPr>
          <w:i/>
          <w:iCs/>
        </w:rPr>
        <w:t xml:space="preserve"> </w:t>
      </w:r>
      <w:r w:rsidRPr="00446A51">
        <w:t xml:space="preserve">The three patients who underwent SBD after odevixibat is contrary to the submission’s assumption applied in the economic model that no patients would undergo diversion surgery after odevixibat (see paragraph </w:t>
      </w:r>
      <w:r w:rsidR="000161B3" w:rsidRPr="00446A51">
        <w:rPr>
          <w:highlight w:val="yellow"/>
        </w:rPr>
        <w:fldChar w:fldCharType="begin"/>
      </w:r>
      <w:r w:rsidR="000161B3" w:rsidRPr="00446A51">
        <w:instrText xml:space="preserve"> REF _Ref164668208 \r \h </w:instrText>
      </w:r>
      <w:r w:rsidR="000161B3">
        <w:rPr>
          <w:highlight w:val="yellow"/>
        </w:rPr>
        <w:instrText xml:space="preserve"> \* MERGEFORMAT </w:instrText>
      </w:r>
      <w:r w:rsidR="000161B3" w:rsidRPr="00446A51">
        <w:rPr>
          <w:highlight w:val="yellow"/>
        </w:rPr>
      </w:r>
      <w:r w:rsidR="000161B3" w:rsidRPr="00446A51">
        <w:rPr>
          <w:highlight w:val="yellow"/>
        </w:rPr>
        <w:fldChar w:fldCharType="separate"/>
      </w:r>
      <w:r w:rsidR="008B4717">
        <w:t>6.51</w:t>
      </w:r>
      <w:r w:rsidR="000161B3" w:rsidRPr="00446A51">
        <w:rPr>
          <w:highlight w:val="yellow"/>
        </w:rPr>
        <w:fldChar w:fldCharType="end"/>
      </w:r>
      <w:r w:rsidRPr="00446A51">
        <w:t>).</w:t>
      </w:r>
      <w:r w:rsidR="000D5D16" w:rsidRPr="00446A51">
        <w:t xml:space="preserve"> </w:t>
      </w:r>
      <w:r w:rsidR="00143118" w:rsidRPr="00446A51">
        <w:t xml:space="preserve">Further, </w:t>
      </w:r>
      <w:r w:rsidR="000D5D16" w:rsidRPr="00446A51">
        <w:t>it is unknown what proportion of patients would have undergone SBD or LT without odevixibat given the absence of longer-term comparative evidence.</w:t>
      </w:r>
      <w:r w:rsidR="000D5D16" w:rsidRPr="000D5D16">
        <w:rPr>
          <w:i/>
          <w:iCs/>
        </w:rPr>
        <w:t xml:space="preserve"> </w:t>
      </w:r>
      <w:bookmarkStart w:id="57" w:name="_Ref166154264"/>
    </w:p>
    <w:bookmarkEnd w:id="57"/>
    <w:p w14:paraId="69CE7816" w14:textId="126CA2BF" w:rsidR="000B0D61" w:rsidRPr="00446A51" w:rsidRDefault="00C2235F" w:rsidP="00131FE7">
      <w:pPr>
        <w:pStyle w:val="3-BodyText"/>
      </w:pPr>
      <w:r w:rsidRPr="000B0D61">
        <w:t xml:space="preserve">The submission also presented </w:t>
      </w:r>
      <w:r w:rsidR="00BC2568" w:rsidRPr="000B0D61">
        <w:t>results from a</w:t>
      </w:r>
      <w:r w:rsidR="00672D14">
        <w:t xml:space="preserve"> </w:t>
      </w:r>
      <w:r w:rsidR="00672D14" w:rsidRPr="00B146C3">
        <w:rPr>
          <w:i/>
          <w:iCs/>
        </w:rPr>
        <w:t>post-hoc</w:t>
      </w:r>
      <w:r w:rsidRPr="000B0D61">
        <w:t xml:space="preserve"> analysis of sBA responders </w:t>
      </w:r>
      <w:r w:rsidR="001A2B2C">
        <w:t xml:space="preserve">and pruritus responders </w:t>
      </w:r>
      <w:r w:rsidRPr="000B0D61">
        <w:t xml:space="preserve">at six months and native liver survival </w:t>
      </w:r>
      <w:r w:rsidR="0004730A">
        <w:t xml:space="preserve">(time to first </w:t>
      </w:r>
      <w:r w:rsidR="00E90BB3">
        <w:t>LT</w:t>
      </w:r>
      <w:r w:rsidR="0004730A">
        <w:t xml:space="preserve"> or death) </w:t>
      </w:r>
      <w:r w:rsidRPr="000B0D61">
        <w:lastRenderedPageBreak/>
        <w:t>up to three years based on pooled data from PEDFIC 1 and PEDFIC 2.</w:t>
      </w:r>
      <w:r w:rsidRPr="000B0D61">
        <w:rPr>
          <w:rStyle w:val="FootnoteReference"/>
        </w:rPr>
        <w:footnoteReference w:id="15"/>
      </w:r>
      <w:r w:rsidRPr="001D448B">
        <w:rPr>
          <w:rStyle w:val="FootnoteReference"/>
          <w:vertAlign w:val="baseline"/>
        </w:rPr>
        <w:t xml:space="preserve"> </w:t>
      </w:r>
      <w:r w:rsidR="0009080E" w:rsidRPr="00446A51">
        <w:t>T</w:t>
      </w:r>
      <w:r w:rsidR="00F83E02" w:rsidRPr="00446A51">
        <w:t>he</w:t>
      </w:r>
      <w:r w:rsidR="00F83E02" w:rsidRPr="001D448B">
        <w:rPr>
          <w:i/>
          <w:iCs/>
        </w:rPr>
        <w:t xml:space="preserve"> </w:t>
      </w:r>
      <w:r w:rsidR="0009080E" w:rsidRPr="002E6F46">
        <w:rPr>
          <w:i/>
          <w:iCs/>
        </w:rPr>
        <w:t>post-hoc</w:t>
      </w:r>
      <w:r w:rsidR="0009080E">
        <w:t xml:space="preserve"> </w:t>
      </w:r>
      <w:r w:rsidR="00F83E02" w:rsidRPr="00446A51">
        <w:t>sBA responder analysis was from a conference abstract and the pruritus responder analysis could not be independently verified.</w:t>
      </w:r>
      <w:r w:rsidR="00F83E02" w:rsidRPr="001D448B">
        <w:rPr>
          <w:i/>
          <w:iCs/>
        </w:rPr>
        <w:t xml:space="preserve"> </w:t>
      </w:r>
      <w:r w:rsidRPr="000B0D61">
        <w:t xml:space="preserve">The submission suggested that sBA </w:t>
      </w:r>
      <w:r w:rsidR="005C08A4">
        <w:t>response</w:t>
      </w:r>
      <w:r w:rsidRPr="000B0D61">
        <w:t xml:space="preserve"> </w:t>
      </w:r>
      <w:r w:rsidR="001A2B2C">
        <w:t xml:space="preserve">and pruritus response </w:t>
      </w:r>
      <w:r w:rsidRPr="000B0D61">
        <w:t xml:space="preserve">after six months of treatment with odevixibat was strongly associated with native liver survival </w:t>
      </w:r>
      <w:r w:rsidR="00BC2568" w:rsidRPr="000B0D61">
        <w:t xml:space="preserve">for </w:t>
      </w:r>
      <w:r w:rsidRPr="000B0D61">
        <w:t xml:space="preserve">up to three years. </w:t>
      </w:r>
      <w:r w:rsidR="004A75FB">
        <w:t>Extended native liver survival was similarly observed in PFIC1 and PFIC2 patients who achieved an sBA response after SBD in the NAPPED studies.</w:t>
      </w:r>
      <w:r w:rsidR="00D51680">
        <w:t xml:space="preserve"> </w:t>
      </w:r>
      <w:r w:rsidR="005C08A4" w:rsidRPr="00446A51">
        <w:t xml:space="preserve">However, the </w:t>
      </w:r>
      <w:r w:rsidR="005C4725" w:rsidRPr="00446A51">
        <w:t>incremental</w:t>
      </w:r>
      <w:r w:rsidR="005C08A4" w:rsidRPr="00446A51">
        <w:t xml:space="preserve"> benefit on native liver survival of odevixibat compared to SOC (i.e., including SBD) </w:t>
      </w:r>
      <w:r w:rsidR="00057EE0" w:rsidRPr="00446A51">
        <w:t>wa</w:t>
      </w:r>
      <w:r w:rsidR="005C08A4" w:rsidRPr="00446A51">
        <w:t xml:space="preserve">s uncertain. </w:t>
      </w:r>
      <w:r w:rsidR="00B97C6B" w:rsidRPr="00446A51">
        <w:t>Moreover</w:t>
      </w:r>
      <w:r w:rsidRPr="00446A51">
        <w:t xml:space="preserve">, the TGA </w:t>
      </w:r>
      <w:r w:rsidR="001D448B" w:rsidRPr="00446A51">
        <w:t>Delegate’s Overview concluded that “(t)he data did not yet allow a conclusion that odevixibat could contribute to delays in requirement for surgical biliary diversion or liver transplantation… (a) long term follow up study is intended to address this question” (TGA Delegate’s Overview, odevixibat, May 2024).</w:t>
      </w:r>
    </w:p>
    <w:p w14:paraId="7324D807" w14:textId="6B22EFD8" w:rsidR="00E5561C" w:rsidRPr="00D33C2C" w:rsidRDefault="0062472B" w:rsidP="00E5561C">
      <w:pPr>
        <w:pStyle w:val="3-BodyText"/>
      </w:pPr>
      <w:r>
        <w:t xml:space="preserve">The </w:t>
      </w:r>
      <w:r w:rsidR="00A23209">
        <w:t xml:space="preserve">event free survival (EFS), </w:t>
      </w:r>
      <w:r>
        <w:t xml:space="preserve">native liver survival, surgical biliary diversion-free survival (defined as time to first SBD or death), and </w:t>
      </w:r>
      <w:r w:rsidR="00143118">
        <w:t>overall survival (</w:t>
      </w:r>
      <w:r w:rsidR="005431D0">
        <w:t>OS</w:t>
      </w:r>
      <w:r w:rsidR="00143118">
        <w:t>)</w:t>
      </w:r>
      <w:r>
        <w:t xml:space="preserve"> r</w:t>
      </w:r>
      <w:r w:rsidR="00E5561C" w:rsidRPr="00D33C2C">
        <w:t xml:space="preserve">esults for OvEC Part A and Part B are presented in </w:t>
      </w:r>
      <w:r w:rsidR="00E5561C" w:rsidRPr="00D33C2C">
        <w:fldChar w:fldCharType="begin"/>
      </w:r>
      <w:r w:rsidR="00E5561C" w:rsidRPr="00D33C2C">
        <w:instrText xml:space="preserve"> REF _Ref164610397 \h </w:instrText>
      </w:r>
      <w:r w:rsidR="00E5561C" w:rsidRPr="00D33C2C">
        <w:fldChar w:fldCharType="separate"/>
      </w:r>
      <w:r w:rsidR="008B4717" w:rsidRPr="00D33C2C">
        <w:t xml:space="preserve">Table </w:t>
      </w:r>
      <w:r w:rsidR="008B4717">
        <w:rPr>
          <w:noProof/>
        </w:rPr>
        <w:t>6</w:t>
      </w:r>
      <w:r w:rsidR="00E5561C" w:rsidRPr="00D33C2C">
        <w:fldChar w:fldCharType="end"/>
      </w:r>
      <w:r w:rsidR="000A7CED">
        <w:t>.</w:t>
      </w:r>
      <w:r w:rsidR="00E5561C" w:rsidRPr="00D33C2C">
        <w:t xml:space="preserve"> </w:t>
      </w:r>
      <w:r w:rsidR="00E5561C" w:rsidRPr="00D33C2C">
        <w:fldChar w:fldCharType="begin"/>
      </w:r>
      <w:r w:rsidR="00E5561C" w:rsidRPr="00D33C2C">
        <w:instrText xml:space="preserve"> REF _Ref164610386 \h </w:instrText>
      </w:r>
      <w:r w:rsidR="00E5561C" w:rsidRPr="00D33C2C">
        <w:fldChar w:fldCharType="separate"/>
      </w:r>
      <w:r w:rsidR="008B4717" w:rsidRPr="00D33C2C">
        <w:t xml:space="preserve">Figure </w:t>
      </w:r>
      <w:r w:rsidR="008B4717">
        <w:rPr>
          <w:noProof/>
        </w:rPr>
        <w:t>6</w:t>
      </w:r>
      <w:r w:rsidR="00E5561C" w:rsidRPr="00D33C2C">
        <w:fldChar w:fldCharType="end"/>
      </w:r>
      <w:r w:rsidR="00E5561C" w:rsidRPr="00D33C2C">
        <w:t xml:space="preserve"> below</w:t>
      </w:r>
      <w:r w:rsidR="000A7CED">
        <w:t xml:space="preserve"> presents the Kaplan-Meier curves for EFS in odevixibat-treated and control patients</w:t>
      </w:r>
      <w:r w:rsidR="006E1E4A">
        <w:t xml:space="preserve"> from Part</w:t>
      </w:r>
      <w:r w:rsidR="0079434A">
        <w:t> </w:t>
      </w:r>
      <w:r w:rsidR="006E1E4A">
        <w:t>A</w:t>
      </w:r>
      <w:r w:rsidR="00E5561C" w:rsidRPr="00D33C2C">
        <w:t>.</w:t>
      </w:r>
    </w:p>
    <w:p w14:paraId="67808904" w14:textId="105BA88C" w:rsidR="00E5561C" w:rsidRPr="00D33C2C" w:rsidRDefault="00E5561C" w:rsidP="008264F7">
      <w:pPr>
        <w:pStyle w:val="TableFigureHeading"/>
        <w:keepLines/>
      </w:pPr>
      <w:bookmarkStart w:id="58" w:name="_Ref164610397"/>
      <w:r w:rsidRPr="00D33C2C">
        <w:t xml:space="preserve">Table </w:t>
      </w:r>
      <w:r w:rsidR="00DF1200">
        <w:fldChar w:fldCharType="begin"/>
      </w:r>
      <w:r w:rsidR="00DF1200">
        <w:instrText xml:space="preserve"> SEQ Table \* ARABIC </w:instrText>
      </w:r>
      <w:r w:rsidR="00DF1200">
        <w:fldChar w:fldCharType="separate"/>
      </w:r>
      <w:r w:rsidR="008B4717">
        <w:rPr>
          <w:noProof/>
        </w:rPr>
        <w:t>6</w:t>
      </w:r>
      <w:r w:rsidR="00DF1200">
        <w:rPr>
          <w:noProof/>
        </w:rPr>
        <w:fldChar w:fldCharType="end"/>
      </w:r>
      <w:bookmarkEnd w:id="58"/>
      <w:r w:rsidRPr="00D33C2C">
        <w:t>: Survival outcomes in odevixibat-treated patients and external controls in OvEC – Part A and Part B</w:t>
      </w:r>
    </w:p>
    <w:tbl>
      <w:tblPr>
        <w:tblStyle w:val="TableGrid"/>
        <w:tblW w:w="5000" w:type="pct"/>
        <w:tblLayout w:type="fixed"/>
        <w:tblLook w:val="04A0" w:firstRow="1" w:lastRow="0" w:firstColumn="1" w:lastColumn="0" w:noHBand="0" w:noVBand="1"/>
        <w:tblCaption w:val="Table 6: Survival outcomes in odevixibat-treated patients and external controls in OvEC – Part A and Part B"/>
      </w:tblPr>
      <w:tblGrid>
        <w:gridCol w:w="3112"/>
        <w:gridCol w:w="1920"/>
        <w:gridCol w:w="2040"/>
        <w:gridCol w:w="1939"/>
      </w:tblGrid>
      <w:tr w:rsidR="00E5561C" w:rsidRPr="00D33C2C" w14:paraId="29F59306" w14:textId="77777777" w:rsidTr="008277EE">
        <w:trPr>
          <w:trHeight w:val="113"/>
        </w:trPr>
        <w:tc>
          <w:tcPr>
            <w:tcW w:w="3112" w:type="dxa"/>
            <w:tcBorders>
              <w:left w:val="single" w:sz="6" w:space="0" w:color="auto"/>
              <w:bottom w:val="single" w:sz="4" w:space="0" w:color="auto"/>
            </w:tcBorders>
          </w:tcPr>
          <w:p w14:paraId="49153DB0" w14:textId="77777777" w:rsidR="00E5561C" w:rsidRPr="00D33C2C" w:rsidRDefault="00E5561C" w:rsidP="008264F7">
            <w:pPr>
              <w:pStyle w:val="Tabletext"/>
              <w:keepNext/>
              <w:keepLines/>
              <w:rPr>
                <w:rFonts w:eastAsia="Arial"/>
              </w:rPr>
            </w:pPr>
          </w:p>
        </w:tc>
        <w:tc>
          <w:tcPr>
            <w:tcW w:w="1920" w:type="dxa"/>
            <w:tcBorders>
              <w:bottom w:val="single" w:sz="4" w:space="0" w:color="auto"/>
            </w:tcBorders>
          </w:tcPr>
          <w:p w14:paraId="4EEC5D9B" w14:textId="42870E95" w:rsidR="00E5561C" w:rsidRPr="00D33C2C" w:rsidRDefault="00E5561C" w:rsidP="008264F7">
            <w:pPr>
              <w:pStyle w:val="Tabletext"/>
              <w:keepNext/>
              <w:keepLines/>
              <w:jc w:val="center"/>
              <w:rPr>
                <w:rFonts w:eastAsia="Arial"/>
                <w:b/>
                <w:bCs/>
              </w:rPr>
            </w:pPr>
            <w:r w:rsidRPr="00D33C2C">
              <w:rPr>
                <w:rFonts w:eastAsia="Arial"/>
                <w:b/>
                <w:bCs/>
              </w:rPr>
              <w:t>Odevixibat-</w:t>
            </w:r>
            <w:r w:rsidR="000A7CED">
              <w:rPr>
                <w:rFonts w:eastAsia="Arial"/>
                <w:b/>
                <w:bCs/>
              </w:rPr>
              <w:t>t</w:t>
            </w:r>
            <w:r w:rsidRPr="00D33C2C">
              <w:rPr>
                <w:rFonts w:eastAsia="Arial"/>
                <w:b/>
                <w:bCs/>
              </w:rPr>
              <w:t>reated</w:t>
            </w:r>
          </w:p>
          <w:p w14:paraId="5CCFE6E3" w14:textId="77777777" w:rsidR="00E5561C" w:rsidRPr="00D33C2C" w:rsidRDefault="00E5561C" w:rsidP="008264F7">
            <w:pPr>
              <w:pStyle w:val="Tabletext"/>
              <w:keepNext/>
              <w:keepLines/>
              <w:jc w:val="center"/>
              <w:rPr>
                <w:rFonts w:eastAsia="Arial"/>
                <w:b/>
                <w:bCs/>
              </w:rPr>
            </w:pPr>
            <w:r w:rsidRPr="00D33C2C">
              <w:rPr>
                <w:rFonts w:eastAsia="Arial"/>
                <w:b/>
                <w:bCs/>
              </w:rPr>
              <w:t>n = 69</w:t>
            </w:r>
          </w:p>
        </w:tc>
        <w:tc>
          <w:tcPr>
            <w:tcW w:w="2040" w:type="dxa"/>
            <w:tcBorders>
              <w:bottom w:val="single" w:sz="4" w:space="0" w:color="auto"/>
              <w:right w:val="single" w:sz="6" w:space="0" w:color="auto"/>
            </w:tcBorders>
          </w:tcPr>
          <w:p w14:paraId="2ED97BAA" w14:textId="77777777" w:rsidR="00E5561C" w:rsidRPr="00D33C2C" w:rsidRDefault="00E5561C" w:rsidP="008264F7">
            <w:pPr>
              <w:pStyle w:val="Tabletext"/>
              <w:keepNext/>
              <w:keepLines/>
              <w:jc w:val="center"/>
              <w:rPr>
                <w:rFonts w:eastAsia="Arial"/>
                <w:b/>
                <w:bCs/>
              </w:rPr>
            </w:pPr>
            <w:r w:rsidRPr="00D33C2C">
              <w:rPr>
                <w:rFonts w:eastAsia="Arial"/>
                <w:b/>
                <w:bCs/>
              </w:rPr>
              <w:t>Part A control</w:t>
            </w:r>
          </w:p>
          <w:p w14:paraId="686A037E" w14:textId="77777777" w:rsidR="00E5561C" w:rsidRPr="00D33C2C" w:rsidRDefault="00E5561C" w:rsidP="008264F7">
            <w:pPr>
              <w:pStyle w:val="Tabletext"/>
              <w:keepNext/>
              <w:keepLines/>
              <w:jc w:val="center"/>
              <w:rPr>
                <w:rFonts w:eastAsia="Arial"/>
                <w:b/>
                <w:bCs/>
              </w:rPr>
            </w:pPr>
            <w:r w:rsidRPr="00D33C2C">
              <w:rPr>
                <w:rFonts w:eastAsia="Arial"/>
                <w:b/>
                <w:bCs/>
              </w:rPr>
              <w:t>n = 80</w:t>
            </w:r>
          </w:p>
        </w:tc>
        <w:tc>
          <w:tcPr>
            <w:tcW w:w="1939" w:type="dxa"/>
            <w:tcBorders>
              <w:bottom w:val="single" w:sz="4" w:space="0" w:color="auto"/>
              <w:right w:val="single" w:sz="6" w:space="0" w:color="auto"/>
            </w:tcBorders>
          </w:tcPr>
          <w:p w14:paraId="4614F7B4" w14:textId="77777777" w:rsidR="00E5561C" w:rsidRPr="00D33C2C" w:rsidRDefault="00E5561C" w:rsidP="008264F7">
            <w:pPr>
              <w:pStyle w:val="Tabletext"/>
              <w:keepNext/>
              <w:keepLines/>
              <w:jc w:val="center"/>
              <w:rPr>
                <w:rFonts w:eastAsia="Arial"/>
                <w:b/>
                <w:bCs/>
              </w:rPr>
            </w:pPr>
            <w:r w:rsidRPr="00D33C2C">
              <w:rPr>
                <w:rFonts w:eastAsia="Arial"/>
                <w:b/>
                <w:bCs/>
              </w:rPr>
              <w:t>Part B control</w:t>
            </w:r>
          </w:p>
          <w:p w14:paraId="2D6F82B1" w14:textId="77777777" w:rsidR="00E5561C" w:rsidRPr="00D33C2C" w:rsidRDefault="00E5561C" w:rsidP="008264F7">
            <w:pPr>
              <w:pStyle w:val="Tabletext"/>
              <w:keepNext/>
              <w:keepLines/>
              <w:jc w:val="center"/>
              <w:rPr>
                <w:rFonts w:eastAsia="Arial"/>
                <w:b/>
                <w:bCs/>
              </w:rPr>
            </w:pPr>
            <w:r w:rsidRPr="00D33C2C">
              <w:rPr>
                <w:rFonts w:eastAsia="Arial"/>
                <w:b/>
                <w:bCs/>
              </w:rPr>
              <w:t>n = 24</w:t>
            </w:r>
          </w:p>
        </w:tc>
      </w:tr>
      <w:tr w:rsidR="00E5561C" w:rsidRPr="00D33C2C" w14:paraId="1D734439" w14:textId="77777777" w:rsidTr="008277EE">
        <w:trPr>
          <w:trHeight w:val="113"/>
        </w:trPr>
        <w:tc>
          <w:tcPr>
            <w:tcW w:w="3112" w:type="dxa"/>
            <w:tcBorders>
              <w:top w:val="single" w:sz="4" w:space="0" w:color="auto"/>
              <w:left w:val="single" w:sz="4" w:space="0" w:color="auto"/>
              <w:bottom w:val="single" w:sz="4" w:space="0" w:color="auto"/>
              <w:right w:val="nil"/>
            </w:tcBorders>
          </w:tcPr>
          <w:p w14:paraId="4D161509" w14:textId="32E29EC1" w:rsidR="00E5561C" w:rsidRPr="00D33C2C" w:rsidRDefault="00E5561C" w:rsidP="008264F7">
            <w:pPr>
              <w:pStyle w:val="Tabletext"/>
              <w:keepNext/>
              <w:keepLines/>
              <w:rPr>
                <w:rFonts w:eastAsia="Arial"/>
                <w:b/>
                <w:bCs/>
              </w:rPr>
            </w:pPr>
            <w:r w:rsidRPr="00D33C2C">
              <w:rPr>
                <w:rFonts w:eastAsia="Arial"/>
                <w:b/>
                <w:bCs/>
              </w:rPr>
              <w:t xml:space="preserve">Event-Free Survival </w:t>
            </w:r>
            <w:r w:rsidR="00577672">
              <w:rPr>
                <w:rFonts w:eastAsia="Arial"/>
                <w:b/>
                <w:bCs/>
                <w:vertAlign w:val="superscript"/>
              </w:rPr>
              <w:t>a</w:t>
            </w:r>
          </w:p>
        </w:tc>
        <w:tc>
          <w:tcPr>
            <w:tcW w:w="1920" w:type="dxa"/>
            <w:tcBorders>
              <w:top w:val="single" w:sz="4" w:space="0" w:color="auto"/>
              <w:left w:val="nil"/>
              <w:bottom w:val="single" w:sz="4" w:space="0" w:color="auto"/>
              <w:right w:val="nil"/>
            </w:tcBorders>
          </w:tcPr>
          <w:p w14:paraId="6331DB86" w14:textId="77777777" w:rsidR="00E5561C" w:rsidRPr="00D33C2C" w:rsidRDefault="00E5561C" w:rsidP="008264F7">
            <w:pPr>
              <w:pStyle w:val="Tabletext"/>
              <w:keepNext/>
              <w:keepLines/>
              <w:jc w:val="center"/>
              <w:rPr>
                <w:rFonts w:eastAsia="Arial"/>
              </w:rPr>
            </w:pPr>
          </w:p>
        </w:tc>
        <w:tc>
          <w:tcPr>
            <w:tcW w:w="2040" w:type="dxa"/>
            <w:tcBorders>
              <w:top w:val="single" w:sz="4" w:space="0" w:color="auto"/>
              <w:left w:val="nil"/>
              <w:bottom w:val="single" w:sz="4" w:space="0" w:color="auto"/>
              <w:right w:val="nil"/>
            </w:tcBorders>
          </w:tcPr>
          <w:p w14:paraId="0ABF9B0B" w14:textId="77777777" w:rsidR="00E5561C" w:rsidRPr="00D33C2C" w:rsidRDefault="00E5561C" w:rsidP="008264F7">
            <w:pPr>
              <w:pStyle w:val="Tabletext"/>
              <w:keepNext/>
              <w:keepLines/>
              <w:jc w:val="center"/>
              <w:rPr>
                <w:rFonts w:eastAsia="Arial"/>
              </w:rPr>
            </w:pPr>
          </w:p>
        </w:tc>
        <w:tc>
          <w:tcPr>
            <w:tcW w:w="1939" w:type="dxa"/>
            <w:tcBorders>
              <w:top w:val="single" w:sz="4" w:space="0" w:color="auto"/>
              <w:left w:val="nil"/>
              <w:bottom w:val="single" w:sz="4" w:space="0" w:color="auto"/>
              <w:right w:val="single" w:sz="4" w:space="0" w:color="auto"/>
            </w:tcBorders>
          </w:tcPr>
          <w:p w14:paraId="73ABB608" w14:textId="77777777" w:rsidR="00E5561C" w:rsidRPr="00D33C2C" w:rsidRDefault="00E5561C" w:rsidP="008264F7">
            <w:pPr>
              <w:pStyle w:val="Tabletext"/>
              <w:keepNext/>
              <w:keepLines/>
              <w:jc w:val="center"/>
              <w:rPr>
                <w:rFonts w:eastAsia="Arial"/>
              </w:rPr>
            </w:pPr>
          </w:p>
        </w:tc>
      </w:tr>
      <w:tr w:rsidR="00E5561C" w:rsidRPr="00D33C2C" w14:paraId="6FA27F63" w14:textId="77777777" w:rsidTr="008277EE">
        <w:trPr>
          <w:trHeight w:val="113"/>
        </w:trPr>
        <w:tc>
          <w:tcPr>
            <w:tcW w:w="3112" w:type="dxa"/>
            <w:tcBorders>
              <w:top w:val="single" w:sz="4" w:space="0" w:color="auto"/>
              <w:left w:val="single" w:sz="6" w:space="0" w:color="auto"/>
            </w:tcBorders>
          </w:tcPr>
          <w:p w14:paraId="6A0D0729" w14:textId="77777777" w:rsidR="00E5561C" w:rsidRPr="00D33C2C" w:rsidRDefault="00E5561C" w:rsidP="008264F7">
            <w:pPr>
              <w:pStyle w:val="Tabletext"/>
              <w:keepNext/>
              <w:keepLines/>
              <w:rPr>
                <w:rFonts w:eastAsia="Arial"/>
              </w:rPr>
            </w:pPr>
            <w:r w:rsidRPr="00D33C2C">
              <w:rPr>
                <w:rFonts w:eastAsia="Arial"/>
              </w:rPr>
              <w:t>Events, n (%)</w:t>
            </w:r>
          </w:p>
        </w:tc>
        <w:tc>
          <w:tcPr>
            <w:tcW w:w="1920" w:type="dxa"/>
            <w:tcBorders>
              <w:top w:val="single" w:sz="4" w:space="0" w:color="auto"/>
            </w:tcBorders>
          </w:tcPr>
          <w:p w14:paraId="10D8A28A" w14:textId="77777777" w:rsidR="00E5561C" w:rsidRPr="00D33C2C" w:rsidRDefault="00E5561C" w:rsidP="008264F7">
            <w:pPr>
              <w:pStyle w:val="Tabletext"/>
              <w:keepNext/>
              <w:keepLines/>
              <w:jc w:val="center"/>
              <w:rPr>
                <w:rFonts w:eastAsia="Arial"/>
              </w:rPr>
            </w:pPr>
            <w:r w:rsidRPr="00D33C2C">
              <w:rPr>
                <w:rFonts w:eastAsia="Arial"/>
              </w:rPr>
              <w:t>6 (9%)</w:t>
            </w:r>
          </w:p>
        </w:tc>
        <w:tc>
          <w:tcPr>
            <w:tcW w:w="2040" w:type="dxa"/>
            <w:tcBorders>
              <w:top w:val="single" w:sz="4" w:space="0" w:color="auto"/>
              <w:right w:val="single" w:sz="6" w:space="0" w:color="auto"/>
            </w:tcBorders>
          </w:tcPr>
          <w:p w14:paraId="61E03829" w14:textId="77777777" w:rsidR="00E5561C" w:rsidRPr="00D33C2C" w:rsidRDefault="00E5561C" w:rsidP="008264F7">
            <w:pPr>
              <w:pStyle w:val="Tabletext"/>
              <w:keepNext/>
              <w:keepLines/>
              <w:jc w:val="center"/>
              <w:rPr>
                <w:rFonts w:eastAsia="Arial"/>
              </w:rPr>
            </w:pPr>
            <w:r w:rsidRPr="00D33C2C">
              <w:rPr>
                <w:rFonts w:eastAsia="Arial"/>
              </w:rPr>
              <w:t>44 (55%)</w:t>
            </w:r>
          </w:p>
        </w:tc>
        <w:tc>
          <w:tcPr>
            <w:tcW w:w="1939" w:type="dxa"/>
            <w:tcBorders>
              <w:top w:val="single" w:sz="4" w:space="0" w:color="auto"/>
              <w:right w:val="single" w:sz="6" w:space="0" w:color="auto"/>
            </w:tcBorders>
          </w:tcPr>
          <w:p w14:paraId="71D7674A" w14:textId="77777777" w:rsidR="00E5561C" w:rsidRPr="00D33C2C" w:rsidRDefault="00E5561C" w:rsidP="008264F7">
            <w:pPr>
              <w:pStyle w:val="Tabletext"/>
              <w:keepNext/>
              <w:keepLines/>
              <w:jc w:val="center"/>
              <w:rPr>
                <w:rFonts w:eastAsia="Arial"/>
              </w:rPr>
            </w:pPr>
            <w:r w:rsidRPr="00D33C2C">
              <w:rPr>
                <w:rFonts w:eastAsia="Arial"/>
              </w:rPr>
              <w:t>-</w:t>
            </w:r>
          </w:p>
        </w:tc>
      </w:tr>
      <w:tr w:rsidR="00E5561C" w:rsidRPr="00D33C2C" w14:paraId="6ADC0A0D" w14:textId="77777777" w:rsidTr="008277EE">
        <w:trPr>
          <w:trHeight w:val="113"/>
        </w:trPr>
        <w:tc>
          <w:tcPr>
            <w:tcW w:w="3112" w:type="dxa"/>
            <w:tcBorders>
              <w:left w:val="single" w:sz="6" w:space="0" w:color="auto"/>
            </w:tcBorders>
          </w:tcPr>
          <w:p w14:paraId="47FDDC65" w14:textId="77777777" w:rsidR="00E5561C" w:rsidRPr="00D33C2C" w:rsidRDefault="00E5561C" w:rsidP="008264F7">
            <w:pPr>
              <w:pStyle w:val="Tabletext"/>
              <w:keepNext/>
              <w:keepLines/>
              <w:rPr>
                <w:rFonts w:eastAsia="Arial"/>
              </w:rPr>
            </w:pPr>
            <w:r w:rsidRPr="00D33C2C">
              <w:rPr>
                <w:rFonts w:eastAsia="Arial"/>
              </w:rPr>
              <w:t>p value</w:t>
            </w:r>
          </w:p>
        </w:tc>
        <w:tc>
          <w:tcPr>
            <w:tcW w:w="1920" w:type="dxa"/>
            <w:tcBorders>
              <w:right w:val="single" w:sz="6" w:space="0" w:color="auto"/>
            </w:tcBorders>
          </w:tcPr>
          <w:p w14:paraId="70FCEA07" w14:textId="77777777" w:rsidR="00E5561C" w:rsidRPr="00D33C2C" w:rsidRDefault="00E5561C" w:rsidP="008264F7">
            <w:pPr>
              <w:pStyle w:val="Tabletext"/>
              <w:keepNext/>
              <w:keepLines/>
              <w:jc w:val="center"/>
              <w:rPr>
                <w:rFonts w:eastAsia="Arial"/>
              </w:rPr>
            </w:pPr>
            <w:r w:rsidRPr="00D33C2C">
              <w:rPr>
                <w:rFonts w:eastAsia="Arial"/>
              </w:rPr>
              <w:t>-</w:t>
            </w:r>
          </w:p>
        </w:tc>
        <w:tc>
          <w:tcPr>
            <w:tcW w:w="2040" w:type="dxa"/>
            <w:tcBorders>
              <w:right w:val="single" w:sz="6" w:space="0" w:color="auto"/>
            </w:tcBorders>
          </w:tcPr>
          <w:p w14:paraId="31AAF87E" w14:textId="77777777" w:rsidR="00E5561C" w:rsidRPr="00D33C2C" w:rsidRDefault="00E5561C" w:rsidP="008264F7">
            <w:pPr>
              <w:pStyle w:val="Tabletext"/>
              <w:keepNext/>
              <w:keepLines/>
              <w:jc w:val="center"/>
              <w:rPr>
                <w:rFonts w:eastAsia="Arial"/>
                <w:b/>
                <w:bCs/>
              </w:rPr>
            </w:pPr>
            <w:r w:rsidRPr="00D33C2C">
              <w:rPr>
                <w:rFonts w:eastAsia="Arial"/>
                <w:b/>
                <w:bCs/>
              </w:rPr>
              <w:t>0.0016</w:t>
            </w:r>
          </w:p>
        </w:tc>
        <w:tc>
          <w:tcPr>
            <w:tcW w:w="1939" w:type="dxa"/>
            <w:tcBorders>
              <w:right w:val="single" w:sz="6" w:space="0" w:color="auto"/>
            </w:tcBorders>
          </w:tcPr>
          <w:p w14:paraId="070BCD9F" w14:textId="77777777" w:rsidR="00E5561C" w:rsidRPr="00D33C2C" w:rsidRDefault="00E5561C" w:rsidP="008264F7">
            <w:pPr>
              <w:pStyle w:val="Tabletext"/>
              <w:keepNext/>
              <w:keepLines/>
              <w:jc w:val="center"/>
              <w:rPr>
                <w:rFonts w:eastAsia="Arial"/>
              </w:rPr>
            </w:pPr>
            <w:r w:rsidRPr="00D33C2C">
              <w:rPr>
                <w:rFonts w:eastAsia="Arial"/>
              </w:rPr>
              <w:t>-</w:t>
            </w:r>
          </w:p>
        </w:tc>
      </w:tr>
      <w:tr w:rsidR="00E5561C" w:rsidRPr="00D33C2C" w14:paraId="114B866D" w14:textId="77777777" w:rsidTr="008277EE">
        <w:trPr>
          <w:trHeight w:val="113"/>
        </w:trPr>
        <w:tc>
          <w:tcPr>
            <w:tcW w:w="3112" w:type="dxa"/>
            <w:tcBorders>
              <w:left w:val="single" w:sz="6" w:space="0" w:color="auto"/>
              <w:bottom w:val="single" w:sz="4" w:space="0" w:color="auto"/>
            </w:tcBorders>
          </w:tcPr>
          <w:p w14:paraId="167A84E5" w14:textId="77777777" w:rsidR="00E5561C" w:rsidRPr="00D33C2C" w:rsidRDefault="00E5561C" w:rsidP="008264F7">
            <w:pPr>
              <w:pStyle w:val="Tabletext"/>
              <w:keepNext/>
              <w:keepLines/>
              <w:rPr>
                <w:rFonts w:eastAsia="Arial"/>
              </w:rPr>
            </w:pPr>
            <w:r w:rsidRPr="00D33C2C">
              <w:rPr>
                <w:rFonts w:eastAsia="Arial"/>
              </w:rPr>
              <w:t>HR (95% CI)</w:t>
            </w:r>
          </w:p>
        </w:tc>
        <w:tc>
          <w:tcPr>
            <w:tcW w:w="1920" w:type="dxa"/>
            <w:tcBorders>
              <w:bottom w:val="single" w:sz="4" w:space="0" w:color="auto"/>
              <w:right w:val="single" w:sz="6" w:space="0" w:color="auto"/>
            </w:tcBorders>
          </w:tcPr>
          <w:p w14:paraId="7548F584" w14:textId="77777777" w:rsidR="00E5561C" w:rsidRPr="00D33C2C" w:rsidRDefault="00E5561C" w:rsidP="008264F7">
            <w:pPr>
              <w:pStyle w:val="Tabletext"/>
              <w:keepNext/>
              <w:keepLines/>
              <w:jc w:val="center"/>
              <w:rPr>
                <w:rFonts w:eastAsia="Arial"/>
              </w:rPr>
            </w:pPr>
            <w:r w:rsidRPr="00D33C2C">
              <w:rPr>
                <w:rFonts w:eastAsia="Arial"/>
              </w:rPr>
              <w:t>-</w:t>
            </w:r>
          </w:p>
        </w:tc>
        <w:tc>
          <w:tcPr>
            <w:tcW w:w="2040" w:type="dxa"/>
            <w:tcBorders>
              <w:bottom w:val="single" w:sz="4" w:space="0" w:color="auto"/>
              <w:right w:val="single" w:sz="6" w:space="0" w:color="auto"/>
            </w:tcBorders>
          </w:tcPr>
          <w:p w14:paraId="0AFFCF3A" w14:textId="77777777" w:rsidR="00E5561C" w:rsidRPr="00D33C2C" w:rsidRDefault="00E5561C" w:rsidP="008264F7">
            <w:pPr>
              <w:pStyle w:val="Tabletext"/>
              <w:keepNext/>
              <w:keepLines/>
              <w:jc w:val="center"/>
              <w:rPr>
                <w:rFonts w:eastAsia="Arial"/>
                <w:b/>
                <w:bCs/>
              </w:rPr>
            </w:pPr>
            <w:r w:rsidRPr="00D33C2C">
              <w:rPr>
                <w:rFonts w:eastAsia="Arial"/>
                <w:b/>
                <w:bCs/>
              </w:rPr>
              <w:t>0.20 (0.09, 0.45)</w:t>
            </w:r>
          </w:p>
        </w:tc>
        <w:tc>
          <w:tcPr>
            <w:tcW w:w="1939" w:type="dxa"/>
            <w:tcBorders>
              <w:bottom w:val="single" w:sz="4" w:space="0" w:color="auto"/>
              <w:right w:val="single" w:sz="6" w:space="0" w:color="auto"/>
            </w:tcBorders>
          </w:tcPr>
          <w:p w14:paraId="12BDAABB" w14:textId="77777777" w:rsidR="00E5561C" w:rsidRPr="00D33C2C" w:rsidRDefault="00E5561C" w:rsidP="008264F7">
            <w:pPr>
              <w:pStyle w:val="Tabletext"/>
              <w:keepNext/>
              <w:keepLines/>
              <w:jc w:val="center"/>
              <w:rPr>
                <w:rFonts w:eastAsia="Arial"/>
              </w:rPr>
            </w:pPr>
            <w:r w:rsidRPr="00D33C2C">
              <w:rPr>
                <w:rFonts w:eastAsia="Arial"/>
              </w:rPr>
              <w:t>-</w:t>
            </w:r>
          </w:p>
        </w:tc>
      </w:tr>
      <w:tr w:rsidR="00E5561C" w:rsidRPr="00D33C2C" w14:paraId="6BF4BC75" w14:textId="77777777" w:rsidTr="008277EE">
        <w:trPr>
          <w:trHeight w:val="113"/>
        </w:trPr>
        <w:tc>
          <w:tcPr>
            <w:tcW w:w="3112" w:type="dxa"/>
            <w:tcBorders>
              <w:top w:val="single" w:sz="4" w:space="0" w:color="auto"/>
              <w:left w:val="single" w:sz="4" w:space="0" w:color="auto"/>
              <w:bottom w:val="single" w:sz="4" w:space="0" w:color="auto"/>
              <w:right w:val="nil"/>
            </w:tcBorders>
          </w:tcPr>
          <w:p w14:paraId="1970C9CF" w14:textId="3AF12E33" w:rsidR="00E5561C" w:rsidRPr="00D33C2C" w:rsidRDefault="00E5561C" w:rsidP="008264F7">
            <w:pPr>
              <w:pStyle w:val="Tabletext"/>
              <w:keepNext/>
              <w:keepLines/>
              <w:rPr>
                <w:rFonts w:eastAsia="Arial"/>
                <w:b/>
                <w:bCs/>
              </w:rPr>
            </w:pPr>
            <w:r w:rsidRPr="00D33C2C">
              <w:rPr>
                <w:rFonts w:eastAsia="Arial"/>
                <w:b/>
                <w:bCs/>
              </w:rPr>
              <w:t xml:space="preserve">Native Liver Survival </w:t>
            </w:r>
            <w:r w:rsidR="00577672">
              <w:rPr>
                <w:rFonts w:eastAsia="Arial"/>
                <w:b/>
                <w:bCs/>
                <w:vertAlign w:val="superscript"/>
              </w:rPr>
              <w:t>b</w:t>
            </w:r>
          </w:p>
        </w:tc>
        <w:tc>
          <w:tcPr>
            <w:tcW w:w="1920" w:type="dxa"/>
            <w:tcBorders>
              <w:top w:val="single" w:sz="4" w:space="0" w:color="auto"/>
              <w:left w:val="nil"/>
              <w:bottom w:val="single" w:sz="4" w:space="0" w:color="auto"/>
              <w:right w:val="nil"/>
            </w:tcBorders>
          </w:tcPr>
          <w:p w14:paraId="16FAC53F" w14:textId="77777777" w:rsidR="00E5561C" w:rsidRPr="00D33C2C" w:rsidRDefault="00E5561C" w:rsidP="008264F7">
            <w:pPr>
              <w:pStyle w:val="Tabletext"/>
              <w:keepNext/>
              <w:keepLines/>
              <w:jc w:val="center"/>
              <w:rPr>
                <w:rFonts w:eastAsia="Arial"/>
              </w:rPr>
            </w:pPr>
          </w:p>
        </w:tc>
        <w:tc>
          <w:tcPr>
            <w:tcW w:w="2040" w:type="dxa"/>
            <w:tcBorders>
              <w:top w:val="single" w:sz="4" w:space="0" w:color="auto"/>
              <w:left w:val="nil"/>
              <w:bottom w:val="single" w:sz="4" w:space="0" w:color="auto"/>
              <w:right w:val="nil"/>
            </w:tcBorders>
          </w:tcPr>
          <w:p w14:paraId="2D6DBA76" w14:textId="77777777" w:rsidR="00E5561C" w:rsidRPr="00D33C2C" w:rsidRDefault="00E5561C" w:rsidP="008264F7">
            <w:pPr>
              <w:pStyle w:val="Tabletext"/>
              <w:keepNext/>
              <w:keepLines/>
              <w:jc w:val="center"/>
              <w:rPr>
                <w:rFonts w:eastAsia="Arial"/>
              </w:rPr>
            </w:pPr>
          </w:p>
        </w:tc>
        <w:tc>
          <w:tcPr>
            <w:tcW w:w="1939" w:type="dxa"/>
            <w:tcBorders>
              <w:top w:val="single" w:sz="4" w:space="0" w:color="auto"/>
              <w:left w:val="nil"/>
              <w:bottom w:val="single" w:sz="4" w:space="0" w:color="auto"/>
              <w:right w:val="single" w:sz="4" w:space="0" w:color="auto"/>
            </w:tcBorders>
          </w:tcPr>
          <w:p w14:paraId="6596F9A9" w14:textId="77777777" w:rsidR="00E5561C" w:rsidRPr="00D33C2C" w:rsidRDefault="00E5561C" w:rsidP="008264F7">
            <w:pPr>
              <w:pStyle w:val="Tabletext"/>
              <w:keepNext/>
              <w:keepLines/>
              <w:jc w:val="center"/>
              <w:rPr>
                <w:rFonts w:eastAsia="Arial"/>
              </w:rPr>
            </w:pPr>
          </w:p>
        </w:tc>
      </w:tr>
      <w:tr w:rsidR="00E5561C" w:rsidRPr="00D33C2C" w14:paraId="7291AFCE" w14:textId="77777777" w:rsidTr="008277EE">
        <w:trPr>
          <w:trHeight w:val="113"/>
        </w:trPr>
        <w:tc>
          <w:tcPr>
            <w:tcW w:w="3112" w:type="dxa"/>
            <w:tcBorders>
              <w:top w:val="single" w:sz="4" w:space="0" w:color="auto"/>
              <w:left w:val="single" w:sz="6" w:space="0" w:color="auto"/>
            </w:tcBorders>
          </w:tcPr>
          <w:p w14:paraId="26EEBC35" w14:textId="77777777" w:rsidR="00E5561C" w:rsidRPr="00D33C2C" w:rsidRDefault="00E5561C" w:rsidP="008264F7">
            <w:pPr>
              <w:pStyle w:val="Tabletext"/>
              <w:keepNext/>
              <w:keepLines/>
              <w:rPr>
                <w:rFonts w:eastAsia="Arial"/>
              </w:rPr>
            </w:pPr>
            <w:r w:rsidRPr="00D33C2C">
              <w:rPr>
                <w:rFonts w:eastAsia="Arial"/>
              </w:rPr>
              <w:t>Events, n (%)</w:t>
            </w:r>
          </w:p>
        </w:tc>
        <w:tc>
          <w:tcPr>
            <w:tcW w:w="1920" w:type="dxa"/>
            <w:tcBorders>
              <w:top w:val="single" w:sz="4" w:space="0" w:color="auto"/>
            </w:tcBorders>
          </w:tcPr>
          <w:p w14:paraId="2FB6FFB7" w14:textId="77777777" w:rsidR="00E5561C" w:rsidRPr="00D33C2C" w:rsidRDefault="00E5561C" w:rsidP="008264F7">
            <w:pPr>
              <w:pStyle w:val="Tabletext"/>
              <w:keepNext/>
              <w:keepLines/>
              <w:jc w:val="center"/>
              <w:rPr>
                <w:rFonts w:eastAsia="Arial"/>
              </w:rPr>
            </w:pPr>
            <w:r w:rsidRPr="00D33C2C">
              <w:rPr>
                <w:rFonts w:eastAsia="Arial"/>
              </w:rPr>
              <w:t>4 (6%)</w:t>
            </w:r>
          </w:p>
        </w:tc>
        <w:tc>
          <w:tcPr>
            <w:tcW w:w="2040" w:type="dxa"/>
            <w:tcBorders>
              <w:top w:val="single" w:sz="4" w:space="0" w:color="auto"/>
              <w:right w:val="single" w:sz="6" w:space="0" w:color="auto"/>
            </w:tcBorders>
          </w:tcPr>
          <w:p w14:paraId="1A7CEDBE" w14:textId="77777777" w:rsidR="00E5561C" w:rsidRPr="00D33C2C" w:rsidRDefault="00E5561C" w:rsidP="008264F7">
            <w:pPr>
              <w:pStyle w:val="Tabletext"/>
              <w:keepNext/>
              <w:keepLines/>
              <w:jc w:val="center"/>
              <w:rPr>
                <w:rFonts w:eastAsia="Arial"/>
              </w:rPr>
            </w:pPr>
            <w:r w:rsidRPr="00D33C2C">
              <w:rPr>
                <w:rFonts w:eastAsia="Arial"/>
              </w:rPr>
              <w:t>21 (26%)</w:t>
            </w:r>
          </w:p>
        </w:tc>
        <w:tc>
          <w:tcPr>
            <w:tcW w:w="1939" w:type="dxa"/>
            <w:tcBorders>
              <w:top w:val="single" w:sz="4" w:space="0" w:color="auto"/>
              <w:right w:val="single" w:sz="6" w:space="0" w:color="auto"/>
            </w:tcBorders>
          </w:tcPr>
          <w:p w14:paraId="45B958D5" w14:textId="77777777" w:rsidR="00E5561C" w:rsidRPr="00D33C2C" w:rsidRDefault="00E5561C" w:rsidP="008264F7">
            <w:pPr>
              <w:pStyle w:val="Tabletext"/>
              <w:keepNext/>
              <w:keepLines/>
              <w:jc w:val="center"/>
              <w:rPr>
                <w:rFonts w:eastAsia="Arial"/>
              </w:rPr>
            </w:pPr>
            <w:r w:rsidRPr="00D33C2C">
              <w:rPr>
                <w:rFonts w:eastAsia="Arial" w:cs="Arial"/>
                <w:szCs w:val="20"/>
              </w:rPr>
              <w:t>6 (25%)</w:t>
            </w:r>
          </w:p>
        </w:tc>
      </w:tr>
      <w:tr w:rsidR="00E5561C" w:rsidRPr="00D33C2C" w14:paraId="2D18C9CD" w14:textId="77777777" w:rsidTr="008277EE">
        <w:trPr>
          <w:trHeight w:val="113"/>
        </w:trPr>
        <w:tc>
          <w:tcPr>
            <w:tcW w:w="3112" w:type="dxa"/>
            <w:tcBorders>
              <w:left w:val="single" w:sz="6" w:space="0" w:color="auto"/>
            </w:tcBorders>
          </w:tcPr>
          <w:p w14:paraId="5A12562A" w14:textId="77777777" w:rsidR="00E5561C" w:rsidRPr="00D33C2C" w:rsidRDefault="00E5561C" w:rsidP="008264F7">
            <w:pPr>
              <w:pStyle w:val="Tabletext"/>
              <w:keepNext/>
              <w:keepLines/>
              <w:rPr>
                <w:rFonts w:eastAsia="Arial"/>
              </w:rPr>
            </w:pPr>
            <w:r w:rsidRPr="00D33C2C">
              <w:rPr>
                <w:rFonts w:eastAsia="Arial"/>
              </w:rPr>
              <w:t>p value</w:t>
            </w:r>
          </w:p>
        </w:tc>
        <w:tc>
          <w:tcPr>
            <w:tcW w:w="1920" w:type="dxa"/>
            <w:tcBorders>
              <w:right w:val="single" w:sz="6" w:space="0" w:color="auto"/>
            </w:tcBorders>
          </w:tcPr>
          <w:p w14:paraId="0C806B7E" w14:textId="77777777" w:rsidR="00E5561C" w:rsidRPr="00D33C2C" w:rsidRDefault="00E5561C" w:rsidP="008264F7">
            <w:pPr>
              <w:pStyle w:val="Tabletext"/>
              <w:keepNext/>
              <w:keepLines/>
              <w:jc w:val="center"/>
              <w:rPr>
                <w:rFonts w:eastAsia="Arial"/>
              </w:rPr>
            </w:pPr>
            <w:r w:rsidRPr="00D33C2C">
              <w:rPr>
                <w:rFonts w:eastAsia="Arial"/>
              </w:rPr>
              <w:t>-</w:t>
            </w:r>
          </w:p>
        </w:tc>
        <w:tc>
          <w:tcPr>
            <w:tcW w:w="2040" w:type="dxa"/>
            <w:tcBorders>
              <w:right w:val="single" w:sz="6" w:space="0" w:color="auto"/>
            </w:tcBorders>
          </w:tcPr>
          <w:p w14:paraId="35A87945" w14:textId="77777777" w:rsidR="00E5561C" w:rsidRPr="00D33C2C" w:rsidRDefault="00E5561C" w:rsidP="008264F7">
            <w:pPr>
              <w:pStyle w:val="Tabletext"/>
              <w:keepNext/>
              <w:keepLines/>
              <w:jc w:val="center"/>
              <w:rPr>
                <w:rFonts w:eastAsia="Arial"/>
              </w:rPr>
            </w:pPr>
            <w:r w:rsidRPr="00D33C2C">
              <w:rPr>
                <w:rFonts w:eastAsia="Arial"/>
              </w:rPr>
              <w:t>0.0900</w:t>
            </w:r>
          </w:p>
        </w:tc>
        <w:tc>
          <w:tcPr>
            <w:tcW w:w="1939" w:type="dxa"/>
            <w:tcBorders>
              <w:right w:val="single" w:sz="6" w:space="0" w:color="auto"/>
            </w:tcBorders>
          </w:tcPr>
          <w:p w14:paraId="1B412442" w14:textId="77777777" w:rsidR="00E5561C" w:rsidRPr="00D33C2C" w:rsidRDefault="00E5561C" w:rsidP="008264F7">
            <w:pPr>
              <w:pStyle w:val="Tabletext"/>
              <w:keepNext/>
              <w:keepLines/>
              <w:jc w:val="center"/>
              <w:rPr>
                <w:rFonts w:eastAsia="Arial"/>
              </w:rPr>
            </w:pPr>
            <w:r w:rsidRPr="00D33C2C">
              <w:rPr>
                <w:rFonts w:eastAsia="Arial" w:cs="Arial"/>
                <w:szCs w:val="20"/>
              </w:rPr>
              <w:t>0.5069</w:t>
            </w:r>
          </w:p>
        </w:tc>
      </w:tr>
      <w:tr w:rsidR="00E5561C" w:rsidRPr="00D33C2C" w14:paraId="41BBB881" w14:textId="77777777" w:rsidTr="008277EE">
        <w:trPr>
          <w:trHeight w:val="113"/>
        </w:trPr>
        <w:tc>
          <w:tcPr>
            <w:tcW w:w="3112" w:type="dxa"/>
            <w:tcBorders>
              <w:left w:val="single" w:sz="6" w:space="0" w:color="auto"/>
              <w:bottom w:val="single" w:sz="4" w:space="0" w:color="auto"/>
            </w:tcBorders>
          </w:tcPr>
          <w:p w14:paraId="2B027E70" w14:textId="77777777" w:rsidR="00E5561C" w:rsidRPr="00D33C2C" w:rsidRDefault="00E5561C" w:rsidP="008264F7">
            <w:pPr>
              <w:pStyle w:val="Tabletext"/>
              <w:keepNext/>
              <w:keepLines/>
              <w:rPr>
                <w:rFonts w:eastAsia="Arial"/>
              </w:rPr>
            </w:pPr>
            <w:r w:rsidRPr="00D33C2C">
              <w:rPr>
                <w:rFonts w:eastAsia="Arial"/>
              </w:rPr>
              <w:t>HR (95% CI)</w:t>
            </w:r>
          </w:p>
        </w:tc>
        <w:tc>
          <w:tcPr>
            <w:tcW w:w="1920" w:type="dxa"/>
            <w:tcBorders>
              <w:bottom w:val="single" w:sz="4" w:space="0" w:color="auto"/>
              <w:right w:val="single" w:sz="6" w:space="0" w:color="auto"/>
            </w:tcBorders>
          </w:tcPr>
          <w:p w14:paraId="19B954AC" w14:textId="77777777" w:rsidR="00E5561C" w:rsidRPr="00D33C2C" w:rsidRDefault="00E5561C" w:rsidP="008264F7">
            <w:pPr>
              <w:pStyle w:val="Tabletext"/>
              <w:keepNext/>
              <w:keepLines/>
              <w:jc w:val="center"/>
              <w:rPr>
                <w:rFonts w:eastAsia="Arial"/>
              </w:rPr>
            </w:pPr>
            <w:r w:rsidRPr="00D33C2C">
              <w:rPr>
                <w:rFonts w:eastAsia="Arial"/>
              </w:rPr>
              <w:t>-</w:t>
            </w:r>
          </w:p>
        </w:tc>
        <w:tc>
          <w:tcPr>
            <w:tcW w:w="2040" w:type="dxa"/>
            <w:tcBorders>
              <w:bottom w:val="single" w:sz="4" w:space="0" w:color="auto"/>
              <w:right w:val="single" w:sz="6" w:space="0" w:color="auto"/>
            </w:tcBorders>
          </w:tcPr>
          <w:p w14:paraId="75F216FC" w14:textId="77777777" w:rsidR="00E5561C" w:rsidRPr="00D33C2C" w:rsidRDefault="00E5561C" w:rsidP="008264F7">
            <w:pPr>
              <w:pStyle w:val="Tabletext"/>
              <w:keepNext/>
              <w:keepLines/>
              <w:jc w:val="center"/>
              <w:rPr>
                <w:rFonts w:eastAsia="Arial"/>
              </w:rPr>
            </w:pPr>
            <w:r w:rsidRPr="00D33C2C">
              <w:rPr>
                <w:rFonts w:eastAsia="Arial"/>
              </w:rPr>
              <w:t>0.33 (0.11, 1.03)</w:t>
            </w:r>
          </w:p>
        </w:tc>
        <w:tc>
          <w:tcPr>
            <w:tcW w:w="1939" w:type="dxa"/>
            <w:tcBorders>
              <w:bottom w:val="single" w:sz="4" w:space="0" w:color="auto"/>
              <w:right w:val="single" w:sz="6" w:space="0" w:color="auto"/>
            </w:tcBorders>
          </w:tcPr>
          <w:p w14:paraId="6368ACD8" w14:textId="77777777" w:rsidR="00E5561C" w:rsidRPr="00D33C2C" w:rsidRDefault="00E5561C" w:rsidP="008264F7">
            <w:pPr>
              <w:pStyle w:val="Tabletext"/>
              <w:keepNext/>
              <w:keepLines/>
              <w:jc w:val="center"/>
              <w:rPr>
                <w:rFonts w:eastAsia="Arial"/>
              </w:rPr>
            </w:pPr>
            <w:r w:rsidRPr="00D33C2C">
              <w:rPr>
                <w:rFonts w:eastAsia="Arial" w:cs="Arial"/>
                <w:szCs w:val="20"/>
              </w:rPr>
              <w:t>0.66 (0.17, 2.57)</w:t>
            </w:r>
          </w:p>
        </w:tc>
      </w:tr>
      <w:tr w:rsidR="00E5561C" w:rsidRPr="00D33C2C" w14:paraId="039C88E8" w14:textId="77777777" w:rsidTr="008277EE">
        <w:trPr>
          <w:trHeight w:val="113"/>
        </w:trPr>
        <w:tc>
          <w:tcPr>
            <w:tcW w:w="3112" w:type="dxa"/>
            <w:tcBorders>
              <w:top w:val="single" w:sz="4" w:space="0" w:color="auto"/>
              <w:left w:val="single" w:sz="4" w:space="0" w:color="auto"/>
              <w:bottom w:val="single" w:sz="4" w:space="0" w:color="auto"/>
              <w:right w:val="nil"/>
            </w:tcBorders>
          </w:tcPr>
          <w:p w14:paraId="59A20521" w14:textId="51863D6F" w:rsidR="00E5561C" w:rsidRPr="00577672" w:rsidRDefault="00E5561C" w:rsidP="008264F7">
            <w:pPr>
              <w:pStyle w:val="Tabletext"/>
              <w:keepNext/>
              <w:keepLines/>
              <w:rPr>
                <w:rFonts w:eastAsia="Arial"/>
                <w:b/>
                <w:bCs/>
                <w:vertAlign w:val="superscript"/>
              </w:rPr>
            </w:pPr>
            <w:r w:rsidRPr="00D33C2C">
              <w:rPr>
                <w:rFonts w:eastAsia="Arial"/>
                <w:b/>
                <w:bCs/>
              </w:rPr>
              <w:t xml:space="preserve">Diversion-Free Survival </w:t>
            </w:r>
            <w:r w:rsidR="00577672">
              <w:rPr>
                <w:rFonts w:eastAsia="Arial"/>
                <w:b/>
                <w:bCs/>
                <w:vertAlign w:val="superscript"/>
              </w:rPr>
              <w:t>c</w:t>
            </w:r>
          </w:p>
        </w:tc>
        <w:tc>
          <w:tcPr>
            <w:tcW w:w="1920" w:type="dxa"/>
            <w:tcBorders>
              <w:top w:val="single" w:sz="4" w:space="0" w:color="auto"/>
              <w:left w:val="nil"/>
              <w:bottom w:val="single" w:sz="4" w:space="0" w:color="auto"/>
              <w:right w:val="nil"/>
            </w:tcBorders>
          </w:tcPr>
          <w:p w14:paraId="37AB9BC7" w14:textId="77777777" w:rsidR="00E5561C" w:rsidRPr="00D33C2C" w:rsidRDefault="00E5561C" w:rsidP="008264F7">
            <w:pPr>
              <w:pStyle w:val="Tabletext"/>
              <w:keepNext/>
              <w:keepLines/>
              <w:jc w:val="center"/>
              <w:rPr>
                <w:rFonts w:eastAsia="Arial"/>
              </w:rPr>
            </w:pPr>
          </w:p>
        </w:tc>
        <w:tc>
          <w:tcPr>
            <w:tcW w:w="2040" w:type="dxa"/>
            <w:tcBorders>
              <w:top w:val="single" w:sz="4" w:space="0" w:color="auto"/>
              <w:left w:val="nil"/>
              <w:bottom w:val="single" w:sz="4" w:space="0" w:color="auto"/>
              <w:right w:val="nil"/>
            </w:tcBorders>
          </w:tcPr>
          <w:p w14:paraId="4D84047F" w14:textId="77777777" w:rsidR="00E5561C" w:rsidRPr="00D33C2C" w:rsidRDefault="00E5561C" w:rsidP="008264F7">
            <w:pPr>
              <w:pStyle w:val="Tabletext"/>
              <w:keepNext/>
              <w:keepLines/>
              <w:jc w:val="center"/>
              <w:rPr>
                <w:rFonts w:eastAsia="Arial"/>
              </w:rPr>
            </w:pPr>
          </w:p>
        </w:tc>
        <w:tc>
          <w:tcPr>
            <w:tcW w:w="1939" w:type="dxa"/>
            <w:tcBorders>
              <w:top w:val="single" w:sz="4" w:space="0" w:color="auto"/>
              <w:left w:val="nil"/>
              <w:bottom w:val="single" w:sz="4" w:space="0" w:color="auto"/>
              <w:right w:val="single" w:sz="4" w:space="0" w:color="auto"/>
            </w:tcBorders>
          </w:tcPr>
          <w:p w14:paraId="5CAD68DB" w14:textId="77777777" w:rsidR="00E5561C" w:rsidRPr="00D33C2C" w:rsidRDefault="00E5561C" w:rsidP="008264F7">
            <w:pPr>
              <w:pStyle w:val="Tabletext"/>
              <w:keepNext/>
              <w:keepLines/>
              <w:jc w:val="center"/>
              <w:rPr>
                <w:rFonts w:eastAsia="Arial"/>
              </w:rPr>
            </w:pPr>
          </w:p>
        </w:tc>
      </w:tr>
      <w:tr w:rsidR="00E5561C" w:rsidRPr="00D33C2C" w14:paraId="19EAB496" w14:textId="77777777" w:rsidTr="008277EE">
        <w:trPr>
          <w:trHeight w:val="113"/>
        </w:trPr>
        <w:tc>
          <w:tcPr>
            <w:tcW w:w="3112" w:type="dxa"/>
            <w:tcBorders>
              <w:top w:val="single" w:sz="4" w:space="0" w:color="auto"/>
              <w:left w:val="single" w:sz="6" w:space="0" w:color="auto"/>
            </w:tcBorders>
          </w:tcPr>
          <w:p w14:paraId="273CDC9D" w14:textId="77777777" w:rsidR="00E5561C" w:rsidRPr="00D33C2C" w:rsidRDefault="00E5561C" w:rsidP="008264F7">
            <w:pPr>
              <w:pStyle w:val="Tabletext"/>
              <w:keepNext/>
              <w:keepLines/>
              <w:rPr>
                <w:rFonts w:eastAsia="Arial"/>
              </w:rPr>
            </w:pPr>
            <w:r w:rsidRPr="00D33C2C">
              <w:rPr>
                <w:rFonts w:eastAsia="Arial"/>
              </w:rPr>
              <w:t>Events, n (%)</w:t>
            </w:r>
          </w:p>
        </w:tc>
        <w:tc>
          <w:tcPr>
            <w:tcW w:w="1920" w:type="dxa"/>
            <w:tcBorders>
              <w:top w:val="single" w:sz="4" w:space="0" w:color="auto"/>
            </w:tcBorders>
          </w:tcPr>
          <w:p w14:paraId="64E82C94" w14:textId="77777777" w:rsidR="00E5561C" w:rsidRPr="00D33C2C" w:rsidRDefault="00E5561C" w:rsidP="008264F7">
            <w:pPr>
              <w:pStyle w:val="Tabletext"/>
              <w:keepNext/>
              <w:keepLines/>
              <w:jc w:val="center"/>
              <w:rPr>
                <w:rFonts w:eastAsia="Arial"/>
              </w:rPr>
            </w:pPr>
            <w:r w:rsidRPr="00D33C2C">
              <w:rPr>
                <w:rFonts w:eastAsia="Arial"/>
              </w:rPr>
              <w:t>2 (3%)</w:t>
            </w:r>
          </w:p>
        </w:tc>
        <w:tc>
          <w:tcPr>
            <w:tcW w:w="2040" w:type="dxa"/>
            <w:tcBorders>
              <w:top w:val="single" w:sz="4" w:space="0" w:color="auto"/>
              <w:right w:val="single" w:sz="6" w:space="0" w:color="auto"/>
            </w:tcBorders>
          </w:tcPr>
          <w:p w14:paraId="3A0316C9" w14:textId="77777777" w:rsidR="00E5561C" w:rsidRPr="00D33C2C" w:rsidRDefault="00E5561C" w:rsidP="008264F7">
            <w:pPr>
              <w:pStyle w:val="Tabletext"/>
              <w:keepNext/>
              <w:keepLines/>
              <w:jc w:val="center"/>
              <w:rPr>
                <w:rFonts w:eastAsia="Arial"/>
              </w:rPr>
            </w:pPr>
            <w:r w:rsidRPr="00D33C2C">
              <w:rPr>
                <w:rFonts w:eastAsia="Arial"/>
              </w:rPr>
              <w:t>31 (39%)</w:t>
            </w:r>
          </w:p>
        </w:tc>
        <w:tc>
          <w:tcPr>
            <w:tcW w:w="1939" w:type="dxa"/>
            <w:tcBorders>
              <w:top w:val="single" w:sz="4" w:space="0" w:color="auto"/>
              <w:right w:val="single" w:sz="6" w:space="0" w:color="auto"/>
            </w:tcBorders>
          </w:tcPr>
          <w:p w14:paraId="238E01E0" w14:textId="77777777" w:rsidR="00E5561C" w:rsidRPr="00D33C2C" w:rsidRDefault="00E5561C" w:rsidP="008264F7">
            <w:pPr>
              <w:pStyle w:val="Tabletext"/>
              <w:keepNext/>
              <w:keepLines/>
              <w:jc w:val="center"/>
              <w:rPr>
                <w:rFonts w:eastAsia="Arial"/>
              </w:rPr>
            </w:pPr>
            <w:r w:rsidRPr="00D33C2C">
              <w:rPr>
                <w:rFonts w:eastAsia="Arial"/>
              </w:rPr>
              <w:t>-</w:t>
            </w:r>
          </w:p>
        </w:tc>
      </w:tr>
      <w:tr w:rsidR="00E5561C" w:rsidRPr="00D33C2C" w14:paraId="3A793A83" w14:textId="77777777" w:rsidTr="008277EE">
        <w:trPr>
          <w:trHeight w:val="113"/>
        </w:trPr>
        <w:tc>
          <w:tcPr>
            <w:tcW w:w="3112" w:type="dxa"/>
            <w:tcBorders>
              <w:left w:val="single" w:sz="6" w:space="0" w:color="auto"/>
            </w:tcBorders>
          </w:tcPr>
          <w:p w14:paraId="5C1E9989" w14:textId="77777777" w:rsidR="00E5561C" w:rsidRPr="00D33C2C" w:rsidRDefault="00E5561C" w:rsidP="008264F7">
            <w:pPr>
              <w:pStyle w:val="Tabletext"/>
              <w:keepNext/>
              <w:keepLines/>
              <w:rPr>
                <w:rFonts w:eastAsia="Arial"/>
              </w:rPr>
            </w:pPr>
            <w:r w:rsidRPr="00D33C2C">
              <w:rPr>
                <w:rFonts w:eastAsia="Arial"/>
              </w:rPr>
              <w:t>p value</w:t>
            </w:r>
          </w:p>
        </w:tc>
        <w:tc>
          <w:tcPr>
            <w:tcW w:w="1920" w:type="dxa"/>
            <w:tcBorders>
              <w:right w:val="single" w:sz="6" w:space="0" w:color="auto"/>
            </w:tcBorders>
          </w:tcPr>
          <w:p w14:paraId="1CF4FBB5" w14:textId="77777777" w:rsidR="00E5561C" w:rsidRPr="00D33C2C" w:rsidRDefault="00E5561C" w:rsidP="008264F7">
            <w:pPr>
              <w:pStyle w:val="Tabletext"/>
              <w:keepNext/>
              <w:keepLines/>
              <w:jc w:val="center"/>
              <w:rPr>
                <w:rFonts w:eastAsia="Arial"/>
              </w:rPr>
            </w:pPr>
            <w:r w:rsidRPr="00D33C2C">
              <w:rPr>
                <w:rFonts w:eastAsia="Arial"/>
              </w:rPr>
              <w:t>-</w:t>
            </w:r>
          </w:p>
        </w:tc>
        <w:tc>
          <w:tcPr>
            <w:tcW w:w="2040" w:type="dxa"/>
            <w:tcBorders>
              <w:right w:val="single" w:sz="6" w:space="0" w:color="auto"/>
            </w:tcBorders>
          </w:tcPr>
          <w:p w14:paraId="7D69078C" w14:textId="77777777" w:rsidR="00E5561C" w:rsidRPr="00D33C2C" w:rsidRDefault="00E5561C" w:rsidP="008264F7">
            <w:pPr>
              <w:pStyle w:val="Tabletext"/>
              <w:keepNext/>
              <w:keepLines/>
              <w:jc w:val="center"/>
              <w:rPr>
                <w:rFonts w:eastAsia="Arial"/>
              </w:rPr>
            </w:pPr>
            <w:r w:rsidRPr="00D33C2C">
              <w:rPr>
                <w:rFonts w:eastAsia="Arial"/>
              </w:rPr>
              <w:t>0.0023</w:t>
            </w:r>
          </w:p>
        </w:tc>
        <w:tc>
          <w:tcPr>
            <w:tcW w:w="1939" w:type="dxa"/>
            <w:tcBorders>
              <w:right w:val="single" w:sz="6" w:space="0" w:color="auto"/>
            </w:tcBorders>
          </w:tcPr>
          <w:p w14:paraId="415379EC" w14:textId="77777777" w:rsidR="00E5561C" w:rsidRPr="00D33C2C" w:rsidRDefault="00E5561C" w:rsidP="008264F7">
            <w:pPr>
              <w:pStyle w:val="Tabletext"/>
              <w:keepNext/>
              <w:keepLines/>
              <w:jc w:val="center"/>
              <w:rPr>
                <w:rFonts w:eastAsia="Arial"/>
              </w:rPr>
            </w:pPr>
            <w:r w:rsidRPr="00D33C2C">
              <w:rPr>
                <w:rFonts w:eastAsia="Arial"/>
              </w:rPr>
              <w:t>-</w:t>
            </w:r>
          </w:p>
        </w:tc>
      </w:tr>
      <w:tr w:rsidR="00E5561C" w:rsidRPr="00D33C2C" w14:paraId="3582896F" w14:textId="77777777" w:rsidTr="008277EE">
        <w:trPr>
          <w:trHeight w:val="113"/>
        </w:trPr>
        <w:tc>
          <w:tcPr>
            <w:tcW w:w="3112" w:type="dxa"/>
            <w:tcBorders>
              <w:left w:val="single" w:sz="6" w:space="0" w:color="auto"/>
              <w:bottom w:val="single" w:sz="4" w:space="0" w:color="auto"/>
            </w:tcBorders>
          </w:tcPr>
          <w:p w14:paraId="57C67D05" w14:textId="77777777" w:rsidR="00E5561C" w:rsidRPr="00D33C2C" w:rsidRDefault="00E5561C" w:rsidP="008264F7">
            <w:pPr>
              <w:pStyle w:val="Tabletext"/>
              <w:keepNext/>
              <w:keepLines/>
              <w:rPr>
                <w:rFonts w:eastAsia="Arial"/>
              </w:rPr>
            </w:pPr>
            <w:r w:rsidRPr="00D33C2C">
              <w:rPr>
                <w:rFonts w:eastAsia="Arial"/>
              </w:rPr>
              <w:t>HR (95% CI)</w:t>
            </w:r>
          </w:p>
        </w:tc>
        <w:tc>
          <w:tcPr>
            <w:tcW w:w="1920" w:type="dxa"/>
            <w:tcBorders>
              <w:bottom w:val="single" w:sz="4" w:space="0" w:color="auto"/>
              <w:right w:val="single" w:sz="6" w:space="0" w:color="auto"/>
            </w:tcBorders>
          </w:tcPr>
          <w:p w14:paraId="74B702F4" w14:textId="77777777" w:rsidR="00E5561C" w:rsidRPr="00D33C2C" w:rsidRDefault="00E5561C" w:rsidP="008264F7">
            <w:pPr>
              <w:pStyle w:val="Tabletext"/>
              <w:keepNext/>
              <w:keepLines/>
              <w:jc w:val="center"/>
              <w:rPr>
                <w:rFonts w:eastAsia="Arial"/>
              </w:rPr>
            </w:pPr>
            <w:r w:rsidRPr="00D33C2C">
              <w:rPr>
                <w:rFonts w:eastAsia="Arial"/>
              </w:rPr>
              <w:t>-</w:t>
            </w:r>
          </w:p>
        </w:tc>
        <w:tc>
          <w:tcPr>
            <w:tcW w:w="2040" w:type="dxa"/>
            <w:tcBorders>
              <w:bottom w:val="single" w:sz="4" w:space="0" w:color="auto"/>
              <w:right w:val="single" w:sz="6" w:space="0" w:color="auto"/>
            </w:tcBorders>
          </w:tcPr>
          <w:p w14:paraId="2BF93830" w14:textId="77777777" w:rsidR="00E5561C" w:rsidRPr="00D33C2C" w:rsidRDefault="00E5561C" w:rsidP="008264F7">
            <w:pPr>
              <w:pStyle w:val="Tabletext"/>
              <w:keepNext/>
              <w:keepLines/>
              <w:jc w:val="center"/>
              <w:rPr>
                <w:rFonts w:eastAsia="Arial"/>
              </w:rPr>
            </w:pPr>
            <w:r w:rsidRPr="00D33C2C">
              <w:rPr>
                <w:rFonts w:eastAsia="Arial"/>
              </w:rPr>
              <w:t>0.13 (0.04, 0.39)</w:t>
            </w:r>
          </w:p>
        </w:tc>
        <w:tc>
          <w:tcPr>
            <w:tcW w:w="1939" w:type="dxa"/>
            <w:tcBorders>
              <w:bottom w:val="single" w:sz="4" w:space="0" w:color="auto"/>
              <w:right w:val="single" w:sz="6" w:space="0" w:color="auto"/>
            </w:tcBorders>
          </w:tcPr>
          <w:p w14:paraId="12ED527F" w14:textId="77777777" w:rsidR="00E5561C" w:rsidRPr="00D33C2C" w:rsidRDefault="00E5561C" w:rsidP="008264F7">
            <w:pPr>
              <w:pStyle w:val="Tabletext"/>
              <w:keepNext/>
              <w:keepLines/>
              <w:jc w:val="center"/>
              <w:rPr>
                <w:rFonts w:eastAsia="Arial"/>
              </w:rPr>
            </w:pPr>
            <w:r w:rsidRPr="00D33C2C">
              <w:rPr>
                <w:rFonts w:eastAsia="Arial"/>
              </w:rPr>
              <w:t>-</w:t>
            </w:r>
          </w:p>
        </w:tc>
      </w:tr>
      <w:tr w:rsidR="00E5561C" w:rsidRPr="00D33C2C" w14:paraId="5B692786" w14:textId="77777777" w:rsidTr="008277EE">
        <w:trPr>
          <w:trHeight w:val="113"/>
        </w:trPr>
        <w:tc>
          <w:tcPr>
            <w:tcW w:w="3112" w:type="dxa"/>
            <w:tcBorders>
              <w:top w:val="single" w:sz="4" w:space="0" w:color="auto"/>
              <w:left w:val="single" w:sz="4" w:space="0" w:color="auto"/>
              <w:bottom w:val="single" w:sz="4" w:space="0" w:color="auto"/>
              <w:right w:val="nil"/>
            </w:tcBorders>
          </w:tcPr>
          <w:p w14:paraId="6BDF431C" w14:textId="25EF9C2C" w:rsidR="00E5561C" w:rsidRPr="00D33C2C" w:rsidRDefault="00E5561C" w:rsidP="008264F7">
            <w:pPr>
              <w:pStyle w:val="Tabletext"/>
              <w:keepNext/>
              <w:keepLines/>
              <w:rPr>
                <w:rFonts w:eastAsia="Arial"/>
                <w:b/>
                <w:bCs/>
              </w:rPr>
            </w:pPr>
            <w:r w:rsidRPr="00D33C2C">
              <w:rPr>
                <w:rFonts w:eastAsia="Arial"/>
                <w:b/>
                <w:bCs/>
              </w:rPr>
              <w:t>Overall Survival</w:t>
            </w:r>
            <w:r w:rsidR="00577672">
              <w:rPr>
                <w:rFonts w:eastAsia="Arial"/>
                <w:b/>
                <w:bCs/>
              </w:rPr>
              <w:t xml:space="preserve"> </w:t>
            </w:r>
            <w:r w:rsidR="00577672">
              <w:rPr>
                <w:rFonts w:eastAsia="Arial"/>
                <w:b/>
                <w:bCs/>
                <w:vertAlign w:val="superscript"/>
              </w:rPr>
              <w:t>d</w:t>
            </w:r>
          </w:p>
        </w:tc>
        <w:tc>
          <w:tcPr>
            <w:tcW w:w="1920" w:type="dxa"/>
            <w:tcBorders>
              <w:top w:val="single" w:sz="4" w:space="0" w:color="auto"/>
              <w:left w:val="nil"/>
              <w:bottom w:val="single" w:sz="4" w:space="0" w:color="auto"/>
              <w:right w:val="nil"/>
            </w:tcBorders>
          </w:tcPr>
          <w:p w14:paraId="6F1E7691" w14:textId="77777777" w:rsidR="00E5561C" w:rsidRPr="00D33C2C" w:rsidRDefault="00E5561C" w:rsidP="008264F7">
            <w:pPr>
              <w:pStyle w:val="Tabletext"/>
              <w:keepNext/>
              <w:keepLines/>
              <w:jc w:val="center"/>
              <w:rPr>
                <w:rFonts w:eastAsia="Arial"/>
              </w:rPr>
            </w:pPr>
          </w:p>
        </w:tc>
        <w:tc>
          <w:tcPr>
            <w:tcW w:w="2040" w:type="dxa"/>
            <w:tcBorders>
              <w:top w:val="single" w:sz="4" w:space="0" w:color="auto"/>
              <w:left w:val="nil"/>
              <w:bottom w:val="single" w:sz="4" w:space="0" w:color="auto"/>
              <w:right w:val="nil"/>
            </w:tcBorders>
          </w:tcPr>
          <w:p w14:paraId="7EB77A01" w14:textId="77777777" w:rsidR="00E5561C" w:rsidRPr="00D33C2C" w:rsidRDefault="00E5561C" w:rsidP="008264F7">
            <w:pPr>
              <w:pStyle w:val="Tabletext"/>
              <w:keepNext/>
              <w:keepLines/>
              <w:jc w:val="center"/>
              <w:rPr>
                <w:rFonts w:eastAsia="Arial"/>
              </w:rPr>
            </w:pPr>
          </w:p>
        </w:tc>
        <w:tc>
          <w:tcPr>
            <w:tcW w:w="1939" w:type="dxa"/>
            <w:tcBorders>
              <w:top w:val="single" w:sz="4" w:space="0" w:color="auto"/>
              <w:left w:val="nil"/>
              <w:bottom w:val="single" w:sz="4" w:space="0" w:color="auto"/>
              <w:right w:val="single" w:sz="4" w:space="0" w:color="auto"/>
            </w:tcBorders>
          </w:tcPr>
          <w:p w14:paraId="5FD076C4" w14:textId="77777777" w:rsidR="00E5561C" w:rsidRPr="00D33C2C" w:rsidRDefault="00E5561C" w:rsidP="008264F7">
            <w:pPr>
              <w:pStyle w:val="Tabletext"/>
              <w:keepNext/>
              <w:keepLines/>
              <w:jc w:val="center"/>
              <w:rPr>
                <w:rFonts w:eastAsia="Arial"/>
              </w:rPr>
            </w:pPr>
          </w:p>
        </w:tc>
      </w:tr>
      <w:tr w:rsidR="00E5561C" w:rsidRPr="00D33C2C" w14:paraId="4534477F" w14:textId="77777777" w:rsidTr="008277EE">
        <w:trPr>
          <w:trHeight w:val="113"/>
        </w:trPr>
        <w:tc>
          <w:tcPr>
            <w:tcW w:w="3112" w:type="dxa"/>
            <w:tcBorders>
              <w:top w:val="single" w:sz="4" w:space="0" w:color="auto"/>
              <w:left w:val="single" w:sz="6" w:space="0" w:color="auto"/>
            </w:tcBorders>
          </w:tcPr>
          <w:p w14:paraId="6C1E3637" w14:textId="77777777" w:rsidR="00E5561C" w:rsidRPr="00D33C2C" w:rsidRDefault="00E5561C" w:rsidP="008264F7">
            <w:pPr>
              <w:pStyle w:val="Tabletext"/>
              <w:keepNext/>
              <w:keepLines/>
              <w:rPr>
                <w:rFonts w:eastAsia="Arial"/>
              </w:rPr>
            </w:pPr>
            <w:r w:rsidRPr="00D33C2C">
              <w:rPr>
                <w:rFonts w:eastAsia="Arial"/>
              </w:rPr>
              <w:t>Events, n (%)</w:t>
            </w:r>
          </w:p>
        </w:tc>
        <w:tc>
          <w:tcPr>
            <w:tcW w:w="1920" w:type="dxa"/>
            <w:tcBorders>
              <w:top w:val="single" w:sz="4" w:space="0" w:color="auto"/>
            </w:tcBorders>
          </w:tcPr>
          <w:p w14:paraId="5E12C374" w14:textId="77777777" w:rsidR="00E5561C" w:rsidRPr="00D33C2C" w:rsidRDefault="00E5561C" w:rsidP="008264F7">
            <w:pPr>
              <w:pStyle w:val="Tabletext"/>
              <w:keepNext/>
              <w:keepLines/>
              <w:jc w:val="center"/>
              <w:rPr>
                <w:rFonts w:eastAsia="Arial"/>
              </w:rPr>
            </w:pPr>
            <w:r w:rsidRPr="00D33C2C">
              <w:rPr>
                <w:rFonts w:eastAsia="Arial"/>
              </w:rPr>
              <w:t>0 (0%)</w:t>
            </w:r>
          </w:p>
        </w:tc>
        <w:tc>
          <w:tcPr>
            <w:tcW w:w="2040" w:type="dxa"/>
            <w:tcBorders>
              <w:top w:val="single" w:sz="4" w:space="0" w:color="auto"/>
              <w:right w:val="single" w:sz="6" w:space="0" w:color="auto"/>
            </w:tcBorders>
          </w:tcPr>
          <w:p w14:paraId="10E13380" w14:textId="77777777" w:rsidR="00E5561C" w:rsidRPr="00D33C2C" w:rsidRDefault="00E5561C" w:rsidP="008264F7">
            <w:pPr>
              <w:pStyle w:val="Tabletext"/>
              <w:keepNext/>
              <w:keepLines/>
              <w:jc w:val="center"/>
              <w:rPr>
                <w:rFonts w:eastAsia="Arial"/>
              </w:rPr>
            </w:pPr>
            <w:r w:rsidRPr="00D33C2C">
              <w:rPr>
                <w:rFonts w:eastAsia="Arial"/>
              </w:rPr>
              <w:t>4 (5%)</w:t>
            </w:r>
          </w:p>
        </w:tc>
        <w:tc>
          <w:tcPr>
            <w:tcW w:w="1939" w:type="dxa"/>
            <w:tcBorders>
              <w:top w:val="single" w:sz="4" w:space="0" w:color="auto"/>
              <w:right w:val="single" w:sz="6" w:space="0" w:color="auto"/>
            </w:tcBorders>
          </w:tcPr>
          <w:p w14:paraId="2A8180BB" w14:textId="77777777" w:rsidR="00E5561C" w:rsidRPr="00D33C2C" w:rsidRDefault="00E5561C" w:rsidP="008264F7">
            <w:pPr>
              <w:pStyle w:val="Tabletext"/>
              <w:keepNext/>
              <w:keepLines/>
              <w:jc w:val="center"/>
              <w:rPr>
                <w:rFonts w:eastAsia="Arial"/>
              </w:rPr>
            </w:pPr>
            <w:r w:rsidRPr="00D33C2C">
              <w:rPr>
                <w:rFonts w:eastAsia="Arial" w:cs="Arial"/>
                <w:szCs w:val="20"/>
              </w:rPr>
              <w:t>2 (8%)</w:t>
            </w:r>
          </w:p>
        </w:tc>
      </w:tr>
      <w:tr w:rsidR="00E5561C" w:rsidRPr="00D33C2C" w14:paraId="240E95C6" w14:textId="77777777" w:rsidTr="008277EE">
        <w:trPr>
          <w:trHeight w:val="113"/>
        </w:trPr>
        <w:tc>
          <w:tcPr>
            <w:tcW w:w="3112" w:type="dxa"/>
            <w:tcBorders>
              <w:left w:val="single" w:sz="6" w:space="0" w:color="auto"/>
            </w:tcBorders>
          </w:tcPr>
          <w:p w14:paraId="01A7AA82" w14:textId="77777777" w:rsidR="00E5561C" w:rsidRPr="00D33C2C" w:rsidRDefault="00E5561C" w:rsidP="008264F7">
            <w:pPr>
              <w:pStyle w:val="Tabletext"/>
              <w:keepNext/>
              <w:keepLines/>
              <w:rPr>
                <w:rFonts w:eastAsia="Arial"/>
              </w:rPr>
            </w:pPr>
            <w:r w:rsidRPr="00D33C2C">
              <w:rPr>
                <w:rFonts w:eastAsia="Arial"/>
              </w:rPr>
              <w:t>p value</w:t>
            </w:r>
          </w:p>
        </w:tc>
        <w:tc>
          <w:tcPr>
            <w:tcW w:w="1920" w:type="dxa"/>
            <w:tcBorders>
              <w:right w:val="single" w:sz="6" w:space="0" w:color="auto"/>
            </w:tcBorders>
          </w:tcPr>
          <w:p w14:paraId="1844E8C3" w14:textId="77777777" w:rsidR="00E5561C" w:rsidRPr="00D33C2C" w:rsidRDefault="00E5561C" w:rsidP="008264F7">
            <w:pPr>
              <w:pStyle w:val="Tabletext"/>
              <w:keepNext/>
              <w:keepLines/>
              <w:jc w:val="center"/>
              <w:rPr>
                <w:rFonts w:eastAsia="Arial"/>
              </w:rPr>
            </w:pPr>
            <w:r w:rsidRPr="00D33C2C">
              <w:rPr>
                <w:rFonts w:eastAsia="Arial"/>
              </w:rPr>
              <w:t>-</w:t>
            </w:r>
          </w:p>
        </w:tc>
        <w:tc>
          <w:tcPr>
            <w:tcW w:w="2040" w:type="dxa"/>
            <w:tcBorders>
              <w:right w:val="single" w:sz="6" w:space="0" w:color="auto"/>
            </w:tcBorders>
          </w:tcPr>
          <w:p w14:paraId="26A248C6" w14:textId="77777777" w:rsidR="00E5561C" w:rsidRPr="00D33C2C" w:rsidRDefault="00E5561C" w:rsidP="008264F7">
            <w:pPr>
              <w:pStyle w:val="Tabletext"/>
              <w:keepNext/>
              <w:keepLines/>
              <w:jc w:val="center"/>
              <w:rPr>
                <w:rFonts w:eastAsia="Arial"/>
              </w:rPr>
            </w:pPr>
            <w:r w:rsidRPr="00D33C2C">
              <w:rPr>
                <w:rFonts w:eastAsia="Arial"/>
              </w:rPr>
              <w:t>0.0845</w:t>
            </w:r>
          </w:p>
        </w:tc>
        <w:tc>
          <w:tcPr>
            <w:tcW w:w="1939" w:type="dxa"/>
            <w:tcBorders>
              <w:right w:val="single" w:sz="6" w:space="0" w:color="auto"/>
            </w:tcBorders>
          </w:tcPr>
          <w:p w14:paraId="3ACEA14B" w14:textId="77777777" w:rsidR="00E5561C" w:rsidRPr="00D33C2C" w:rsidRDefault="00E5561C" w:rsidP="008264F7">
            <w:pPr>
              <w:pStyle w:val="Tabletext"/>
              <w:keepNext/>
              <w:keepLines/>
              <w:jc w:val="center"/>
              <w:rPr>
                <w:rFonts w:eastAsia="Arial"/>
              </w:rPr>
            </w:pPr>
            <w:r w:rsidRPr="00D33C2C">
              <w:rPr>
                <w:rFonts w:eastAsia="Arial" w:cs="Arial"/>
                <w:szCs w:val="20"/>
              </w:rPr>
              <w:t>0.0445</w:t>
            </w:r>
          </w:p>
        </w:tc>
      </w:tr>
      <w:tr w:rsidR="00E5561C" w:rsidRPr="00D33C2C" w14:paraId="0A3BAB16" w14:textId="77777777" w:rsidTr="008277EE">
        <w:trPr>
          <w:trHeight w:val="113"/>
        </w:trPr>
        <w:tc>
          <w:tcPr>
            <w:tcW w:w="3112" w:type="dxa"/>
            <w:tcBorders>
              <w:left w:val="single" w:sz="6" w:space="0" w:color="auto"/>
            </w:tcBorders>
          </w:tcPr>
          <w:p w14:paraId="5E948EB7" w14:textId="77777777" w:rsidR="00E5561C" w:rsidRPr="00D33C2C" w:rsidRDefault="00E5561C" w:rsidP="008264F7">
            <w:pPr>
              <w:pStyle w:val="Tabletext"/>
              <w:keepNext/>
              <w:keepLines/>
              <w:rPr>
                <w:rFonts w:eastAsia="Arial"/>
              </w:rPr>
            </w:pPr>
            <w:r w:rsidRPr="00D33C2C">
              <w:rPr>
                <w:rFonts w:eastAsia="Arial"/>
              </w:rPr>
              <w:t>HR (95% CI)</w:t>
            </w:r>
          </w:p>
        </w:tc>
        <w:tc>
          <w:tcPr>
            <w:tcW w:w="1920" w:type="dxa"/>
            <w:tcBorders>
              <w:right w:val="single" w:sz="6" w:space="0" w:color="auto"/>
            </w:tcBorders>
          </w:tcPr>
          <w:p w14:paraId="0433EEC1" w14:textId="77777777" w:rsidR="00E5561C" w:rsidRPr="00D33C2C" w:rsidRDefault="00E5561C" w:rsidP="008264F7">
            <w:pPr>
              <w:pStyle w:val="Tabletext"/>
              <w:keepNext/>
              <w:keepLines/>
              <w:jc w:val="center"/>
              <w:rPr>
                <w:rFonts w:eastAsia="Arial"/>
              </w:rPr>
            </w:pPr>
            <w:r w:rsidRPr="00D33C2C">
              <w:rPr>
                <w:rFonts w:eastAsia="Arial"/>
              </w:rPr>
              <w:t>-</w:t>
            </w:r>
          </w:p>
        </w:tc>
        <w:tc>
          <w:tcPr>
            <w:tcW w:w="2040" w:type="dxa"/>
            <w:tcBorders>
              <w:right w:val="single" w:sz="6" w:space="0" w:color="auto"/>
            </w:tcBorders>
          </w:tcPr>
          <w:p w14:paraId="575B27A5" w14:textId="77777777" w:rsidR="00E5561C" w:rsidRPr="00D33C2C" w:rsidRDefault="00E5561C" w:rsidP="008264F7">
            <w:pPr>
              <w:pStyle w:val="Tabletext"/>
              <w:keepNext/>
              <w:keepLines/>
              <w:jc w:val="center"/>
              <w:rPr>
                <w:rFonts w:eastAsia="Arial"/>
              </w:rPr>
            </w:pPr>
            <w:r w:rsidRPr="00D33C2C">
              <w:rPr>
                <w:rFonts w:eastAsia="Arial"/>
              </w:rPr>
              <w:t>0 (0, NE)</w:t>
            </w:r>
          </w:p>
        </w:tc>
        <w:tc>
          <w:tcPr>
            <w:tcW w:w="1939" w:type="dxa"/>
            <w:tcBorders>
              <w:right w:val="single" w:sz="6" w:space="0" w:color="auto"/>
            </w:tcBorders>
          </w:tcPr>
          <w:p w14:paraId="5F0CD45C" w14:textId="77777777" w:rsidR="00E5561C" w:rsidRPr="00D33C2C" w:rsidRDefault="00E5561C" w:rsidP="008264F7">
            <w:pPr>
              <w:pStyle w:val="Tabletext"/>
              <w:keepNext/>
              <w:keepLines/>
              <w:jc w:val="center"/>
              <w:rPr>
                <w:rFonts w:eastAsia="Arial"/>
              </w:rPr>
            </w:pPr>
            <w:r w:rsidRPr="00D33C2C">
              <w:rPr>
                <w:rFonts w:eastAsia="Arial" w:cs="Arial"/>
                <w:szCs w:val="20"/>
              </w:rPr>
              <w:t>0 (0, NE)</w:t>
            </w:r>
          </w:p>
        </w:tc>
      </w:tr>
    </w:tbl>
    <w:p w14:paraId="2E1F206B" w14:textId="77777777" w:rsidR="00E5561C" w:rsidRPr="00D33C2C" w:rsidRDefault="00E5561C" w:rsidP="008264F7">
      <w:pPr>
        <w:pStyle w:val="TableFigureFooter"/>
        <w:keepNext/>
        <w:keepLines/>
      </w:pPr>
      <w:r w:rsidRPr="00D33C2C">
        <w:t>Source: Table 2-29 and 2-30, pp120-21 of the submission</w:t>
      </w:r>
    </w:p>
    <w:p w14:paraId="7B2B6FE6" w14:textId="386785E4" w:rsidR="00E5561C" w:rsidRPr="00D33C2C" w:rsidRDefault="005431D0" w:rsidP="008264F7">
      <w:pPr>
        <w:pStyle w:val="TableFigureFooter"/>
        <w:keepNext/>
        <w:keepLines/>
      </w:pPr>
      <w:r>
        <w:t xml:space="preserve">CI = confidence interval; </w:t>
      </w:r>
      <w:r w:rsidR="00E5561C" w:rsidRPr="00D33C2C">
        <w:t xml:space="preserve">HR = hazard ratio; </w:t>
      </w:r>
      <w:r w:rsidR="003D12EE">
        <w:t xml:space="preserve">NE = not </w:t>
      </w:r>
      <w:r w:rsidR="00DE7B08">
        <w:t>estimable</w:t>
      </w:r>
    </w:p>
    <w:p w14:paraId="44573622" w14:textId="57FE2D94" w:rsidR="00E5561C" w:rsidRDefault="00E5561C" w:rsidP="008264F7">
      <w:pPr>
        <w:pStyle w:val="TableFigureFooter"/>
        <w:keepNext/>
        <w:keepLines/>
      </w:pPr>
      <w:r w:rsidRPr="00D33C2C">
        <w:rPr>
          <w:b/>
          <w:bCs/>
        </w:rPr>
        <w:t>Bold text</w:t>
      </w:r>
      <w:r w:rsidRPr="00D33C2C">
        <w:t xml:space="preserve"> indicates statistically significant difference (p&lt;0.05)</w:t>
      </w:r>
      <w:r w:rsidR="00BC4633" w:rsidRPr="00D33C2C">
        <w:t xml:space="preserve">. </w:t>
      </w:r>
      <w:r w:rsidRPr="00D33C2C">
        <w:t>Sample sizes and events are unweighted. HRs and p values for odevixibat vs control cohorts are weighted</w:t>
      </w:r>
      <w:r w:rsidR="00BC4633" w:rsidRPr="00D33C2C">
        <w:t>.</w:t>
      </w:r>
      <w:r w:rsidR="00D30DDF" w:rsidRPr="00D33C2C">
        <w:t xml:space="preserve"> </w:t>
      </w:r>
      <w:r w:rsidRPr="00D33C2C">
        <w:t>Secondary endpoints</w:t>
      </w:r>
      <w:r w:rsidR="00A43B53">
        <w:t xml:space="preserve"> (native liver survival, diversion-free survival, and overall survival) </w:t>
      </w:r>
      <w:r w:rsidRPr="00D33C2C">
        <w:t>were not adjusted for multiplicity.</w:t>
      </w:r>
    </w:p>
    <w:p w14:paraId="085B024A" w14:textId="2B0A4004" w:rsidR="005431D0" w:rsidRPr="00D33C2C" w:rsidRDefault="00577672" w:rsidP="008264F7">
      <w:pPr>
        <w:pStyle w:val="TableFigureFooter"/>
        <w:keepNext/>
        <w:keepLines/>
      </w:pPr>
      <w:r>
        <w:rPr>
          <w:vertAlign w:val="superscript"/>
        </w:rPr>
        <w:t xml:space="preserve">a </w:t>
      </w:r>
      <w:r w:rsidR="005431D0" w:rsidRPr="00D33C2C">
        <w:t>E</w:t>
      </w:r>
      <w:r w:rsidR="008264F7">
        <w:t xml:space="preserve">vent free survival </w:t>
      </w:r>
      <w:r w:rsidR="005431D0" w:rsidRPr="00D33C2C">
        <w:t>defined as time to first surgical biliary diversion, liver transplant, or death</w:t>
      </w:r>
    </w:p>
    <w:p w14:paraId="26737680" w14:textId="24841BB3" w:rsidR="005431D0" w:rsidRPr="00D33C2C" w:rsidRDefault="00577672" w:rsidP="008264F7">
      <w:pPr>
        <w:pStyle w:val="TableFigureFooter"/>
        <w:keepNext/>
        <w:keepLines/>
      </w:pPr>
      <w:r>
        <w:rPr>
          <w:vertAlign w:val="superscript"/>
        </w:rPr>
        <w:t xml:space="preserve">b </w:t>
      </w:r>
      <w:r w:rsidR="005431D0">
        <w:t>Native liver survival</w:t>
      </w:r>
      <w:r w:rsidR="005431D0" w:rsidRPr="00D33C2C">
        <w:t xml:space="preserve"> defined as time to first liver transplant or death</w:t>
      </w:r>
    </w:p>
    <w:p w14:paraId="3695C705" w14:textId="6F5E5CDB" w:rsidR="005431D0" w:rsidRPr="00D33C2C" w:rsidRDefault="00577672" w:rsidP="008264F7">
      <w:pPr>
        <w:pStyle w:val="TableFigureFooter"/>
        <w:keepNext/>
        <w:keepLines/>
      </w:pPr>
      <w:r>
        <w:rPr>
          <w:vertAlign w:val="superscript"/>
        </w:rPr>
        <w:t xml:space="preserve">c </w:t>
      </w:r>
      <w:r w:rsidR="005431D0">
        <w:t>Diversion-free survival</w:t>
      </w:r>
      <w:r w:rsidR="005431D0" w:rsidRPr="00D33C2C">
        <w:t xml:space="preserve"> defined as time to first </w:t>
      </w:r>
      <w:r w:rsidR="005431D0">
        <w:t xml:space="preserve">biliary </w:t>
      </w:r>
      <w:r w:rsidR="005431D0" w:rsidRPr="00D33C2C">
        <w:t>diversion surgery or death</w:t>
      </w:r>
    </w:p>
    <w:p w14:paraId="0E58AB60" w14:textId="299DDB11" w:rsidR="000A7CED" w:rsidRDefault="00577672" w:rsidP="006005DF">
      <w:pPr>
        <w:pStyle w:val="TableFigureFooter"/>
        <w:contextualSpacing w:val="0"/>
      </w:pPr>
      <w:r>
        <w:rPr>
          <w:vertAlign w:val="superscript"/>
        </w:rPr>
        <w:t xml:space="preserve">d </w:t>
      </w:r>
      <w:r w:rsidR="005431D0">
        <w:t xml:space="preserve">Overall survival </w:t>
      </w:r>
      <w:r w:rsidR="005431D0" w:rsidRPr="00D33C2C">
        <w:t>define as time to death</w:t>
      </w:r>
    </w:p>
    <w:p w14:paraId="26AC86CC" w14:textId="27F94667" w:rsidR="008277EE" w:rsidRPr="00D33C2C" w:rsidRDefault="008277EE" w:rsidP="006005DF">
      <w:pPr>
        <w:pStyle w:val="TableFigureHeading"/>
      </w:pPr>
      <w:bookmarkStart w:id="59" w:name="_Ref164610386"/>
      <w:r w:rsidRPr="00D33C2C">
        <w:lastRenderedPageBreak/>
        <w:t xml:space="preserve">Figure </w:t>
      </w:r>
      <w:r w:rsidR="00DF1200">
        <w:fldChar w:fldCharType="begin"/>
      </w:r>
      <w:r w:rsidR="00DF1200">
        <w:instrText xml:space="preserve"> SEQ Figure \* ARABIC </w:instrText>
      </w:r>
      <w:r w:rsidR="00DF1200">
        <w:fldChar w:fldCharType="separate"/>
      </w:r>
      <w:r w:rsidR="008B4717">
        <w:rPr>
          <w:noProof/>
        </w:rPr>
        <w:t>6</w:t>
      </w:r>
      <w:r w:rsidR="00DF1200">
        <w:rPr>
          <w:noProof/>
        </w:rPr>
        <w:fldChar w:fldCharType="end"/>
      </w:r>
      <w:bookmarkEnd w:id="59"/>
      <w:r w:rsidRPr="00D33C2C">
        <w:t xml:space="preserve">: Primary endpoint: EFS in odevixibat-treated patients and external controls (OvEC </w:t>
      </w:r>
      <w:r>
        <w:t>–</w:t>
      </w:r>
      <w:r w:rsidRPr="00D33C2C">
        <w:t xml:space="preserve"> Part A)</w:t>
      </w:r>
    </w:p>
    <w:p w14:paraId="60C47F8E" w14:textId="77777777" w:rsidR="00E5561C" w:rsidRPr="00D33C2C" w:rsidRDefault="00E5561C" w:rsidP="006005DF">
      <w:pPr>
        <w:pStyle w:val="3-BodyText"/>
        <w:keepNext/>
        <w:numPr>
          <w:ilvl w:val="0"/>
          <w:numId w:val="0"/>
        </w:numPr>
        <w:spacing w:after="0"/>
      </w:pPr>
      <w:r w:rsidRPr="00D33C2C">
        <w:rPr>
          <w:noProof/>
        </w:rPr>
        <w:drawing>
          <wp:inline distT="0" distB="0" distL="0" distR="0" wp14:anchorId="270D31FD" wp14:editId="4EAA137B">
            <wp:extent cx="5732145" cy="3026410"/>
            <wp:effectExtent l="0" t="0" r="1905" b="2540"/>
            <wp:docPr id="589301249" name="Picture 589301249" descr="Figure 6: Primary endpoint: EFS in odevixibat-treated patients and external controls (OvEC – Part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301249" name="Picture 589301249" descr="Figure 6: Primary endpoint: EFS in odevixibat-treated patients and external controls (OvEC – Part A)"/>
                    <pic:cNvPicPr/>
                  </pic:nvPicPr>
                  <pic:blipFill>
                    <a:blip r:embed="rId13"/>
                    <a:stretch>
                      <a:fillRect/>
                    </a:stretch>
                  </pic:blipFill>
                  <pic:spPr>
                    <a:xfrm>
                      <a:off x="0" y="0"/>
                      <a:ext cx="5732145" cy="3026410"/>
                    </a:xfrm>
                    <a:prstGeom prst="rect">
                      <a:avLst/>
                    </a:prstGeom>
                  </pic:spPr>
                </pic:pic>
              </a:graphicData>
            </a:graphic>
          </wp:inline>
        </w:drawing>
      </w:r>
    </w:p>
    <w:p w14:paraId="571D1C9E" w14:textId="77777777" w:rsidR="00E5561C" w:rsidRPr="00D33C2C" w:rsidRDefault="00E5561C" w:rsidP="006005DF">
      <w:pPr>
        <w:pStyle w:val="TableFigureFooter"/>
        <w:keepNext/>
      </w:pPr>
      <w:r w:rsidRPr="00D33C2C">
        <w:t>Source: Figure 2-32, p120 of the submission</w:t>
      </w:r>
    </w:p>
    <w:p w14:paraId="12DFC79F" w14:textId="77777777" w:rsidR="00E5561C" w:rsidRPr="00D33C2C" w:rsidRDefault="00E5561C" w:rsidP="00E5561C">
      <w:pPr>
        <w:pStyle w:val="TableFigureFooter"/>
      </w:pPr>
      <w:r w:rsidRPr="00D33C2C">
        <w:t>EFS = event free survival; HR = hazard ratio; n = number of patients experiencing event; N = total patients</w:t>
      </w:r>
    </w:p>
    <w:p w14:paraId="2DF9D9A8" w14:textId="455DEB80" w:rsidR="00E5561C" w:rsidRPr="00D33C2C" w:rsidRDefault="00B84481" w:rsidP="00E5561C">
      <w:pPr>
        <w:pStyle w:val="3-BodyText"/>
      </w:pPr>
      <w:bookmarkStart w:id="60" w:name="_Ref164702706"/>
      <w:r w:rsidRPr="00D33C2C">
        <w:t>In OvEC Part A, o</w:t>
      </w:r>
      <w:r w:rsidR="00E5561C" w:rsidRPr="00D33C2C">
        <w:t xml:space="preserve">devixibat-treated patients showed significantly higher EFS than controls </w:t>
      </w:r>
      <w:r w:rsidR="008277EE">
        <w:t xml:space="preserve">from NAPPED </w:t>
      </w:r>
      <w:r w:rsidR="00E5561C" w:rsidRPr="00D33C2C">
        <w:t>(weighted hazard ratio [HR] = 0.20, 95% CI</w:t>
      </w:r>
      <w:r w:rsidR="000A7CED">
        <w:t>:</w:t>
      </w:r>
      <w:r w:rsidR="00E5561C" w:rsidRPr="00D33C2C">
        <w:t xml:space="preserve"> 0.09, 0.45, p=0.0016). Secondary endpoints (native liver survival, diversion-free survival, and OS) were not adjusted for multiplicity</w:t>
      </w:r>
      <w:r w:rsidR="000A7CED">
        <w:t>,</w:t>
      </w:r>
      <w:r w:rsidR="00E5561C" w:rsidRPr="00D33C2C">
        <w:t xml:space="preserve"> hence concluding statistical significance </w:t>
      </w:r>
      <w:r w:rsidR="00A23209">
        <w:t>is uncertain</w:t>
      </w:r>
      <w:r w:rsidR="00E5561C" w:rsidRPr="00D33C2C">
        <w:t>.</w:t>
      </w:r>
      <w:bookmarkEnd w:id="60"/>
      <w:r w:rsidR="00E5561C" w:rsidRPr="00D33C2C">
        <w:t xml:space="preserve"> </w:t>
      </w:r>
    </w:p>
    <w:p w14:paraId="651FD307" w14:textId="52BEC256" w:rsidR="00E5561C" w:rsidRPr="00446A51" w:rsidRDefault="00E5561C" w:rsidP="00EB78B7">
      <w:pPr>
        <w:pStyle w:val="3-BodyText"/>
      </w:pPr>
      <w:r w:rsidRPr="00446A51">
        <w:t xml:space="preserve">As discussed in paragraph </w:t>
      </w:r>
      <w:r w:rsidR="00794F95" w:rsidRPr="00446A51">
        <w:rPr>
          <w:highlight w:val="yellow"/>
        </w:rPr>
        <w:fldChar w:fldCharType="begin"/>
      </w:r>
      <w:r w:rsidR="00794F95" w:rsidRPr="00446A51">
        <w:instrText xml:space="preserve"> REF _Ref164703403 \r \h </w:instrText>
      </w:r>
      <w:r w:rsidR="00794F95">
        <w:rPr>
          <w:highlight w:val="yellow"/>
        </w:rPr>
        <w:instrText xml:space="preserve"> \* MERGEFORMAT </w:instrText>
      </w:r>
      <w:r w:rsidR="00794F95" w:rsidRPr="00446A51">
        <w:rPr>
          <w:highlight w:val="yellow"/>
        </w:rPr>
      </w:r>
      <w:r w:rsidR="00794F95" w:rsidRPr="00446A51">
        <w:rPr>
          <w:highlight w:val="yellow"/>
        </w:rPr>
        <w:fldChar w:fldCharType="separate"/>
      </w:r>
      <w:r w:rsidR="008B4717">
        <w:t>6.14</w:t>
      </w:r>
      <w:r w:rsidR="00794F95" w:rsidRPr="00446A51">
        <w:rPr>
          <w:highlight w:val="yellow"/>
        </w:rPr>
        <w:fldChar w:fldCharType="end"/>
      </w:r>
      <w:r w:rsidR="00794F95" w:rsidRPr="00446A51">
        <w:t xml:space="preserve"> </w:t>
      </w:r>
      <w:r w:rsidR="00220778" w:rsidRPr="00446A51">
        <w:t xml:space="preserve">and </w:t>
      </w:r>
      <w:r w:rsidR="00794F95" w:rsidRPr="00446A51">
        <w:rPr>
          <w:highlight w:val="yellow"/>
        </w:rPr>
        <w:fldChar w:fldCharType="begin"/>
      </w:r>
      <w:r w:rsidR="00794F95" w:rsidRPr="00446A51">
        <w:instrText xml:space="preserve"> REF _Ref165894235 \r \h </w:instrText>
      </w:r>
      <w:r w:rsidR="00794F95">
        <w:rPr>
          <w:highlight w:val="yellow"/>
        </w:rPr>
        <w:instrText xml:space="preserve"> \* MERGEFORMAT </w:instrText>
      </w:r>
      <w:r w:rsidR="00794F95" w:rsidRPr="00446A51">
        <w:rPr>
          <w:highlight w:val="yellow"/>
        </w:rPr>
      </w:r>
      <w:r w:rsidR="00794F95" w:rsidRPr="00446A51">
        <w:rPr>
          <w:highlight w:val="yellow"/>
        </w:rPr>
        <w:fldChar w:fldCharType="separate"/>
      </w:r>
      <w:r w:rsidR="008B4717">
        <w:t>6.15</w:t>
      </w:r>
      <w:r w:rsidR="00794F95" w:rsidRPr="00446A51">
        <w:rPr>
          <w:highlight w:val="yellow"/>
        </w:rPr>
        <w:fldChar w:fldCharType="end"/>
      </w:r>
      <w:r w:rsidRPr="00446A51">
        <w:t>, patients</w:t>
      </w:r>
      <w:r w:rsidR="00475344" w:rsidRPr="00446A51">
        <w:t xml:space="preserve"> </w:t>
      </w:r>
      <w:r w:rsidRPr="00446A51">
        <w:t xml:space="preserve">in the control group in Part A </w:t>
      </w:r>
      <w:r w:rsidR="000A7CED" w:rsidRPr="00446A51">
        <w:t xml:space="preserve">of OvEC </w:t>
      </w:r>
      <w:r w:rsidR="00610833" w:rsidRPr="00446A51">
        <w:t xml:space="preserve">were younger than the odevixibat group, with a higher proportion of patients with PFIC2 </w:t>
      </w:r>
      <w:r w:rsidR="00610833" w:rsidRPr="008277EE">
        <w:rPr>
          <w:i/>
          <w:iCs/>
        </w:rPr>
        <w:t>BSEP1</w:t>
      </w:r>
      <w:r w:rsidR="000A7CED" w:rsidRPr="00446A51">
        <w:t xml:space="preserve">. </w:t>
      </w:r>
      <w:r w:rsidR="00220778" w:rsidRPr="00446A51">
        <w:t xml:space="preserve">Noting the </w:t>
      </w:r>
      <w:r w:rsidR="005E0B95" w:rsidRPr="00446A51">
        <w:t xml:space="preserve">propensity </w:t>
      </w:r>
      <w:r w:rsidR="00A211DA" w:rsidRPr="00446A51">
        <w:t xml:space="preserve">for </w:t>
      </w:r>
      <w:r w:rsidR="00220778" w:rsidRPr="00446A51">
        <w:t xml:space="preserve">SBD was most frequent </w:t>
      </w:r>
      <w:r w:rsidR="00075AB3" w:rsidRPr="00446A51">
        <w:t xml:space="preserve">at </w:t>
      </w:r>
      <w:r w:rsidR="00220778" w:rsidRPr="00446A51">
        <w:t>younger</w:t>
      </w:r>
      <w:r w:rsidR="00075AB3" w:rsidRPr="00446A51">
        <w:t xml:space="preserve"> ages</w:t>
      </w:r>
      <w:r w:rsidR="00A211DA" w:rsidRPr="00446A51">
        <w:t xml:space="preserve"> and </w:t>
      </w:r>
      <w:r w:rsidR="007D11E2" w:rsidRPr="00446A51">
        <w:t xml:space="preserve">also </w:t>
      </w:r>
      <w:r w:rsidR="00A211DA" w:rsidRPr="00446A51">
        <w:t xml:space="preserve">more likely in PFIC 2 </w:t>
      </w:r>
      <w:r w:rsidR="00A211DA" w:rsidRPr="008277EE">
        <w:rPr>
          <w:i/>
          <w:iCs/>
        </w:rPr>
        <w:t>BSEP 1</w:t>
      </w:r>
      <w:r w:rsidR="00A211DA" w:rsidRPr="00446A51">
        <w:t xml:space="preserve"> (see paragraph </w:t>
      </w:r>
      <w:r w:rsidR="00A211DA" w:rsidRPr="00446A51">
        <w:fldChar w:fldCharType="begin"/>
      </w:r>
      <w:r w:rsidR="00A211DA" w:rsidRPr="00446A51">
        <w:instrText xml:space="preserve"> REF _Ref166207103 \r \h </w:instrText>
      </w:r>
      <w:r w:rsidR="00446A51">
        <w:instrText xml:space="preserve"> \* MERGEFORMAT </w:instrText>
      </w:r>
      <w:r w:rsidR="00A211DA" w:rsidRPr="00446A51">
        <w:fldChar w:fldCharType="separate"/>
      </w:r>
      <w:r w:rsidR="008B4717">
        <w:t>4.9</w:t>
      </w:r>
      <w:r w:rsidR="00A211DA" w:rsidRPr="00446A51">
        <w:fldChar w:fldCharType="end"/>
      </w:r>
      <w:r w:rsidR="00A211DA" w:rsidRPr="00446A51">
        <w:t xml:space="preserve"> and </w:t>
      </w:r>
      <w:r w:rsidR="00A211DA" w:rsidRPr="00446A51">
        <w:fldChar w:fldCharType="begin"/>
      </w:r>
      <w:r w:rsidR="00A211DA" w:rsidRPr="00446A51">
        <w:instrText xml:space="preserve"> REF _Ref165891198 \h  \* MERGEFORMAT </w:instrText>
      </w:r>
      <w:r w:rsidR="00A211DA" w:rsidRPr="00446A51">
        <w:fldChar w:fldCharType="separate"/>
      </w:r>
      <w:r w:rsidR="008B4717" w:rsidRPr="00D33C2C">
        <w:t xml:space="preserve">Figure </w:t>
      </w:r>
      <w:r w:rsidR="008B4717">
        <w:rPr>
          <w:noProof/>
        </w:rPr>
        <w:t>2</w:t>
      </w:r>
      <w:r w:rsidR="00A211DA" w:rsidRPr="00446A51">
        <w:fldChar w:fldCharType="end"/>
      </w:r>
      <w:r w:rsidR="00A211DA" w:rsidRPr="00446A51">
        <w:t>)</w:t>
      </w:r>
      <w:r w:rsidR="00220778" w:rsidRPr="00446A51">
        <w:t>, t</w:t>
      </w:r>
      <w:r w:rsidRPr="00446A51">
        <w:t xml:space="preserve">he difference in baseline age likely biased the EFS results in favour of odevixibat. </w:t>
      </w:r>
    </w:p>
    <w:p w14:paraId="12C16F7F" w14:textId="6CAC3B2C" w:rsidR="00E5561C" w:rsidRPr="00D33C2C" w:rsidRDefault="00E5561C" w:rsidP="00E5561C">
      <w:pPr>
        <w:pStyle w:val="3-BodyText"/>
      </w:pPr>
      <w:bookmarkStart w:id="61" w:name="_Ref166207652"/>
      <w:r w:rsidRPr="00D33C2C">
        <w:t xml:space="preserve">In </w:t>
      </w:r>
      <w:r w:rsidR="00B84481" w:rsidRPr="00D33C2C">
        <w:t xml:space="preserve">OvEC </w:t>
      </w:r>
      <w:r w:rsidRPr="00D33C2C">
        <w:t xml:space="preserve">Part B, </w:t>
      </w:r>
      <w:r w:rsidR="000A7CED">
        <w:t xml:space="preserve">a </w:t>
      </w:r>
      <w:r w:rsidRPr="00D33C2C">
        <w:t xml:space="preserve">numerical improvement in </w:t>
      </w:r>
      <w:r w:rsidR="00FB63F7">
        <w:t>native liver survival</w:t>
      </w:r>
      <w:r w:rsidR="00FB63F7" w:rsidRPr="00D33C2C">
        <w:t xml:space="preserve"> </w:t>
      </w:r>
      <w:r w:rsidRPr="00D33C2C">
        <w:t xml:space="preserve">in </w:t>
      </w:r>
      <w:r w:rsidR="00615F1B" w:rsidRPr="00D33C2C">
        <w:t xml:space="preserve">the </w:t>
      </w:r>
      <w:r w:rsidRPr="00D33C2C">
        <w:t xml:space="preserve">odevixibat arm </w:t>
      </w:r>
      <w:r w:rsidR="00615F1B" w:rsidRPr="00D33C2C">
        <w:t xml:space="preserve">(6% [4/69]) compared to the </w:t>
      </w:r>
      <w:r w:rsidRPr="00D33C2C">
        <w:t xml:space="preserve">SBD arm </w:t>
      </w:r>
      <w:r w:rsidR="00615F1B" w:rsidRPr="00D33C2C">
        <w:t xml:space="preserve">(25% [6/24]) was </w:t>
      </w:r>
      <w:r w:rsidR="00C0726A" w:rsidRPr="00D33C2C">
        <w:t>observed</w:t>
      </w:r>
      <w:r w:rsidRPr="00D33C2C">
        <w:t xml:space="preserve"> over a median follow up of 22.6 months for the odevixibat arm </w:t>
      </w:r>
      <w:r w:rsidR="00C0726A" w:rsidRPr="00D33C2C">
        <w:t>(</w:t>
      </w:r>
      <w:r w:rsidRPr="00D33C2C">
        <w:t xml:space="preserve">the duration of </w:t>
      </w:r>
      <w:r w:rsidR="00C0726A" w:rsidRPr="00D33C2C">
        <w:t xml:space="preserve">follow up in </w:t>
      </w:r>
      <w:r w:rsidRPr="00D33C2C">
        <w:t>the SBD arm was unclear)</w:t>
      </w:r>
      <w:r w:rsidR="00C0726A" w:rsidRPr="00D33C2C">
        <w:t>.</w:t>
      </w:r>
      <w:r w:rsidRPr="00D33C2C">
        <w:t xml:space="preserve"> </w:t>
      </w:r>
      <w:r w:rsidR="00C0726A" w:rsidRPr="00D33C2C">
        <w:t xml:space="preserve">There was also a numerical difference in </w:t>
      </w:r>
      <w:r w:rsidRPr="00D33C2C">
        <w:t xml:space="preserve">OS </w:t>
      </w:r>
      <w:r w:rsidR="00C0726A" w:rsidRPr="00D33C2C">
        <w:t xml:space="preserve">favouring odevixibat </w:t>
      </w:r>
      <w:r w:rsidRPr="00D33C2C">
        <w:t>(no deaths in the odevixibat arm and 2/24 [8%] in the SBD arm) over 42 weeks.</w:t>
      </w:r>
      <w:bookmarkEnd w:id="61"/>
    </w:p>
    <w:p w14:paraId="65573349" w14:textId="130F209A" w:rsidR="00E67F08" w:rsidRDefault="00EB648B" w:rsidP="003B1F38">
      <w:pPr>
        <w:pStyle w:val="3-BodyText"/>
      </w:pPr>
      <w:bookmarkStart w:id="62" w:name="_Ref164702982"/>
      <w:r w:rsidRPr="00446A51">
        <w:t xml:space="preserve">As discussed in paragraph </w:t>
      </w:r>
      <w:r w:rsidRPr="00446A51">
        <w:fldChar w:fldCharType="begin"/>
      </w:r>
      <w:r w:rsidRPr="00446A51">
        <w:instrText xml:space="preserve"> REF _Ref164740177 \r \h </w:instrText>
      </w:r>
      <w:r w:rsidR="00446A51">
        <w:instrText xml:space="preserve"> \* MERGEFORMAT </w:instrText>
      </w:r>
      <w:r w:rsidRPr="00446A51">
        <w:fldChar w:fldCharType="separate"/>
      </w:r>
      <w:r w:rsidR="008B4717">
        <w:t>6.12</w:t>
      </w:r>
      <w:r w:rsidRPr="00446A51">
        <w:fldChar w:fldCharType="end"/>
      </w:r>
      <w:r w:rsidR="00FD063A" w:rsidRPr="00446A51">
        <w:t xml:space="preserve">, </w:t>
      </w:r>
      <w:r w:rsidR="00E5561C" w:rsidRPr="00446A51">
        <w:t xml:space="preserve">OvEC Part B </w:t>
      </w:r>
      <w:r w:rsidR="00FD063A" w:rsidRPr="00446A51">
        <w:t xml:space="preserve">was the most relevant comparison </w:t>
      </w:r>
      <w:r w:rsidR="00E5561C" w:rsidRPr="00446A51">
        <w:t>to the submission</w:t>
      </w:r>
      <w:r w:rsidR="00FD063A" w:rsidRPr="00446A51">
        <w:t xml:space="preserve"> based on the proposed comparator of SOC</w:t>
      </w:r>
      <w:r w:rsidR="006E1E4A" w:rsidRPr="00446A51">
        <w:t xml:space="preserve"> consisting of PEBD</w:t>
      </w:r>
      <w:r w:rsidR="00E5561C" w:rsidRPr="00446A51">
        <w:t xml:space="preserve">. However, </w:t>
      </w:r>
      <w:r w:rsidR="00FD063A" w:rsidRPr="00446A51">
        <w:t xml:space="preserve">OvEC Part B </w:t>
      </w:r>
      <w:r w:rsidR="00E5561C" w:rsidRPr="00446A51">
        <w:t xml:space="preserve">provided limited </w:t>
      </w:r>
      <w:r w:rsidR="00BC7E6A" w:rsidRPr="00446A51">
        <w:t xml:space="preserve">value and information </w:t>
      </w:r>
      <w:r w:rsidR="00E5561C" w:rsidRPr="00446A51">
        <w:t xml:space="preserve">due to the potentially high risk of bias given no baseline characteristics were reported, </w:t>
      </w:r>
      <w:r w:rsidR="000A7CED" w:rsidRPr="00446A51">
        <w:t>the</w:t>
      </w:r>
      <w:r w:rsidR="00E5561C" w:rsidRPr="00446A51">
        <w:t xml:space="preserve"> small sample size (only 24</w:t>
      </w:r>
      <w:r w:rsidR="006005DF">
        <w:t> </w:t>
      </w:r>
      <w:r w:rsidR="00E5561C" w:rsidRPr="00446A51">
        <w:t>patients in the control arm) and</w:t>
      </w:r>
      <w:r w:rsidR="000A7CED" w:rsidRPr="00446A51">
        <w:t xml:space="preserve"> the</w:t>
      </w:r>
      <w:r w:rsidR="00E5561C" w:rsidRPr="00446A51">
        <w:t xml:space="preserve"> lack of statistical power to detect differences</w:t>
      </w:r>
      <w:r w:rsidR="00625F2B" w:rsidRPr="00446A51">
        <w:t>.</w:t>
      </w:r>
      <w:r w:rsidR="00E5561C" w:rsidRPr="00446A51">
        <w:t xml:space="preserve"> </w:t>
      </w:r>
      <w:r w:rsidR="00625F2B" w:rsidRPr="00446A51">
        <w:t xml:space="preserve">Further, </w:t>
      </w:r>
      <w:r w:rsidR="00E5561C" w:rsidRPr="00446A51">
        <w:t xml:space="preserve">secondary endpoints (i.e., </w:t>
      </w:r>
      <w:r w:rsidR="00856ED4" w:rsidRPr="00446A51">
        <w:t xml:space="preserve">native liver survival </w:t>
      </w:r>
      <w:r w:rsidR="00E5561C" w:rsidRPr="00446A51">
        <w:t>and OS) were not adjusted for multiplicity</w:t>
      </w:r>
      <w:r w:rsidR="00625F2B" w:rsidRPr="00446A51">
        <w:t xml:space="preserve"> and </w:t>
      </w:r>
      <w:r w:rsidR="000A7CED" w:rsidRPr="00446A51">
        <w:t xml:space="preserve">therefore, </w:t>
      </w:r>
      <w:r w:rsidR="00625F2B" w:rsidRPr="00446A51">
        <w:t>no statistical conclusion could be drawn</w:t>
      </w:r>
      <w:r w:rsidR="00E5561C" w:rsidRPr="00446A51">
        <w:t>.</w:t>
      </w:r>
      <w:bookmarkEnd w:id="62"/>
    </w:p>
    <w:p w14:paraId="1F4D4787" w14:textId="77777777" w:rsidR="00E5561C" w:rsidRPr="00D33C2C" w:rsidRDefault="00E5561C" w:rsidP="00E5561C">
      <w:pPr>
        <w:pStyle w:val="4-SubsectionHeading"/>
      </w:pPr>
      <w:bookmarkStart w:id="63" w:name="_Toc22897642"/>
      <w:bookmarkStart w:id="64" w:name="_Toc22898854"/>
      <w:bookmarkStart w:id="65" w:name="_Toc166210656"/>
      <w:r w:rsidRPr="00D33C2C">
        <w:lastRenderedPageBreak/>
        <w:t>Comparative harms</w:t>
      </w:r>
      <w:bookmarkEnd w:id="63"/>
      <w:bookmarkEnd w:id="64"/>
      <w:bookmarkEnd w:id="65"/>
    </w:p>
    <w:p w14:paraId="72BDD876" w14:textId="6A641A0F" w:rsidR="00E5561C" w:rsidRPr="00446A51" w:rsidRDefault="00E5561C" w:rsidP="00E5561C">
      <w:pPr>
        <w:pStyle w:val="3-BodyText"/>
        <w:rPr>
          <w:color w:val="0066FF"/>
        </w:rPr>
      </w:pPr>
      <w:r w:rsidRPr="00D33C2C">
        <w:t xml:space="preserve">A summary of the safety results from PEDFIC 1 are presented in </w:t>
      </w:r>
      <w:r w:rsidRPr="00D33C2C">
        <w:fldChar w:fldCharType="begin"/>
      </w:r>
      <w:r w:rsidRPr="00D33C2C">
        <w:instrText xml:space="preserve"> REF _Ref164611560 \h </w:instrText>
      </w:r>
      <w:r w:rsidRPr="00D33C2C">
        <w:fldChar w:fldCharType="separate"/>
      </w:r>
      <w:r w:rsidR="008B4717" w:rsidRPr="00D33C2C">
        <w:t xml:space="preserve">Table </w:t>
      </w:r>
      <w:r w:rsidR="008B4717">
        <w:rPr>
          <w:noProof/>
        </w:rPr>
        <w:t>7</w:t>
      </w:r>
      <w:r w:rsidRPr="00D33C2C">
        <w:fldChar w:fldCharType="end"/>
      </w:r>
      <w:r w:rsidRPr="00D33C2C">
        <w:t xml:space="preserve"> below.</w:t>
      </w:r>
      <w:r w:rsidRPr="00D33C2C">
        <w:rPr>
          <w:i/>
          <w:iCs/>
        </w:rPr>
        <w:t xml:space="preserve"> </w:t>
      </w:r>
      <w:r w:rsidRPr="00446A51">
        <w:t>Given the small sample size and short follow up in PEDFIC 1, it was difficult to draw meaningful and accurate</w:t>
      </w:r>
      <w:r w:rsidR="00002914" w:rsidRPr="00446A51">
        <w:t xml:space="preserve"> </w:t>
      </w:r>
      <w:r w:rsidRPr="00446A51">
        <w:t xml:space="preserve">conclusions </w:t>
      </w:r>
      <w:r w:rsidR="00002914" w:rsidRPr="00446A51">
        <w:t xml:space="preserve">(including statistical inferences) </w:t>
      </w:r>
      <w:r w:rsidRPr="00446A51">
        <w:t>regarding the comparative safety of odevixibat and placebo.</w:t>
      </w:r>
      <w:r w:rsidR="00B71FF1" w:rsidRPr="00446A51">
        <w:t xml:space="preserve"> </w:t>
      </w:r>
    </w:p>
    <w:p w14:paraId="78261F93" w14:textId="467B25B8" w:rsidR="00E5561C" w:rsidRPr="00D33C2C" w:rsidRDefault="00E5561C" w:rsidP="00641C58">
      <w:pPr>
        <w:pStyle w:val="TableFigureHeading"/>
        <w:keepLines/>
      </w:pPr>
      <w:bookmarkStart w:id="66" w:name="_Ref164611560"/>
      <w:r w:rsidRPr="00D33C2C">
        <w:t xml:space="preserve">Table </w:t>
      </w:r>
      <w:r w:rsidR="00DF1200">
        <w:fldChar w:fldCharType="begin"/>
      </w:r>
      <w:r w:rsidR="00DF1200">
        <w:instrText xml:space="preserve"> SEQ Table \* ARABIC </w:instrText>
      </w:r>
      <w:r w:rsidR="00DF1200">
        <w:fldChar w:fldCharType="separate"/>
      </w:r>
      <w:r w:rsidR="008B4717">
        <w:rPr>
          <w:noProof/>
        </w:rPr>
        <w:t>7</w:t>
      </w:r>
      <w:r w:rsidR="00DF1200">
        <w:rPr>
          <w:noProof/>
        </w:rPr>
        <w:fldChar w:fldCharType="end"/>
      </w:r>
      <w:bookmarkEnd w:id="66"/>
      <w:r w:rsidRPr="00D33C2C">
        <w:t>: Summary of safety results – PEDFIC 1 (SAS)</w:t>
      </w:r>
      <w:r w:rsidR="008E6381">
        <w:t xml:space="preserve"> - over</w:t>
      </w:r>
      <w:r w:rsidR="004776C5">
        <w:t xml:space="preserve"> 24 week</w:t>
      </w:r>
      <w:r w:rsidR="008E6381">
        <w:t>s of treatment</w:t>
      </w:r>
    </w:p>
    <w:tbl>
      <w:tblPr>
        <w:tblStyle w:val="Submissionstandard"/>
        <w:tblW w:w="5000" w:type="pct"/>
        <w:tblLayout w:type="fixed"/>
        <w:tblLook w:val="04A0" w:firstRow="1" w:lastRow="0" w:firstColumn="1" w:lastColumn="0" w:noHBand="0" w:noVBand="1"/>
        <w:tblCaption w:val="Table 7: Summary of safety results – PEDFIC 1 (SAS) - over 24 weeks of treatment"/>
      </w:tblPr>
      <w:tblGrid>
        <w:gridCol w:w="3823"/>
        <w:gridCol w:w="1275"/>
        <w:gridCol w:w="1306"/>
        <w:gridCol w:w="1306"/>
        <w:gridCol w:w="1307"/>
      </w:tblGrid>
      <w:tr w:rsidR="00824874" w:rsidRPr="00D33C2C" w14:paraId="4D0F3589" w14:textId="77777777" w:rsidTr="00824874">
        <w:trPr>
          <w:cnfStyle w:val="100000000000" w:firstRow="1" w:lastRow="0" w:firstColumn="0" w:lastColumn="0" w:oddVBand="0" w:evenVBand="0" w:oddHBand="0" w:evenHBand="0" w:firstRowFirstColumn="0" w:firstRowLastColumn="0" w:lastRowFirstColumn="0" w:lastRowLastColumn="0"/>
          <w:trHeight w:val="113"/>
        </w:trPr>
        <w:tc>
          <w:tcPr>
            <w:tcW w:w="3823" w:type="dxa"/>
            <w:vMerge w:val="restart"/>
            <w:shd w:val="clear" w:color="auto" w:fill="auto"/>
            <w:vAlign w:val="center"/>
          </w:tcPr>
          <w:p w14:paraId="69963C37" w14:textId="77777777" w:rsidR="00824874" w:rsidRPr="00D33C2C" w:rsidRDefault="00824874" w:rsidP="00641C58">
            <w:pPr>
              <w:pStyle w:val="Tabletext"/>
              <w:keepNext/>
              <w:keepLines/>
              <w:rPr>
                <w:lang w:val="en-AU"/>
              </w:rPr>
            </w:pPr>
            <w:r w:rsidRPr="00D33C2C">
              <w:rPr>
                <w:lang w:val="en-AU"/>
              </w:rPr>
              <w:t>Summary</w:t>
            </w:r>
          </w:p>
        </w:tc>
        <w:tc>
          <w:tcPr>
            <w:tcW w:w="1275" w:type="dxa"/>
            <w:vMerge w:val="restart"/>
            <w:shd w:val="clear" w:color="auto" w:fill="auto"/>
            <w:vAlign w:val="center"/>
          </w:tcPr>
          <w:p w14:paraId="439106E3" w14:textId="77777777" w:rsidR="00824874" w:rsidRPr="00D33C2C" w:rsidRDefault="00824874" w:rsidP="00641C58">
            <w:pPr>
              <w:pStyle w:val="Tabletext"/>
              <w:keepNext/>
              <w:keepLines/>
              <w:jc w:val="center"/>
              <w:rPr>
                <w:lang w:val="en-AU"/>
              </w:rPr>
            </w:pPr>
            <w:r w:rsidRPr="00D33C2C">
              <w:rPr>
                <w:lang w:val="en-AU"/>
              </w:rPr>
              <w:t>Placebo</w:t>
            </w:r>
          </w:p>
          <w:p w14:paraId="2DC20470" w14:textId="77777777" w:rsidR="00824874" w:rsidRPr="00D33C2C" w:rsidRDefault="00824874" w:rsidP="00641C58">
            <w:pPr>
              <w:pStyle w:val="Tabletext"/>
              <w:keepNext/>
              <w:keepLines/>
              <w:jc w:val="center"/>
              <w:rPr>
                <w:b w:val="0"/>
                <w:lang w:val="en-AU"/>
              </w:rPr>
            </w:pPr>
            <w:r w:rsidRPr="00D33C2C">
              <w:rPr>
                <w:lang w:val="en-AU"/>
              </w:rPr>
              <w:t>N=20, n (%)</w:t>
            </w:r>
          </w:p>
        </w:tc>
        <w:tc>
          <w:tcPr>
            <w:tcW w:w="3919" w:type="dxa"/>
            <w:gridSpan w:val="3"/>
            <w:shd w:val="clear" w:color="auto" w:fill="auto"/>
            <w:vAlign w:val="center"/>
          </w:tcPr>
          <w:p w14:paraId="07310B97" w14:textId="77777777" w:rsidR="00824874" w:rsidRPr="00D33C2C" w:rsidRDefault="00824874" w:rsidP="00641C58">
            <w:pPr>
              <w:pStyle w:val="Tabletext"/>
              <w:keepNext/>
              <w:keepLines/>
              <w:jc w:val="center"/>
              <w:rPr>
                <w:lang w:val="en-AU"/>
              </w:rPr>
            </w:pPr>
            <w:r w:rsidRPr="00D33C2C">
              <w:rPr>
                <w:lang w:val="en-AU"/>
              </w:rPr>
              <w:t>Odevixibat</w:t>
            </w:r>
          </w:p>
        </w:tc>
      </w:tr>
      <w:tr w:rsidR="00824874" w:rsidRPr="00D33C2C" w14:paraId="59204A2D" w14:textId="77777777" w:rsidTr="00824874">
        <w:trPr>
          <w:trHeight w:val="113"/>
        </w:trPr>
        <w:tc>
          <w:tcPr>
            <w:tcW w:w="3823" w:type="dxa"/>
            <w:vMerge/>
            <w:shd w:val="clear" w:color="auto" w:fill="auto"/>
            <w:vAlign w:val="center"/>
          </w:tcPr>
          <w:p w14:paraId="5B85A514" w14:textId="77777777" w:rsidR="00824874" w:rsidRPr="00D33C2C" w:rsidRDefault="00824874" w:rsidP="00641C58">
            <w:pPr>
              <w:pStyle w:val="Tabletext"/>
              <w:keepNext/>
              <w:keepLines/>
              <w:rPr>
                <w:lang w:val="en-AU"/>
              </w:rPr>
            </w:pPr>
          </w:p>
        </w:tc>
        <w:tc>
          <w:tcPr>
            <w:tcW w:w="1275" w:type="dxa"/>
            <w:vMerge/>
            <w:shd w:val="clear" w:color="auto" w:fill="auto"/>
            <w:vAlign w:val="center"/>
          </w:tcPr>
          <w:p w14:paraId="311AE814" w14:textId="77777777" w:rsidR="00824874" w:rsidRPr="00D33C2C" w:rsidRDefault="00824874" w:rsidP="00641C58">
            <w:pPr>
              <w:pStyle w:val="Tabletext"/>
              <w:keepNext/>
              <w:keepLines/>
              <w:jc w:val="center"/>
              <w:rPr>
                <w:lang w:val="en-AU"/>
              </w:rPr>
            </w:pPr>
          </w:p>
        </w:tc>
        <w:tc>
          <w:tcPr>
            <w:tcW w:w="1306" w:type="dxa"/>
            <w:shd w:val="clear" w:color="auto" w:fill="auto"/>
            <w:vAlign w:val="center"/>
          </w:tcPr>
          <w:p w14:paraId="70460BBF" w14:textId="77777777" w:rsidR="00824874" w:rsidRPr="00D33C2C" w:rsidRDefault="00824874" w:rsidP="00641C58">
            <w:pPr>
              <w:pStyle w:val="Tabletext"/>
              <w:keepNext/>
              <w:keepLines/>
              <w:jc w:val="center"/>
              <w:rPr>
                <w:b/>
                <w:bCs/>
                <w:lang w:val="en-AU"/>
              </w:rPr>
            </w:pPr>
            <w:r w:rsidRPr="00D33C2C">
              <w:rPr>
                <w:b/>
                <w:bCs/>
                <w:lang w:val="en-AU"/>
              </w:rPr>
              <w:t>40 µg/kg</w:t>
            </w:r>
          </w:p>
          <w:p w14:paraId="4A3D9F57" w14:textId="77777777" w:rsidR="00824874" w:rsidRPr="00D33C2C" w:rsidRDefault="00824874" w:rsidP="00641C58">
            <w:pPr>
              <w:pStyle w:val="Tabletext"/>
              <w:keepNext/>
              <w:keepLines/>
              <w:jc w:val="center"/>
              <w:rPr>
                <w:b/>
                <w:bCs/>
                <w:lang w:val="en-AU"/>
              </w:rPr>
            </w:pPr>
            <w:r w:rsidRPr="00D33C2C">
              <w:rPr>
                <w:b/>
                <w:bCs/>
                <w:lang w:val="en-AU"/>
              </w:rPr>
              <w:t>N=23, n (%)</w:t>
            </w:r>
          </w:p>
        </w:tc>
        <w:tc>
          <w:tcPr>
            <w:tcW w:w="1306" w:type="dxa"/>
            <w:shd w:val="clear" w:color="auto" w:fill="auto"/>
            <w:vAlign w:val="center"/>
          </w:tcPr>
          <w:p w14:paraId="3916974F" w14:textId="77777777" w:rsidR="00824874" w:rsidRPr="00D33C2C" w:rsidRDefault="00824874" w:rsidP="00641C58">
            <w:pPr>
              <w:pStyle w:val="Tabletext"/>
              <w:keepNext/>
              <w:keepLines/>
              <w:jc w:val="center"/>
              <w:rPr>
                <w:b/>
                <w:bCs/>
                <w:lang w:val="en-AU"/>
              </w:rPr>
            </w:pPr>
            <w:r w:rsidRPr="00D33C2C">
              <w:rPr>
                <w:b/>
                <w:bCs/>
                <w:lang w:val="en-AU"/>
              </w:rPr>
              <w:t>120 µg/kg</w:t>
            </w:r>
          </w:p>
          <w:p w14:paraId="32B78F36" w14:textId="77777777" w:rsidR="00824874" w:rsidRPr="00D33C2C" w:rsidRDefault="00824874" w:rsidP="00641C58">
            <w:pPr>
              <w:pStyle w:val="Tabletext"/>
              <w:keepNext/>
              <w:keepLines/>
              <w:jc w:val="center"/>
              <w:rPr>
                <w:b/>
                <w:bCs/>
                <w:lang w:val="en-AU"/>
              </w:rPr>
            </w:pPr>
            <w:r w:rsidRPr="00D33C2C">
              <w:rPr>
                <w:b/>
                <w:bCs/>
                <w:lang w:val="en-AU"/>
              </w:rPr>
              <w:t>N=19, n (%)</w:t>
            </w:r>
          </w:p>
        </w:tc>
        <w:tc>
          <w:tcPr>
            <w:tcW w:w="1307" w:type="dxa"/>
            <w:shd w:val="clear" w:color="auto" w:fill="auto"/>
            <w:vAlign w:val="center"/>
          </w:tcPr>
          <w:p w14:paraId="46FDD878" w14:textId="77777777" w:rsidR="00824874" w:rsidRPr="00D33C2C" w:rsidRDefault="00824874" w:rsidP="00641C58">
            <w:pPr>
              <w:pStyle w:val="Tabletext"/>
              <w:keepNext/>
              <w:keepLines/>
              <w:jc w:val="center"/>
              <w:rPr>
                <w:b/>
                <w:bCs/>
                <w:lang w:val="en-AU"/>
              </w:rPr>
            </w:pPr>
            <w:r w:rsidRPr="00D33C2C">
              <w:rPr>
                <w:b/>
                <w:bCs/>
                <w:lang w:val="en-AU"/>
              </w:rPr>
              <w:t>All doses</w:t>
            </w:r>
          </w:p>
          <w:p w14:paraId="136642DF" w14:textId="77777777" w:rsidR="00824874" w:rsidRPr="00D33C2C" w:rsidRDefault="00824874" w:rsidP="00641C58">
            <w:pPr>
              <w:pStyle w:val="Tabletext"/>
              <w:keepNext/>
              <w:keepLines/>
              <w:jc w:val="center"/>
              <w:rPr>
                <w:b/>
                <w:bCs/>
                <w:lang w:val="en-AU"/>
              </w:rPr>
            </w:pPr>
            <w:r w:rsidRPr="00D33C2C">
              <w:rPr>
                <w:b/>
                <w:bCs/>
                <w:lang w:val="en-AU"/>
              </w:rPr>
              <w:t>N=42, n (%)</w:t>
            </w:r>
          </w:p>
        </w:tc>
      </w:tr>
      <w:tr w:rsidR="00824874" w:rsidRPr="00D33C2C" w14:paraId="5DE11E82" w14:textId="77777777" w:rsidTr="00824874">
        <w:trPr>
          <w:trHeight w:val="113"/>
        </w:trPr>
        <w:tc>
          <w:tcPr>
            <w:tcW w:w="3823" w:type="dxa"/>
            <w:shd w:val="clear" w:color="auto" w:fill="auto"/>
            <w:vAlign w:val="center"/>
          </w:tcPr>
          <w:p w14:paraId="46CA904A" w14:textId="77777777" w:rsidR="00824874" w:rsidRPr="00D33C2C" w:rsidRDefault="00824874" w:rsidP="00641C58">
            <w:pPr>
              <w:pStyle w:val="Tabletext"/>
              <w:keepNext/>
              <w:keepLines/>
              <w:rPr>
                <w:lang w:val="en-AU"/>
              </w:rPr>
            </w:pPr>
            <w:r w:rsidRPr="00D33C2C">
              <w:rPr>
                <w:lang w:val="en-AU"/>
              </w:rPr>
              <w:t>TEAE</w:t>
            </w:r>
          </w:p>
        </w:tc>
        <w:tc>
          <w:tcPr>
            <w:tcW w:w="1275" w:type="dxa"/>
            <w:shd w:val="clear" w:color="auto" w:fill="auto"/>
            <w:vAlign w:val="center"/>
          </w:tcPr>
          <w:p w14:paraId="640E4EF5" w14:textId="77777777" w:rsidR="00824874" w:rsidRPr="00D33C2C" w:rsidRDefault="00824874" w:rsidP="00641C58">
            <w:pPr>
              <w:pStyle w:val="Tabletext"/>
              <w:keepNext/>
              <w:keepLines/>
              <w:jc w:val="center"/>
              <w:rPr>
                <w:lang w:val="en-AU"/>
              </w:rPr>
            </w:pPr>
            <w:r w:rsidRPr="00D33C2C">
              <w:rPr>
                <w:lang w:val="en-AU"/>
              </w:rPr>
              <w:t>17 (85.0)</w:t>
            </w:r>
          </w:p>
        </w:tc>
        <w:tc>
          <w:tcPr>
            <w:tcW w:w="1306" w:type="dxa"/>
            <w:shd w:val="clear" w:color="auto" w:fill="auto"/>
            <w:vAlign w:val="center"/>
          </w:tcPr>
          <w:p w14:paraId="13F7F24F" w14:textId="77777777" w:rsidR="00824874" w:rsidRPr="00D33C2C" w:rsidRDefault="00824874" w:rsidP="00641C58">
            <w:pPr>
              <w:pStyle w:val="Tabletext"/>
              <w:keepNext/>
              <w:keepLines/>
              <w:jc w:val="center"/>
              <w:rPr>
                <w:lang w:val="en-AU"/>
              </w:rPr>
            </w:pPr>
            <w:r w:rsidRPr="00D33C2C">
              <w:rPr>
                <w:lang w:val="en-AU"/>
              </w:rPr>
              <w:t>19 (82.6)</w:t>
            </w:r>
          </w:p>
        </w:tc>
        <w:tc>
          <w:tcPr>
            <w:tcW w:w="1306" w:type="dxa"/>
            <w:shd w:val="clear" w:color="auto" w:fill="auto"/>
            <w:vAlign w:val="center"/>
          </w:tcPr>
          <w:p w14:paraId="2A178A5B" w14:textId="77777777" w:rsidR="00824874" w:rsidRPr="00D33C2C" w:rsidRDefault="00824874" w:rsidP="00641C58">
            <w:pPr>
              <w:pStyle w:val="Tabletext"/>
              <w:keepNext/>
              <w:keepLines/>
              <w:jc w:val="center"/>
              <w:rPr>
                <w:lang w:val="en-AU"/>
              </w:rPr>
            </w:pPr>
            <w:r w:rsidRPr="00D33C2C">
              <w:rPr>
                <w:lang w:val="en-AU"/>
              </w:rPr>
              <w:t>16 (84.2)</w:t>
            </w:r>
          </w:p>
        </w:tc>
        <w:tc>
          <w:tcPr>
            <w:tcW w:w="1307" w:type="dxa"/>
            <w:shd w:val="clear" w:color="auto" w:fill="auto"/>
            <w:vAlign w:val="center"/>
          </w:tcPr>
          <w:p w14:paraId="64238DBD" w14:textId="77777777" w:rsidR="00824874" w:rsidRPr="00D33C2C" w:rsidRDefault="00824874" w:rsidP="00641C58">
            <w:pPr>
              <w:pStyle w:val="Tabletext"/>
              <w:keepNext/>
              <w:keepLines/>
              <w:jc w:val="center"/>
              <w:rPr>
                <w:lang w:val="en-AU"/>
              </w:rPr>
            </w:pPr>
            <w:r w:rsidRPr="00D33C2C">
              <w:rPr>
                <w:lang w:val="en-AU"/>
              </w:rPr>
              <w:t>35 (83.3)</w:t>
            </w:r>
          </w:p>
        </w:tc>
      </w:tr>
      <w:tr w:rsidR="00824874" w:rsidRPr="00D33C2C" w14:paraId="7757EA26" w14:textId="77777777" w:rsidTr="00824874">
        <w:trPr>
          <w:trHeight w:val="113"/>
        </w:trPr>
        <w:tc>
          <w:tcPr>
            <w:tcW w:w="3823" w:type="dxa"/>
            <w:shd w:val="clear" w:color="auto" w:fill="auto"/>
            <w:vAlign w:val="center"/>
          </w:tcPr>
          <w:p w14:paraId="205C4914" w14:textId="77777777" w:rsidR="00824874" w:rsidRPr="00D33C2C" w:rsidRDefault="00824874" w:rsidP="00641C58">
            <w:pPr>
              <w:pStyle w:val="Tabletext"/>
              <w:keepNext/>
              <w:keepLines/>
              <w:rPr>
                <w:lang w:val="en-AU"/>
              </w:rPr>
            </w:pPr>
            <w:r w:rsidRPr="00D33C2C">
              <w:rPr>
                <w:lang w:val="en-AU"/>
              </w:rPr>
              <w:t xml:space="preserve">Drug-related TEAE </w:t>
            </w:r>
            <w:r w:rsidRPr="00D33C2C">
              <w:rPr>
                <w:vertAlign w:val="superscript"/>
                <w:lang w:val="en-AU"/>
              </w:rPr>
              <w:t>a</w:t>
            </w:r>
          </w:p>
        </w:tc>
        <w:tc>
          <w:tcPr>
            <w:tcW w:w="1275" w:type="dxa"/>
            <w:shd w:val="clear" w:color="auto" w:fill="auto"/>
            <w:vAlign w:val="center"/>
          </w:tcPr>
          <w:p w14:paraId="0F6C54AB" w14:textId="77777777" w:rsidR="00824874" w:rsidRPr="00D33C2C" w:rsidRDefault="00824874" w:rsidP="00641C58">
            <w:pPr>
              <w:pStyle w:val="Tabletext"/>
              <w:keepNext/>
              <w:keepLines/>
              <w:jc w:val="center"/>
              <w:rPr>
                <w:lang w:val="en-AU"/>
              </w:rPr>
            </w:pPr>
            <w:r w:rsidRPr="00D33C2C">
              <w:rPr>
                <w:lang w:val="en-AU"/>
              </w:rPr>
              <w:t>3 (15.0)</w:t>
            </w:r>
          </w:p>
        </w:tc>
        <w:tc>
          <w:tcPr>
            <w:tcW w:w="1306" w:type="dxa"/>
            <w:shd w:val="clear" w:color="auto" w:fill="auto"/>
            <w:vAlign w:val="center"/>
          </w:tcPr>
          <w:p w14:paraId="49F8D3C6" w14:textId="77777777" w:rsidR="00824874" w:rsidRPr="00D33C2C" w:rsidRDefault="00824874" w:rsidP="00641C58">
            <w:pPr>
              <w:pStyle w:val="Tabletext"/>
              <w:keepNext/>
              <w:keepLines/>
              <w:jc w:val="center"/>
              <w:rPr>
                <w:lang w:val="en-AU"/>
              </w:rPr>
            </w:pPr>
            <w:r w:rsidRPr="00D33C2C">
              <w:rPr>
                <w:lang w:val="en-AU"/>
              </w:rPr>
              <w:t>7 (30.4)</w:t>
            </w:r>
          </w:p>
        </w:tc>
        <w:tc>
          <w:tcPr>
            <w:tcW w:w="1306" w:type="dxa"/>
            <w:shd w:val="clear" w:color="auto" w:fill="auto"/>
            <w:vAlign w:val="center"/>
          </w:tcPr>
          <w:p w14:paraId="69E140D9" w14:textId="77777777" w:rsidR="00824874" w:rsidRPr="00D33C2C" w:rsidRDefault="00824874" w:rsidP="00641C58">
            <w:pPr>
              <w:pStyle w:val="Tabletext"/>
              <w:keepNext/>
              <w:keepLines/>
              <w:jc w:val="center"/>
              <w:rPr>
                <w:lang w:val="en-AU"/>
              </w:rPr>
            </w:pPr>
            <w:r w:rsidRPr="00D33C2C">
              <w:rPr>
                <w:lang w:val="en-AU"/>
              </w:rPr>
              <w:t>7 (36.8)</w:t>
            </w:r>
          </w:p>
        </w:tc>
        <w:tc>
          <w:tcPr>
            <w:tcW w:w="1307" w:type="dxa"/>
            <w:shd w:val="clear" w:color="auto" w:fill="auto"/>
            <w:vAlign w:val="center"/>
          </w:tcPr>
          <w:p w14:paraId="0181B095" w14:textId="77777777" w:rsidR="00824874" w:rsidRPr="00D33C2C" w:rsidRDefault="00824874" w:rsidP="00641C58">
            <w:pPr>
              <w:pStyle w:val="Tabletext"/>
              <w:keepNext/>
              <w:keepLines/>
              <w:jc w:val="center"/>
              <w:rPr>
                <w:lang w:val="en-AU"/>
              </w:rPr>
            </w:pPr>
            <w:r w:rsidRPr="00D33C2C">
              <w:rPr>
                <w:lang w:val="en-AU"/>
              </w:rPr>
              <w:t>14 (33.3)</w:t>
            </w:r>
          </w:p>
        </w:tc>
      </w:tr>
      <w:tr w:rsidR="00824874" w:rsidRPr="00D33C2C" w14:paraId="27866867" w14:textId="77777777" w:rsidTr="00824874">
        <w:trPr>
          <w:trHeight w:val="113"/>
        </w:trPr>
        <w:tc>
          <w:tcPr>
            <w:tcW w:w="3823" w:type="dxa"/>
            <w:shd w:val="clear" w:color="auto" w:fill="auto"/>
            <w:vAlign w:val="center"/>
          </w:tcPr>
          <w:p w14:paraId="02BE9B23" w14:textId="77777777" w:rsidR="00824874" w:rsidRPr="00D33C2C" w:rsidRDefault="00824874" w:rsidP="00641C58">
            <w:pPr>
              <w:pStyle w:val="Tabletext"/>
              <w:keepNext/>
              <w:keepLines/>
              <w:rPr>
                <w:vertAlign w:val="superscript"/>
                <w:lang w:val="en-AU"/>
              </w:rPr>
            </w:pPr>
            <w:r w:rsidRPr="00D33C2C">
              <w:rPr>
                <w:lang w:val="en-AU"/>
              </w:rPr>
              <w:t xml:space="preserve">Severe TEAE </w:t>
            </w:r>
            <w:r w:rsidRPr="00D33C2C">
              <w:rPr>
                <w:vertAlign w:val="superscript"/>
                <w:lang w:val="en-AU"/>
              </w:rPr>
              <w:t>b</w:t>
            </w:r>
          </w:p>
        </w:tc>
        <w:tc>
          <w:tcPr>
            <w:tcW w:w="1275" w:type="dxa"/>
            <w:shd w:val="clear" w:color="auto" w:fill="auto"/>
            <w:vAlign w:val="center"/>
          </w:tcPr>
          <w:p w14:paraId="65522D68" w14:textId="77777777" w:rsidR="00824874" w:rsidRPr="00D33C2C" w:rsidRDefault="00824874" w:rsidP="00641C58">
            <w:pPr>
              <w:pStyle w:val="Tabletext"/>
              <w:keepNext/>
              <w:keepLines/>
              <w:jc w:val="center"/>
              <w:rPr>
                <w:lang w:val="en-AU"/>
              </w:rPr>
            </w:pPr>
            <w:r w:rsidRPr="00D33C2C">
              <w:rPr>
                <w:lang w:val="en-AU"/>
              </w:rPr>
              <w:t>2 (10.0)</w:t>
            </w:r>
          </w:p>
        </w:tc>
        <w:tc>
          <w:tcPr>
            <w:tcW w:w="1306" w:type="dxa"/>
            <w:shd w:val="clear" w:color="auto" w:fill="auto"/>
            <w:vAlign w:val="center"/>
          </w:tcPr>
          <w:p w14:paraId="1CA4E89F" w14:textId="77777777" w:rsidR="00824874" w:rsidRPr="00D33C2C" w:rsidRDefault="00824874" w:rsidP="00641C58">
            <w:pPr>
              <w:pStyle w:val="Tabletext"/>
              <w:keepNext/>
              <w:keepLines/>
              <w:jc w:val="center"/>
              <w:rPr>
                <w:lang w:val="en-AU"/>
              </w:rPr>
            </w:pPr>
            <w:r w:rsidRPr="00D33C2C">
              <w:rPr>
                <w:lang w:val="en-AU"/>
              </w:rPr>
              <w:t>1 (4.3)</w:t>
            </w:r>
          </w:p>
        </w:tc>
        <w:tc>
          <w:tcPr>
            <w:tcW w:w="1306" w:type="dxa"/>
            <w:shd w:val="clear" w:color="auto" w:fill="auto"/>
            <w:vAlign w:val="center"/>
          </w:tcPr>
          <w:p w14:paraId="7D7CCD36" w14:textId="77777777" w:rsidR="00824874" w:rsidRPr="00D33C2C" w:rsidRDefault="00824874" w:rsidP="00641C58">
            <w:pPr>
              <w:pStyle w:val="Tabletext"/>
              <w:keepNext/>
              <w:keepLines/>
              <w:jc w:val="center"/>
              <w:rPr>
                <w:lang w:val="en-AU"/>
              </w:rPr>
            </w:pPr>
            <w:r w:rsidRPr="00D33C2C">
              <w:rPr>
                <w:lang w:val="en-AU"/>
              </w:rPr>
              <w:t>2 (10.5)</w:t>
            </w:r>
          </w:p>
        </w:tc>
        <w:tc>
          <w:tcPr>
            <w:tcW w:w="1307" w:type="dxa"/>
            <w:shd w:val="clear" w:color="auto" w:fill="auto"/>
            <w:vAlign w:val="center"/>
          </w:tcPr>
          <w:p w14:paraId="37D98C53" w14:textId="77777777" w:rsidR="00824874" w:rsidRPr="00D33C2C" w:rsidRDefault="00824874" w:rsidP="00641C58">
            <w:pPr>
              <w:pStyle w:val="Tabletext"/>
              <w:keepNext/>
              <w:keepLines/>
              <w:jc w:val="center"/>
              <w:rPr>
                <w:lang w:val="en-AU"/>
              </w:rPr>
            </w:pPr>
            <w:r w:rsidRPr="00D33C2C">
              <w:rPr>
                <w:lang w:val="en-AU"/>
              </w:rPr>
              <w:t>3 (7.1)</w:t>
            </w:r>
          </w:p>
        </w:tc>
      </w:tr>
      <w:tr w:rsidR="00824874" w:rsidRPr="00D33C2C" w14:paraId="2416EA21" w14:textId="77777777" w:rsidTr="00824874">
        <w:trPr>
          <w:trHeight w:val="113"/>
        </w:trPr>
        <w:tc>
          <w:tcPr>
            <w:tcW w:w="3823" w:type="dxa"/>
            <w:shd w:val="clear" w:color="auto" w:fill="auto"/>
            <w:vAlign w:val="center"/>
          </w:tcPr>
          <w:p w14:paraId="6A600677" w14:textId="77777777" w:rsidR="00824874" w:rsidRPr="00D33C2C" w:rsidRDefault="00824874" w:rsidP="00641C58">
            <w:pPr>
              <w:pStyle w:val="Tabletext"/>
              <w:keepNext/>
              <w:keepLines/>
              <w:rPr>
                <w:lang w:val="en-AU"/>
              </w:rPr>
            </w:pPr>
            <w:r w:rsidRPr="00D33C2C">
              <w:rPr>
                <w:lang w:val="en-AU"/>
              </w:rPr>
              <w:t>Serious TEAE</w:t>
            </w:r>
          </w:p>
        </w:tc>
        <w:tc>
          <w:tcPr>
            <w:tcW w:w="1275" w:type="dxa"/>
            <w:shd w:val="clear" w:color="auto" w:fill="auto"/>
            <w:vAlign w:val="center"/>
          </w:tcPr>
          <w:p w14:paraId="00E4F547" w14:textId="77777777" w:rsidR="00824874" w:rsidRPr="00D33C2C" w:rsidRDefault="00824874" w:rsidP="00641C58">
            <w:pPr>
              <w:pStyle w:val="Tabletext"/>
              <w:keepNext/>
              <w:keepLines/>
              <w:jc w:val="center"/>
              <w:rPr>
                <w:lang w:val="en-AU"/>
              </w:rPr>
            </w:pPr>
            <w:r w:rsidRPr="00D33C2C">
              <w:rPr>
                <w:lang w:val="en-AU"/>
              </w:rPr>
              <w:t>5 (25.0)</w:t>
            </w:r>
          </w:p>
        </w:tc>
        <w:tc>
          <w:tcPr>
            <w:tcW w:w="1306" w:type="dxa"/>
            <w:shd w:val="clear" w:color="auto" w:fill="auto"/>
            <w:vAlign w:val="center"/>
          </w:tcPr>
          <w:p w14:paraId="6AA24370" w14:textId="77777777" w:rsidR="00824874" w:rsidRPr="00D33C2C" w:rsidRDefault="00824874" w:rsidP="00641C58">
            <w:pPr>
              <w:pStyle w:val="Tabletext"/>
              <w:keepNext/>
              <w:keepLines/>
              <w:jc w:val="center"/>
              <w:rPr>
                <w:lang w:val="en-AU"/>
              </w:rPr>
            </w:pPr>
            <w:r w:rsidRPr="00D33C2C">
              <w:rPr>
                <w:lang w:val="en-AU"/>
              </w:rPr>
              <w:t>0</w:t>
            </w:r>
          </w:p>
        </w:tc>
        <w:tc>
          <w:tcPr>
            <w:tcW w:w="1306" w:type="dxa"/>
            <w:shd w:val="clear" w:color="auto" w:fill="auto"/>
            <w:vAlign w:val="center"/>
          </w:tcPr>
          <w:p w14:paraId="6E0204B1" w14:textId="77777777" w:rsidR="00824874" w:rsidRPr="00D33C2C" w:rsidRDefault="00824874" w:rsidP="00641C58">
            <w:pPr>
              <w:pStyle w:val="Tabletext"/>
              <w:keepNext/>
              <w:keepLines/>
              <w:jc w:val="center"/>
              <w:rPr>
                <w:lang w:val="en-AU"/>
              </w:rPr>
            </w:pPr>
            <w:r w:rsidRPr="00D33C2C">
              <w:rPr>
                <w:lang w:val="en-AU"/>
              </w:rPr>
              <w:t>3 (15.8)</w:t>
            </w:r>
          </w:p>
        </w:tc>
        <w:tc>
          <w:tcPr>
            <w:tcW w:w="1307" w:type="dxa"/>
            <w:shd w:val="clear" w:color="auto" w:fill="auto"/>
            <w:vAlign w:val="center"/>
          </w:tcPr>
          <w:p w14:paraId="5E7AD9E8" w14:textId="77777777" w:rsidR="00824874" w:rsidRPr="00D33C2C" w:rsidRDefault="00824874" w:rsidP="00641C58">
            <w:pPr>
              <w:pStyle w:val="Tabletext"/>
              <w:keepNext/>
              <w:keepLines/>
              <w:jc w:val="center"/>
              <w:rPr>
                <w:lang w:val="en-AU"/>
              </w:rPr>
            </w:pPr>
            <w:r w:rsidRPr="00D33C2C">
              <w:rPr>
                <w:lang w:val="en-AU"/>
              </w:rPr>
              <w:t>3 (7.1)</w:t>
            </w:r>
          </w:p>
        </w:tc>
      </w:tr>
      <w:tr w:rsidR="00824874" w:rsidRPr="00D33C2C" w14:paraId="0D25E5FD" w14:textId="77777777" w:rsidTr="00824874">
        <w:trPr>
          <w:trHeight w:val="113"/>
        </w:trPr>
        <w:tc>
          <w:tcPr>
            <w:tcW w:w="3823" w:type="dxa"/>
            <w:shd w:val="clear" w:color="auto" w:fill="auto"/>
            <w:vAlign w:val="center"/>
          </w:tcPr>
          <w:p w14:paraId="1E20CBA8" w14:textId="77777777" w:rsidR="00824874" w:rsidRPr="00D33C2C" w:rsidRDefault="00824874" w:rsidP="00641C58">
            <w:pPr>
              <w:pStyle w:val="Tabletext"/>
              <w:keepNext/>
              <w:keepLines/>
              <w:rPr>
                <w:lang w:val="en-AU"/>
              </w:rPr>
            </w:pPr>
            <w:r w:rsidRPr="00D33C2C">
              <w:rPr>
                <w:lang w:val="en-AU"/>
              </w:rPr>
              <w:t>Drug-related serious TEAE</w:t>
            </w:r>
          </w:p>
        </w:tc>
        <w:tc>
          <w:tcPr>
            <w:tcW w:w="1275" w:type="dxa"/>
            <w:shd w:val="clear" w:color="auto" w:fill="auto"/>
            <w:vAlign w:val="center"/>
          </w:tcPr>
          <w:p w14:paraId="6B31B370" w14:textId="77777777" w:rsidR="00824874" w:rsidRPr="00D33C2C" w:rsidRDefault="00824874" w:rsidP="00641C58">
            <w:pPr>
              <w:pStyle w:val="Tabletext"/>
              <w:keepNext/>
              <w:keepLines/>
              <w:jc w:val="center"/>
              <w:rPr>
                <w:lang w:val="en-AU"/>
              </w:rPr>
            </w:pPr>
            <w:r w:rsidRPr="00D33C2C">
              <w:rPr>
                <w:lang w:val="en-AU"/>
              </w:rPr>
              <w:t>0</w:t>
            </w:r>
          </w:p>
        </w:tc>
        <w:tc>
          <w:tcPr>
            <w:tcW w:w="1306" w:type="dxa"/>
            <w:shd w:val="clear" w:color="auto" w:fill="auto"/>
            <w:vAlign w:val="center"/>
          </w:tcPr>
          <w:p w14:paraId="6CBDAD7F" w14:textId="77777777" w:rsidR="00824874" w:rsidRPr="00D33C2C" w:rsidRDefault="00824874" w:rsidP="00641C58">
            <w:pPr>
              <w:pStyle w:val="Tabletext"/>
              <w:keepNext/>
              <w:keepLines/>
              <w:jc w:val="center"/>
              <w:rPr>
                <w:lang w:val="en-AU"/>
              </w:rPr>
            </w:pPr>
            <w:r w:rsidRPr="00D33C2C">
              <w:rPr>
                <w:lang w:val="en-AU"/>
              </w:rPr>
              <w:t>0</w:t>
            </w:r>
          </w:p>
        </w:tc>
        <w:tc>
          <w:tcPr>
            <w:tcW w:w="1306" w:type="dxa"/>
            <w:shd w:val="clear" w:color="auto" w:fill="auto"/>
            <w:vAlign w:val="center"/>
          </w:tcPr>
          <w:p w14:paraId="43B5CADC" w14:textId="77777777" w:rsidR="00824874" w:rsidRPr="00D33C2C" w:rsidRDefault="00824874" w:rsidP="00641C58">
            <w:pPr>
              <w:pStyle w:val="Tabletext"/>
              <w:keepNext/>
              <w:keepLines/>
              <w:jc w:val="center"/>
              <w:rPr>
                <w:lang w:val="en-AU"/>
              </w:rPr>
            </w:pPr>
            <w:r w:rsidRPr="00D33C2C">
              <w:rPr>
                <w:lang w:val="en-AU"/>
              </w:rPr>
              <w:t>0</w:t>
            </w:r>
          </w:p>
        </w:tc>
        <w:tc>
          <w:tcPr>
            <w:tcW w:w="1307" w:type="dxa"/>
            <w:shd w:val="clear" w:color="auto" w:fill="auto"/>
            <w:vAlign w:val="center"/>
          </w:tcPr>
          <w:p w14:paraId="30343F27" w14:textId="77777777" w:rsidR="00824874" w:rsidRPr="00D33C2C" w:rsidRDefault="00824874" w:rsidP="00641C58">
            <w:pPr>
              <w:pStyle w:val="Tabletext"/>
              <w:keepNext/>
              <w:keepLines/>
              <w:jc w:val="center"/>
              <w:rPr>
                <w:lang w:val="en-AU"/>
              </w:rPr>
            </w:pPr>
            <w:r w:rsidRPr="00D33C2C">
              <w:rPr>
                <w:lang w:val="en-AU"/>
              </w:rPr>
              <w:t>0</w:t>
            </w:r>
          </w:p>
        </w:tc>
      </w:tr>
      <w:tr w:rsidR="00824874" w:rsidRPr="00D33C2C" w14:paraId="26B985F6" w14:textId="77777777" w:rsidTr="00824874">
        <w:trPr>
          <w:trHeight w:val="113"/>
        </w:trPr>
        <w:tc>
          <w:tcPr>
            <w:tcW w:w="3823" w:type="dxa"/>
            <w:shd w:val="clear" w:color="auto" w:fill="auto"/>
            <w:vAlign w:val="center"/>
          </w:tcPr>
          <w:p w14:paraId="01F4CE51" w14:textId="246B7728" w:rsidR="00824874" w:rsidRPr="00D33C2C" w:rsidRDefault="00824874" w:rsidP="00641C58">
            <w:pPr>
              <w:pStyle w:val="Tabletext"/>
              <w:keepNext/>
              <w:keepLines/>
              <w:rPr>
                <w:lang w:val="en-AU"/>
              </w:rPr>
            </w:pPr>
            <w:r w:rsidRPr="00D33C2C">
              <w:rPr>
                <w:lang w:val="en-AU"/>
              </w:rPr>
              <w:t>TEAE leading to study treatment</w:t>
            </w:r>
            <w:r>
              <w:rPr>
                <w:lang w:val="en-AU"/>
              </w:rPr>
              <w:t xml:space="preserve"> </w:t>
            </w:r>
            <w:r w:rsidRPr="00D33C2C">
              <w:rPr>
                <w:lang w:val="en-AU"/>
              </w:rPr>
              <w:t>discontinuation</w:t>
            </w:r>
          </w:p>
        </w:tc>
        <w:tc>
          <w:tcPr>
            <w:tcW w:w="1275" w:type="dxa"/>
            <w:shd w:val="clear" w:color="auto" w:fill="auto"/>
            <w:vAlign w:val="center"/>
          </w:tcPr>
          <w:p w14:paraId="279B9DC5" w14:textId="77777777" w:rsidR="00824874" w:rsidRPr="00D33C2C" w:rsidRDefault="00824874" w:rsidP="00641C58">
            <w:pPr>
              <w:pStyle w:val="Tabletext"/>
              <w:keepNext/>
              <w:keepLines/>
              <w:jc w:val="center"/>
              <w:rPr>
                <w:lang w:val="en-AU"/>
              </w:rPr>
            </w:pPr>
            <w:r w:rsidRPr="00D33C2C">
              <w:rPr>
                <w:lang w:val="en-AU"/>
              </w:rPr>
              <w:t>0</w:t>
            </w:r>
          </w:p>
        </w:tc>
        <w:tc>
          <w:tcPr>
            <w:tcW w:w="1306" w:type="dxa"/>
            <w:shd w:val="clear" w:color="auto" w:fill="auto"/>
            <w:vAlign w:val="center"/>
          </w:tcPr>
          <w:p w14:paraId="180045B8" w14:textId="77777777" w:rsidR="00824874" w:rsidRPr="00D33C2C" w:rsidRDefault="00824874" w:rsidP="00641C58">
            <w:pPr>
              <w:pStyle w:val="Tabletext"/>
              <w:keepNext/>
              <w:keepLines/>
              <w:jc w:val="center"/>
              <w:rPr>
                <w:lang w:val="en-AU"/>
              </w:rPr>
            </w:pPr>
            <w:r w:rsidRPr="00D33C2C">
              <w:rPr>
                <w:lang w:val="en-AU"/>
              </w:rPr>
              <w:t>0</w:t>
            </w:r>
          </w:p>
        </w:tc>
        <w:tc>
          <w:tcPr>
            <w:tcW w:w="1306" w:type="dxa"/>
            <w:shd w:val="clear" w:color="auto" w:fill="auto"/>
            <w:vAlign w:val="center"/>
          </w:tcPr>
          <w:p w14:paraId="5D7F6255" w14:textId="77777777" w:rsidR="00824874" w:rsidRPr="00D33C2C" w:rsidRDefault="00824874" w:rsidP="00641C58">
            <w:pPr>
              <w:pStyle w:val="Tabletext"/>
              <w:keepNext/>
              <w:keepLines/>
              <w:jc w:val="center"/>
              <w:rPr>
                <w:lang w:val="en-AU"/>
              </w:rPr>
            </w:pPr>
            <w:r w:rsidRPr="00D33C2C">
              <w:rPr>
                <w:lang w:val="en-AU"/>
              </w:rPr>
              <w:t>1 (5.3)</w:t>
            </w:r>
          </w:p>
        </w:tc>
        <w:tc>
          <w:tcPr>
            <w:tcW w:w="1307" w:type="dxa"/>
            <w:shd w:val="clear" w:color="auto" w:fill="auto"/>
            <w:vAlign w:val="center"/>
          </w:tcPr>
          <w:p w14:paraId="7AEC4372" w14:textId="77777777" w:rsidR="00824874" w:rsidRPr="00D33C2C" w:rsidRDefault="00824874" w:rsidP="00641C58">
            <w:pPr>
              <w:pStyle w:val="Tabletext"/>
              <w:keepNext/>
              <w:keepLines/>
              <w:jc w:val="center"/>
              <w:rPr>
                <w:lang w:val="en-AU"/>
              </w:rPr>
            </w:pPr>
            <w:r w:rsidRPr="00D33C2C">
              <w:rPr>
                <w:lang w:val="en-AU"/>
              </w:rPr>
              <w:t>1 (2.4)</w:t>
            </w:r>
          </w:p>
        </w:tc>
      </w:tr>
      <w:tr w:rsidR="00824874" w:rsidRPr="00D33C2C" w14:paraId="350CD7BE" w14:textId="77777777" w:rsidTr="00824874">
        <w:trPr>
          <w:trHeight w:val="113"/>
        </w:trPr>
        <w:tc>
          <w:tcPr>
            <w:tcW w:w="3823" w:type="dxa"/>
            <w:tcBorders>
              <w:bottom w:val="single" w:sz="4" w:space="0" w:color="auto"/>
            </w:tcBorders>
            <w:shd w:val="clear" w:color="auto" w:fill="auto"/>
            <w:vAlign w:val="center"/>
          </w:tcPr>
          <w:p w14:paraId="3654F0D4" w14:textId="77777777" w:rsidR="00824874" w:rsidRPr="00D33C2C" w:rsidRDefault="00824874" w:rsidP="00641C58">
            <w:pPr>
              <w:pStyle w:val="Tabletext"/>
              <w:keepNext/>
              <w:keepLines/>
              <w:rPr>
                <w:lang w:val="en-AU"/>
              </w:rPr>
            </w:pPr>
            <w:r w:rsidRPr="00D33C2C">
              <w:rPr>
                <w:lang w:val="en-AU"/>
              </w:rPr>
              <w:t>TEAE leading to death</w:t>
            </w:r>
          </w:p>
        </w:tc>
        <w:tc>
          <w:tcPr>
            <w:tcW w:w="1275" w:type="dxa"/>
            <w:tcBorders>
              <w:bottom w:val="single" w:sz="4" w:space="0" w:color="auto"/>
            </w:tcBorders>
            <w:shd w:val="clear" w:color="auto" w:fill="auto"/>
            <w:vAlign w:val="center"/>
          </w:tcPr>
          <w:p w14:paraId="73A7D346" w14:textId="77777777" w:rsidR="00824874" w:rsidRPr="00D33C2C" w:rsidRDefault="00824874" w:rsidP="00641C58">
            <w:pPr>
              <w:pStyle w:val="Tabletext"/>
              <w:keepNext/>
              <w:keepLines/>
              <w:jc w:val="center"/>
              <w:rPr>
                <w:lang w:val="en-AU"/>
              </w:rPr>
            </w:pPr>
            <w:r w:rsidRPr="00D33C2C">
              <w:rPr>
                <w:lang w:val="en-AU"/>
              </w:rPr>
              <w:t>0</w:t>
            </w:r>
          </w:p>
        </w:tc>
        <w:tc>
          <w:tcPr>
            <w:tcW w:w="1306" w:type="dxa"/>
            <w:tcBorders>
              <w:bottom w:val="single" w:sz="4" w:space="0" w:color="auto"/>
            </w:tcBorders>
            <w:shd w:val="clear" w:color="auto" w:fill="auto"/>
            <w:vAlign w:val="center"/>
          </w:tcPr>
          <w:p w14:paraId="0861119B" w14:textId="77777777" w:rsidR="00824874" w:rsidRPr="00D33C2C" w:rsidRDefault="00824874" w:rsidP="00641C58">
            <w:pPr>
              <w:pStyle w:val="Tabletext"/>
              <w:keepNext/>
              <w:keepLines/>
              <w:jc w:val="center"/>
              <w:rPr>
                <w:lang w:val="en-AU"/>
              </w:rPr>
            </w:pPr>
            <w:r w:rsidRPr="00D33C2C">
              <w:rPr>
                <w:lang w:val="en-AU"/>
              </w:rPr>
              <w:t>0</w:t>
            </w:r>
          </w:p>
        </w:tc>
        <w:tc>
          <w:tcPr>
            <w:tcW w:w="1306" w:type="dxa"/>
            <w:tcBorders>
              <w:bottom w:val="single" w:sz="4" w:space="0" w:color="auto"/>
            </w:tcBorders>
            <w:shd w:val="clear" w:color="auto" w:fill="auto"/>
            <w:vAlign w:val="center"/>
          </w:tcPr>
          <w:p w14:paraId="0EED0D73" w14:textId="77777777" w:rsidR="00824874" w:rsidRPr="00D33C2C" w:rsidRDefault="00824874" w:rsidP="00641C58">
            <w:pPr>
              <w:pStyle w:val="Tabletext"/>
              <w:keepNext/>
              <w:keepLines/>
              <w:jc w:val="center"/>
              <w:rPr>
                <w:lang w:val="en-AU"/>
              </w:rPr>
            </w:pPr>
            <w:r w:rsidRPr="00D33C2C">
              <w:rPr>
                <w:lang w:val="en-AU"/>
              </w:rPr>
              <w:t>0</w:t>
            </w:r>
          </w:p>
        </w:tc>
        <w:tc>
          <w:tcPr>
            <w:tcW w:w="1307" w:type="dxa"/>
            <w:tcBorders>
              <w:bottom w:val="single" w:sz="4" w:space="0" w:color="auto"/>
            </w:tcBorders>
            <w:shd w:val="clear" w:color="auto" w:fill="auto"/>
            <w:vAlign w:val="center"/>
          </w:tcPr>
          <w:p w14:paraId="3729B9B6" w14:textId="77777777" w:rsidR="00824874" w:rsidRPr="00D33C2C" w:rsidRDefault="00824874" w:rsidP="00641C58">
            <w:pPr>
              <w:pStyle w:val="Tabletext"/>
              <w:keepNext/>
              <w:keepLines/>
              <w:jc w:val="center"/>
              <w:rPr>
                <w:lang w:val="en-AU"/>
              </w:rPr>
            </w:pPr>
            <w:r w:rsidRPr="00D33C2C">
              <w:rPr>
                <w:lang w:val="en-AU"/>
              </w:rPr>
              <w:t>0</w:t>
            </w:r>
          </w:p>
        </w:tc>
      </w:tr>
    </w:tbl>
    <w:p w14:paraId="48BD5A62" w14:textId="77777777" w:rsidR="00E5561C" w:rsidRPr="00C53C5D" w:rsidRDefault="00E5561C" w:rsidP="00641C58">
      <w:pPr>
        <w:pStyle w:val="TableFigureFooter"/>
        <w:keepNext/>
        <w:keepLines/>
      </w:pPr>
      <w:bookmarkStart w:id="67" w:name="_Toc22897643"/>
      <w:bookmarkStart w:id="68" w:name="_Toc22898855"/>
      <w:r w:rsidRPr="00C53C5D">
        <w:t>Source: Table 2.22, p97 of the submission</w:t>
      </w:r>
    </w:p>
    <w:p w14:paraId="23412A95" w14:textId="1047D3B9" w:rsidR="00E5561C" w:rsidRPr="00C53C5D" w:rsidRDefault="00E5561C" w:rsidP="00641C58">
      <w:pPr>
        <w:pStyle w:val="TableFigureFooter"/>
        <w:keepNext/>
        <w:keepLines/>
      </w:pPr>
      <w:r w:rsidRPr="00C53C5D">
        <w:t>TEAE = treatment emergent adverse event</w:t>
      </w:r>
    </w:p>
    <w:p w14:paraId="160B6CD3" w14:textId="77777777" w:rsidR="00E5561C" w:rsidRPr="00C53C5D" w:rsidRDefault="00E5561C" w:rsidP="00641C58">
      <w:pPr>
        <w:pStyle w:val="TableFigureFooter"/>
        <w:keepNext/>
        <w:keepLines/>
      </w:pPr>
      <w:r w:rsidRPr="00C53C5D">
        <w:rPr>
          <w:vertAlign w:val="superscript"/>
        </w:rPr>
        <w:t>a</w:t>
      </w:r>
      <w:r w:rsidRPr="00C53C5D">
        <w:t xml:space="preserve"> Patients reporting more than one event are counted only once at the highest relationship reported</w:t>
      </w:r>
    </w:p>
    <w:p w14:paraId="4F5A9432" w14:textId="77777777" w:rsidR="00E5561C" w:rsidRPr="00C53C5D" w:rsidRDefault="00E5561C" w:rsidP="00C53C5D">
      <w:pPr>
        <w:pStyle w:val="TableFigureFooter"/>
      </w:pPr>
      <w:r w:rsidRPr="00C53C5D">
        <w:rPr>
          <w:vertAlign w:val="superscript"/>
        </w:rPr>
        <w:t>b</w:t>
      </w:r>
      <w:r w:rsidRPr="00C53C5D">
        <w:t xml:space="preserve"> Patients reporting more than one event are counted only once at the maximum severity reported</w:t>
      </w:r>
    </w:p>
    <w:p w14:paraId="6484C0FC" w14:textId="05E16AD7" w:rsidR="00132E71" w:rsidRPr="00D12904" w:rsidRDefault="00132E71" w:rsidP="00E5561C">
      <w:pPr>
        <w:pStyle w:val="3-BodyText"/>
      </w:pPr>
      <w:r w:rsidRPr="00D12904">
        <w:t>The proportion of patients experiencing a TEAE was similar across all arms (82-85%). Diarrhoea was the most commonly reported TEAE in both odevixibat-treated (31%) and placebo (30%) patients.</w:t>
      </w:r>
    </w:p>
    <w:p w14:paraId="5DF5C387" w14:textId="7E093083" w:rsidR="00E5561C" w:rsidRPr="00D12904" w:rsidRDefault="00E5561C" w:rsidP="00E5561C">
      <w:pPr>
        <w:pStyle w:val="3-BodyText"/>
      </w:pPr>
      <w:r w:rsidRPr="00D12904">
        <w:t>Serious adverse events (</w:t>
      </w:r>
      <w:r w:rsidR="00B146C3">
        <w:t>S</w:t>
      </w:r>
      <w:r w:rsidRPr="00D12904">
        <w:t xml:space="preserve">AEs) were more frequent in the placebo arm (25%; four due to infection and one due to urinary tract infection, p201 PEDFIC 1 CSR) compared to the odevixibat arms (7%) </w:t>
      </w:r>
      <w:r w:rsidR="000A7CED" w:rsidRPr="00D12904">
        <w:t xml:space="preserve">but </w:t>
      </w:r>
      <w:r w:rsidRPr="00D12904">
        <w:t xml:space="preserve">were noted to be unrelated to study treatment. In the 120 mcg/kg arm </w:t>
      </w:r>
      <w:r w:rsidR="004776C5" w:rsidRPr="00D12904">
        <w:t>16</w:t>
      </w:r>
      <w:r w:rsidRPr="00D12904">
        <w:t>%</w:t>
      </w:r>
      <w:r w:rsidR="00DB2A22" w:rsidRPr="00D12904">
        <w:t xml:space="preserve"> </w:t>
      </w:r>
      <w:r w:rsidR="004776C5" w:rsidRPr="00D12904">
        <w:t xml:space="preserve">of patients </w:t>
      </w:r>
      <w:r w:rsidRPr="00D12904">
        <w:t xml:space="preserve">experienced </w:t>
      </w:r>
      <w:r w:rsidR="00B146C3">
        <w:t>S</w:t>
      </w:r>
      <w:r w:rsidRPr="00D12904">
        <w:t>AEs, and 5% experienced diarrhoea that led to discontinuation. There were no deaths.</w:t>
      </w:r>
    </w:p>
    <w:p w14:paraId="385AF0FA" w14:textId="4077030C" w:rsidR="00E5561C" w:rsidRPr="00D12904" w:rsidRDefault="00E5561C" w:rsidP="00E5561C">
      <w:pPr>
        <w:pStyle w:val="3-BodyText"/>
      </w:pPr>
      <w:r w:rsidRPr="00D12904">
        <w:t xml:space="preserve">A summary of safety results from PEDFIC 2 (data cutoff 15 July 2020) is presented in </w:t>
      </w:r>
      <w:r w:rsidRPr="00D12904">
        <w:fldChar w:fldCharType="begin"/>
      </w:r>
      <w:r w:rsidRPr="00D12904">
        <w:instrText xml:space="preserve"> REF _Ref164611673 \h </w:instrText>
      </w:r>
      <w:r w:rsidR="00D12904">
        <w:instrText xml:space="preserve"> \* MERGEFORMAT </w:instrText>
      </w:r>
      <w:r w:rsidRPr="00D12904">
        <w:fldChar w:fldCharType="separate"/>
      </w:r>
      <w:r w:rsidR="008B4717" w:rsidRPr="00D33C2C">
        <w:t xml:space="preserve">Table </w:t>
      </w:r>
      <w:r w:rsidR="008B4717">
        <w:rPr>
          <w:noProof/>
        </w:rPr>
        <w:t>8</w:t>
      </w:r>
      <w:r w:rsidRPr="00D12904">
        <w:fldChar w:fldCharType="end"/>
      </w:r>
      <w:r w:rsidRPr="00D12904">
        <w:t>.</w:t>
      </w:r>
      <w:r w:rsidR="008E6381" w:rsidRPr="00D12904">
        <w:t xml:space="preserve"> The ESC noted that the TGA received safety results from the 31 July 2022 data cutoff, which are presented in </w:t>
      </w:r>
      <w:r w:rsidR="008E6381" w:rsidRPr="00D12904">
        <w:fldChar w:fldCharType="begin"/>
      </w:r>
      <w:r w:rsidR="008E6381" w:rsidRPr="00D12904">
        <w:instrText xml:space="preserve"> REF _Ref165811365 \h  \* MERGEFORMAT </w:instrText>
      </w:r>
      <w:r w:rsidR="008E6381" w:rsidRPr="00D12904">
        <w:fldChar w:fldCharType="separate"/>
      </w:r>
      <w:r w:rsidR="008B4717">
        <w:t xml:space="preserve">Table </w:t>
      </w:r>
      <w:r w:rsidR="008B4717">
        <w:rPr>
          <w:noProof/>
        </w:rPr>
        <w:t>9</w:t>
      </w:r>
      <w:r w:rsidR="008E6381" w:rsidRPr="00D12904">
        <w:fldChar w:fldCharType="end"/>
      </w:r>
      <w:r w:rsidR="008E6381" w:rsidRPr="00D12904">
        <w:t>.</w:t>
      </w:r>
    </w:p>
    <w:p w14:paraId="13DB85FB" w14:textId="784B254C" w:rsidR="00E5561C" w:rsidRPr="00D33C2C" w:rsidRDefault="00E5561C" w:rsidP="00953031">
      <w:pPr>
        <w:pStyle w:val="TableFigureHeading"/>
        <w:keepLines/>
        <w:rPr>
          <w:vertAlign w:val="superscript"/>
        </w:rPr>
      </w:pPr>
      <w:bookmarkStart w:id="69" w:name="_Ref164611673"/>
      <w:r w:rsidRPr="00D33C2C">
        <w:lastRenderedPageBreak/>
        <w:t xml:space="preserve">Table </w:t>
      </w:r>
      <w:r w:rsidR="00DF1200">
        <w:fldChar w:fldCharType="begin"/>
      </w:r>
      <w:r w:rsidR="00DF1200">
        <w:instrText xml:space="preserve"> SEQ Table \* ARABIC </w:instrText>
      </w:r>
      <w:r w:rsidR="00DF1200">
        <w:fldChar w:fldCharType="separate"/>
      </w:r>
      <w:r w:rsidR="008B4717">
        <w:rPr>
          <w:noProof/>
        </w:rPr>
        <w:t>8</w:t>
      </w:r>
      <w:r w:rsidR="00DF1200">
        <w:rPr>
          <w:noProof/>
        </w:rPr>
        <w:fldChar w:fldCharType="end"/>
      </w:r>
      <w:bookmarkEnd w:id="69"/>
      <w:r w:rsidRPr="00D33C2C">
        <w:t>: Summary of safety results – PEDFIC 2 data cutoff 15 July 2020 (FAS)</w:t>
      </w:r>
      <w:r w:rsidRPr="00D33C2C">
        <w:rPr>
          <w:vertAlign w:val="superscript"/>
        </w:rPr>
        <w:t>a</w:t>
      </w:r>
    </w:p>
    <w:tbl>
      <w:tblPr>
        <w:tblStyle w:val="Submissionstandard"/>
        <w:tblW w:w="5000" w:type="pct"/>
        <w:tblLayout w:type="fixed"/>
        <w:tblLook w:val="04A0" w:firstRow="1" w:lastRow="0" w:firstColumn="1" w:lastColumn="0" w:noHBand="0" w:noVBand="1"/>
        <w:tblCaption w:val="Table 8: Summary of safety results – PEDFIC 2 data cutoff 15 July 2020 (FAS)a"/>
      </w:tblPr>
      <w:tblGrid>
        <w:gridCol w:w="1980"/>
        <w:gridCol w:w="1003"/>
        <w:gridCol w:w="1080"/>
        <w:gridCol w:w="1080"/>
        <w:gridCol w:w="1082"/>
        <w:gridCol w:w="932"/>
        <w:gridCol w:w="931"/>
        <w:gridCol w:w="929"/>
      </w:tblGrid>
      <w:tr w:rsidR="009310DD" w:rsidRPr="00D33C2C" w14:paraId="6E7ED7CF" w14:textId="050169E1" w:rsidTr="00641C58">
        <w:trPr>
          <w:cnfStyle w:val="100000000000" w:firstRow="1" w:lastRow="0" w:firstColumn="0" w:lastColumn="0" w:oddVBand="0" w:evenVBand="0" w:oddHBand="0" w:evenHBand="0" w:firstRowFirstColumn="0" w:firstRowLastColumn="0" w:lastRowFirstColumn="0" w:lastRowLastColumn="0"/>
          <w:trHeight w:val="20"/>
        </w:trPr>
        <w:tc>
          <w:tcPr>
            <w:tcW w:w="1098" w:type="pct"/>
            <w:tcBorders>
              <w:top w:val="single" w:sz="4" w:space="0" w:color="auto"/>
              <w:left w:val="single" w:sz="4" w:space="0" w:color="auto"/>
              <w:bottom w:val="nil"/>
              <w:right w:val="single" w:sz="4" w:space="0" w:color="auto"/>
            </w:tcBorders>
            <w:shd w:val="clear" w:color="auto" w:fill="auto"/>
            <w:vAlign w:val="center"/>
            <w:hideMark/>
          </w:tcPr>
          <w:p w14:paraId="67AFBBE2" w14:textId="77777777" w:rsidR="009310DD" w:rsidRPr="00D33C2C" w:rsidRDefault="009310DD" w:rsidP="00953031">
            <w:pPr>
              <w:pStyle w:val="Tabletext"/>
              <w:keepNext/>
              <w:keepLines/>
              <w:rPr>
                <w:lang w:val="en-AU"/>
              </w:rPr>
            </w:pPr>
          </w:p>
        </w:tc>
        <w:tc>
          <w:tcPr>
            <w:tcW w:w="3902" w:type="pct"/>
            <w:gridSpan w:val="7"/>
            <w:tcBorders>
              <w:left w:val="single" w:sz="4" w:space="0" w:color="auto"/>
            </w:tcBorders>
            <w:shd w:val="clear" w:color="auto" w:fill="auto"/>
          </w:tcPr>
          <w:p w14:paraId="22478CD8" w14:textId="43D1E409" w:rsidR="009310DD" w:rsidRPr="00D33C2C" w:rsidRDefault="009310DD" w:rsidP="00953031">
            <w:pPr>
              <w:pStyle w:val="Tabletext"/>
              <w:keepNext/>
              <w:keepLines/>
              <w:jc w:val="center"/>
            </w:pPr>
            <w:r w:rsidRPr="00D33C2C">
              <w:rPr>
                <w:lang w:val="en-AU"/>
              </w:rPr>
              <w:t>Odevixibat 120 µg/kg</w:t>
            </w:r>
          </w:p>
        </w:tc>
      </w:tr>
      <w:tr w:rsidR="009310DD" w:rsidRPr="00D33C2C" w14:paraId="6258D412" w14:textId="2DF30579" w:rsidTr="00641C58">
        <w:trPr>
          <w:trHeight w:val="20"/>
        </w:trPr>
        <w:tc>
          <w:tcPr>
            <w:tcW w:w="1098" w:type="pct"/>
            <w:tcBorders>
              <w:top w:val="nil"/>
              <w:left w:val="single" w:sz="4" w:space="0" w:color="auto"/>
              <w:bottom w:val="nil"/>
              <w:right w:val="single" w:sz="4" w:space="0" w:color="auto"/>
            </w:tcBorders>
            <w:shd w:val="clear" w:color="auto" w:fill="auto"/>
            <w:tcMar>
              <w:left w:w="40" w:type="dxa"/>
              <w:right w:w="40" w:type="dxa"/>
            </w:tcMar>
            <w:vAlign w:val="center"/>
            <w:hideMark/>
          </w:tcPr>
          <w:p w14:paraId="132A025C" w14:textId="77777777" w:rsidR="009310DD" w:rsidRPr="00D33C2C" w:rsidRDefault="009310DD" w:rsidP="00953031">
            <w:pPr>
              <w:pStyle w:val="Tabletext"/>
              <w:keepNext/>
              <w:keepLines/>
              <w:rPr>
                <w:b/>
                <w:bCs/>
                <w:lang w:val="en-AU"/>
              </w:rPr>
            </w:pPr>
            <w:r w:rsidRPr="00D33C2C">
              <w:rPr>
                <w:b/>
                <w:bCs/>
                <w:lang w:val="en-AU"/>
              </w:rPr>
              <w:t>Summary</w:t>
            </w:r>
          </w:p>
        </w:tc>
        <w:tc>
          <w:tcPr>
            <w:tcW w:w="2354" w:type="pct"/>
            <w:gridSpan w:val="4"/>
            <w:tcBorders>
              <w:left w:val="single" w:sz="4" w:space="0" w:color="auto"/>
            </w:tcBorders>
            <w:tcMar>
              <w:left w:w="40" w:type="dxa"/>
              <w:right w:w="40" w:type="dxa"/>
            </w:tcMar>
          </w:tcPr>
          <w:p w14:paraId="4DA93519" w14:textId="77777777" w:rsidR="009310DD" w:rsidRPr="00D33C2C" w:rsidRDefault="009310DD" w:rsidP="00953031">
            <w:pPr>
              <w:pStyle w:val="Tabletext"/>
              <w:keepNext/>
              <w:keepLines/>
              <w:jc w:val="center"/>
              <w:rPr>
                <w:b/>
                <w:lang w:val="en-AU"/>
              </w:rPr>
            </w:pPr>
            <w:r w:rsidRPr="00D33C2C">
              <w:rPr>
                <w:b/>
                <w:lang w:val="en-AU"/>
              </w:rPr>
              <w:t>Cohort 1</w:t>
            </w:r>
          </w:p>
        </w:tc>
        <w:tc>
          <w:tcPr>
            <w:tcW w:w="517" w:type="pct"/>
            <w:vMerge w:val="restart"/>
            <w:shd w:val="clear" w:color="auto" w:fill="auto"/>
            <w:tcMar>
              <w:left w:w="40" w:type="dxa"/>
              <w:right w:w="40" w:type="dxa"/>
            </w:tcMar>
            <w:vAlign w:val="center"/>
            <w:hideMark/>
          </w:tcPr>
          <w:p w14:paraId="6F66EA54" w14:textId="77777777" w:rsidR="009310DD" w:rsidRPr="00D33C2C" w:rsidRDefault="009310DD" w:rsidP="00953031">
            <w:pPr>
              <w:pStyle w:val="Tabletext"/>
              <w:keepNext/>
              <w:keepLines/>
              <w:jc w:val="center"/>
              <w:rPr>
                <w:b/>
                <w:lang w:val="en-AU"/>
              </w:rPr>
            </w:pPr>
            <w:r w:rsidRPr="00D33C2C">
              <w:rPr>
                <w:b/>
                <w:lang w:val="en-AU"/>
              </w:rPr>
              <w:t>Cohort 2, N=16</w:t>
            </w:r>
          </w:p>
        </w:tc>
        <w:tc>
          <w:tcPr>
            <w:tcW w:w="516" w:type="pct"/>
            <w:vMerge w:val="restart"/>
            <w:tcBorders>
              <w:right w:val="single" w:sz="4" w:space="0" w:color="auto"/>
            </w:tcBorders>
            <w:tcMar>
              <w:left w:w="40" w:type="dxa"/>
              <w:right w:w="40" w:type="dxa"/>
            </w:tcMar>
          </w:tcPr>
          <w:p w14:paraId="5A388815" w14:textId="77777777" w:rsidR="009310DD" w:rsidRPr="00D33C2C" w:rsidRDefault="009310DD" w:rsidP="00953031">
            <w:pPr>
              <w:pStyle w:val="Tabletext"/>
              <w:keepNext/>
              <w:keepLines/>
              <w:jc w:val="center"/>
              <w:rPr>
                <w:b/>
                <w:lang w:val="en-AU"/>
              </w:rPr>
            </w:pPr>
            <w:r w:rsidRPr="00D33C2C">
              <w:rPr>
                <w:b/>
                <w:lang w:val="en-AU"/>
              </w:rPr>
              <w:t>Cohort 2 + placebo N=35</w:t>
            </w:r>
          </w:p>
        </w:tc>
        <w:tc>
          <w:tcPr>
            <w:tcW w:w="515" w:type="pct"/>
            <w:vMerge w:val="restart"/>
            <w:tcBorders>
              <w:right w:val="single" w:sz="4" w:space="0" w:color="auto"/>
            </w:tcBorders>
            <w:vAlign w:val="center"/>
          </w:tcPr>
          <w:p w14:paraId="5F25C5FA" w14:textId="1E82EF29" w:rsidR="009310DD" w:rsidRPr="00D33C2C" w:rsidRDefault="009310DD" w:rsidP="009310DD">
            <w:pPr>
              <w:pStyle w:val="Tabletext"/>
              <w:keepNext/>
              <w:keepLines/>
              <w:jc w:val="center"/>
              <w:rPr>
                <w:b/>
              </w:rPr>
            </w:pPr>
            <w:r>
              <w:rPr>
                <w:b/>
              </w:rPr>
              <w:t>Overall (N=69)</w:t>
            </w:r>
          </w:p>
        </w:tc>
      </w:tr>
      <w:tr w:rsidR="009310DD" w:rsidRPr="00D33C2C" w14:paraId="6E6A9FBF" w14:textId="4728EB8D" w:rsidTr="00641C58">
        <w:trPr>
          <w:trHeight w:val="20"/>
        </w:trPr>
        <w:tc>
          <w:tcPr>
            <w:tcW w:w="1098" w:type="pct"/>
            <w:tcBorders>
              <w:top w:val="nil"/>
              <w:left w:val="single" w:sz="4" w:space="0" w:color="auto"/>
              <w:bottom w:val="single" w:sz="4" w:space="0" w:color="auto"/>
              <w:right w:val="single" w:sz="4" w:space="0" w:color="auto"/>
            </w:tcBorders>
            <w:shd w:val="clear" w:color="auto" w:fill="auto"/>
            <w:tcMar>
              <w:left w:w="40" w:type="dxa"/>
              <w:right w:w="40" w:type="dxa"/>
            </w:tcMar>
            <w:vAlign w:val="center"/>
            <w:hideMark/>
          </w:tcPr>
          <w:p w14:paraId="04CC9135" w14:textId="77777777" w:rsidR="009310DD" w:rsidRPr="00D33C2C" w:rsidRDefault="009310DD" w:rsidP="00953031">
            <w:pPr>
              <w:pStyle w:val="Tabletext"/>
              <w:keepNext/>
              <w:keepLines/>
              <w:rPr>
                <w:lang w:val="en-AU"/>
              </w:rPr>
            </w:pPr>
          </w:p>
        </w:tc>
        <w:tc>
          <w:tcPr>
            <w:tcW w:w="556" w:type="pct"/>
            <w:tcBorders>
              <w:left w:val="single" w:sz="4" w:space="0" w:color="auto"/>
            </w:tcBorders>
            <w:shd w:val="clear" w:color="auto" w:fill="auto"/>
            <w:tcMar>
              <w:left w:w="40" w:type="dxa"/>
              <w:right w:w="40" w:type="dxa"/>
            </w:tcMar>
            <w:vAlign w:val="center"/>
            <w:hideMark/>
          </w:tcPr>
          <w:p w14:paraId="36EB497D" w14:textId="77777777" w:rsidR="009310DD" w:rsidRPr="00D33C2C" w:rsidRDefault="009310DD" w:rsidP="00953031">
            <w:pPr>
              <w:pStyle w:val="Tabletext"/>
              <w:keepNext/>
              <w:keepLines/>
              <w:jc w:val="center"/>
              <w:rPr>
                <w:b/>
                <w:lang w:val="en-AU"/>
              </w:rPr>
            </w:pPr>
            <w:r w:rsidRPr="00D33C2C">
              <w:rPr>
                <w:b/>
                <w:lang w:val="en-AU"/>
              </w:rPr>
              <w:t>40 µg/kg, N=19</w:t>
            </w:r>
          </w:p>
        </w:tc>
        <w:tc>
          <w:tcPr>
            <w:tcW w:w="599" w:type="pct"/>
            <w:shd w:val="clear" w:color="auto" w:fill="auto"/>
            <w:tcMar>
              <w:left w:w="40" w:type="dxa"/>
              <w:right w:w="40" w:type="dxa"/>
            </w:tcMar>
            <w:vAlign w:val="center"/>
            <w:hideMark/>
          </w:tcPr>
          <w:p w14:paraId="7B6F12D4" w14:textId="77777777" w:rsidR="009310DD" w:rsidRPr="00D33C2C" w:rsidRDefault="009310DD" w:rsidP="00953031">
            <w:pPr>
              <w:pStyle w:val="Tabletext"/>
              <w:keepNext/>
              <w:keepLines/>
              <w:jc w:val="center"/>
              <w:rPr>
                <w:b/>
                <w:lang w:val="en-AU"/>
              </w:rPr>
            </w:pPr>
            <w:r w:rsidRPr="00D33C2C">
              <w:rPr>
                <w:b/>
                <w:lang w:val="en-AU"/>
              </w:rPr>
              <w:t>120 µg/kg, N=15</w:t>
            </w:r>
          </w:p>
        </w:tc>
        <w:tc>
          <w:tcPr>
            <w:tcW w:w="599" w:type="pct"/>
            <w:tcMar>
              <w:left w:w="40" w:type="dxa"/>
              <w:right w:w="40" w:type="dxa"/>
            </w:tcMar>
            <w:vAlign w:val="center"/>
          </w:tcPr>
          <w:p w14:paraId="6F3247B9" w14:textId="77777777" w:rsidR="009310DD" w:rsidRPr="00D33C2C" w:rsidRDefault="009310DD" w:rsidP="00953031">
            <w:pPr>
              <w:pStyle w:val="Tabletext"/>
              <w:keepNext/>
              <w:keepLines/>
              <w:jc w:val="center"/>
              <w:rPr>
                <w:b/>
                <w:bCs/>
                <w:lang w:val="en-AU"/>
              </w:rPr>
            </w:pPr>
            <w:r w:rsidRPr="00D33C2C">
              <w:rPr>
                <w:b/>
                <w:bCs/>
                <w:lang w:val="en-AU"/>
              </w:rPr>
              <w:t>All doses, N=34</w:t>
            </w:r>
          </w:p>
        </w:tc>
        <w:tc>
          <w:tcPr>
            <w:tcW w:w="600" w:type="pct"/>
            <w:shd w:val="clear" w:color="auto" w:fill="auto"/>
            <w:tcMar>
              <w:left w:w="40" w:type="dxa"/>
              <w:right w:w="40" w:type="dxa"/>
            </w:tcMar>
            <w:vAlign w:val="center"/>
            <w:hideMark/>
          </w:tcPr>
          <w:p w14:paraId="76F67605" w14:textId="77777777" w:rsidR="009310DD" w:rsidRPr="00D33C2C" w:rsidRDefault="009310DD" w:rsidP="00953031">
            <w:pPr>
              <w:pStyle w:val="Tabletext"/>
              <w:keepNext/>
              <w:keepLines/>
              <w:jc w:val="center"/>
              <w:rPr>
                <w:b/>
                <w:lang w:val="en-AU"/>
              </w:rPr>
            </w:pPr>
            <w:r w:rsidRPr="00D33C2C">
              <w:rPr>
                <w:b/>
                <w:lang w:val="en-AU"/>
              </w:rPr>
              <w:t>Placebo N=19</w:t>
            </w:r>
          </w:p>
        </w:tc>
        <w:tc>
          <w:tcPr>
            <w:tcW w:w="517" w:type="pct"/>
            <w:vMerge/>
            <w:shd w:val="clear" w:color="auto" w:fill="auto"/>
            <w:tcMar>
              <w:left w:w="40" w:type="dxa"/>
              <w:right w:w="40" w:type="dxa"/>
            </w:tcMar>
            <w:vAlign w:val="center"/>
            <w:hideMark/>
          </w:tcPr>
          <w:p w14:paraId="681A9AB8" w14:textId="77777777" w:rsidR="009310DD" w:rsidRPr="00D33C2C" w:rsidRDefault="009310DD" w:rsidP="00953031">
            <w:pPr>
              <w:pStyle w:val="Tabletext"/>
              <w:keepNext/>
              <w:keepLines/>
              <w:jc w:val="center"/>
              <w:rPr>
                <w:b/>
                <w:lang w:val="en-AU"/>
              </w:rPr>
            </w:pPr>
          </w:p>
        </w:tc>
        <w:tc>
          <w:tcPr>
            <w:tcW w:w="516" w:type="pct"/>
            <w:vMerge/>
            <w:tcBorders>
              <w:right w:val="single" w:sz="4" w:space="0" w:color="auto"/>
            </w:tcBorders>
            <w:tcMar>
              <w:left w:w="40" w:type="dxa"/>
              <w:right w:w="40" w:type="dxa"/>
            </w:tcMar>
            <w:vAlign w:val="center"/>
          </w:tcPr>
          <w:p w14:paraId="5FAE7D40" w14:textId="77777777" w:rsidR="009310DD" w:rsidRPr="00D33C2C" w:rsidRDefault="009310DD" w:rsidP="00953031">
            <w:pPr>
              <w:pStyle w:val="Tabletext"/>
              <w:keepNext/>
              <w:keepLines/>
              <w:jc w:val="center"/>
              <w:rPr>
                <w:b/>
                <w:lang w:val="en-AU"/>
              </w:rPr>
            </w:pPr>
          </w:p>
        </w:tc>
        <w:tc>
          <w:tcPr>
            <w:tcW w:w="515" w:type="pct"/>
            <w:vMerge/>
            <w:tcBorders>
              <w:right w:val="single" w:sz="4" w:space="0" w:color="auto"/>
            </w:tcBorders>
            <w:vAlign w:val="center"/>
          </w:tcPr>
          <w:p w14:paraId="07E15100" w14:textId="77777777" w:rsidR="009310DD" w:rsidRPr="00D33C2C" w:rsidRDefault="009310DD" w:rsidP="009310DD">
            <w:pPr>
              <w:pStyle w:val="Tabletext"/>
              <w:keepNext/>
              <w:keepLines/>
              <w:jc w:val="center"/>
              <w:rPr>
                <w:b/>
              </w:rPr>
            </w:pPr>
          </w:p>
        </w:tc>
      </w:tr>
      <w:tr w:rsidR="009310DD" w:rsidRPr="00D33C2C" w14:paraId="4E052A81" w14:textId="69ED1921" w:rsidTr="00641C58">
        <w:trPr>
          <w:trHeight w:val="20"/>
        </w:trPr>
        <w:tc>
          <w:tcPr>
            <w:tcW w:w="1098" w:type="pct"/>
            <w:tcBorders>
              <w:top w:val="single" w:sz="4" w:space="0" w:color="auto"/>
            </w:tcBorders>
            <w:shd w:val="clear" w:color="auto" w:fill="auto"/>
            <w:tcMar>
              <w:left w:w="40" w:type="dxa"/>
              <w:right w:w="40" w:type="dxa"/>
            </w:tcMar>
            <w:vAlign w:val="center"/>
            <w:hideMark/>
          </w:tcPr>
          <w:p w14:paraId="0B7F4320" w14:textId="77777777" w:rsidR="009310DD" w:rsidRPr="00D33C2C" w:rsidRDefault="009310DD" w:rsidP="00953031">
            <w:pPr>
              <w:pStyle w:val="Tabletext"/>
              <w:keepNext/>
              <w:keepLines/>
              <w:rPr>
                <w:lang w:val="en-AU"/>
              </w:rPr>
            </w:pPr>
            <w:r w:rsidRPr="00D33C2C">
              <w:rPr>
                <w:lang w:val="en-AU"/>
              </w:rPr>
              <w:t>TEAE</w:t>
            </w:r>
          </w:p>
        </w:tc>
        <w:tc>
          <w:tcPr>
            <w:tcW w:w="556" w:type="pct"/>
            <w:shd w:val="clear" w:color="auto" w:fill="auto"/>
            <w:tcMar>
              <w:left w:w="40" w:type="dxa"/>
              <w:right w:w="40" w:type="dxa"/>
            </w:tcMar>
            <w:vAlign w:val="center"/>
            <w:hideMark/>
          </w:tcPr>
          <w:p w14:paraId="2C3ECE76" w14:textId="77777777" w:rsidR="009310DD" w:rsidRPr="00D33C2C" w:rsidRDefault="009310DD" w:rsidP="00953031">
            <w:pPr>
              <w:pStyle w:val="Tabletext"/>
              <w:keepNext/>
              <w:keepLines/>
              <w:jc w:val="center"/>
              <w:rPr>
                <w:lang w:val="en-AU"/>
              </w:rPr>
            </w:pPr>
            <w:r w:rsidRPr="00D33C2C">
              <w:rPr>
                <w:lang w:val="en-AU"/>
              </w:rPr>
              <w:t>16 (84.2)</w:t>
            </w:r>
          </w:p>
        </w:tc>
        <w:tc>
          <w:tcPr>
            <w:tcW w:w="599" w:type="pct"/>
            <w:shd w:val="clear" w:color="auto" w:fill="auto"/>
            <w:tcMar>
              <w:left w:w="40" w:type="dxa"/>
              <w:right w:w="40" w:type="dxa"/>
            </w:tcMar>
            <w:vAlign w:val="center"/>
            <w:hideMark/>
          </w:tcPr>
          <w:p w14:paraId="00834250" w14:textId="77777777" w:rsidR="009310DD" w:rsidRPr="00D33C2C" w:rsidRDefault="009310DD" w:rsidP="00953031">
            <w:pPr>
              <w:pStyle w:val="Tabletext"/>
              <w:keepNext/>
              <w:keepLines/>
              <w:jc w:val="center"/>
              <w:rPr>
                <w:lang w:val="en-AU"/>
              </w:rPr>
            </w:pPr>
            <w:r w:rsidRPr="00D33C2C">
              <w:rPr>
                <w:lang w:val="en-AU"/>
              </w:rPr>
              <w:t>12 (80.0)</w:t>
            </w:r>
          </w:p>
        </w:tc>
        <w:tc>
          <w:tcPr>
            <w:tcW w:w="599" w:type="pct"/>
            <w:tcMar>
              <w:left w:w="40" w:type="dxa"/>
              <w:right w:w="40" w:type="dxa"/>
            </w:tcMar>
            <w:vAlign w:val="center"/>
          </w:tcPr>
          <w:p w14:paraId="4693A871" w14:textId="77777777" w:rsidR="009310DD" w:rsidRPr="00D33C2C" w:rsidRDefault="009310DD" w:rsidP="00953031">
            <w:pPr>
              <w:pStyle w:val="Tabletext"/>
              <w:keepNext/>
              <w:keepLines/>
              <w:jc w:val="center"/>
              <w:rPr>
                <w:lang w:val="en-AU"/>
              </w:rPr>
            </w:pPr>
            <w:r w:rsidRPr="00D33C2C">
              <w:rPr>
                <w:lang w:val="en-AU"/>
              </w:rPr>
              <w:t>28 (82.4)</w:t>
            </w:r>
          </w:p>
        </w:tc>
        <w:tc>
          <w:tcPr>
            <w:tcW w:w="600" w:type="pct"/>
            <w:shd w:val="clear" w:color="auto" w:fill="auto"/>
            <w:tcMar>
              <w:left w:w="40" w:type="dxa"/>
              <w:right w:w="40" w:type="dxa"/>
            </w:tcMar>
            <w:vAlign w:val="center"/>
            <w:hideMark/>
          </w:tcPr>
          <w:p w14:paraId="29B1C56E" w14:textId="77777777" w:rsidR="009310DD" w:rsidRPr="00D33C2C" w:rsidRDefault="009310DD" w:rsidP="00953031">
            <w:pPr>
              <w:pStyle w:val="Tabletext"/>
              <w:keepNext/>
              <w:keepLines/>
              <w:jc w:val="center"/>
              <w:rPr>
                <w:lang w:val="en-AU"/>
              </w:rPr>
            </w:pPr>
            <w:r w:rsidRPr="00D33C2C">
              <w:rPr>
                <w:lang w:val="en-AU"/>
              </w:rPr>
              <w:t>14 (73.7)</w:t>
            </w:r>
          </w:p>
        </w:tc>
        <w:tc>
          <w:tcPr>
            <w:tcW w:w="517" w:type="pct"/>
            <w:shd w:val="clear" w:color="auto" w:fill="auto"/>
            <w:tcMar>
              <w:left w:w="40" w:type="dxa"/>
              <w:right w:w="40" w:type="dxa"/>
            </w:tcMar>
            <w:vAlign w:val="center"/>
            <w:hideMark/>
          </w:tcPr>
          <w:p w14:paraId="23EFCBC1" w14:textId="77777777" w:rsidR="009310DD" w:rsidRPr="00D33C2C" w:rsidRDefault="009310DD" w:rsidP="00953031">
            <w:pPr>
              <w:pStyle w:val="Tabletext"/>
              <w:keepNext/>
              <w:keepLines/>
              <w:jc w:val="center"/>
              <w:rPr>
                <w:lang w:val="en-AU"/>
              </w:rPr>
            </w:pPr>
            <w:r w:rsidRPr="00D33C2C">
              <w:rPr>
                <w:lang w:val="en-AU"/>
              </w:rPr>
              <w:t>8 (50.0)</w:t>
            </w:r>
          </w:p>
        </w:tc>
        <w:tc>
          <w:tcPr>
            <w:tcW w:w="516" w:type="pct"/>
            <w:tcMar>
              <w:left w:w="40" w:type="dxa"/>
              <w:right w:w="40" w:type="dxa"/>
            </w:tcMar>
            <w:vAlign w:val="center"/>
          </w:tcPr>
          <w:p w14:paraId="416866D5" w14:textId="77777777" w:rsidR="009310DD" w:rsidRPr="00D33C2C" w:rsidRDefault="009310DD" w:rsidP="00953031">
            <w:pPr>
              <w:pStyle w:val="Tabletext"/>
              <w:keepNext/>
              <w:keepLines/>
              <w:jc w:val="center"/>
              <w:rPr>
                <w:lang w:val="en-AU"/>
              </w:rPr>
            </w:pPr>
            <w:r w:rsidRPr="00D33C2C">
              <w:rPr>
                <w:lang w:val="en-AU"/>
              </w:rPr>
              <w:t>22 (62.9)</w:t>
            </w:r>
          </w:p>
        </w:tc>
        <w:tc>
          <w:tcPr>
            <w:tcW w:w="515" w:type="pct"/>
            <w:vAlign w:val="center"/>
          </w:tcPr>
          <w:p w14:paraId="47EA06AA" w14:textId="0404A8F8" w:rsidR="009310DD" w:rsidRPr="00D33C2C" w:rsidRDefault="009310DD" w:rsidP="009310DD">
            <w:pPr>
              <w:pStyle w:val="Tabletext"/>
              <w:keepNext/>
              <w:keepLines/>
              <w:jc w:val="center"/>
            </w:pPr>
            <w:r>
              <w:t>50 (72.5)</w:t>
            </w:r>
          </w:p>
        </w:tc>
      </w:tr>
      <w:tr w:rsidR="009310DD" w:rsidRPr="00D33C2C" w14:paraId="1C8F7181" w14:textId="780E9560" w:rsidTr="00641C58">
        <w:trPr>
          <w:trHeight w:val="20"/>
        </w:trPr>
        <w:tc>
          <w:tcPr>
            <w:tcW w:w="1098" w:type="pct"/>
            <w:shd w:val="clear" w:color="auto" w:fill="auto"/>
            <w:tcMar>
              <w:left w:w="40" w:type="dxa"/>
              <w:right w:w="40" w:type="dxa"/>
            </w:tcMar>
            <w:vAlign w:val="center"/>
            <w:hideMark/>
          </w:tcPr>
          <w:p w14:paraId="373C85FC" w14:textId="77777777" w:rsidR="009310DD" w:rsidRPr="00D33C2C" w:rsidRDefault="009310DD" w:rsidP="00953031">
            <w:pPr>
              <w:pStyle w:val="Tabletext"/>
              <w:keepNext/>
              <w:keepLines/>
              <w:rPr>
                <w:lang w:val="en-AU"/>
              </w:rPr>
            </w:pPr>
            <w:r w:rsidRPr="00D33C2C">
              <w:rPr>
                <w:lang w:val="en-AU"/>
              </w:rPr>
              <w:t xml:space="preserve">Drug-related TEAE </w:t>
            </w:r>
          </w:p>
        </w:tc>
        <w:tc>
          <w:tcPr>
            <w:tcW w:w="556" w:type="pct"/>
            <w:shd w:val="clear" w:color="auto" w:fill="auto"/>
            <w:tcMar>
              <w:left w:w="40" w:type="dxa"/>
              <w:right w:w="40" w:type="dxa"/>
            </w:tcMar>
            <w:vAlign w:val="center"/>
            <w:hideMark/>
          </w:tcPr>
          <w:p w14:paraId="27ECD656" w14:textId="77777777" w:rsidR="009310DD" w:rsidRPr="00D33C2C" w:rsidRDefault="009310DD" w:rsidP="00953031">
            <w:pPr>
              <w:pStyle w:val="Tabletext"/>
              <w:keepNext/>
              <w:keepLines/>
              <w:jc w:val="center"/>
              <w:rPr>
                <w:lang w:val="en-AU"/>
              </w:rPr>
            </w:pPr>
            <w:r w:rsidRPr="00D33C2C">
              <w:rPr>
                <w:lang w:val="en-AU"/>
              </w:rPr>
              <w:t>6 (31.6)</w:t>
            </w:r>
          </w:p>
        </w:tc>
        <w:tc>
          <w:tcPr>
            <w:tcW w:w="599" w:type="pct"/>
            <w:shd w:val="clear" w:color="auto" w:fill="auto"/>
            <w:tcMar>
              <w:left w:w="40" w:type="dxa"/>
              <w:right w:w="40" w:type="dxa"/>
            </w:tcMar>
            <w:vAlign w:val="center"/>
            <w:hideMark/>
          </w:tcPr>
          <w:p w14:paraId="43E76726" w14:textId="77777777" w:rsidR="009310DD" w:rsidRPr="00D33C2C" w:rsidRDefault="009310DD" w:rsidP="00953031">
            <w:pPr>
              <w:pStyle w:val="Tabletext"/>
              <w:keepNext/>
              <w:keepLines/>
              <w:jc w:val="center"/>
              <w:rPr>
                <w:lang w:val="en-AU"/>
              </w:rPr>
            </w:pPr>
            <w:r w:rsidRPr="00D33C2C">
              <w:rPr>
                <w:lang w:val="en-AU"/>
              </w:rPr>
              <w:t>4 (26.7)</w:t>
            </w:r>
          </w:p>
        </w:tc>
        <w:tc>
          <w:tcPr>
            <w:tcW w:w="599" w:type="pct"/>
            <w:tcMar>
              <w:left w:w="40" w:type="dxa"/>
              <w:right w:w="40" w:type="dxa"/>
            </w:tcMar>
            <w:vAlign w:val="center"/>
          </w:tcPr>
          <w:p w14:paraId="1F6D08B4" w14:textId="77777777" w:rsidR="009310DD" w:rsidRPr="00D33C2C" w:rsidRDefault="009310DD" w:rsidP="00953031">
            <w:pPr>
              <w:pStyle w:val="Tabletext"/>
              <w:keepNext/>
              <w:keepLines/>
              <w:jc w:val="center"/>
              <w:rPr>
                <w:lang w:val="en-AU"/>
              </w:rPr>
            </w:pPr>
            <w:r w:rsidRPr="00D33C2C">
              <w:rPr>
                <w:lang w:val="en-AU"/>
              </w:rPr>
              <w:t>10 (29.4)</w:t>
            </w:r>
          </w:p>
        </w:tc>
        <w:tc>
          <w:tcPr>
            <w:tcW w:w="600" w:type="pct"/>
            <w:shd w:val="clear" w:color="auto" w:fill="auto"/>
            <w:tcMar>
              <w:left w:w="40" w:type="dxa"/>
              <w:right w:w="40" w:type="dxa"/>
            </w:tcMar>
            <w:vAlign w:val="center"/>
            <w:hideMark/>
          </w:tcPr>
          <w:p w14:paraId="34F3AA72" w14:textId="77777777" w:rsidR="009310DD" w:rsidRPr="00D33C2C" w:rsidRDefault="009310DD" w:rsidP="00953031">
            <w:pPr>
              <w:pStyle w:val="Tabletext"/>
              <w:keepNext/>
              <w:keepLines/>
              <w:jc w:val="center"/>
              <w:rPr>
                <w:lang w:val="en-AU"/>
              </w:rPr>
            </w:pPr>
            <w:r w:rsidRPr="00D33C2C">
              <w:rPr>
                <w:lang w:val="en-AU"/>
              </w:rPr>
              <w:t>5 (26.3)</w:t>
            </w:r>
          </w:p>
        </w:tc>
        <w:tc>
          <w:tcPr>
            <w:tcW w:w="517" w:type="pct"/>
            <w:shd w:val="clear" w:color="auto" w:fill="auto"/>
            <w:tcMar>
              <w:left w:w="40" w:type="dxa"/>
              <w:right w:w="40" w:type="dxa"/>
            </w:tcMar>
            <w:vAlign w:val="center"/>
            <w:hideMark/>
          </w:tcPr>
          <w:p w14:paraId="02DEB514" w14:textId="77777777" w:rsidR="009310DD" w:rsidRPr="00D33C2C" w:rsidRDefault="009310DD" w:rsidP="00953031">
            <w:pPr>
              <w:pStyle w:val="Tabletext"/>
              <w:keepNext/>
              <w:keepLines/>
              <w:jc w:val="center"/>
              <w:rPr>
                <w:lang w:val="en-AU"/>
              </w:rPr>
            </w:pPr>
            <w:r w:rsidRPr="00D33C2C">
              <w:rPr>
                <w:lang w:val="en-AU"/>
              </w:rPr>
              <w:t>5 (31.3)</w:t>
            </w:r>
          </w:p>
        </w:tc>
        <w:tc>
          <w:tcPr>
            <w:tcW w:w="516" w:type="pct"/>
            <w:tcMar>
              <w:left w:w="40" w:type="dxa"/>
              <w:right w:w="40" w:type="dxa"/>
            </w:tcMar>
            <w:vAlign w:val="center"/>
          </w:tcPr>
          <w:p w14:paraId="34D575B1" w14:textId="77777777" w:rsidR="009310DD" w:rsidRPr="00D33C2C" w:rsidRDefault="009310DD" w:rsidP="00953031">
            <w:pPr>
              <w:pStyle w:val="Tabletext"/>
              <w:keepNext/>
              <w:keepLines/>
              <w:jc w:val="center"/>
              <w:rPr>
                <w:lang w:val="en-AU"/>
              </w:rPr>
            </w:pPr>
            <w:r w:rsidRPr="00D33C2C">
              <w:rPr>
                <w:lang w:val="en-AU"/>
              </w:rPr>
              <w:t>10 (28.6)</w:t>
            </w:r>
          </w:p>
        </w:tc>
        <w:tc>
          <w:tcPr>
            <w:tcW w:w="515" w:type="pct"/>
            <w:vAlign w:val="center"/>
          </w:tcPr>
          <w:p w14:paraId="62857A1C" w14:textId="2C1C2A54" w:rsidR="009310DD" w:rsidRPr="00D33C2C" w:rsidRDefault="009310DD" w:rsidP="009310DD">
            <w:pPr>
              <w:pStyle w:val="Tabletext"/>
              <w:keepNext/>
              <w:keepLines/>
              <w:jc w:val="center"/>
            </w:pPr>
            <w:r>
              <w:t>20 (29)</w:t>
            </w:r>
          </w:p>
        </w:tc>
      </w:tr>
      <w:tr w:rsidR="009310DD" w:rsidRPr="00D33C2C" w14:paraId="00829C7A" w14:textId="35AA764A" w:rsidTr="00641C58">
        <w:trPr>
          <w:trHeight w:val="20"/>
        </w:trPr>
        <w:tc>
          <w:tcPr>
            <w:tcW w:w="1098" w:type="pct"/>
            <w:shd w:val="clear" w:color="auto" w:fill="auto"/>
            <w:tcMar>
              <w:left w:w="40" w:type="dxa"/>
              <w:right w:w="40" w:type="dxa"/>
            </w:tcMar>
            <w:vAlign w:val="center"/>
            <w:hideMark/>
          </w:tcPr>
          <w:p w14:paraId="46022081" w14:textId="77777777" w:rsidR="009310DD" w:rsidRPr="00D33C2C" w:rsidRDefault="009310DD" w:rsidP="00953031">
            <w:pPr>
              <w:pStyle w:val="Tabletext"/>
              <w:keepNext/>
              <w:keepLines/>
              <w:rPr>
                <w:lang w:val="en-AU"/>
              </w:rPr>
            </w:pPr>
            <w:r w:rsidRPr="00D33C2C">
              <w:rPr>
                <w:lang w:val="en-AU"/>
              </w:rPr>
              <w:t xml:space="preserve">Severe TEAE </w:t>
            </w:r>
          </w:p>
        </w:tc>
        <w:tc>
          <w:tcPr>
            <w:tcW w:w="556" w:type="pct"/>
            <w:shd w:val="clear" w:color="auto" w:fill="auto"/>
            <w:tcMar>
              <w:left w:w="40" w:type="dxa"/>
              <w:right w:w="40" w:type="dxa"/>
            </w:tcMar>
            <w:vAlign w:val="center"/>
            <w:hideMark/>
          </w:tcPr>
          <w:p w14:paraId="5AA5C902" w14:textId="77777777" w:rsidR="009310DD" w:rsidRPr="00D33C2C" w:rsidRDefault="009310DD" w:rsidP="00953031">
            <w:pPr>
              <w:pStyle w:val="Tabletext"/>
              <w:keepNext/>
              <w:keepLines/>
              <w:jc w:val="center"/>
              <w:rPr>
                <w:lang w:val="en-AU"/>
              </w:rPr>
            </w:pPr>
            <w:r w:rsidRPr="00D33C2C">
              <w:rPr>
                <w:lang w:val="en-AU"/>
              </w:rPr>
              <w:t>0</w:t>
            </w:r>
          </w:p>
        </w:tc>
        <w:tc>
          <w:tcPr>
            <w:tcW w:w="599" w:type="pct"/>
            <w:shd w:val="clear" w:color="auto" w:fill="auto"/>
            <w:tcMar>
              <w:left w:w="40" w:type="dxa"/>
              <w:right w:w="40" w:type="dxa"/>
            </w:tcMar>
            <w:vAlign w:val="center"/>
            <w:hideMark/>
          </w:tcPr>
          <w:p w14:paraId="251D2AE5" w14:textId="77777777" w:rsidR="009310DD" w:rsidRPr="00D33C2C" w:rsidRDefault="009310DD" w:rsidP="00953031">
            <w:pPr>
              <w:pStyle w:val="Tabletext"/>
              <w:keepNext/>
              <w:keepLines/>
              <w:jc w:val="center"/>
              <w:rPr>
                <w:lang w:val="en-AU"/>
              </w:rPr>
            </w:pPr>
            <w:r w:rsidRPr="00D33C2C">
              <w:rPr>
                <w:lang w:val="en-AU"/>
              </w:rPr>
              <w:t>1 (6.7)</w:t>
            </w:r>
          </w:p>
        </w:tc>
        <w:tc>
          <w:tcPr>
            <w:tcW w:w="599" w:type="pct"/>
            <w:tcMar>
              <w:left w:w="40" w:type="dxa"/>
              <w:right w:w="40" w:type="dxa"/>
            </w:tcMar>
            <w:vAlign w:val="center"/>
          </w:tcPr>
          <w:p w14:paraId="6B034C82" w14:textId="77777777" w:rsidR="009310DD" w:rsidRPr="00D33C2C" w:rsidRDefault="009310DD" w:rsidP="00953031">
            <w:pPr>
              <w:pStyle w:val="Tabletext"/>
              <w:keepNext/>
              <w:keepLines/>
              <w:jc w:val="center"/>
              <w:rPr>
                <w:lang w:val="en-AU"/>
              </w:rPr>
            </w:pPr>
            <w:r w:rsidRPr="00D33C2C">
              <w:rPr>
                <w:lang w:val="en-AU"/>
              </w:rPr>
              <w:t>1 (2.9)</w:t>
            </w:r>
          </w:p>
        </w:tc>
        <w:tc>
          <w:tcPr>
            <w:tcW w:w="600" w:type="pct"/>
            <w:shd w:val="clear" w:color="auto" w:fill="auto"/>
            <w:tcMar>
              <w:left w:w="40" w:type="dxa"/>
              <w:right w:w="40" w:type="dxa"/>
            </w:tcMar>
            <w:vAlign w:val="center"/>
            <w:hideMark/>
          </w:tcPr>
          <w:p w14:paraId="789B15B4" w14:textId="77777777" w:rsidR="009310DD" w:rsidRPr="00D33C2C" w:rsidRDefault="009310DD" w:rsidP="00953031">
            <w:pPr>
              <w:pStyle w:val="Tabletext"/>
              <w:keepNext/>
              <w:keepLines/>
              <w:jc w:val="center"/>
              <w:rPr>
                <w:lang w:val="en-AU"/>
              </w:rPr>
            </w:pPr>
            <w:r w:rsidRPr="00D33C2C">
              <w:rPr>
                <w:lang w:val="en-AU"/>
              </w:rPr>
              <w:t>1 (5.3)</w:t>
            </w:r>
          </w:p>
        </w:tc>
        <w:tc>
          <w:tcPr>
            <w:tcW w:w="517" w:type="pct"/>
            <w:shd w:val="clear" w:color="auto" w:fill="auto"/>
            <w:tcMar>
              <w:left w:w="40" w:type="dxa"/>
              <w:right w:w="40" w:type="dxa"/>
            </w:tcMar>
            <w:vAlign w:val="center"/>
            <w:hideMark/>
          </w:tcPr>
          <w:p w14:paraId="709C8B9B" w14:textId="77777777" w:rsidR="009310DD" w:rsidRPr="00D33C2C" w:rsidRDefault="009310DD" w:rsidP="00953031">
            <w:pPr>
              <w:pStyle w:val="Tabletext"/>
              <w:keepNext/>
              <w:keepLines/>
              <w:jc w:val="center"/>
              <w:rPr>
                <w:lang w:val="en-AU"/>
              </w:rPr>
            </w:pPr>
            <w:r w:rsidRPr="00D33C2C">
              <w:rPr>
                <w:lang w:val="en-AU"/>
              </w:rPr>
              <w:t>3 (18.8)</w:t>
            </w:r>
          </w:p>
        </w:tc>
        <w:tc>
          <w:tcPr>
            <w:tcW w:w="516" w:type="pct"/>
            <w:tcMar>
              <w:left w:w="40" w:type="dxa"/>
              <w:right w:w="40" w:type="dxa"/>
            </w:tcMar>
            <w:vAlign w:val="center"/>
          </w:tcPr>
          <w:p w14:paraId="40A4A4D5" w14:textId="77777777" w:rsidR="009310DD" w:rsidRPr="00D33C2C" w:rsidRDefault="009310DD" w:rsidP="00953031">
            <w:pPr>
              <w:pStyle w:val="Tabletext"/>
              <w:keepNext/>
              <w:keepLines/>
              <w:jc w:val="center"/>
              <w:rPr>
                <w:lang w:val="en-AU"/>
              </w:rPr>
            </w:pPr>
            <w:r w:rsidRPr="00D33C2C">
              <w:rPr>
                <w:lang w:val="en-AU"/>
              </w:rPr>
              <w:t>4 (11.4)</w:t>
            </w:r>
          </w:p>
        </w:tc>
        <w:tc>
          <w:tcPr>
            <w:tcW w:w="515" w:type="pct"/>
            <w:vAlign w:val="center"/>
          </w:tcPr>
          <w:p w14:paraId="6788C0DC" w14:textId="0C757B86" w:rsidR="009310DD" w:rsidRPr="00D33C2C" w:rsidRDefault="009310DD" w:rsidP="009310DD">
            <w:pPr>
              <w:pStyle w:val="Tabletext"/>
              <w:keepNext/>
              <w:keepLines/>
              <w:jc w:val="center"/>
            </w:pPr>
            <w:r>
              <w:t>5 (7.2)</w:t>
            </w:r>
          </w:p>
        </w:tc>
      </w:tr>
      <w:tr w:rsidR="009310DD" w:rsidRPr="00D33C2C" w14:paraId="7F0474E6" w14:textId="045B98CF" w:rsidTr="00641C58">
        <w:trPr>
          <w:trHeight w:val="20"/>
        </w:trPr>
        <w:tc>
          <w:tcPr>
            <w:tcW w:w="1098" w:type="pct"/>
            <w:shd w:val="clear" w:color="auto" w:fill="auto"/>
            <w:tcMar>
              <w:left w:w="40" w:type="dxa"/>
              <w:right w:w="40" w:type="dxa"/>
            </w:tcMar>
            <w:vAlign w:val="center"/>
            <w:hideMark/>
          </w:tcPr>
          <w:p w14:paraId="2DB9AE51" w14:textId="77777777" w:rsidR="009310DD" w:rsidRPr="00D33C2C" w:rsidRDefault="009310DD" w:rsidP="00953031">
            <w:pPr>
              <w:pStyle w:val="Tabletext"/>
              <w:keepNext/>
              <w:keepLines/>
              <w:rPr>
                <w:lang w:val="en-AU"/>
              </w:rPr>
            </w:pPr>
            <w:r w:rsidRPr="00D33C2C">
              <w:rPr>
                <w:lang w:val="en-AU"/>
              </w:rPr>
              <w:t>Serious TEAE</w:t>
            </w:r>
          </w:p>
        </w:tc>
        <w:tc>
          <w:tcPr>
            <w:tcW w:w="556" w:type="pct"/>
            <w:shd w:val="clear" w:color="auto" w:fill="auto"/>
            <w:tcMar>
              <w:left w:w="40" w:type="dxa"/>
              <w:right w:w="40" w:type="dxa"/>
            </w:tcMar>
            <w:vAlign w:val="center"/>
            <w:hideMark/>
          </w:tcPr>
          <w:p w14:paraId="47612388" w14:textId="77777777" w:rsidR="009310DD" w:rsidRPr="00D33C2C" w:rsidRDefault="009310DD" w:rsidP="00953031">
            <w:pPr>
              <w:pStyle w:val="Tabletext"/>
              <w:keepNext/>
              <w:keepLines/>
              <w:jc w:val="center"/>
              <w:rPr>
                <w:lang w:val="en-AU"/>
              </w:rPr>
            </w:pPr>
            <w:r w:rsidRPr="00D33C2C">
              <w:rPr>
                <w:lang w:val="en-AU"/>
              </w:rPr>
              <w:t>0</w:t>
            </w:r>
          </w:p>
        </w:tc>
        <w:tc>
          <w:tcPr>
            <w:tcW w:w="599" w:type="pct"/>
            <w:shd w:val="clear" w:color="auto" w:fill="auto"/>
            <w:tcMar>
              <w:left w:w="40" w:type="dxa"/>
              <w:right w:w="40" w:type="dxa"/>
            </w:tcMar>
            <w:vAlign w:val="center"/>
            <w:hideMark/>
          </w:tcPr>
          <w:p w14:paraId="749CF008" w14:textId="77777777" w:rsidR="009310DD" w:rsidRPr="00D33C2C" w:rsidRDefault="009310DD" w:rsidP="00953031">
            <w:pPr>
              <w:pStyle w:val="Tabletext"/>
              <w:keepNext/>
              <w:keepLines/>
              <w:jc w:val="center"/>
              <w:rPr>
                <w:lang w:val="en-AU"/>
              </w:rPr>
            </w:pPr>
            <w:r w:rsidRPr="00D33C2C">
              <w:rPr>
                <w:lang w:val="en-AU"/>
              </w:rPr>
              <w:t>0</w:t>
            </w:r>
          </w:p>
        </w:tc>
        <w:tc>
          <w:tcPr>
            <w:tcW w:w="599" w:type="pct"/>
            <w:tcMar>
              <w:left w:w="40" w:type="dxa"/>
              <w:right w:w="40" w:type="dxa"/>
            </w:tcMar>
            <w:vAlign w:val="center"/>
          </w:tcPr>
          <w:p w14:paraId="43B16056" w14:textId="77777777" w:rsidR="009310DD" w:rsidRPr="00D33C2C" w:rsidRDefault="009310DD" w:rsidP="00953031">
            <w:pPr>
              <w:pStyle w:val="Tabletext"/>
              <w:keepNext/>
              <w:keepLines/>
              <w:jc w:val="center"/>
              <w:rPr>
                <w:lang w:val="en-AU"/>
              </w:rPr>
            </w:pPr>
            <w:r w:rsidRPr="00D33C2C">
              <w:rPr>
                <w:lang w:val="en-AU"/>
              </w:rPr>
              <w:t>0</w:t>
            </w:r>
          </w:p>
        </w:tc>
        <w:tc>
          <w:tcPr>
            <w:tcW w:w="600" w:type="pct"/>
            <w:shd w:val="clear" w:color="auto" w:fill="auto"/>
            <w:tcMar>
              <w:left w:w="40" w:type="dxa"/>
              <w:right w:w="40" w:type="dxa"/>
            </w:tcMar>
            <w:vAlign w:val="center"/>
            <w:hideMark/>
          </w:tcPr>
          <w:p w14:paraId="06C99FC8" w14:textId="77777777" w:rsidR="009310DD" w:rsidRPr="00D33C2C" w:rsidRDefault="009310DD" w:rsidP="00953031">
            <w:pPr>
              <w:pStyle w:val="Tabletext"/>
              <w:keepNext/>
              <w:keepLines/>
              <w:jc w:val="center"/>
              <w:rPr>
                <w:lang w:val="en-AU"/>
              </w:rPr>
            </w:pPr>
            <w:r w:rsidRPr="00D33C2C">
              <w:rPr>
                <w:lang w:val="en-AU"/>
              </w:rPr>
              <w:t>3 (15.8)</w:t>
            </w:r>
          </w:p>
        </w:tc>
        <w:tc>
          <w:tcPr>
            <w:tcW w:w="517" w:type="pct"/>
            <w:shd w:val="clear" w:color="auto" w:fill="auto"/>
            <w:tcMar>
              <w:left w:w="40" w:type="dxa"/>
              <w:right w:w="40" w:type="dxa"/>
            </w:tcMar>
            <w:vAlign w:val="center"/>
            <w:hideMark/>
          </w:tcPr>
          <w:p w14:paraId="00037BA6" w14:textId="77777777" w:rsidR="009310DD" w:rsidRPr="00D33C2C" w:rsidRDefault="009310DD" w:rsidP="00953031">
            <w:pPr>
              <w:pStyle w:val="Tabletext"/>
              <w:keepNext/>
              <w:keepLines/>
              <w:jc w:val="center"/>
              <w:rPr>
                <w:lang w:val="en-AU"/>
              </w:rPr>
            </w:pPr>
            <w:r w:rsidRPr="00D33C2C">
              <w:rPr>
                <w:lang w:val="en-AU"/>
              </w:rPr>
              <w:t>1 (6.3)</w:t>
            </w:r>
          </w:p>
        </w:tc>
        <w:tc>
          <w:tcPr>
            <w:tcW w:w="516" w:type="pct"/>
            <w:tcMar>
              <w:left w:w="40" w:type="dxa"/>
              <w:right w:w="40" w:type="dxa"/>
            </w:tcMar>
            <w:vAlign w:val="center"/>
          </w:tcPr>
          <w:p w14:paraId="20AB476E" w14:textId="77777777" w:rsidR="009310DD" w:rsidRPr="00D33C2C" w:rsidRDefault="009310DD" w:rsidP="00953031">
            <w:pPr>
              <w:pStyle w:val="Tabletext"/>
              <w:keepNext/>
              <w:keepLines/>
              <w:jc w:val="center"/>
              <w:rPr>
                <w:lang w:val="en-AU"/>
              </w:rPr>
            </w:pPr>
            <w:r w:rsidRPr="00D33C2C">
              <w:rPr>
                <w:lang w:val="en-AU"/>
              </w:rPr>
              <w:t>4 (11.4)</w:t>
            </w:r>
          </w:p>
        </w:tc>
        <w:tc>
          <w:tcPr>
            <w:tcW w:w="515" w:type="pct"/>
            <w:vAlign w:val="center"/>
          </w:tcPr>
          <w:p w14:paraId="4901EB5B" w14:textId="66A2E5E5" w:rsidR="009310DD" w:rsidRPr="00D33C2C" w:rsidRDefault="009310DD" w:rsidP="009310DD">
            <w:pPr>
              <w:pStyle w:val="Tabletext"/>
              <w:keepNext/>
              <w:keepLines/>
              <w:jc w:val="center"/>
            </w:pPr>
            <w:r>
              <w:t>4 (5.8)</w:t>
            </w:r>
          </w:p>
        </w:tc>
      </w:tr>
      <w:tr w:rsidR="009310DD" w:rsidRPr="00D33C2C" w14:paraId="213343EE" w14:textId="69AED7B3" w:rsidTr="00641C58">
        <w:trPr>
          <w:trHeight w:val="20"/>
        </w:trPr>
        <w:tc>
          <w:tcPr>
            <w:tcW w:w="1098" w:type="pct"/>
            <w:shd w:val="clear" w:color="auto" w:fill="auto"/>
            <w:tcMar>
              <w:left w:w="40" w:type="dxa"/>
              <w:right w:w="40" w:type="dxa"/>
            </w:tcMar>
            <w:vAlign w:val="center"/>
            <w:hideMark/>
          </w:tcPr>
          <w:p w14:paraId="690586B3" w14:textId="77777777" w:rsidR="009310DD" w:rsidRPr="00D33C2C" w:rsidRDefault="009310DD" w:rsidP="00953031">
            <w:pPr>
              <w:pStyle w:val="Tabletext"/>
              <w:keepNext/>
              <w:keepLines/>
              <w:rPr>
                <w:lang w:val="en-AU"/>
              </w:rPr>
            </w:pPr>
            <w:r w:rsidRPr="00D33C2C">
              <w:rPr>
                <w:lang w:val="en-AU"/>
              </w:rPr>
              <w:t>Drug-related serious TEAE</w:t>
            </w:r>
          </w:p>
        </w:tc>
        <w:tc>
          <w:tcPr>
            <w:tcW w:w="556" w:type="pct"/>
            <w:shd w:val="clear" w:color="auto" w:fill="auto"/>
            <w:tcMar>
              <w:left w:w="40" w:type="dxa"/>
              <w:right w:w="40" w:type="dxa"/>
            </w:tcMar>
            <w:vAlign w:val="center"/>
            <w:hideMark/>
          </w:tcPr>
          <w:p w14:paraId="140D77A4" w14:textId="77777777" w:rsidR="009310DD" w:rsidRPr="00D33C2C" w:rsidRDefault="009310DD" w:rsidP="00953031">
            <w:pPr>
              <w:pStyle w:val="Tabletext"/>
              <w:keepNext/>
              <w:keepLines/>
              <w:jc w:val="center"/>
              <w:rPr>
                <w:lang w:val="en-AU"/>
              </w:rPr>
            </w:pPr>
            <w:r w:rsidRPr="00D33C2C">
              <w:rPr>
                <w:lang w:val="en-AU"/>
              </w:rPr>
              <w:t>0</w:t>
            </w:r>
          </w:p>
        </w:tc>
        <w:tc>
          <w:tcPr>
            <w:tcW w:w="599" w:type="pct"/>
            <w:shd w:val="clear" w:color="auto" w:fill="auto"/>
            <w:tcMar>
              <w:left w:w="40" w:type="dxa"/>
              <w:right w:w="40" w:type="dxa"/>
            </w:tcMar>
            <w:vAlign w:val="center"/>
            <w:hideMark/>
          </w:tcPr>
          <w:p w14:paraId="63B396A8" w14:textId="77777777" w:rsidR="009310DD" w:rsidRPr="00D33C2C" w:rsidRDefault="009310DD" w:rsidP="00953031">
            <w:pPr>
              <w:pStyle w:val="Tabletext"/>
              <w:keepNext/>
              <w:keepLines/>
              <w:jc w:val="center"/>
              <w:rPr>
                <w:lang w:val="en-AU"/>
              </w:rPr>
            </w:pPr>
            <w:r w:rsidRPr="00D33C2C">
              <w:rPr>
                <w:lang w:val="en-AU"/>
              </w:rPr>
              <w:t>0</w:t>
            </w:r>
          </w:p>
        </w:tc>
        <w:tc>
          <w:tcPr>
            <w:tcW w:w="599" w:type="pct"/>
            <w:tcMar>
              <w:left w:w="40" w:type="dxa"/>
              <w:right w:w="40" w:type="dxa"/>
            </w:tcMar>
            <w:vAlign w:val="center"/>
          </w:tcPr>
          <w:p w14:paraId="7BA7A131" w14:textId="77777777" w:rsidR="009310DD" w:rsidRPr="00D33C2C" w:rsidRDefault="009310DD" w:rsidP="00953031">
            <w:pPr>
              <w:pStyle w:val="Tabletext"/>
              <w:keepNext/>
              <w:keepLines/>
              <w:jc w:val="center"/>
              <w:rPr>
                <w:lang w:val="en-AU"/>
              </w:rPr>
            </w:pPr>
            <w:r w:rsidRPr="00D33C2C">
              <w:rPr>
                <w:lang w:val="en-AU"/>
              </w:rPr>
              <w:t>0</w:t>
            </w:r>
          </w:p>
        </w:tc>
        <w:tc>
          <w:tcPr>
            <w:tcW w:w="600" w:type="pct"/>
            <w:shd w:val="clear" w:color="auto" w:fill="auto"/>
            <w:tcMar>
              <w:left w:w="40" w:type="dxa"/>
              <w:right w:w="40" w:type="dxa"/>
            </w:tcMar>
            <w:vAlign w:val="center"/>
            <w:hideMark/>
          </w:tcPr>
          <w:p w14:paraId="68DFBFCC" w14:textId="77777777" w:rsidR="009310DD" w:rsidRPr="00D33C2C" w:rsidRDefault="009310DD" w:rsidP="00953031">
            <w:pPr>
              <w:pStyle w:val="Tabletext"/>
              <w:keepNext/>
              <w:keepLines/>
              <w:jc w:val="center"/>
              <w:rPr>
                <w:lang w:val="en-AU"/>
              </w:rPr>
            </w:pPr>
            <w:r w:rsidRPr="00D33C2C">
              <w:rPr>
                <w:lang w:val="en-AU"/>
              </w:rPr>
              <w:t>0</w:t>
            </w:r>
          </w:p>
        </w:tc>
        <w:tc>
          <w:tcPr>
            <w:tcW w:w="517" w:type="pct"/>
            <w:shd w:val="clear" w:color="auto" w:fill="auto"/>
            <w:tcMar>
              <w:left w:w="40" w:type="dxa"/>
              <w:right w:w="40" w:type="dxa"/>
            </w:tcMar>
            <w:vAlign w:val="center"/>
            <w:hideMark/>
          </w:tcPr>
          <w:p w14:paraId="6ACDDDA2" w14:textId="77777777" w:rsidR="009310DD" w:rsidRPr="00D33C2C" w:rsidRDefault="009310DD" w:rsidP="00953031">
            <w:pPr>
              <w:pStyle w:val="Tabletext"/>
              <w:keepNext/>
              <w:keepLines/>
              <w:jc w:val="center"/>
              <w:rPr>
                <w:lang w:val="en-AU"/>
              </w:rPr>
            </w:pPr>
            <w:r w:rsidRPr="00D33C2C">
              <w:rPr>
                <w:lang w:val="en-AU"/>
              </w:rPr>
              <w:t>0</w:t>
            </w:r>
          </w:p>
        </w:tc>
        <w:tc>
          <w:tcPr>
            <w:tcW w:w="516" w:type="pct"/>
            <w:tcMar>
              <w:left w:w="40" w:type="dxa"/>
              <w:right w:w="40" w:type="dxa"/>
            </w:tcMar>
            <w:vAlign w:val="center"/>
          </w:tcPr>
          <w:p w14:paraId="76BC7899" w14:textId="77777777" w:rsidR="009310DD" w:rsidRPr="00D33C2C" w:rsidRDefault="009310DD" w:rsidP="00953031">
            <w:pPr>
              <w:pStyle w:val="Tabletext"/>
              <w:keepNext/>
              <w:keepLines/>
              <w:jc w:val="center"/>
              <w:rPr>
                <w:lang w:val="en-AU"/>
              </w:rPr>
            </w:pPr>
            <w:r w:rsidRPr="00D33C2C">
              <w:rPr>
                <w:lang w:val="en-AU"/>
              </w:rPr>
              <w:t>0</w:t>
            </w:r>
          </w:p>
        </w:tc>
        <w:tc>
          <w:tcPr>
            <w:tcW w:w="515" w:type="pct"/>
            <w:vAlign w:val="center"/>
          </w:tcPr>
          <w:p w14:paraId="7395DF77" w14:textId="5590C891" w:rsidR="009310DD" w:rsidRPr="00D33C2C" w:rsidRDefault="009310DD" w:rsidP="009310DD">
            <w:pPr>
              <w:pStyle w:val="Tabletext"/>
              <w:keepNext/>
              <w:keepLines/>
              <w:jc w:val="center"/>
            </w:pPr>
            <w:r>
              <w:t>0</w:t>
            </w:r>
          </w:p>
        </w:tc>
      </w:tr>
      <w:tr w:rsidR="009310DD" w:rsidRPr="00D33C2C" w14:paraId="39E89419" w14:textId="57AAD895" w:rsidTr="00641C58">
        <w:trPr>
          <w:trHeight w:val="20"/>
        </w:trPr>
        <w:tc>
          <w:tcPr>
            <w:tcW w:w="1098" w:type="pct"/>
            <w:shd w:val="clear" w:color="auto" w:fill="auto"/>
            <w:tcMar>
              <w:left w:w="40" w:type="dxa"/>
              <w:right w:w="40" w:type="dxa"/>
            </w:tcMar>
            <w:vAlign w:val="center"/>
            <w:hideMark/>
          </w:tcPr>
          <w:p w14:paraId="46C1CB31" w14:textId="77777777" w:rsidR="009310DD" w:rsidRPr="00D33C2C" w:rsidRDefault="009310DD" w:rsidP="00953031">
            <w:pPr>
              <w:pStyle w:val="Tabletext"/>
              <w:keepNext/>
              <w:keepLines/>
              <w:rPr>
                <w:lang w:val="en-AU"/>
              </w:rPr>
            </w:pPr>
            <w:r w:rsidRPr="00D33C2C">
              <w:rPr>
                <w:lang w:val="en-AU"/>
              </w:rPr>
              <w:t>TEAE leading to death</w:t>
            </w:r>
          </w:p>
        </w:tc>
        <w:tc>
          <w:tcPr>
            <w:tcW w:w="556" w:type="pct"/>
            <w:shd w:val="clear" w:color="auto" w:fill="auto"/>
            <w:tcMar>
              <w:left w:w="40" w:type="dxa"/>
              <w:right w:w="40" w:type="dxa"/>
            </w:tcMar>
            <w:vAlign w:val="center"/>
            <w:hideMark/>
          </w:tcPr>
          <w:p w14:paraId="139CE674" w14:textId="77777777" w:rsidR="009310DD" w:rsidRPr="00D33C2C" w:rsidRDefault="009310DD" w:rsidP="00953031">
            <w:pPr>
              <w:pStyle w:val="Tabletext"/>
              <w:keepNext/>
              <w:keepLines/>
              <w:jc w:val="center"/>
              <w:rPr>
                <w:lang w:val="en-AU"/>
              </w:rPr>
            </w:pPr>
            <w:r w:rsidRPr="00D33C2C">
              <w:rPr>
                <w:lang w:val="en-AU"/>
              </w:rPr>
              <w:t>0</w:t>
            </w:r>
          </w:p>
        </w:tc>
        <w:tc>
          <w:tcPr>
            <w:tcW w:w="599" w:type="pct"/>
            <w:shd w:val="clear" w:color="auto" w:fill="auto"/>
            <w:tcMar>
              <w:left w:w="40" w:type="dxa"/>
              <w:right w:w="40" w:type="dxa"/>
            </w:tcMar>
            <w:vAlign w:val="center"/>
            <w:hideMark/>
          </w:tcPr>
          <w:p w14:paraId="0541A6D8" w14:textId="77777777" w:rsidR="009310DD" w:rsidRPr="00D33C2C" w:rsidRDefault="009310DD" w:rsidP="00953031">
            <w:pPr>
              <w:pStyle w:val="Tabletext"/>
              <w:keepNext/>
              <w:keepLines/>
              <w:jc w:val="center"/>
              <w:rPr>
                <w:lang w:val="en-AU"/>
              </w:rPr>
            </w:pPr>
            <w:r w:rsidRPr="00D33C2C">
              <w:rPr>
                <w:lang w:val="en-AU"/>
              </w:rPr>
              <w:t>0</w:t>
            </w:r>
          </w:p>
        </w:tc>
        <w:tc>
          <w:tcPr>
            <w:tcW w:w="599" w:type="pct"/>
            <w:tcMar>
              <w:left w:w="40" w:type="dxa"/>
              <w:right w:w="40" w:type="dxa"/>
            </w:tcMar>
            <w:vAlign w:val="center"/>
          </w:tcPr>
          <w:p w14:paraId="42AA5082" w14:textId="77777777" w:rsidR="009310DD" w:rsidRPr="00D33C2C" w:rsidRDefault="009310DD" w:rsidP="00953031">
            <w:pPr>
              <w:pStyle w:val="Tabletext"/>
              <w:keepNext/>
              <w:keepLines/>
              <w:jc w:val="center"/>
              <w:rPr>
                <w:lang w:val="en-AU"/>
              </w:rPr>
            </w:pPr>
            <w:r w:rsidRPr="00D33C2C">
              <w:rPr>
                <w:lang w:val="en-AU"/>
              </w:rPr>
              <w:t>0</w:t>
            </w:r>
          </w:p>
        </w:tc>
        <w:tc>
          <w:tcPr>
            <w:tcW w:w="600" w:type="pct"/>
            <w:shd w:val="clear" w:color="auto" w:fill="auto"/>
            <w:tcMar>
              <w:left w:w="40" w:type="dxa"/>
              <w:right w:w="40" w:type="dxa"/>
            </w:tcMar>
            <w:vAlign w:val="center"/>
            <w:hideMark/>
          </w:tcPr>
          <w:p w14:paraId="1ADF733B" w14:textId="77777777" w:rsidR="009310DD" w:rsidRPr="00D33C2C" w:rsidRDefault="009310DD" w:rsidP="00953031">
            <w:pPr>
              <w:pStyle w:val="Tabletext"/>
              <w:keepNext/>
              <w:keepLines/>
              <w:jc w:val="center"/>
              <w:rPr>
                <w:lang w:val="en-AU"/>
              </w:rPr>
            </w:pPr>
            <w:r w:rsidRPr="00D33C2C">
              <w:rPr>
                <w:lang w:val="en-AU"/>
              </w:rPr>
              <w:t>0</w:t>
            </w:r>
          </w:p>
        </w:tc>
        <w:tc>
          <w:tcPr>
            <w:tcW w:w="517" w:type="pct"/>
            <w:shd w:val="clear" w:color="auto" w:fill="auto"/>
            <w:tcMar>
              <w:left w:w="40" w:type="dxa"/>
              <w:right w:w="40" w:type="dxa"/>
            </w:tcMar>
            <w:vAlign w:val="center"/>
            <w:hideMark/>
          </w:tcPr>
          <w:p w14:paraId="09545669" w14:textId="77777777" w:rsidR="009310DD" w:rsidRPr="00D33C2C" w:rsidRDefault="009310DD" w:rsidP="00953031">
            <w:pPr>
              <w:pStyle w:val="Tabletext"/>
              <w:keepNext/>
              <w:keepLines/>
              <w:jc w:val="center"/>
              <w:rPr>
                <w:lang w:val="en-AU"/>
              </w:rPr>
            </w:pPr>
            <w:r w:rsidRPr="00D33C2C">
              <w:rPr>
                <w:lang w:val="en-AU"/>
              </w:rPr>
              <w:t>0</w:t>
            </w:r>
          </w:p>
        </w:tc>
        <w:tc>
          <w:tcPr>
            <w:tcW w:w="516" w:type="pct"/>
            <w:tcMar>
              <w:left w:w="40" w:type="dxa"/>
              <w:right w:w="40" w:type="dxa"/>
            </w:tcMar>
            <w:vAlign w:val="center"/>
          </w:tcPr>
          <w:p w14:paraId="0383A190" w14:textId="77777777" w:rsidR="009310DD" w:rsidRPr="00D33C2C" w:rsidRDefault="009310DD" w:rsidP="00953031">
            <w:pPr>
              <w:pStyle w:val="Tabletext"/>
              <w:keepNext/>
              <w:keepLines/>
              <w:jc w:val="center"/>
              <w:rPr>
                <w:lang w:val="en-AU"/>
              </w:rPr>
            </w:pPr>
            <w:r w:rsidRPr="00D33C2C">
              <w:rPr>
                <w:lang w:val="en-AU"/>
              </w:rPr>
              <w:t>0</w:t>
            </w:r>
          </w:p>
        </w:tc>
        <w:tc>
          <w:tcPr>
            <w:tcW w:w="515" w:type="pct"/>
            <w:vAlign w:val="center"/>
          </w:tcPr>
          <w:p w14:paraId="5043ABD0" w14:textId="521FEEB1" w:rsidR="009310DD" w:rsidRPr="00D33C2C" w:rsidRDefault="009310DD" w:rsidP="009310DD">
            <w:pPr>
              <w:pStyle w:val="Tabletext"/>
              <w:keepNext/>
              <w:keepLines/>
              <w:jc w:val="center"/>
            </w:pPr>
            <w:r>
              <w:t>0</w:t>
            </w:r>
          </w:p>
        </w:tc>
      </w:tr>
      <w:tr w:rsidR="009310DD" w:rsidRPr="00D33C2C" w14:paraId="38A24381" w14:textId="4F2322AD" w:rsidTr="00641C58">
        <w:trPr>
          <w:trHeight w:val="20"/>
        </w:trPr>
        <w:tc>
          <w:tcPr>
            <w:tcW w:w="1098" w:type="pct"/>
            <w:tcBorders>
              <w:bottom w:val="single" w:sz="4" w:space="0" w:color="auto"/>
            </w:tcBorders>
            <w:shd w:val="clear" w:color="auto" w:fill="auto"/>
            <w:tcMar>
              <w:left w:w="40" w:type="dxa"/>
              <w:right w:w="40" w:type="dxa"/>
            </w:tcMar>
            <w:vAlign w:val="center"/>
            <w:hideMark/>
          </w:tcPr>
          <w:p w14:paraId="2A866145" w14:textId="77777777" w:rsidR="009310DD" w:rsidRPr="00D33C2C" w:rsidRDefault="009310DD" w:rsidP="00953031">
            <w:pPr>
              <w:pStyle w:val="Tabletext"/>
              <w:keepNext/>
              <w:keepLines/>
              <w:rPr>
                <w:lang w:val="en-AU"/>
              </w:rPr>
            </w:pPr>
            <w:r w:rsidRPr="00D33C2C">
              <w:rPr>
                <w:lang w:val="en-AU"/>
              </w:rPr>
              <w:t>TEAE leading to treatment discontinuation</w:t>
            </w:r>
          </w:p>
        </w:tc>
        <w:tc>
          <w:tcPr>
            <w:tcW w:w="556" w:type="pct"/>
            <w:tcBorders>
              <w:bottom w:val="single" w:sz="4" w:space="0" w:color="auto"/>
            </w:tcBorders>
            <w:shd w:val="clear" w:color="auto" w:fill="auto"/>
            <w:tcMar>
              <w:left w:w="40" w:type="dxa"/>
              <w:right w:w="40" w:type="dxa"/>
            </w:tcMar>
            <w:vAlign w:val="center"/>
            <w:hideMark/>
          </w:tcPr>
          <w:p w14:paraId="004E53E9" w14:textId="77777777" w:rsidR="009310DD" w:rsidRPr="00D33C2C" w:rsidRDefault="009310DD" w:rsidP="00953031">
            <w:pPr>
              <w:pStyle w:val="Tabletext"/>
              <w:keepNext/>
              <w:keepLines/>
              <w:jc w:val="center"/>
              <w:rPr>
                <w:lang w:val="en-AU"/>
              </w:rPr>
            </w:pPr>
            <w:r w:rsidRPr="00D33C2C">
              <w:rPr>
                <w:lang w:val="en-AU"/>
              </w:rPr>
              <w:t>0</w:t>
            </w:r>
          </w:p>
        </w:tc>
        <w:tc>
          <w:tcPr>
            <w:tcW w:w="599" w:type="pct"/>
            <w:tcBorders>
              <w:bottom w:val="single" w:sz="4" w:space="0" w:color="auto"/>
            </w:tcBorders>
            <w:shd w:val="clear" w:color="auto" w:fill="auto"/>
            <w:tcMar>
              <w:left w:w="40" w:type="dxa"/>
              <w:right w:w="40" w:type="dxa"/>
            </w:tcMar>
            <w:vAlign w:val="center"/>
            <w:hideMark/>
          </w:tcPr>
          <w:p w14:paraId="57F5BBD4" w14:textId="77777777" w:rsidR="009310DD" w:rsidRPr="00D33C2C" w:rsidRDefault="009310DD" w:rsidP="00953031">
            <w:pPr>
              <w:pStyle w:val="Tabletext"/>
              <w:keepNext/>
              <w:keepLines/>
              <w:jc w:val="center"/>
              <w:rPr>
                <w:lang w:val="en-AU"/>
              </w:rPr>
            </w:pPr>
            <w:r w:rsidRPr="00D33C2C">
              <w:rPr>
                <w:lang w:val="en-AU"/>
              </w:rPr>
              <w:t>0</w:t>
            </w:r>
          </w:p>
        </w:tc>
        <w:tc>
          <w:tcPr>
            <w:tcW w:w="599" w:type="pct"/>
            <w:tcBorders>
              <w:bottom w:val="single" w:sz="4" w:space="0" w:color="auto"/>
            </w:tcBorders>
            <w:tcMar>
              <w:left w:w="40" w:type="dxa"/>
              <w:right w:w="40" w:type="dxa"/>
            </w:tcMar>
            <w:vAlign w:val="center"/>
          </w:tcPr>
          <w:p w14:paraId="093397FA" w14:textId="77777777" w:rsidR="009310DD" w:rsidRPr="00D33C2C" w:rsidRDefault="009310DD" w:rsidP="00953031">
            <w:pPr>
              <w:pStyle w:val="Tabletext"/>
              <w:keepNext/>
              <w:keepLines/>
              <w:jc w:val="center"/>
              <w:rPr>
                <w:lang w:val="en-AU"/>
              </w:rPr>
            </w:pPr>
            <w:r w:rsidRPr="00D33C2C">
              <w:rPr>
                <w:lang w:val="en-AU"/>
              </w:rPr>
              <w:t>0</w:t>
            </w:r>
          </w:p>
        </w:tc>
        <w:tc>
          <w:tcPr>
            <w:tcW w:w="600" w:type="pct"/>
            <w:tcBorders>
              <w:bottom w:val="single" w:sz="4" w:space="0" w:color="auto"/>
            </w:tcBorders>
            <w:shd w:val="clear" w:color="auto" w:fill="auto"/>
            <w:tcMar>
              <w:left w:w="40" w:type="dxa"/>
              <w:right w:w="40" w:type="dxa"/>
            </w:tcMar>
            <w:vAlign w:val="center"/>
            <w:hideMark/>
          </w:tcPr>
          <w:p w14:paraId="1B59F929" w14:textId="77777777" w:rsidR="009310DD" w:rsidRPr="00D33C2C" w:rsidRDefault="009310DD" w:rsidP="00953031">
            <w:pPr>
              <w:pStyle w:val="Tabletext"/>
              <w:keepNext/>
              <w:keepLines/>
              <w:jc w:val="center"/>
              <w:rPr>
                <w:lang w:val="en-AU"/>
              </w:rPr>
            </w:pPr>
            <w:r w:rsidRPr="00D33C2C">
              <w:rPr>
                <w:lang w:val="en-AU"/>
              </w:rPr>
              <w:t>1 (5.3)</w:t>
            </w:r>
          </w:p>
        </w:tc>
        <w:tc>
          <w:tcPr>
            <w:tcW w:w="517" w:type="pct"/>
            <w:tcBorders>
              <w:bottom w:val="single" w:sz="4" w:space="0" w:color="auto"/>
            </w:tcBorders>
            <w:shd w:val="clear" w:color="auto" w:fill="auto"/>
            <w:tcMar>
              <w:left w:w="40" w:type="dxa"/>
              <w:right w:w="40" w:type="dxa"/>
            </w:tcMar>
            <w:vAlign w:val="center"/>
            <w:hideMark/>
          </w:tcPr>
          <w:p w14:paraId="65B85B3B" w14:textId="77777777" w:rsidR="009310DD" w:rsidRPr="00D33C2C" w:rsidRDefault="009310DD" w:rsidP="00953031">
            <w:pPr>
              <w:pStyle w:val="Tabletext"/>
              <w:keepNext/>
              <w:keepLines/>
              <w:jc w:val="center"/>
              <w:rPr>
                <w:lang w:val="en-AU"/>
              </w:rPr>
            </w:pPr>
            <w:r w:rsidRPr="00D33C2C">
              <w:rPr>
                <w:lang w:val="en-AU"/>
              </w:rPr>
              <w:t>2 (12.5)</w:t>
            </w:r>
          </w:p>
        </w:tc>
        <w:tc>
          <w:tcPr>
            <w:tcW w:w="516" w:type="pct"/>
            <w:tcBorders>
              <w:bottom w:val="single" w:sz="4" w:space="0" w:color="auto"/>
            </w:tcBorders>
            <w:tcMar>
              <w:left w:w="40" w:type="dxa"/>
              <w:right w:w="40" w:type="dxa"/>
            </w:tcMar>
            <w:vAlign w:val="center"/>
          </w:tcPr>
          <w:p w14:paraId="6C90CF42" w14:textId="77777777" w:rsidR="009310DD" w:rsidRPr="00D33C2C" w:rsidRDefault="009310DD" w:rsidP="00953031">
            <w:pPr>
              <w:pStyle w:val="Tabletext"/>
              <w:keepNext/>
              <w:keepLines/>
              <w:jc w:val="center"/>
              <w:rPr>
                <w:lang w:val="en-AU"/>
              </w:rPr>
            </w:pPr>
            <w:r w:rsidRPr="00D33C2C">
              <w:rPr>
                <w:lang w:val="en-AU"/>
              </w:rPr>
              <w:t>3 (8.6)</w:t>
            </w:r>
          </w:p>
        </w:tc>
        <w:tc>
          <w:tcPr>
            <w:tcW w:w="515" w:type="pct"/>
            <w:tcBorders>
              <w:bottom w:val="single" w:sz="4" w:space="0" w:color="auto"/>
            </w:tcBorders>
            <w:vAlign w:val="center"/>
          </w:tcPr>
          <w:p w14:paraId="11F63811" w14:textId="73C7230F" w:rsidR="009310DD" w:rsidRPr="00D33C2C" w:rsidRDefault="009310DD" w:rsidP="009310DD">
            <w:pPr>
              <w:pStyle w:val="Tabletext"/>
              <w:keepNext/>
              <w:keepLines/>
              <w:jc w:val="center"/>
            </w:pPr>
            <w:r>
              <w:t>3 (4.3)</w:t>
            </w:r>
          </w:p>
        </w:tc>
      </w:tr>
    </w:tbl>
    <w:p w14:paraId="44047CB6" w14:textId="7C2A03AF" w:rsidR="00E5561C" w:rsidRPr="00D33C2C" w:rsidRDefault="00E5561C" w:rsidP="00953031">
      <w:pPr>
        <w:pStyle w:val="TableFigureFooter"/>
        <w:keepNext/>
        <w:keepLines/>
      </w:pPr>
      <w:r w:rsidRPr="00D33C2C">
        <w:t xml:space="preserve">Source: Table 2-25, p101 of the submission </w:t>
      </w:r>
      <w:r w:rsidR="0047502D">
        <w:t>and Table 32, p195 PEDFIC 2 CSR</w:t>
      </w:r>
    </w:p>
    <w:p w14:paraId="7B312B94" w14:textId="6D6F6A88" w:rsidR="00E5561C" w:rsidRPr="00D33C2C" w:rsidRDefault="00DE7B08" w:rsidP="00953031">
      <w:pPr>
        <w:pStyle w:val="TableFigureFooter"/>
        <w:keepNext/>
        <w:keepLines/>
      </w:pPr>
      <w:r>
        <w:t xml:space="preserve">FAS = full analysis set; </w:t>
      </w:r>
      <w:r w:rsidR="00E5561C" w:rsidRPr="00D33C2C">
        <w:t>TEAE = treatment emergent adverse event</w:t>
      </w:r>
    </w:p>
    <w:p w14:paraId="4A4EDFDC" w14:textId="2CA68011" w:rsidR="00E5561C" w:rsidRPr="00446A51" w:rsidRDefault="00E5561C" w:rsidP="00641C58">
      <w:pPr>
        <w:pStyle w:val="TableFigureFooter"/>
        <w:keepLines/>
        <w:contextualSpacing w:val="0"/>
      </w:pPr>
      <w:r w:rsidRPr="00446A51">
        <w:rPr>
          <w:vertAlign w:val="superscript"/>
        </w:rPr>
        <w:t>a</w:t>
      </w:r>
      <w:r w:rsidRPr="00446A51">
        <w:t xml:space="preserve"> PEDFIC 2 removed the SAS and used the FAS  </w:t>
      </w:r>
    </w:p>
    <w:p w14:paraId="4EEECE3E" w14:textId="4158F37E" w:rsidR="00E5561C" w:rsidRPr="00D33C2C" w:rsidRDefault="00E5561C" w:rsidP="00E5561C">
      <w:pPr>
        <w:pStyle w:val="3-BodyText"/>
      </w:pPr>
      <w:r w:rsidRPr="00D33C2C">
        <w:t>Odevixibat-experienced patients experienced more TEAEs (82.4%) compared to odevixibat</w:t>
      </w:r>
      <w:r w:rsidRPr="00D33C2C">
        <w:noBreakHyphen/>
        <w:t>naïve (62.9%)</w:t>
      </w:r>
      <w:r w:rsidR="006E1E4A">
        <w:t xml:space="preserve"> </w:t>
      </w:r>
      <w:r w:rsidR="006E1E4A" w:rsidRPr="00D33C2C">
        <w:t>patients</w:t>
      </w:r>
      <w:r w:rsidRPr="00D33C2C">
        <w:t>. Drug related TEAEs were similar between odevixibat-experienced (29.4%) and odevixibat-naïve (28.6%)</w:t>
      </w:r>
      <w:r w:rsidR="006E1E4A">
        <w:t xml:space="preserve"> </w:t>
      </w:r>
      <w:r w:rsidR="006E1E4A" w:rsidRPr="00D33C2C">
        <w:t>patients</w:t>
      </w:r>
      <w:r w:rsidRPr="00D33C2C">
        <w:t>. Serious TEAEs (11.4%) and TEAEs leading to discontinuation (8.6%) were only reported in odevixibat-naïve patients</w:t>
      </w:r>
      <w:r w:rsidR="00DC3850" w:rsidRPr="00D33C2C">
        <w:t xml:space="preserve"> (</w:t>
      </w:r>
      <w:r w:rsidR="000A7CED">
        <w:t xml:space="preserve">and </w:t>
      </w:r>
      <w:r w:rsidR="00DC3850" w:rsidRPr="00D33C2C">
        <w:t>included hyperbilirubinemia, stoma complication, cholestasis, and acute pancreatitis</w:t>
      </w:r>
      <w:r w:rsidR="001D5512" w:rsidRPr="00D33C2C">
        <w:t xml:space="preserve">, </w:t>
      </w:r>
      <w:r w:rsidR="00DC3850" w:rsidRPr="00D33C2C">
        <w:t>PEDFIC 2 CSR)</w:t>
      </w:r>
      <w:r w:rsidRPr="00D33C2C">
        <w:t>. Reasons for discontinuation were due to cholestasis (</w:t>
      </w:r>
      <w:r w:rsidR="0085254E" w:rsidRPr="00D33C2C">
        <w:t>one</w:t>
      </w:r>
      <w:r w:rsidRPr="00D33C2C">
        <w:t xml:space="preserve"> </w:t>
      </w:r>
      <w:r w:rsidR="0085254E" w:rsidRPr="00D33C2C">
        <w:t xml:space="preserve">patient </w:t>
      </w:r>
      <w:r w:rsidRPr="00D33C2C">
        <w:t>in placebo arm), acute pancreatitis (</w:t>
      </w:r>
      <w:r w:rsidR="0085254E" w:rsidRPr="00D33C2C">
        <w:t>one</w:t>
      </w:r>
      <w:r w:rsidRPr="00D33C2C">
        <w:t xml:space="preserve"> patient in Cohort 2) and splenomegaly, hypophagia, weight decreased, and jaundice (</w:t>
      </w:r>
      <w:r w:rsidR="0085254E" w:rsidRPr="00D33C2C">
        <w:t>one</w:t>
      </w:r>
      <w:r w:rsidRPr="00D33C2C">
        <w:t xml:space="preserve"> patient in Cohort 2; PEDFIC 2 CSR). No deaths occurred. Most TEAEs were described as mild to moderate and assessed as unrelated to study treatment. </w:t>
      </w:r>
    </w:p>
    <w:p w14:paraId="3A6AF9C4" w14:textId="57306608" w:rsidR="00E5561C" w:rsidRDefault="00E5561C" w:rsidP="00E5561C">
      <w:pPr>
        <w:pStyle w:val="3-BodyText"/>
      </w:pPr>
      <w:r w:rsidRPr="00D33C2C">
        <w:t xml:space="preserve">The safety results at the interim analysis at 72 weeks (data cutoff 31 July 2022) </w:t>
      </w:r>
      <w:r w:rsidR="00100654" w:rsidRPr="00D33C2C">
        <w:t xml:space="preserve">for PEDFIC 2 </w:t>
      </w:r>
      <w:r w:rsidRPr="00D33C2C">
        <w:t>from the TGA</w:t>
      </w:r>
      <w:r w:rsidR="000A7CED">
        <w:t>’s</w:t>
      </w:r>
      <w:r w:rsidRPr="00D33C2C">
        <w:t xml:space="preserve"> </w:t>
      </w:r>
      <w:r w:rsidR="00870B29" w:rsidRPr="00870B29">
        <w:t>Clinical Evaluation Report</w:t>
      </w:r>
      <w:r w:rsidR="00870B29" w:rsidRPr="00870B29" w:rsidDel="00870B29">
        <w:t xml:space="preserve"> </w:t>
      </w:r>
      <w:r w:rsidRPr="00D33C2C">
        <w:t xml:space="preserve">for odevixibat </w:t>
      </w:r>
      <w:r w:rsidR="000A7CED">
        <w:t>are</w:t>
      </w:r>
      <w:r w:rsidR="000A7CED" w:rsidRPr="00D33C2C">
        <w:t xml:space="preserve"> </w:t>
      </w:r>
      <w:r w:rsidRPr="00D33C2C">
        <w:t xml:space="preserve">presented in </w:t>
      </w:r>
      <w:r w:rsidR="000640D0">
        <w:fldChar w:fldCharType="begin"/>
      </w:r>
      <w:r w:rsidR="000640D0">
        <w:instrText xml:space="preserve"> REF _Ref165811365 \h </w:instrText>
      </w:r>
      <w:r w:rsidR="000640D0">
        <w:fldChar w:fldCharType="separate"/>
      </w:r>
      <w:r w:rsidR="008B4717">
        <w:t xml:space="preserve">Table </w:t>
      </w:r>
      <w:r w:rsidR="008B4717">
        <w:rPr>
          <w:noProof/>
        </w:rPr>
        <w:t>9</w:t>
      </w:r>
      <w:r w:rsidR="000640D0">
        <w:fldChar w:fldCharType="end"/>
      </w:r>
      <w:r w:rsidR="000640D0">
        <w:t xml:space="preserve">. </w:t>
      </w:r>
    </w:p>
    <w:p w14:paraId="42D9951F" w14:textId="0D6A342A" w:rsidR="00824874" w:rsidRDefault="00824874" w:rsidP="00953031">
      <w:pPr>
        <w:pStyle w:val="TableFigureHeading"/>
        <w:keepLines/>
      </w:pPr>
      <w:bookmarkStart w:id="70" w:name="_Ref165811365"/>
      <w:r>
        <w:t xml:space="preserve">Table </w:t>
      </w:r>
      <w:r w:rsidR="00DF1200">
        <w:fldChar w:fldCharType="begin"/>
      </w:r>
      <w:r w:rsidR="00DF1200">
        <w:instrText xml:space="preserve"> SEQ Table \* ARABIC </w:instrText>
      </w:r>
      <w:r w:rsidR="00DF1200">
        <w:fldChar w:fldCharType="separate"/>
      </w:r>
      <w:r w:rsidR="008B4717">
        <w:rPr>
          <w:noProof/>
        </w:rPr>
        <w:t>9</w:t>
      </w:r>
      <w:r w:rsidR="00DF1200">
        <w:rPr>
          <w:noProof/>
        </w:rPr>
        <w:fldChar w:fldCharType="end"/>
      </w:r>
      <w:bookmarkEnd w:id="70"/>
      <w:r>
        <w:t>:</w:t>
      </w:r>
      <w:r w:rsidRPr="00824874">
        <w:t xml:space="preserve"> </w:t>
      </w:r>
      <w:r w:rsidRPr="00D33C2C">
        <w:t>PEDFIC 2 overall summary of TEAEs at Week 72 based on Interim results data cutoff 31 July 2022</w:t>
      </w:r>
    </w:p>
    <w:tbl>
      <w:tblPr>
        <w:tblStyle w:val="Submissionstandard"/>
        <w:tblW w:w="5000" w:type="pct"/>
        <w:tblLayout w:type="fixed"/>
        <w:tblLook w:val="04A0" w:firstRow="1" w:lastRow="0" w:firstColumn="1" w:lastColumn="0" w:noHBand="0" w:noVBand="1"/>
        <w:tblCaption w:val="Table 9: PEDFIC 2 overall summary of TEAEs at Week 72 based on Interim results data cutoff 31 July 2022"/>
      </w:tblPr>
      <w:tblGrid>
        <w:gridCol w:w="2140"/>
        <w:gridCol w:w="967"/>
        <w:gridCol w:w="967"/>
        <w:gridCol w:w="967"/>
        <w:gridCol w:w="968"/>
        <w:gridCol w:w="1001"/>
        <w:gridCol w:w="1004"/>
        <w:gridCol w:w="1003"/>
      </w:tblGrid>
      <w:tr w:rsidR="009310DD" w:rsidRPr="00D33C2C" w14:paraId="6DF33900" w14:textId="7F52018C" w:rsidTr="009310DD">
        <w:trPr>
          <w:cnfStyle w:val="100000000000" w:firstRow="1" w:lastRow="0" w:firstColumn="0" w:lastColumn="0" w:oddVBand="0" w:evenVBand="0" w:oddHBand="0" w:evenHBand="0" w:firstRowFirstColumn="0" w:firstRowLastColumn="0" w:lastRowFirstColumn="0" w:lastRowLastColumn="0"/>
          <w:trHeight w:val="20"/>
        </w:trPr>
        <w:tc>
          <w:tcPr>
            <w:tcW w:w="1187" w:type="pct"/>
            <w:tcBorders>
              <w:top w:val="single" w:sz="4" w:space="0" w:color="auto"/>
              <w:left w:val="single" w:sz="4" w:space="0" w:color="auto"/>
              <w:bottom w:val="nil"/>
              <w:right w:val="single" w:sz="4" w:space="0" w:color="auto"/>
            </w:tcBorders>
            <w:shd w:val="clear" w:color="auto" w:fill="auto"/>
            <w:vAlign w:val="center"/>
            <w:hideMark/>
          </w:tcPr>
          <w:p w14:paraId="50CBE128" w14:textId="77777777" w:rsidR="009310DD" w:rsidRPr="00D33C2C" w:rsidRDefault="009310DD" w:rsidP="00953031">
            <w:pPr>
              <w:pStyle w:val="Tabletext"/>
              <w:keepNext/>
              <w:keepLines/>
              <w:rPr>
                <w:lang w:val="en-AU"/>
              </w:rPr>
            </w:pPr>
          </w:p>
        </w:tc>
        <w:tc>
          <w:tcPr>
            <w:tcW w:w="3813" w:type="pct"/>
            <w:gridSpan w:val="7"/>
            <w:tcBorders>
              <w:left w:val="single" w:sz="4" w:space="0" w:color="auto"/>
            </w:tcBorders>
            <w:shd w:val="clear" w:color="auto" w:fill="auto"/>
          </w:tcPr>
          <w:p w14:paraId="081246E8" w14:textId="0A359E5E" w:rsidR="009310DD" w:rsidRPr="00D33C2C" w:rsidRDefault="009310DD" w:rsidP="00953031">
            <w:pPr>
              <w:pStyle w:val="Tabletext"/>
              <w:keepNext/>
              <w:keepLines/>
              <w:jc w:val="center"/>
            </w:pPr>
            <w:r w:rsidRPr="00D33C2C">
              <w:rPr>
                <w:lang w:val="en-AU"/>
              </w:rPr>
              <w:t>Odevixibat 120 µg/kg</w:t>
            </w:r>
          </w:p>
        </w:tc>
      </w:tr>
      <w:tr w:rsidR="009310DD" w:rsidRPr="00D33C2C" w14:paraId="1CF98B78" w14:textId="4036ED40" w:rsidTr="009310DD">
        <w:trPr>
          <w:trHeight w:val="20"/>
        </w:trPr>
        <w:tc>
          <w:tcPr>
            <w:tcW w:w="1187" w:type="pct"/>
            <w:tcBorders>
              <w:top w:val="nil"/>
              <w:left w:val="single" w:sz="4" w:space="0" w:color="auto"/>
              <w:bottom w:val="nil"/>
              <w:right w:val="single" w:sz="4" w:space="0" w:color="auto"/>
            </w:tcBorders>
            <w:shd w:val="clear" w:color="auto" w:fill="auto"/>
            <w:vAlign w:val="center"/>
            <w:hideMark/>
          </w:tcPr>
          <w:p w14:paraId="26DE9BA7" w14:textId="77777777" w:rsidR="009310DD" w:rsidRPr="00D33C2C" w:rsidRDefault="009310DD" w:rsidP="00953031">
            <w:pPr>
              <w:pStyle w:val="Tabletext"/>
              <w:keepNext/>
              <w:keepLines/>
              <w:rPr>
                <w:b/>
                <w:bCs/>
                <w:lang w:val="en-AU"/>
              </w:rPr>
            </w:pPr>
            <w:r w:rsidRPr="00D33C2C">
              <w:rPr>
                <w:b/>
                <w:bCs/>
                <w:lang w:val="en-AU"/>
              </w:rPr>
              <w:t>Summary</w:t>
            </w:r>
          </w:p>
        </w:tc>
        <w:tc>
          <w:tcPr>
            <w:tcW w:w="2145" w:type="pct"/>
            <w:gridSpan w:val="4"/>
            <w:tcBorders>
              <w:left w:val="single" w:sz="4" w:space="0" w:color="auto"/>
            </w:tcBorders>
          </w:tcPr>
          <w:p w14:paraId="450629D0" w14:textId="77777777" w:rsidR="009310DD" w:rsidRPr="00D33C2C" w:rsidRDefault="009310DD" w:rsidP="00953031">
            <w:pPr>
              <w:pStyle w:val="Tabletext"/>
              <w:keepNext/>
              <w:keepLines/>
              <w:jc w:val="center"/>
              <w:rPr>
                <w:b/>
                <w:lang w:val="en-AU"/>
              </w:rPr>
            </w:pPr>
            <w:r w:rsidRPr="00D33C2C">
              <w:rPr>
                <w:b/>
                <w:lang w:val="en-AU"/>
              </w:rPr>
              <w:t>Cohort 1</w:t>
            </w:r>
          </w:p>
        </w:tc>
        <w:tc>
          <w:tcPr>
            <w:tcW w:w="555" w:type="pct"/>
            <w:vMerge w:val="restart"/>
            <w:shd w:val="clear" w:color="auto" w:fill="auto"/>
            <w:vAlign w:val="center"/>
            <w:hideMark/>
          </w:tcPr>
          <w:p w14:paraId="187EE9BB" w14:textId="2C237F77" w:rsidR="009310DD" w:rsidRPr="00D33C2C" w:rsidRDefault="009310DD" w:rsidP="00953031">
            <w:pPr>
              <w:pStyle w:val="Tabletext"/>
              <w:keepNext/>
              <w:keepLines/>
              <w:jc w:val="center"/>
              <w:rPr>
                <w:b/>
                <w:lang w:val="en-AU"/>
              </w:rPr>
            </w:pPr>
            <w:r w:rsidRPr="00D33C2C">
              <w:rPr>
                <w:b/>
                <w:lang w:val="en-AU"/>
              </w:rPr>
              <w:t>Cohort 2, N=</w:t>
            </w:r>
            <w:r>
              <w:rPr>
                <w:b/>
                <w:lang w:val="en-AU"/>
              </w:rPr>
              <w:t>56</w:t>
            </w:r>
          </w:p>
        </w:tc>
        <w:tc>
          <w:tcPr>
            <w:tcW w:w="557" w:type="pct"/>
            <w:vMerge w:val="restart"/>
            <w:tcBorders>
              <w:right w:val="single" w:sz="4" w:space="0" w:color="auto"/>
            </w:tcBorders>
            <w:vAlign w:val="center"/>
          </w:tcPr>
          <w:p w14:paraId="57D96441" w14:textId="2FFD35B3" w:rsidR="009310DD" w:rsidRPr="00D33C2C" w:rsidRDefault="009310DD" w:rsidP="009310DD">
            <w:pPr>
              <w:pStyle w:val="Tabletext"/>
              <w:keepNext/>
              <w:keepLines/>
              <w:jc w:val="center"/>
              <w:rPr>
                <w:b/>
                <w:lang w:val="en-AU"/>
              </w:rPr>
            </w:pPr>
            <w:r w:rsidRPr="00D33C2C">
              <w:rPr>
                <w:b/>
                <w:lang w:val="en-AU"/>
              </w:rPr>
              <w:t>Cohort 2 + placebo N=</w:t>
            </w:r>
            <w:r>
              <w:rPr>
                <w:b/>
                <w:lang w:val="en-AU"/>
              </w:rPr>
              <w:t>75</w:t>
            </w:r>
          </w:p>
        </w:tc>
        <w:tc>
          <w:tcPr>
            <w:tcW w:w="556" w:type="pct"/>
            <w:vMerge w:val="restart"/>
            <w:tcBorders>
              <w:right w:val="single" w:sz="4" w:space="0" w:color="auto"/>
            </w:tcBorders>
            <w:vAlign w:val="center"/>
          </w:tcPr>
          <w:p w14:paraId="16388838" w14:textId="37FA0353" w:rsidR="009310DD" w:rsidRPr="00D33C2C" w:rsidRDefault="009310DD" w:rsidP="009310DD">
            <w:pPr>
              <w:pStyle w:val="Tabletext"/>
              <w:keepNext/>
              <w:keepLines/>
              <w:jc w:val="center"/>
              <w:rPr>
                <w:b/>
              </w:rPr>
            </w:pPr>
            <w:r>
              <w:rPr>
                <w:b/>
              </w:rPr>
              <w:t>Overall cohort (N=112)</w:t>
            </w:r>
          </w:p>
        </w:tc>
      </w:tr>
      <w:tr w:rsidR="009310DD" w:rsidRPr="00D33C2C" w14:paraId="2864CE84" w14:textId="11CE8943" w:rsidTr="009310DD">
        <w:trPr>
          <w:trHeight w:val="20"/>
        </w:trPr>
        <w:tc>
          <w:tcPr>
            <w:tcW w:w="1187" w:type="pct"/>
            <w:tcBorders>
              <w:top w:val="nil"/>
              <w:left w:val="single" w:sz="4" w:space="0" w:color="auto"/>
              <w:bottom w:val="single" w:sz="4" w:space="0" w:color="auto"/>
              <w:right w:val="single" w:sz="4" w:space="0" w:color="auto"/>
            </w:tcBorders>
            <w:shd w:val="clear" w:color="auto" w:fill="auto"/>
            <w:vAlign w:val="center"/>
            <w:hideMark/>
          </w:tcPr>
          <w:p w14:paraId="2C684034" w14:textId="77777777" w:rsidR="009310DD" w:rsidRPr="00D33C2C" w:rsidRDefault="009310DD" w:rsidP="00953031">
            <w:pPr>
              <w:pStyle w:val="Tabletext"/>
              <w:keepNext/>
              <w:keepLines/>
              <w:rPr>
                <w:lang w:val="en-AU"/>
              </w:rPr>
            </w:pPr>
          </w:p>
        </w:tc>
        <w:tc>
          <w:tcPr>
            <w:tcW w:w="536" w:type="pct"/>
            <w:tcBorders>
              <w:left w:val="single" w:sz="4" w:space="0" w:color="auto"/>
            </w:tcBorders>
            <w:shd w:val="clear" w:color="auto" w:fill="auto"/>
            <w:vAlign w:val="center"/>
            <w:hideMark/>
          </w:tcPr>
          <w:p w14:paraId="3673DAEA" w14:textId="1A920D3B" w:rsidR="009310DD" w:rsidRPr="00D33C2C" w:rsidRDefault="009310DD" w:rsidP="00953031">
            <w:pPr>
              <w:pStyle w:val="Tabletext"/>
              <w:keepNext/>
              <w:keepLines/>
              <w:jc w:val="center"/>
              <w:rPr>
                <w:b/>
                <w:lang w:val="en-AU"/>
              </w:rPr>
            </w:pPr>
            <w:r w:rsidRPr="00D33C2C">
              <w:rPr>
                <w:b/>
                <w:lang w:val="en-AU"/>
              </w:rPr>
              <w:t>40 µg/kg, N=</w:t>
            </w:r>
            <w:r>
              <w:rPr>
                <w:b/>
                <w:lang w:val="en-AU"/>
              </w:rPr>
              <w:t>21</w:t>
            </w:r>
          </w:p>
        </w:tc>
        <w:tc>
          <w:tcPr>
            <w:tcW w:w="536" w:type="pct"/>
            <w:shd w:val="clear" w:color="auto" w:fill="auto"/>
            <w:vAlign w:val="center"/>
            <w:hideMark/>
          </w:tcPr>
          <w:p w14:paraId="15A21C8D" w14:textId="46B88D6C" w:rsidR="009310DD" w:rsidRPr="00D33C2C" w:rsidRDefault="009310DD" w:rsidP="00953031">
            <w:pPr>
              <w:pStyle w:val="Tabletext"/>
              <w:keepNext/>
              <w:keepLines/>
              <w:jc w:val="center"/>
              <w:rPr>
                <w:b/>
                <w:lang w:val="en-AU"/>
              </w:rPr>
            </w:pPr>
            <w:r w:rsidRPr="00D33C2C">
              <w:rPr>
                <w:b/>
                <w:lang w:val="en-AU"/>
              </w:rPr>
              <w:t>120 µg/kg, N=</w:t>
            </w:r>
            <w:r>
              <w:rPr>
                <w:b/>
                <w:lang w:val="en-AU"/>
              </w:rPr>
              <w:t>16</w:t>
            </w:r>
          </w:p>
        </w:tc>
        <w:tc>
          <w:tcPr>
            <w:tcW w:w="536" w:type="pct"/>
            <w:vAlign w:val="center"/>
          </w:tcPr>
          <w:p w14:paraId="072E0306" w14:textId="6425B370" w:rsidR="009310DD" w:rsidRPr="00D33C2C" w:rsidRDefault="009310DD" w:rsidP="00953031">
            <w:pPr>
              <w:pStyle w:val="Tabletext"/>
              <w:keepNext/>
              <w:keepLines/>
              <w:jc w:val="center"/>
              <w:rPr>
                <w:b/>
                <w:bCs/>
                <w:lang w:val="en-AU"/>
              </w:rPr>
            </w:pPr>
            <w:r w:rsidRPr="00D33C2C">
              <w:rPr>
                <w:b/>
                <w:bCs/>
                <w:lang w:val="en-AU"/>
              </w:rPr>
              <w:t>All doses, N=3</w:t>
            </w:r>
            <w:r>
              <w:rPr>
                <w:b/>
                <w:bCs/>
                <w:lang w:val="en-AU"/>
              </w:rPr>
              <w:t>7</w:t>
            </w:r>
          </w:p>
        </w:tc>
        <w:tc>
          <w:tcPr>
            <w:tcW w:w="537" w:type="pct"/>
            <w:shd w:val="clear" w:color="auto" w:fill="auto"/>
            <w:vAlign w:val="center"/>
            <w:hideMark/>
          </w:tcPr>
          <w:p w14:paraId="0B36C0B2" w14:textId="77777777" w:rsidR="009310DD" w:rsidRPr="00D33C2C" w:rsidRDefault="009310DD" w:rsidP="00953031">
            <w:pPr>
              <w:pStyle w:val="Tabletext"/>
              <w:keepNext/>
              <w:keepLines/>
              <w:jc w:val="center"/>
              <w:rPr>
                <w:b/>
                <w:lang w:val="en-AU"/>
              </w:rPr>
            </w:pPr>
            <w:r w:rsidRPr="00D33C2C">
              <w:rPr>
                <w:b/>
                <w:lang w:val="en-AU"/>
              </w:rPr>
              <w:t>Placebo N=19</w:t>
            </w:r>
          </w:p>
        </w:tc>
        <w:tc>
          <w:tcPr>
            <w:tcW w:w="555" w:type="pct"/>
            <w:vMerge/>
            <w:shd w:val="clear" w:color="auto" w:fill="auto"/>
            <w:vAlign w:val="center"/>
            <w:hideMark/>
          </w:tcPr>
          <w:p w14:paraId="4E8B1307" w14:textId="77777777" w:rsidR="009310DD" w:rsidRPr="00D33C2C" w:rsidRDefault="009310DD" w:rsidP="00953031">
            <w:pPr>
              <w:pStyle w:val="Tabletext"/>
              <w:keepNext/>
              <w:keepLines/>
              <w:jc w:val="center"/>
              <w:rPr>
                <w:b/>
                <w:lang w:val="en-AU"/>
              </w:rPr>
            </w:pPr>
          </w:p>
        </w:tc>
        <w:tc>
          <w:tcPr>
            <w:tcW w:w="557" w:type="pct"/>
            <w:vMerge/>
            <w:tcBorders>
              <w:right w:val="single" w:sz="4" w:space="0" w:color="auto"/>
            </w:tcBorders>
            <w:vAlign w:val="center"/>
          </w:tcPr>
          <w:p w14:paraId="4865CD62" w14:textId="77777777" w:rsidR="009310DD" w:rsidRPr="00D33C2C" w:rsidRDefault="009310DD" w:rsidP="00953031">
            <w:pPr>
              <w:pStyle w:val="Tabletext"/>
              <w:keepNext/>
              <w:keepLines/>
              <w:jc w:val="center"/>
              <w:rPr>
                <w:b/>
                <w:lang w:val="en-AU"/>
              </w:rPr>
            </w:pPr>
          </w:p>
        </w:tc>
        <w:tc>
          <w:tcPr>
            <w:tcW w:w="556" w:type="pct"/>
            <w:vMerge/>
            <w:tcBorders>
              <w:right w:val="single" w:sz="4" w:space="0" w:color="auto"/>
            </w:tcBorders>
          </w:tcPr>
          <w:p w14:paraId="3B749CAB" w14:textId="77777777" w:rsidR="009310DD" w:rsidRPr="00D33C2C" w:rsidRDefault="009310DD" w:rsidP="00953031">
            <w:pPr>
              <w:pStyle w:val="Tabletext"/>
              <w:keepNext/>
              <w:keepLines/>
              <w:jc w:val="center"/>
              <w:rPr>
                <w:b/>
              </w:rPr>
            </w:pPr>
          </w:p>
        </w:tc>
      </w:tr>
      <w:tr w:rsidR="009310DD" w:rsidRPr="00D33C2C" w14:paraId="79D44556" w14:textId="03AB10FC" w:rsidTr="009310DD">
        <w:trPr>
          <w:trHeight w:val="20"/>
        </w:trPr>
        <w:tc>
          <w:tcPr>
            <w:tcW w:w="1187" w:type="pct"/>
            <w:tcBorders>
              <w:top w:val="single" w:sz="4" w:space="0" w:color="auto"/>
            </w:tcBorders>
            <w:shd w:val="clear" w:color="auto" w:fill="auto"/>
            <w:vAlign w:val="center"/>
            <w:hideMark/>
          </w:tcPr>
          <w:p w14:paraId="3E5369B5" w14:textId="77777777" w:rsidR="009310DD" w:rsidRPr="00D33C2C" w:rsidRDefault="009310DD" w:rsidP="00953031">
            <w:pPr>
              <w:pStyle w:val="Tabletext"/>
              <w:keepNext/>
              <w:keepLines/>
              <w:rPr>
                <w:lang w:val="en-AU"/>
              </w:rPr>
            </w:pPr>
            <w:r w:rsidRPr="00D33C2C">
              <w:rPr>
                <w:lang w:val="en-AU"/>
              </w:rPr>
              <w:t>TEAE</w:t>
            </w:r>
          </w:p>
        </w:tc>
        <w:tc>
          <w:tcPr>
            <w:tcW w:w="536" w:type="pct"/>
            <w:shd w:val="clear" w:color="auto" w:fill="auto"/>
            <w:vAlign w:val="center"/>
            <w:hideMark/>
          </w:tcPr>
          <w:p w14:paraId="210B10BC" w14:textId="57AB92A1" w:rsidR="009310DD" w:rsidRPr="00D33C2C" w:rsidRDefault="009310DD" w:rsidP="00953031">
            <w:pPr>
              <w:pStyle w:val="Tabletext"/>
              <w:keepNext/>
              <w:keepLines/>
              <w:jc w:val="center"/>
              <w:rPr>
                <w:lang w:val="en-AU"/>
              </w:rPr>
            </w:pPr>
            <w:r w:rsidRPr="002920EA">
              <w:t>21 (100)</w:t>
            </w:r>
          </w:p>
        </w:tc>
        <w:tc>
          <w:tcPr>
            <w:tcW w:w="536" w:type="pct"/>
            <w:shd w:val="clear" w:color="auto" w:fill="auto"/>
            <w:vAlign w:val="center"/>
            <w:hideMark/>
          </w:tcPr>
          <w:p w14:paraId="408DB6D1" w14:textId="629142C8" w:rsidR="009310DD" w:rsidRPr="00D33C2C" w:rsidRDefault="009310DD" w:rsidP="00953031">
            <w:pPr>
              <w:pStyle w:val="Tabletext"/>
              <w:keepNext/>
              <w:keepLines/>
              <w:jc w:val="center"/>
              <w:rPr>
                <w:lang w:val="en-AU"/>
              </w:rPr>
            </w:pPr>
            <w:r w:rsidRPr="002920EA">
              <w:t>16 (100)</w:t>
            </w:r>
          </w:p>
        </w:tc>
        <w:tc>
          <w:tcPr>
            <w:tcW w:w="536" w:type="pct"/>
            <w:vAlign w:val="center"/>
          </w:tcPr>
          <w:p w14:paraId="17AB4473" w14:textId="3752D6C5" w:rsidR="009310DD" w:rsidRPr="00D33C2C" w:rsidRDefault="009310DD" w:rsidP="00953031">
            <w:pPr>
              <w:pStyle w:val="Tabletext"/>
              <w:keepNext/>
              <w:keepLines/>
              <w:jc w:val="center"/>
              <w:rPr>
                <w:lang w:val="en-AU"/>
              </w:rPr>
            </w:pPr>
            <w:r w:rsidRPr="002920EA">
              <w:t>37 (100)</w:t>
            </w:r>
          </w:p>
        </w:tc>
        <w:tc>
          <w:tcPr>
            <w:tcW w:w="537" w:type="pct"/>
            <w:shd w:val="clear" w:color="auto" w:fill="auto"/>
            <w:vAlign w:val="center"/>
            <w:hideMark/>
          </w:tcPr>
          <w:p w14:paraId="206D9F0F" w14:textId="5CA417B9" w:rsidR="009310DD" w:rsidRPr="00D33C2C" w:rsidRDefault="009310DD" w:rsidP="00953031">
            <w:pPr>
              <w:pStyle w:val="Tabletext"/>
              <w:keepNext/>
              <w:keepLines/>
              <w:jc w:val="center"/>
              <w:rPr>
                <w:lang w:val="en-AU"/>
              </w:rPr>
            </w:pPr>
            <w:r w:rsidRPr="002920EA">
              <w:t>18 (94.7)</w:t>
            </w:r>
          </w:p>
        </w:tc>
        <w:tc>
          <w:tcPr>
            <w:tcW w:w="555" w:type="pct"/>
            <w:shd w:val="clear" w:color="auto" w:fill="auto"/>
            <w:vAlign w:val="center"/>
            <w:hideMark/>
          </w:tcPr>
          <w:p w14:paraId="287BCD87" w14:textId="0A0DE4DF" w:rsidR="009310DD" w:rsidRPr="00D33C2C" w:rsidRDefault="009310DD" w:rsidP="00953031">
            <w:pPr>
              <w:pStyle w:val="Tabletext"/>
              <w:keepNext/>
              <w:keepLines/>
              <w:jc w:val="center"/>
              <w:rPr>
                <w:lang w:val="en-AU"/>
              </w:rPr>
            </w:pPr>
            <w:r w:rsidRPr="002920EA">
              <w:t>48 (85.7)</w:t>
            </w:r>
          </w:p>
        </w:tc>
        <w:tc>
          <w:tcPr>
            <w:tcW w:w="557" w:type="pct"/>
            <w:vAlign w:val="center"/>
          </w:tcPr>
          <w:p w14:paraId="30888E08" w14:textId="159BF691" w:rsidR="009310DD" w:rsidRPr="00D33C2C" w:rsidRDefault="009310DD" w:rsidP="00953031">
            <w:pPr>
              <w:pStyle w:val="Tabletext"/>
              <w:keepNext/>
              <w:keepLines/>
              <w:jc w:val="center"/>
              <w:rPr>
                <w:lang w:val="en-AU"/>
              </w:rPr>
            </w:pPr>
            <w:r w:rsidRPr="002920EA">
              <w:t>66 (88)</w:t>
            </w:r>
          </w:p>
        </w:tc>
        <w:tc>
          <w:tcPr>
            <w:tcW w:w="556" w:type="pct"/>
            <w:vAlign w:val="center"/>
          </w:tcPr>
          <w:p w14:paraId="54B74440" w14:textId="437EE2D1" w:rsidR="009310DD" w:rsidRPr="002920EA" w:rsidRDefault="009310DD" w:rsidP="009310DD">
            <w:pPr>
              <w:pStyle w:val="Tabletext"/>
              <w:keepNext/>
              <w:keepLines/>
              <w:jc w:val="center"/>
            </w:pPr>
            <w:r>
              <w:t>103 (92)</w:t>
            </w:r>
          </w:p>
        </w:tc>
      </w:tr>
      <w:tr w:rsidR="009310DD" w:rsidRPr="00D33C2C" w14:paraId="2C10A40E" w14:textId="15C227A4" w:rsidTr="009310DD">
        <w:trPr>
          <w:trHeight w:val="20"/>
        </w:trPr>
        <w:tc>
          <w:tcPr>
            <w:tcW w:w="1187" w:type="pct"/>
            <w:shd w:val="clear" w:color="auto" w:fill="auto"/>
            <w:vAlign w:val="center"/>
            <w:hideMark/>
          </w:tcPr>
          <w:p w14:paraId="5F75000F" w14:textId="77777777" w:rsidR="009310DD" w:rsidRPr="00D33C2C" w:rsidRDefault="009310DD" w:rsidP="00953031">
            <w:pPr>
              <w:pStyle w:val="Tabletext"/>
              <w:keepNext/>
              <w:keepLines/>
              <w:rPr>
                <w:lang w:val="en-AU"/>
              </w:rPr>
            </w:pPr>
            <w:r w:rsidRPr="00D33C2C">
              <w:rPr>
                <w:lang w:val="en-AU"/>
              </w:rPr>
              <w:t xml:space="preserve">Drug-related TEAE </w:t>
            </w:r>
          </w:p>
        </w:tc>
        <w:tc>
          <w:tcPr>
            <w:tcW w:w="536" w:type="pct"/>
            <w:shd w:val="clear" w:color="auto" w:fill="auto"/>
            <w:vAlign w:val="center"/>
            <w:hideMark/>
          </w:tcPr>
          <w:p w14:paraId="26901731" w14:textId="3C30E0DA" w:rsidR="009310DD" w:rsidRPr="00D33C2C" w:rsidRDefault="009310DD" w:rsidP="00953031">
            <w:pPr>
              <w:pStyle w:val="Tabletext"/>
              <w:keepNext/>
              <w:keepLines/>
              <w:jc w:val="center"/>
              <w:rPr>
                <w:lang w:val="en-AU"/>
              </w:rPr>
            </w:pPr>
            <w:r w:rsidRPr="002920EA">
              <w:t>10 (47.6)</w:t>
            </w:r>
          </w:p>
        </w:tc>
        <w:tc>
          <w:tcPr>
            <w:tcW w:w="536" w:type="pct"/>
            <w:shd w:val="clear" w:color="auto" w:fill="auto"/>
            <w:vAlign w:val="center"/>
            <w:hideMark/>
          </w:tcPr>
          <w:p w14:paraId="00D6812E" w14:textId="359C4A5B" w:rsidR="009310DD" w:rsidRPr="00D33C2C" w:rsidRDefault="009310DD" w:rsidP="00953031">
            <w:pPr>
              <w:pStyle w:val="Tabletext"/>
              <w:keepNext/>
              <w:keepLines/>
              <w:jc w:val="center"/>
              <w:rPr>
                <w:lang w:val="en-AU"/>
              </w:rPr>
            </w:pPr>
            <w:r w:rsidRPr="002920EA">
              <w:t>9 (56.3)</w:t>
            </w:r>
          </w:p>
        </w:tc>
        <w:tc>
          <w:tcPr>
            <w:tcW w:w="536" w:type="pct"/>
            <w:vAlign w:val="center"/>
          </w:tcPr>
          <w:p w14:paraId="4026750A" w14:textId="0EFC585B" w:rsidR="009310DD" w:rsidRPr="00D33C2C" w:rsidRDefault="009310DD" w:rsidP="00953031">
            <w:pPr>
              <w:pStyle w:val="Tabletext"/>
              <w:keepNext/>
              <w:keepLines/>
              <w:jc w:val="center"/>
              <w:rPr>
                <w:lang w:val="en-AU"/>
              </w:rPr>
            </w:pPr>
            <w:r w:rsidRPr="002920EA">
              <w:t>19 (51.4)</w:t>
            </w:r>
          </w:p>
        </w:tc>
        <w:tc>
          <w:tcPr>
            <w:tcW w:w="537" w:type="pct"/>
            <w:shd w:val="clear" w:color="auto" w:fill="auto"/>
            <w:vAlign w:val="center"/>
            <w:hideMark/>
          </w:tcPr>
          <w:p w14:paraId="1E64C45F" w14:textId="166A259E" w:rsidR="009310DD" w:rsidRPr="00D33C2C" w:rsidRDefault="009310DD" w:rsidP="00953031">
            <w:pPr>
              <w:pStyle w:val="Tabletext"/>
              <w:keepNext/>
              <w:keepLines/>
              <w:jc w:val="center"/>
              <w:rPr>
                <w:lang w:val="en-AU"/>
              </w:rPr>
            </w:pPr>
            <w:r w:rsidRPr="002920EA">
              <w:t>7 (36.8)</w:t>
            </w:r>
          </w:p>
        </w:tc>
        <w:tc>
          <w:tcPr>
            <w:tcW w:w="555" w:type="pct"/>
            <w:shd w:val="clear" w:color="auto" w:fill="auto"/>
            <w:vAlign w:val="center"/>
            <w:hideMark/>
          </w:tcPr>
          <w:p w14:paraId="1ACE373F" w14:textId="6E4AB2B0" w:rsidR="009310DD" w:rsidRPr="00D33C2C" w:rsidRDefault="009310DD" w:rsidP="00953031">
            <w:pPr>
              <w:pStyle w:val="Tabletext"/>
              <w:keepNext/>
              <w:keepLines/>
              <w:jc w:val="center"/>
              <w:rPr>
                <w:lang w:val="en-AU"/>
              </w:rPr>
            </w:pPr>
            <w:r w:rsidRPr="002920EA">
              <w:t>14 (25)</w:t>
            </w:r>
          </w:p>
        </w:tc>
        <w:tc>
          <w:tcPr>
            <w:tcW w:w="557" w:type="pct"/>
            <w:vAlign w:val="center"/>
          </w:tcPr>
          <w:p w14:paraId="742A3158" w14:textId="595A2AB3" w:rsidR="009310DD" w:rsidRPr="00D33C2C" w:rsidRDefault="009310DD" w:rsidP="00953031">
            <w:pPr>
              <w:pStyle w:val="Tabletext"/>
              <w:keepNext/>
              <w:keepLines/>
              <w:jc w:val="center"/>
              <w:rPr>
                <w:lang w:val="en-AU"/>
              </w:rPr>
            </w:pPr>
            <w:r w:rsidRPr="002920EA">
              <w:t>21 (28)</w:t>
            </w:r>
          </w:p>
        </w:tc>
        <w:tc>
          <w:tcPr>
            <w:tcW w:w="556" w:type="pct"/>
            <w:vAlign w:val="center"/>
          </w:tcPr>
          <w:p w14:paraId="547770A1" w14:textId="33D8CBBA" w:rsidR="009310DD" w:rsidRPr="002920EA" w:rsidRDefault="009310DD" w:rsidP="009310DD">
            <w:pPr>
              <w:pStyle w:val="Tabletext"/>
              <w:keepNext/>
              <w:keepLines/>
              <w:jc w:val="center"/>
            </w:pPr>
            <w:r>
              <w:t>40 (35.7)</w:t>
            </w:r>
          </w:p>
        </w:tc>
      </w:tr>
      <w:tr w:rsidR="009310DD" w:rsidRPr="00D33C2C" w14:paraId="79691428" w14:textId="0528B738" w:rsidTr="009310DD">
        <w:trPr>
          <w:trHeight w:val="20"/>
        </w:trPr>
        <w:tc>
          <w:tcPr>
            <w:tcW w:w="1187" w:type="pct"/>
            <w:shd w:val="clear" w:color="auto" w:fill="auto"/>
            <w:vAlign w:val="center"/>
            <w:hideMark/>
          </w:tcPr>
          <w:p w14:paraId="15727C23" w14:textId="77777777" w:rsidR="009310DD" w:rsidRPr="00D33C2C" w:rsidRDefault="009310DD" w:rsidP="00953031">
            <w:pPr>
              <w:pStyle w:val="Tabletext"/>
              <w:keepNext/>
              <w:keepLines/>
              <w:rPr>
                <w:lang w:val="en-AU"/>
              </w:rPr>
            </w:pPr>
            <w:r w:rsidRPr="00D33C2C">
              <w:rPr>
                <w:lang w:val="en-AU"/>
              </w:rPr>
              <w:t xml:space="preserve">Severe TEAE </w:t>
            </w:r>
          </w:p>
        </w:tc>
        <w:tc>
          <w:tcPr>
            <w:tcW w:w="536" w:type="pct"/>
            <w:shd w:val="clear" w:color="auto" w:fill="auto"/>
            <w:vAlign w:val="center"/>
            <w:hideMark/>
          </w:tcPr>
          <w:p w14:paraId="64111664" w14:textId="6A26353E" w:rsidR="009310DD" w:rsidRPr="00D33C2C" w:rsidRDefault="009310DD" w:rsidP="00953031">
            <w:pPr>
              <w:pStyle w:val="Tabletext"/>
              <w:keepNext/>
              <w:keepLines/>
              <w:jc w:val="center"/>
              <w:rPr>
                <w:lang w:val="en-AU"/>
              </w:rPr>
            </w:pPr>
            <w:r w:rsidRPr="002920EA">
              <w:t>1 (4.8)</w:t>
            </w:r>
          </w:p>
        </w:tc>
        <w:tc>
          <w:tcPr>
            <w:tcW w:w="536" w:type="pct"/>
            <w:shd w:val="clear" w:color="auto" w:fill="auto"/>
            <w:vAlign w:val="center"/>
            <w:hideMark/>
          </w:tcPr>
          <w:p w14:paraId="7E94E5B2" w14:textId="55EE97D1" w:rsidR="009310DD" w:rsidRPr="00D33C2C" w:rsidRDefault="009310DD" w:rsidP="00953031">
            <w:pPr>
              <w:pStyle w:val="Tabletext"/>
              <w:keepNext/>
              <w:keepLines/>
              <w:jc w:val="center"/>
              <w:rPr>
                <w:lang w:val="en-AU"/>
              </w:rPr>
            </w:pPr>
            <w:r w:rsidRPr="002920EA">
              <w:t>1 (6.3)</w:t>
            </w:r>
          </w:p>
        </w:tc>
        <w:tc>
          <w:tcPr>
            <w:tcW w:w="536" w:type="pct"/>
            <w:vAlign w:val="center"/>
          </w:tcPr>
          <w:p w14:paraId="313CE908" w14:textId="4E986830" w:rsidR="009310DD" w:rsidRPr="00D33C2C" w:rsidRDefault="009310DD" w:rsidP="00953031">
            <w:pPr>
              <w:pStyle w:val="Tabletext"/>
              <w:keepNext/>
              <w:keepLines/>
              <w:jc w:val="center"/>
              <w:rPr>
                <w:lang w:val="en-AU"/>
              </w:rPr>
            </w:pPr>
            <w:r w:rsidRPr="002920EA">
              <w:t>2 (5.4)</w:t>
            </w:r>
          </w:p>
        </w:tc>
        <w:tc>
          <w:tcPr>
            <w:tcW w:w="537" w:type="pct"/>
            <w:shd w:val="clear" w:color="auto" w:fill="auto"/>
            <w:vAlign w:val="center"/>
            <w:hideMark/>
          </w:tcPr>
          <w:p w14:paraId="08C4AC0E" w14:textId="3BDAEED4" w:rsidR="009310DD" w:rsidRPr="00D33C2C" w:rsidRDefault="009310DD" w:rsidP="00953031">
            <w:pPr>
              <w:pStyle w:val="Tabletext"/>
              <w:keepNext/>
              <w:keepLines/>
              <w:jc w:val="center"/>
              <w:rPr>
                <w:lang w:val="en-AU"/>
              </w:rPr>
            </w:pPr>
            <w:r w:rsidRPr="002920EA">
              <w:t>1 (5.3)</w:t>
            </w:r>
          </w:p>
        </w:tc>
        <w:tc>
          <w:tcPr>
            <w:tcW w:w="555" w:type="pct"/>
            <w:shd w:val="clear" w:color="auto" w:fill="auto"/>
            <w:vAlign w:val="center"/>
            <w:hideMark/>
          </w:tcPr>
          <w:p w14:paraId="7C0947E2" w14:textId="4DD65732" w:rsidR="009310DD" w:rsidRPr="00D33C2C" w:rsidRDefault="009310DD" w:rsidP="00953031">
            <w:pPr>
              <w:pStyle w:val="Tabletext"/>
              <w:keepNext/>
              <w:keepLines/>
              <w:jc w:val="center"/>
              <w:rPr>
                <w:lang w:val="en-AU"/>
              </w:rPr>
            </w:pPr>
            <w:r w:rsidRPr="002920EA">
              <w:t>10 (17.9)</w:t>
            </w:r>
          </w:p>
        </w:tc>
        <w:tc>
          <w:tcPr>
            <w:tcW w:w="557" w:type="pct"/>
            <w:vAlign w:val="center"/>
          </w:tcPr>
          <w:p w14:paraId="0B17AF27" w14:textId="391D9505" w:rsidR="009310DD" w:rsidRPr="00D33C2C" w:rsidRDefault="009310DD" w:rsidP="00953031">
            <w:pPr>
              <w:pStyle w:val="Tabletext"/>
              <w:keepNext/>
              <w:keepLines/>
              <w:jc w:val="center"/>
              <w:rPr>
                <w:lang w:val="en-AU"/>
              </w:rPr>
            </w:pPr>
            <w:r w:rsidRPr="002920EA">
              <w:t>11 (14.7)</w:t>
            </w:r>
          </w:p>
        </w:tc>
        <w:tc>
          <w:tcPr>
            <w:tcW w:w="556" w:type="pct"/>
            <w:vAlign w:val="center"/>
          </w:tcPr>
          <w:p w14:paraId="060993F3" w14:textId="6AB0D076" w:rsidR="009310DD" w:rsidRPr="002920EA" w:rsidRDefault="009310DD" w:rsidP="009310DD">
            <w:pPr>
              <w:pStyle w:val="Tabletext"/>
              <w:keepNext/>
              <w:keepLines/>
              <w:jc w:val="center"/>
            </w:pPr>
            <w:r>
              <w:t>13 (11.6)</w:t>
            </w:r>
          </w:p>
        </w:tc>
      </w:tr>
      <w:tr w:rsidR="009310DD" w:rsidRPr="00D33C2C" w14:paraId="210E3CEC" w14:textId="387D7206" w:rsidTr="009310DD">
        <w:trPr>
          <w:trHeight w:val="20"/>
        </w:trPr>
        <w:tc>
          <w:tcPr>
            <w:tcW w:w="1187" w:type="pct"/>
            <w:shd w:val="clear" w:color="auto" w:fill="auto"/>
            <w:vAlign w:val="center"/>
            <w:hideMark/>
          </w:tcPr>
          <w:p w14:paraId="4F3729B5" w14:textId="77777777" w:rsidR="009310DD" w:rsidRPr="00D33C2C" w:rsidRDefault="009310DD" w:rsidP="00953031">
            <w:pPr>
              <w:pStyle w:val="Tabletext"/>
              <w:keepNext/>
              <w:keepLines/>
              <w:rPr>
                <w:lang w:val="en-AU"/>
              </w:rPr>
            </w:pPr>
            <w:r w:rsidRPr="00D33C2C">
              <w:rPr>
                <w:lang w:val="en-AU"/>
              </w:rPr>
              <w:t>Serious TEAE</w:t>
            </w:r>
          </w:p>
        </w:tc>
        <w:tc>
          <w:tcPr>
            <w:tcW w:w="536" w:type="pct"/>
            <w:shd w:val="clear" w:color="auto" w:fill="auto"/>
            <w:vAlign w:val="center"/>
            <w:hideMark/>
          </w:tcPr>
          <w:p w14:paraId="1247E33E" w14:textId="4F778026" w:rsidR="009310DD" w:rsidRPr="00D33C2C" w:rsidRDefault="009310DD" w:rsidP="00953031">
            <w:pPr>
              <w:pStyle w:val="Tabletext"/>
              <w:keepNext/>
              <w:keepLines/>
              <w:jc w:val="center"/>
              <w:rPr>
                <w:lang w:val="en-AU"/>
              </w:rPr>
            </w:pPr>
            <w:r w:rsidRPr="002920EA">
              <w:t>1 (4.8)</w:t>
            </w:r>
          </w:p>
        </w:tc>
        <w:tc>
          <w:tcPr>
            <w:tcW w:w="536" w:type="pct"/>
            <w:shd w:val="clear" w:color="auto" w:fill="auto"/>
            <w:vAlign w:val="center"/>
            <w:hideMark/>
          </w:tcPr>
          <w:p w14:paraId="6AE576DF" w14:textId="51363AD6" w:rsidR="009310DD" w:rsidRPr="00D33C2C" w:rsidRDefault="009310DD" w:rsidP="00953031">
            <w:pPr>
              <w:pStyle w:val="Tabletext"/>
              <w:keepNext/>
              <w:keepLines/>
              <w:jc w:val="center"/>
              <w:rPr>
                <w:lang w:val="en-AU"/>
              </w:rPr>
            </w:pPr>
            <w:r w:rsidRPr="002920EA">
              <w:t>4 (25)</w:t>
            </w:r>
          </w:p>
        </w:tc>
        <w:tc>
          <w:tcPr>
            <w:tcW w:w="536" w:type="pct"/>
            <w:vAlign w:val="center"/>
          </w:tcPr>
          <w:p w14:paraId="000E2F71" w14:textId="370F9690" w:rsidR="009310DD" w:rsidRPr="00D33C2C" w:rsidRDefault="009310DD" w:rsidP="00953031">
            <w:pPr>
              <w:pStyle w:val="Tabletext"/>
              <w:keepNext/>
              <w:keepLines/>
              <w:jc w:val="center"/>
              <w:rPr>
                <w:lang w:val="en-AU"/>
              </w:rPr>
            </w:pPr>
            <w:r w:rsidRPr="002920EA">
              <w:t>5 (13.5)</w:t>
            </w:r>
          </w:p>
        </w:tc>
        <w:tc>
          <w:tcPr>
            <w:tcW w:w="537" w:type="pct"/>
            <w:shd w:val="clear" w:color="auto" w:fill="auto"/>
            <w:vAlign w:val="center"/>
            <w:hideMark/>
          </w:tcPr>
          <w:p w14:paraId="3B3EC137" w14:textId="36A1CB58" w:rsidR="009310DD" w:rsidRPr="00D33C2C" w:rsidRDefault="009310DD" w:rsidP="00953031">
            <w:pPr>
              <w:pStyle w:val="Tabletext"/>
              <w:keepNext/>
              <w:keepLines/>
              <w:jc w:val="center"/>
              <w:rPr>
                <w:lang w:val="en-AU"/>
              </w:rPr>
            </w:pPr>
            <w:r w:rsidRPr="002920EA">
              <w:t>4 (21.1)</w:t>
            </w:r>
          </w:p>
        </w:tc>
        <w:tc>
          <w:tcPr>
            <w:tcW w:w="555" w:type="pct"/>
            <w:shd w:val="clear" w:color="auto" w:fill="auto"/>
            <w:vAlign w:val="center"/>
            <w:hideMark/>
          </w:tcPr>
          <w:p w14:paraId="7187398A" w14:textId="1EAD7590" w:rsidR="009310DD" w:rsidRPr="00D33C2C" w:rsidRDefault="009310DD" w:rsidP="00953031">
            <w:pPr>
              <w:pStyle w:val="Tabletext"/>
              <w:keepNext/>
              <w:keepLines/>
              <w:jc w:val="center"/>
              <w:rPr>
                <w:lang w:val="en-AU"/>
              </w:rPr>
            </w:pPr>
            <w:r w:rsidRPr="002920EA">
              <w:t>14 (25)</w:t>
            </w:r>
          </w:p>
        </w:tc>
        <w:tc>
          <w:tcPr>
            <w:tcW w:w="557" w:type="pct"/>
            <w:vAlign w:val="center"/>
          </w:tcPr>
          <w:p w14:paraId="6BB75373" w14:textId="7F362DFB" w:rsidR="009310DD" w:rsidRPr="00D33C2C" w:rsidRDefault="009310DD" w:rsidP="00953031">
            <w:pPr>
              <w:pStyle w:val="Tabletext"/>
              <w:keepNext/>
              <w:keepLines/>
              <w:jc w:val="center"/>
              <w:rPr>
                <w:lang w:val="en-AU"/>
              </w:rPr>
            </w:pPr>
            <w:r w:rsidRPr="002920EA">
              <w:t>18 (24)</w:t>
            </w:r>
          </w:p>
        </w:tc>
        <w:tc>
          <w:tcPr>
            <w:tcW w:w="556" w:type="pct"/>
            <w:vAlign w:val="center"/>
          </w:tcPr>
          <w:p w14:paraId="3F8C121E" w14:textId="2043C4D3" w:rsidR="009310DD" w:rsidRPr="002920EA" w:rsidRDefault="009310DD" w:rsidP="009310DD">
            <w:pPr>
              <w:pStyle w:val="Tabletext"/>
              <w:keepNext/>
              <w:keepLines/>
              <w:jc w:val="center"/>
            </w:pPr>
            <w:r>
              <w:t>23 (20.5)</w:t>
            </w:r>
          </w:p>
        </w:tc>
      </w:tr>
      <w:tr w:rsidR="009310DD" w:rsidRPr="00D33C2C" w14:paraId="779386A8" w14:textId="7B9FDCBD" w:rsidTr="009310DD">
        <w:trPr>
          <w:trHeight w:val="20"/>
        </w:trPr>
        <w:tc>
          <w:tcPr>
            <w:tcW w:w="1187" w:type="pct"/>
            <w:shd w:val="clear" w:color="auto" w:fill="auto"/>
            <w:vAlign w:val="center"/>
            <w:hideMark/>
          </w:tcPr>
          <w:p w14:paraId="3A43E574" w14:textId="77777777" w:rsidR="009310DD" w:rsidRPr="00D33C2C" w:rsidRDefault="009310DD" w:rsidP="00953031">
            <w:pPr>
              <w:pStyle w:val="Tabletext"/>
              <w:keepNext/>
              <w:keepLines/>
              <w:rPr>
                <w:lang w:val="en-AU"/>
              </w:rPr>
            </w:pPr>
            <w:r w:rsidRPr="00D33C2C">
              <w:rPr>
                <w:lang w:val="en-AU"/>
              </w:rPr>
              <w:t>Drug-related serious TEAE</w:t>
            </w:r>
          </w:p>
        </w:tc>
        <w:tc>
          <w:tcPr>
            <w:tcW w:w="536" w:type="pct"/>
            <w:shd w:val="clear" w:color="auto" w:fill="auto"/>
            <w:vAlign w:val="center"/>
            <w:hideMark/>
          </w:tcPr>
          <w:p w14:paraId="59C66410" w14:textId="4C6215EB" w:rsidR="009310DD" w:rsidRPr="00D33C2C" w:rsidRDefault="009310DD" w:rsidP="00953031">
            <w:pPr>
              <w:pStyle w:val="Tabletext"/>
              <w:keepNext/>
              <w:keepLines/>
              <w:jc w:val="center"/>
              <w:rPr>
                <w:lang w:val="en-AU"/>
              </w:rPr>
            </w:pPr>
            <w:r w:rsidRPr="002920EA">
              <w:t xml:space="preserve">0 </w:t>
            </w:r>
          </w:p>
        </w:tc>
        <w:tc>
          <w:tcPr>
            <w:tcW w:w="536" w:type="pct"/>
            <w:shd w:val="clear" w:color="auto" w:fill="auto"/>
            <w:vAlign w:val="center"/>
            <w:hideMark/>
          </w:tcPr>
          <w:p w14:paraId="2AF99A3F" w14:textId="3EB6BA1C" w:rsidR="009310DD" w:rsidRPr="00D33C2C" w:rsidRDefault="009310DD" w:rsidP="00953031">
            <w:pPr>
              <w:pStyle w:val="Tabletext"/>
              <w:keepNext/>
              <w:keepLines/>
              <w:jc w:val="center"/>
              <w:rPr>
                <w:lang w:val="en-AU"/>
              </w:rPr>
            </w:pPr>
            <w:r w:rsidRPr="002920EA">
              <w:t>1 (6.3)</w:t>
            </w:r>
          </w:p>
        </w:tc>
        <w:tc>
          <w:tcPr>
            <w:tcW w:w="536" w:type="pct"/>
            <w:vAlign w:val="center"/>
          </w:tcPr>
          <w:p w14:paraId="449F33F6" w14:textId="61C836A8" w:rsidR="009310DD" w:rsidRPr="00D33C2C" w:rsidRDefault="009310DD" w:rsidP="00953031">
            <w:pPr>
              <w:pStyle w:val="Tabletext"/>
              <w:keepNext/>
              <w:keepLines/>
              <w:jc w:val="center"/>
              <w:rPr>
                <w:lang w:val="en-AU"/>
              </w:rPr>
            </w:pPr>
            <w:r w:rsidRPr="002920EA">
              <w:t>1 (2.7)</w:t>
            </w:r>
          </w:p>
        </w:tc>
        <w:tc>
          <w:tcPr>
            <w:tcW w:w="537" w:type="pct"/>
            <w:shd w:val="clear" w:color="auto" w:fill="auto"/>
            <w:vAlign w:val="center"/>
            <w:hideMark/>
          </w:tcPr>
          <w:p w14:paraId="2A992C60" w14:textId="69EFADDD" w:rsidR="009310DD" w:rsidRPr="00D33C2C" w:rsidRDefault="009310DD" w:rsidP="00953031">
            <w:pPr>
              <w:pStyle w:val="Tabletext"/>
              <w:keepNext/>
              <w:keepLines/>
              <w:jc w:val="center"/>
              <w:rPr>
                <w:lang w:val="en-AU"/>
              </w:rPr>
            </w:pPr>
            <w:r w:rsidRPr="002920EA">
              <w:t xml:space="preserve">0 </w:t>
            </w:r>
          </w:p>
        </w:tc>
        <w:tc>
          <w:tcPr>
            <w:tcW w:w="555" w:type="pct"/>
            <w:shd w:val="clear" w:color="auto" w:fill="auto"/>
            <w:vAlign w:val="center"/>
            <w:hideMark/>
          </w:tcPr>
          <w:p w14:paraId="514827B4" w14:textId="2AEDDACB" w:rsidR="009310DD" w:rsidRPr="00D33C2C" w:rsidRDefault="009310DD" w:rsidP="00953031">
            <w:pPr>
              <w:pStyle w:val="Tabletext"/>
              <w:keepNext/>
              <w:keepLines/>
              <w:jc w:val="center"/>
              <w:rPr>
                <w:lang w:val="en-AU"/>
              </w:rPr>
            </w:pPr>
            <w:r w:rsidRPr="002920EA">
              <w:t xml:space="preserve">0 </w:t>
            </w:r>
          </w:p>
        </w:tc>
        <w:tc>
          <w:tcPr>
            <w:tcW w:w="557" w:type="pct"/>
            <w:vAlign w:val="center"/>
          </w:tcPr>
          <w:p w14:paraId="58281382" w14:textId="01EF599E" w:rsidR="009310DD" w:rsidRPr="00D33C2C" w:rsidRDefault="009310DD" w:rsidP="00953031">
            <w:pPr>
              <w:pStyle w:val="Tabletext"/>
              <w:keepNext/>
              <w:keepLines/>
              <w:jc w:val="center"/>
              <w:rPr>
                <w:lang w:val="en-AU"/>
              </w:rPr>
            </w:pPr>
            <w:r w:rsidRPr="002920EA">
              <w:t xml:space="preserve">0 </w:t>
            </w:r>
          </w:p>
        </w:tc>
        <w:tc>
          <w:tcPr>
            <w:tcW w:w="556" w:type="pct"/>
            <w:vAlign w:val="center"/>
          </w:tcPr>
          <w:p w14:paraId="3EE448AE" w14:textId="279F3719" w:rsidR="009310DD" w:rsidRPr="002920EA" w:rsidRDefault="009310DD" w:rsidP="009310DD">
            <w:pPr>
              <w:pStyle w:val="Tabletext"/>
              <w:keepNext/>
              <w:keepLines/>
              <w:jc w:val="center"/>
            </w:pPr>
            <w:r>
              <w:t>1 (0.9)</w:t>
            </w:r>
          </w:p>
        </w:tc>
      </w:tr>
      <w:tr w:rsidR="009310DD" w:rsidRPr="00D33C2C" w14:paraId="5A0F6482" w14:textId="56C5052A" w:rsidTr="00530D99">
        <w:trPr>
          <w:trHeight w:val="20"/>
        </w:trPr>
        <w:tc>
          <w:tcPr>
            <w:tcW w:w="1187" w:type="pct"/>
            <w:tcBorders>
              <w:bottom w:val="single" w:sz="4" w:space="0" w:color="auto"/>
            </w:tcBorders>
            <w:shd w:val="clear" w:color="auto" w:fill="auto"/>
            <w:vAlign w:val="center"/>
            <w:hideMark/>
          </w:tcPr>
          <w:p w14:paraId="71A1DF0D" w14:textId="77777777" w:rsidR="009310DD" w:rsidRPr="00D33C2C" w:rsidRDefault="009310DD" w:rsidP="00953031">
            <w:pPr>
              <w:pStyle w:val="Tabletext"/>
              <w:keepNext/>
              <w:keepLines/>
              <w:rPr>
                <w:lang w:val="en-AU"/>
              </w:rPr>
            </w:pPr>
            <w:r w:rsidRPr="00D33C2C">
              <w:rPr>
                <w:lang w:val="en-AU"/>
              </w:rPr>
              <w:t>TEAE leading to death</w:t>
            </w:r>
          </w:p>
        </w:tc>
        <w:tc>
          <w:tcPr>
            <w:tcW w:w="536" w:type="pct"/>
            <w:tcBorders>
              <w:bottom w:val="single" w:sz="4" w:space="0" w:color="auto"/>
            </w:tcBorders>
            <w:shd w:val="clear" w:color="auto" w:fill="auto"/>
            <w:vAlign w:val="center"/>
            <w:hideMark/>
          </w:tcPr>
          <w:p w14:paraId="69F6F805" w14:textId="564DBAE5" w:rsidR="009310DD" w:rsidRPr="00D33C2C" w:rsidRDefault="009310DD" w:rsidP="00953031">
            <w:pPr>
              <w:pStyle w:val="Tabletext"/>
              <w:keepNext/>
              <w:keepLines/>
              <w:jc w:val="center"/>
              <w:rPr>
                <w:lang w:val="en-AU"/>
              </w:rPr>
            </w:pPr>
            <w:r w:rsidRPr="006B49A0">
              <w:t xml:space="preserve">0 </w:t>
            </w:r>
          </w:p>
        </w:tc>
        <w:tc>
          <w:tcPr>
            <w:tcW w:w="536" w:type="pct"/>
            <w:tcBorders>
              <w:bottom w:val="single" w:sz="4" w:space="0" w:color="auto"/>
            </w:tcBorders>
            <w:shd w:val="clear" w:color="auto" w:fill="auto"/>
            <w:vAlign w:val="center"/>
            <w:hideMark/>
          </w:tcPr>
          <w:p w14:paraId="4295D339" w14:textId="7F07BB61" w:rsidR="009310DD" w:rsidRPr="00D33C2C" w:rsidRDefault="009310DD" w:rsidP="00953031">
            <w:pPr>
              <w:pStyle w:val="Tabletext"/>
              <w:keepNext/>
              <w:keepLines/>
              <w:jc w:val="center"/>
              <w:rPr>
                <w:lang w:val="en-AU"/>
              </w:rPr>
            </w:pPr>
            <w:r w:rsidRPr="006B49A0">
              <w:t xml:space="preserve">0 </w:t>
            </w:r>
          </w:p>
        </w:tc>
        <w:tc>
          <w:tcPr>
            <w:tcW w:w="536" w:type="pct"/>
            <w:tcBorders>
              <w:bottom w:val="single" w:sz="4" w:space="0" w:color="auto"/>
            </w:tcBorders>
            <w:vAlign w:val="center"/>
          </w:tcPr>
          <w:p w14:paraId="08D511C5" w14:textId="66AC876D" w:rsidR="009310DD" w:rsidRPr="00D33C2C" w:rsidRDefault="009310DD" w:rsidP="00953031">
            <w:pPr>
              <w:pStyle w:val="Tabletext"/>
              <w:keepNext/>
              <w:keepLines/>
              <w:jc w:val="center"/>
              <w:rPr>
                <w:lang w:val="en-AU"/>
              </w:rPr>
            </w:pPr>
            <w:r w:rsidRPr="006B49A0">
              <w:t xml:space="preserve">0 </w:t>
            </w:r>
          </w:p>
        </w:tc>
        <w:tc>
          <w:tcPr>
            <w:tcW w:w="537" w:type="pct"/>
            <w:tcBorders>
              <w:bottom w:val="single" w:sz="4" w:space="0" w:color="auto"/>
            </w:tcBorders>
            <w:shd w:val="clear" w:color="auto" w:fill="auto"/>
            <w:vAlign w:val="center"/>
            <w:hideMark/>
          </w:tcPr>
          <w:p w14:paraId="711760CB" w14:textId="03D43EF0" w:rsidR="009310DD" w:rsidRPr="00D33C2C" w:rsidRDefault="009310DD" w:rsidP="00953031">
            <w:pPr>
              <w:pStyle w:val="Tabletext"/>
              <w:keepNext/>
              <w:keepLines/>
              <w:jc w:val="center"/>
              <w:rPr>
                <w:lang w:val="en-AU"/>
              </w:rPr>
            </w:pPr>
            <w:r w:rsidRPr="006B49A0">
              <w:t xml:space="preserve">0 </w:t>
            </w:r>
          </w:p>
        </w:tc>
        <w:tc>
          <w:tcPr>
            <w:tcW w:w="555" w:type="pct"/>
            <w:tcBorders>
              <w:bottom w:val="single" w:sz="4" w:space="0" w:color="auto"/>
            </w:tcBorders>
            <w:shd w:val="clear" w:color="auto" w:fill="auto"/>
            <w:vAlign w:val="center"/>
            <w:hideMark/>
          </w:tcPr>
          <w:p w14:paraId="28E94EB9" w14:textId="007F249B" w:rsidR="009310DD" w:rsidRPr="00D33C2C" w:rsidRDefault="009310DD" w:rsidP="00953031">
            <w:pPr>
              <w:pStyle w:val="Tabletext"/>
              <w:keepNext/>
              <w:keepLines/>
              <w:jc w:val="center"/>
              <w:rPr>
                <w:lang w:val="en-AU"/>
              </w:rPr>
            </w:pPr>
            <w:r w:rsidRPr="006B49A0">
              <w:t xml:space="preserve">0 </w:t>
            </w:r>
          </w:p>
        </w:tc>
        <w:tc>
          <w:tcPr>
            <w:tcW w:w="557" w:type="pct"/>
            <w:tcBorders>
              <w:bottom w:val="single" w:sz="4" w:space="0" w:color="auto"/>
            </w:tcBorders>
            <w:vAlign w:val="center"/>
          </w:tcPr>
          <w:p w14:paraId="197DD62B" w14:textId="28ABF041" w:rsidR="009310DD" w:rsidRPr="00D33C2C" w:rsidRDefault="009310DD" w:rsidP="00953031">
            <w:pPr>
              <w:pStyle w:val="Tabletext"/>
              <w:keepNext/>
              <w:keepLines/>
              <w:jc w:val="center"/>
              <w:rPr>
                <w:lang w:val="en-AU"/>
              </w:rPr>
            </w:pPr>
            <w:r w:rsidRPr="006B49A0">
              <w:t xml:space="preserve">0 </w:t>
            </w:r>
          </w:p>
        </w:tc>
        <w:tc>
          <w:tcPr>
            <w:tcW w:w="556" w:type="pct"/>
            <w:tcBorders>
              <w:bottom w:val="single" w:sz="4" w:space="0" w:color="auto"/>
            </w:tcBorders>
            <w:vAlign w:val="center"/>
          </w:tcPr>
          <w:p w14:paraId="5F6400CF" w14:textId="5E16D7F5" w:rsidR="009310DD" w:rsidRPr="006B49A0" w:rsidRDefault="009310DD" w:rsidP="009310DD">
            <w:pPr>
              <w:pStyle w:val="Tabletext"/>
              <w:keepNext/>
              <w:keepLines/>
              <w:jc w:val="center"/>
            </w:pPr>
            <w:r>
              <w:t>0</w:t>
            </w:r>
          </w:p>
        </w:tc>
      </w:tr>
      <w:tr w:rsidR="009310DD" w:rsidRPr="00D33C2C" w14:paraId="2DB79F39" w14:textId="1A7FFC43" w:rsidTr="00530D99">
        <w:trPr>
          <w:trHeight w:val="20"/>
        </w:trPr>
        <w:tc>
          <w:tcPr>
            <w:tcW w:w="1187" w:type="pct"/>
            <w:tcBorders>
              <w:bottom w:val="single" w:sz="4" w:space="0" w:color="auto"/>
            </w:tcBorders>
            <w:shd w:val="clear" w:color="auto" w:fill="auto"/>
            <w:vAlign w:val="center"/>
            <w:hideMark/>
          </w:tcPr>
          <w:p w14:paraId="1B8FA8B2" w14:textId="77777777" w:rsidR="009310DD" w:rsidRPr="00D33C2C" w:rsidRDefault="009310DD" w:rsidP="00953031">
            <w:pPr>
              <w:pStyle w:val="Tabletext"/>
              <w:keepNext/>
              <w:keepLines/>
              <w:rPr>
                <w:lang w:val="en-AU"/>
              </w:rPr>
            </w:pPr>
            <w:r w:rsidRPr="00D33C2C">
              <w:rPr>
                <w:lang w:val="en-AU"/>
              </w:rPr>
              <w:t>TEAE leading to treatment discontinuation</w:t>
            </w:r>
          </w:p>
        </w:tc>
        <w:tc>
          <w:tcPr>
            <w:tcW w:w="536" w:type="pct"/>
            <w:tcBorders>
              <w:bottom w:val="single" w:sz="4" w:space="0" w:color="auto"/>
            </w:tcBorders>
            <w:shd w:val="clear" w:color="auto" w:fill="auto"/>
            <w:vAlign w:val="center"/>
            <w:hideMark/>
          </w:tcPr>
          <w:p w14:paraId="7147637E" w14:textId="5A04C9FE" w:rsidR="009310DD" w:rsidRPr="00D33C2C" w:rsidRDefault="009310DD" w:rsidP="00953031">
            <w:pPr>
              <w:pStyle w:val="Tabletext"/>
              <w:keepNext/>
              <w:keepLines/>
              <w:jc w:val="center"/>
              <w:rPr>
                <w:lang w:val="en-AU"/>
              </w:rPr>
            </w:pPr>
            <w:r w:rsidRPr="001A75D8">
              <w:t>1 (4.8)</w:t>
            </w:r>
          </w:p>
        </w:tc>
        <w:tc>
          <w:tcPr>
            <w:tcW w:w="536" w:type="pct"/>
            <w:tcBorders>
              <w:bottom w:val="single" w:sz="4" w:space="0" w:color="auto"/>
            </w:tcBorders>
            <w:shd w:val="clear" w:color="auto" w:fill="auto"/>
            <w:vAlign w:val="center"/>
            <w:hideMark/>
          </w:tcPr>
          <w:p w14:paraId="5AC0C6C4" w14:textId="672CABF4" w:rsidR="009310DD" w:rsidRPr="00D33C2C" w:rsidRDefault="009310DD" w:rsidP="00953031">
            <w:pPr>
              <w:pStyle w:val="Tabletext"/>
              <w:keepNext/>
              <w:keepLines/>
              <w:jc w:val="center"/>
              <w:rPr>
                <w:lang w:val="en-AU"/>
              </w:rPr>
            </w:pPr>
            <w:r w:rsidRPr="001A75D8">
              <w:t>0</w:t>
            </w:r>
          </w:p>
        </w:tc>
        <w:tc>
          <w:tcPr>
            <w:tcW w:w="536" w:type="pct"/>
            <w:tcBorders>
              <w:bottom w:val="single" w:sz="4" w:space="0" w:color="auto"/>
            </w:tcBorders>
            <w:vAlign w:val="center"/>
          </w:tcPr>
          <w:p w14:paraId="30963FEB" w14:textId="42766368" w:rsidR="009310DD" w:rsidRPr="00D33C2C" w:rsidRDefault="009310DD" w:rsidP="00953031">
            <w:pPr>
              <w:pStyle w:val="Tabletext"/>
              <w:keepNext/>
              <w:keepLines/>
              <w:jc w:val="center"/>
              <w:rPr>
                <w:lang w:val="en-AU"/>
              </w:rPr>
            </w:pPr>
            <w:r w:rsidRPr="001A75D8">
              <w:t>1 (2.7)</w:t>
            </w:r>
          </w:p>
        </w:tc>
        <w:tc>
          <w:tcPr>
            <w:tcW w:w="537" w:type="pct"/>
            <w:tcBorders>
              <w:bottom w:val="single" w:sz="4" w:space="0" w:color="auto"/>
            </w:tcBorders>
            <w:shd w:val="clear" w:color="auto" w:fill="auto"/>
            <w:vAlign w:val="center"/>
            <w:hideMark/>
          </w:tcPr>
          <w:p w14:paraId="0F1EF7BC" w14:textId="1FBE7648" w:rsidR="009310DD" w:rsidRPr="00D33C2C" w:rsidRDefault="009310DD" w:rsidP="00953031">
            <w:pPr>
              <w:pStyle w:val="Tabletext"/>
              <w:keepNext/>
              <w:keepLines/>
              <w:jc w:val="center"/>
              <w:rPr>
                <w:lang w:val="en-AU"/>
              </w:rPr>
            </w:pPr>
            <w:r w:rsidRPr="001A75D8">
              <w:t>2 (10.5)</w:t>
            </w:r>
          </w:p>
        </w:tc>
        <w:tc>
          <w:tcPr>
            <w:tcW w:w="555" w:type="pct"/>
            <w:tcBorders>
              <w:bottom w:val="single" w:sz="4" w:space="0" w:color="auto"/>
            </w:tcBorders>
            <w:shd w:val="clear" w:color="auto" w:fill="auto"/>
            <w:vAlign w:val="center"/>
            <w:hideMark/>
          </w:tcPr>
          <w:p w14:paraId="3212A736" w14:textId="04E99040" w:rsidR="009310DD" w:rsidRPr="00D33C2C" w:rsidRDefault="009310DD" w:rsidP="00953031">
            <w:pPr>
              <w:pStyle w:val="Tabletext"/>
              <w:keepNext/>
              <w:keepLines/>
              <w:jc w:val="center"/>
              <w:rPr>
                <w:lang w:val="en-AU"/>
              </w:rPr>
            </w:pPr>
            <w:r w:rsidRPr="001A75D8">
              <w:t>4 (7.1)</w:t>
            </w:r>
          </w:p>
        </w:tc>
        <w:tc>
          <w:tcPr>
            <w:tcW w:w="557" w:type="pct"/>
            <w:tcBorders>
              <w:bottom w:val="single" w:sz="4" w:space="0" w:color="auto"/>
            </w:tcBorders>
            <w:vAlign w:val="center"/>
          </w:tcPr>
          <w:p w14:paraId="10A59A23" w14:textId="79EFFA42" w:rsidR="009310DD" w:rsidRPr="00D33C2C" w:rsidRDefault="009310DD" w:rsidP="00953031">
            <w:pPr>
              <w:pStyle w:val="Tabletext"/>
              <w:keepNext/>
              <w:keepLines/>
              <w:jc w:val="center"/>
              <w:rPr>
                <w:lang w:val="en-AU"/>
              </w:rPr>
            </w:pPr>
            <w:r w:rsidRPr="001A75D8">
              <w:t>6 (8)</w:t>
            </w:r>
          </w:p>
        </w:tc>
        <w:tc>
          <w:tcPr>
            <w:tcW w:w="556" w:type="pct"/>
            <w:tcBorders>
              <w:bottom w:val="single" w:sz="4" w:space="0" w:color="auto"/>
            </w:tcBorders>
            <w:vAlign w:val="center"/>
          </w:tcPr>
          <w:p w14:paraId="3AFD61DE" w14:textId="2BC5E869" w:rsidR="009310DD" w:rsidRPr="001A75D8" w:rsidRDefault="009310DD" w:rsidP="009310DD">
            <w:pPr>
              <w:pStyle w:val="Tabletext"/>
              <w:keepNext/>
              <w:keepLines/>
              <w:jc w:val="center"/>
            </w:pPr>
            <w:r>
              <w:t>7 (6.3)</w:t>
            </w:r>
          </w:p>
        </w:tc>
      </w:tr>
    </w:tbl>
    <w:p w14:paraId="7A36E834" w14:textId="572088B7" w:rsidR="00824874" w:rsidRDefault="00824874" w:rsidP="00953031">
      <w:pPr>
        <w:pStyle w:val="TableFigureFooter"/>
        <w:keepNext/>
        <w:keepLines/>
      </w:pPr>
      <w:r>
        <w:t xml:space="preserve">Source: extracted from </w:t>
      </w:r>
      <w:r w:rsidRPr="00D33C2C">
        <w:t>TGA Clinical Evaluation Report for odevixibat (p19)</w:t>
      </w:r>
    </w:p>
    <w:p w14:paraId="37EB6C30" w14:textId="1C65074C" w:rsidR="00DE7B08" w:rsidRDefault="00DE7B08" w:rsidP="00953031">
      <w:pPr>
        <w:pStyle w:val="TableFigureFooter"/>
        <w:keepNext/>
        <w:keepLines/>
      </w:pPr>
      <w:r>
        <w:t>TEAE = treatment emergent adverse event</w:t>
      </w:r>
    </w:p>
    <w:p w14:paraId="34FC947E" w14:textId="1D9C41EF" w:rsidR="00E5561C" w:rsidRPr="00D33C2C" w:rsidRDefault="00824874" w:rsidP="000640D0">
      <w:pPr>
        <w:pStyle w:val="TableFigureFooter"/>
      </w:pPr>
      <w:r>
        <w:t>Note: results excluded two patients with benign recurrent intrahepatic cholestasis</w:t>
      </w:r>
    </w:p>
    <w:p w14:paraId="286950B1" w14:textId="4D25DC5B" w:rsidR="00100654" w:rsidRPr="00446A51" w:rsidRDefault="00C779F8" w:rsidP="00517DC0">
      <w:pPr>
        <w:pStyle w:val="3-BodyText"/>
      </w:pPr>
      <w:r>
        <w:lastRenderedPageBreak/>
        <w:t xml:space="preserve">The TGA </w:t>
      </w:r>
      <w:r w:rsidR="00526B5C">
        <w:t>C</w:t>
      </w:r>
      <w:r>
        <w:t xml:space="preserve">linical </w:t>
      </w:r>
      <w:r w:rsidR="00526B5C">
        <w:t>E</w:t>
      </w:r>
      <w:r>
        <w:t xml:space="preserve">valuation </w:t>
      </w:r>
      <w:r w:rsidR="00526B5C">
        <w:t>R</w:t>
      </w:r>
      <w:r>
        <w:t>eport stated that d</w:t>
      </w:r>
      <w:r w:rsidR="00E5561C" w:rsidRPr="00D33C2C">
        <w:t xml:space="preserve">rug-related TEAEs occurred in 36% of the participants; the incidence of </w:t>
      </w:r>
      <w:r w:rsidR="0002617B">
        <w:t>drug</w:t>
      </w:r>
      <w:r w:rsidR="00E5561C" w:rsidRPr="00D33C2C">
        <w:t xml:space="preserve">-related TEAEs </w:t>
      </w:r>
      <w:r w:rsidR="00526B5C">
        <w:t>was comparable</w:t>
      </w:r>
      <w:r w:rsidR="000A7CED">
        <w:t xml:space="preserve"> between patients </w:t>
      </w:r>
      <w:r w:rsidR="00E5561C" w:rsidRPr="00D33C2C">
        <w:t>in Cohort 1</w:t>
      </w:r>
      <w:r w:rsidR="008277EE">
        <w:t xml:space="preserve">, although numerically higher in </w:t>
      </w:r>
      <w:r w:rsidR="008E6381">
        <w:t>those patients who received 120</w:t>
      </w:r>
      <w:r w:rsidR="00694968">
        <w:t> </w:t>
      </w:r>
      <w:r w:rsidR="008E6381">
        <w:t xml:space="preserve">mcg/kg/day in PEDFIC 1 </w:t>
      </w:r>
      <w:r w:rsidR="00E5561C" w:rsidRPr="00D33C2C">
        <w:t>(40</w:t>
      </w:r>
      <w:r w:rsidR="00E5514C">
        <w:t> </w:t>
      </w:r>
      <w:r w:rsidR="00E5561C" w:rsidRPr="00D33C2C">
        <w:t>mcg/kg</w:t>
      </w:r>
      <w:r w:rsidR="000A7CED">
        <w:t xml:space="preserve"> </w:t>
      </w:r>
      <w:r w:rsidR="00E90BB3">
        <w:t>–</w:t>
      </w:r>
      <w:r w:rsidR="00E5561C" w:rsidRPr="00D33C2C">
        <w:t xml:space="preserve"> 48%</w:t>
      </w:r>
      <w:r w:rsidR="000A7CED">
        <w:t xml:space="preserve"> of patients</w:t>
      </w:r>
      <w:r w:rsidR="00E5561C" w:rsidRPr="00D33C2C">
        <w:t xml:space="preserve">, </w:t>
      </w:r>
      <w:r w:rsidR="00E5514C" w:rsidRPr="00D33C2C">
        <w:t>120</w:t>
      </w:r>
      <w:r w:rsidR="00E5514C">
        <w:t> </w:t>
      </w:r>
      <w:r w:rsidR="00E5561C" w:rsidRPr="00D33C2C">
        <w:t xml:space="preserve">mcg/kg </w:t>
      </w:r>
      <w:r w:rsidR="00E90BB3">
        <w:t>–</w:t>
      </w:r>
      <w:r w:rsidR="000A7CED">
        <w:t xml:space="preserve"> </w:t>
      </w:r>
      <w:r w:rsidR="00E5561C" w:rsidRPr="00D33C2C">
        <w:t xml:space="preserve">56%, and placebo </w:t>
      </w:r>
      <w:r w:rsidR="00E90BB3">
        <w:t>–</w:t>
      </w:r>
      <w:r w:rsidR="000A7CED">
        <w:t xml:space="preserve"> </w:t>
      </w:r>
      <w:r w:rsidR="00E5561C" w:rsidRPr="00D33C2C">
        <w:t>37%)</w:t>
      </w:r>
      <w:r w:rsidR="008E6381">
        <w:t>,</w:t>
      </w:r>
      <w:r w:rsidR="00E5561C" w:rsidRPr="00D33C2C">
        <w:t xml:space="preserve"> and in Cohort 2 (25%)</w:t>
      </w:r>
      <w:r w:rsidR="000A7CED">
        <w:t>. L</w:t>
      </w:r>
      <w:r w:rsidR="00E5561C" w:rsidRPr="00D33C2C">
        <w:t xml:space="preserve">aboratory investigations, gastrointestinal disorders, and hepatobiliary disorders were most common; one serious drug-related TEAE was reported in one patient (an episode of gastroenteritis); and no deaths were reported. </w:t>
      </w:r>
      <w:r w:rsidR="001C6A93" w:rsidRPr="001C6A93">
        <w:t xml:space="preserve">The TGA Delegate’s Overview stated </w:t>
      </w:r>
      <w:r w:rsidR="00820EC0">
        <w:t>that “(f)rom a safety perspective, at present there is little evidence that odevixibat is likely to have significant toxic effects” but “uncertainties remain around the long-term safety of odevixibat” (</w:t>
      </w:r>
      <w:r w:rsidR="001C6A93" w:rsidRPr="001C6A93">
        <w:t xml:space="preserve">TGA Delegate’s Overview, odevixibat, </w:t>
      </w:r>
      <w:r w:rsidR="00E5514C" w:rsidRPr="001C6A93">
        <w:t>May</w:t>
      </w:r>
      <w:r w:rsidR="00E5514C">
        <w:t> </w:t>
      </w:r>
      <w:r w:rsidR="001C6A93" w:rsidRPr="001C6A93">
        <w:t>2024).</w:t>
      </w:r>
    </w:p>
    <w:p w14:paraId="0745F1DB" w14:textId="77777777" w:rsidR="00E5561C" w:rsidRPr="00D33C2C" w:rsidRDefault="00E5561C" w:rsidP="00E5561C">
      <w:pPr>
        <w:pStyle w:val="4-SubsectionHeading"/>
      </w:pPr>
      <w:bookmarkStart w:id="71" w:name="_Toc166210657"/>
      <w:r w:rsidRPr="00D33C2C">
        <w:t>Benefits/harms</w:t>
      </w:r>
      <w:bookmarkEnd w:id="67"/>
      <w:bookmarkEnd w:id="68"/>
      <w:bookmarkEnd w:id="71"/>
    </w:p>
    <w:p w14:paraId="215C0A18" w14:textId="0EC79C73" w:rsidR="00E5561C" w:rsidRPr="00333F9C" w:rsidRDefault="00E5561C" w:rsidP="00E5561C">
      <w:pPr>
        <w:pStyle w:val="3-BodyText"/>
        <w:rPr>
          <w:rStyle w:val="CommentReference"/>
          <w:color w:val="0066FF"/>
        </w:rPr>
      </w:pPr>
      <w:r w:rsidRPr="00333F9C">
        <w:t xml:space="preserve">A summary of the comparative benefits for odevixibat versus placebo is presented in the </w:t>
      </w:r>
      <w:r w:rsidRPr="00333F9C">
        <w:fldChar w:fldCharType="begin"/>
      </w:r>
      <w:r w:rsidRPr="00333F9C">
        <w:instrText xml:space="preserve"> REF _Ref164614236 \h </w:instrText>
      </w:r>
      <w:r w:rsidR="00333F9C">
        <w:instrText xml:space="preserve"> \* MERGEFORMAT </w:instrText>
      </w:r>
      <w:r w:rsidRPr="00333F9C">
        <w:fldChar w:fldCharType="separate"/>
      </w:r>
      <w:r w:rsidR="008B4717" w:rsidRPr="00D33C2C">
        <w:t xml:space="preserve">Table </w:t>
      </w:r>
      <w:r w:rsidR="008B4717">
        <w:rPr>
          <w:noProof/>
        </w:rPr>
        <w:t>10</w:t>
      </w:r>
      <w:r w:rsidRPr="00333F9C">
        <w:fldChar w:fldCharType="end"/>
      </w:r>
      <w:r w:rsidRPr="00333F9C">
        <w:t xml:space="preserve"> below.</w:t>
      </w:r>
      <w:r w:rsidR="008D2C8C" w:rsidRPr="00333F9C">
        <w:t xml:space="preserve"> No statistically significant differences between odevixibat and placebo with respect to adverse events were observed.</w:t>
      </w:r>
    </w:p>
    <w:p w14:paraId="62FC02A6" w14:textId="7F6ABE68" w:rsidR="00E5561C" w:rsidRPr="00D33C2C" w:rsidRDefault="00E5561C" w:rsidP="00E5561C">
      <w:pPr>
        <w:pStyle w:val="TableFigureHeading"/>
        <w:jc w:val="both"/>
        <w:rPr>
          <w:rStyle w:val="CommentReference"/>
          <w:rFonts w:ascii="Calibri" w:hAnsi="Calibri"/>
          <w:b/>
          <w:sz w:val="18"/>
          <w:szCs w:val="18"/>
        </w:rPr>
      </w:pPr>
      <w:bookmarkStart w:id="72" w:name="_Ref164614236"/>
      <w:r w:rsidRPr="00D33C2C">
        <w:t xml:space="preserve">Table </w:t>
      </w:r>
      <w:r w:rsidR="00DF1200">
        <w:fldChar w:fldCharType="begin"/>
      </w:r>
      <w:r w:rsidR="00DF1200">
        <w:instrText xml:space="preserve"> SEQ Table \* ARABIC </w:instrText>
      </w:r>
      <w:r w:rsidR="00DF1200">
        <w:fldChar w:fldCharType="separate"/>
      </w:r>
      <w:r w:rsidR="008B4717">
        <w:rPr>
          <w:noProof/>
        </w:rPr>
        <w:t>10</w:t>
      </w:r>
      <w:r w:rsidR="00DF1200">
        <w:rPr>
          <w:noProof/>
        </w:rPr>
        <w:fldChar w:fldCharType="end"/>
      </w:r>
      <w:bookmarkEnd w:id="72"/>
      <w:r w:rsidRPr="00D33C2C">
        <w:rPr>
          <w:rStyle w:val="CommentReference"/>
          <w:b/>
          <w:szCs w:val="24"/>
        </w:rPr>
        <w:t>: Summary of comparative benefits and harms for odevixibat (40 mcg/kg, 120 mcg/kg and all doses) and placebo in PEDFIC 1</w:t>
      </w:r>
      <w:r w:rsidR="006E1E4A">
        <w:rPr>
          <w:rStyle w:val="CommentReference"/>
          <w:b/>
          <w:szCs w:val="24"/>
        </w:rPr>
        <w:t xml:space="preserve"> after 24 weeks of treatment</w:t>
      </w:r>
    </w:p>
    <w:tbl>
      <w:tblPr>
        <w:tblW w:w="5000" w:type="pct"/>
        <w:tblLayout w:type="fixed"/>
        <w:tblCellMar>
          <w:left w:w="28" w:type="dxa"/>
          <w:right w:w="28" w:type="dxa"/>
        </w:tblCellMar>
        <w:tblLook w:val="04A0" w:firstRow="1" w:lastRow="0" w:firstColumn="1" w:lastColumn="0" w:noHBand="0" w:noVBand="1"/>
        <w:tblCaption w:val="Table 10: Summary of comparative benefits and harms for odevixibat (40 mcg/kg, 120 mcg/kg and all doses) and placebo in PEDFIC 1 after 24 weeks of treatment"/>
      </w:tblPr>
      <w:tblGrid>
        <w:gridCol w:w="1337"/>
        <w:gridCol w:w="804"/>
        <w:gridCol w:w="804"/>
        <w:gridCol w:w="804"/>
        <w:gridCol w:w="806"/>
        <w:gridCol w:w="806"/>
        <w:gridCol w:w="806"/>
        <w:gridCol w:w="806"/>
        <w:gridCol w:w="830"/>
        <w:gridCol w:w="1214"/>
      </w:tblGrid>
      <w:tr w:rsidR="003322B9" w:rsidRPr="00D33C2C" w14:paraId="53103176" w14:textId="77777777" w:rsidTr="003322B9">
        <w:trPr>
          <w:cantSplit/>
          <w:trHeight w:val="150"/>
          <w:tblHeader/>
        </w:trPr>
        <w:tc>
          <w:tcPr>
            <w:tcW w:w="741" w:type="pct"/>
            <w:vMerge w:val="restar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78FE8287" w14:textId="77777777" w:rsidR="003322B9" w:rsidRPr="00D33C2C" w:rsidRDefault="003322B9" w:rsidP="007460E2">
            <w:pPr>
              <w:pStyle w:val="In-tableHeading"/>
              <w:rPr>
                <w:lang w:val="en-AU"/>
              </w:rPr>
            </w:pPr>
            <w:r w:rsidRPr="00D33C2C">
              <w:rPr>
                <w:lang w:val="en-AU"/>
              </w:rPr>
              <w:t>PEDFIC1</w:t>
            </w:r>
          </w:p>
        </w:tc>
        <w:tc>
          <w:tcPr>
            <w:tcW w:w="1337" w:type="pct"/>
            <w:gridSpan w:val="3"/>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56E26848" w14:textId="3D7B69F0" w:rsidR="003322B9" w:rsidRPr="00D33C2C" w:rsidRDefault="003322B9" w:rsidP="003322B9">
            <w:pPr>
              <w:pStyle w:val="In-tableHeading"/>
              <w:jc w:val="center"/>
              <w:rPr>
                <w:lang w:val="en-AU"/>
              </w:rPr>
            </w:pPr>
            <w:r w:rsidRPr="00D33C2C">
              <w:rPr>
                <w:lang w:val="en-AU"/>
              </w:rPr>
              <w:t>Odevixibat</w:t>
            </w:r>
            <w:r w:rsidR="0030512D">
              <w:rPr>
                <w:lang w:val="en-AU"/>
              </w:rPr>
              <w:t>,</w:t>
            </w:r>
            <w:r w:rsidRPr="00D33C2C">
              <w:rPr>
                <w:lang w:val="en-AU"/>
              </w:rPr>
              <w:t xml:space="preserve"> n/N</w:t>
            </w:r>
          </w:p>
        </w:tc>
        <w:tc>
          <w:tcPr>
            <w:tcW w:w="447" w:type="pct"/>
            <w:vMerge w:val="restar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46C77A15" w14:textId="2C6B8291" w:rsidR="003322B9" w:rsidRPr="00D33C2C" w:rsidRDefault="003322B9" w:rsidP="003322B9">
            <w:pPr>
              <w:pStyle w:val="In-tableHeading"/>
              <w:jc w:val="center"/>
              <w:rPr>
                <w:lang w:val="en-AU"/>
              </w:rPr>
            </w:pPr>
            <w:r w:rsidRPr="00D33C2C">
              <w:rPr>
                <w:lang w:val="en-AU"/>
              </w:rPr>
              <w:t>Placebo</w:t>
            </w:r>
            <w:r w:rsidR="0030512D">
              <w:rPr>
                <w:lang w:val="en-AU"/>
              </w:rPr>
              <w:t>,</w:t>
            </w:r>
          </w:p>
          <w:p w14:paraId="6DA34EFE" w14:textId="77777777" w:rsidR="003322B9" w:rsidRPr="00D33C2C" w:rsidRDefault="003322B9" w:rsidP="003322B9">
            <w:pPr>
              <w:pStyle w:val="In-tableHeading"/>
              <w:jc w:val="center"/>
              <w:rPr>
                <w:lang w:val="en-AU"/>
              </w:rPr>
            </w:pPr>
            <w:r w:rsidRPr="00D33C2C">
              <w:rPr>
                <w:lang w:val="en-AU"/>
              </w:rPr>
              <w:t>n/N</w:t>
            </w:r>
          </w:p>
        </w:tc>
        <w:tc>
          <w:tcPr>
            <w:tcW w:w="1801" w:type="pct"/>
            <w:gridSpan w:val="4"/>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67A975C6" w14:textId="77777777" w:rsidR="003322B9" w:rsidRPr="00D33C2C" w:rsidRDefault="003322B9" w:rsidP="003322B9">
            <w:pPr>
              <w:pStyle w:val="In-tableHeading"/>
              <w:jc w:val="center"/>
              <w:rPr>
                <w:lang w:val="en-AU"/>
              </w:rPr>
            </w:pPr>
            <w:r w:rsidRPr="00D33C2C">
              <w:rPr>
                <w:lang w:val="en-AU"/>
              </w:rPr>
              <w:t>Event rate/100 patients*</w:t>
            </w:r>
          </w:p>
        </w:tc>
        <w:tc>
          <w:tcPr>
            <w:tcW w:w="673" w:type="pct"/>
            <w:vMerge w:val="restar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6B181C1F" w14:textId="77777777" w:rsidR="003322B9" w:rsidRPr="00D33C2C" w:rsidRDefault="003322B9" w:rsidP="003322B9">
            <w:pPr>
              <w:pStyle w:val="In-tableHeading"/>
              <w:jc w:val="center"/>
              <w:rPr>
                <w:lang w:val="en-AU"/>
              </w:rPr>
            </w:pPr>
            <w:r w:rsidRPr="00D33C2C">
              <w:rPr>
                <w:lang w:val="en-AU"/>
              </w:rPr>
              <w:t>RD</w:t>
            </w:r>
          </w:p>
          <w:p w14:paraId="16FBC062" w14:textId="77777777" w:rsidR="003322B9" w:rsidRPr="00D33C2C" w:rsidRDefault="003322B9" w:rsidP="003322B9">
            <w:pPr>
              <w:pStyle w:val="In-tableHeading"/>
              <w:jc w:val="center"/>
              <w:rPr>
                <w:lang w:val="en-AU"/>
              </w:rPr>
            </w:pPr>
            <w:r w:rsidRPr="00D33C2C">
              <w:rPr>
                <w:lang w:val="en-AU"/>
              </w:rPr>
              <w:t>(95% CI)</w:t>
            </w:r>
          </w:p>
        </w:tc>
      </w:tr>
      <w:tr w:rsidR="003322B9" w:rsidRPr="00D33C2C" w14:paraId="029FF440" w14:textId="77777777" w:rsidTr="003322B9">
        <w:trPr>
          <w:cantSplit/>
          <w:trHeight w:val="315"/>
        </w:trPr>
        <w:tc>
          <w:tcPr>
            <w:tcW w:w="741" w:type="pct"/>
            <w:vMerge/>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2F466F1C" w14:textId="77777777" w:rsidR="003322B9" w:rsidRPr="00D33C2C" w:rsidRDefault="003322B9" w:rsidP="007460E2">
            <w:pPr>
              <w:pStyle w:val="In-tableHeading"/>
              <w:jc w:val="center"/>
              <w:rPr>
                <w:lang w:val="en-AU"/>
              </w:rPr>
            </w:pPr>
          </w:p>
        </w:tc>
        <w:tc>
          <w:tcPr>
            <w:tcW w:w="446"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3C214696" w14:textId="39896737" w:rsidR="003322B9" w:rsidRPr="00D33C2C" w:rsidRDefault="003322B9" w:rsidP="003322B9">
            <w:pPr>
              <w:pStyle w:val="In-tableHeading"/>
              <w:jc w:val="center"/>
              <w:rPr>
                <w:lang w:val="en-AU"/>
              </w:rPr>
            </w:pPr>
            <w:r w:rsidRPr="00D33C2C">
              <w:rPr>
                <w:lang w:val="en-AU"/>
              </w:rPr>
              <w:t>40 mcg/kg</w:t>
            </w:r>
          </w:p>
        </w:tc>
        <w:tc>
          <w:tcPr>
            <w:tcW w:w="446"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639DB1EC" w14:textId="674981C5" w:rsidR="003322B9" w:rsidRPr="00D33C2C" w:rsidRDefault="003322B9" w:rsidP="003322B9">
            <w:pPr>
              <w:pStyle w:val="In-tableHeading"/>
              <w:jc w:val="center"/>
              <w:rPr>
                <w:lang w:val="en-AU"/>
              </w:rPr>
            </w:pPr>
            <w:r w:rsidRPr="00D33C2C">
              <w:rPr>
                <w:lang w:val="en-AU"/>
              </w:rPr>
              <w:t>120 mcg/kg</w:t>
            </w:r>
          </w:p>
        </w:tc>
        <w:tc>
          <w:tcPr>
            <w:tcW w:w="446"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33BF84E0" w14:textId="77777777" w:rsidR="003322B9" w:rsidRPr="00D33C2C" w:rsidRDefault="003322B9" w:rsidP="003322B9">
            <w:pPr>
              <w:pStyle w:val="In-tableHeading"/>
              <w:jc w:val="center"/>
              <w:rPr>
                <w:lang w:val="en-AU"/>
              </w:rPr>
            </w:pPr>
            <w:r w:rsidRPr="00D33C2C">
              <w:rPr>
                <w:lang w:val="en-AU"/>
              </w:rPr>
              <w:t>All doses</w:t>
            </w:r>
          </w:p>
        </w:tc>
        <w:tc>
          <w:tcPr>
            <w:tcW w:w="447" w:type="pct"/>
            <w:vMerge/>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55594C8E" w14:textId="77777777" w:rsidR="003322B9" w:rsidRPr="00D33C2C" w:rsidRDefault="003322B9" w:rsidP="003322B9">
            <w:pPr>
              <w:pStyle w:val="In-tableHeading"/>
              <w:jc w:val="center"/>
              <w:rPr>
                <w:lang w:val="en-AU"/>
              </w:rPr>
            </w:pPr>
          </w:p>
        </w:tc>
        <w:tc>
          <w:tcPr>
            <w:tcW w:w="4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2ED7EB49" w14:textId="0A0445C6" w:rsidR="003322B9" w:rsidRPr="00D33C2C" w:rsidRDefault="003322B9" w:rsidP="003322B9">
            <w:pPr>
              <w:pStyle w:val="In-tableHeading"/>
              <w:jc w:val="center"/>
              <w:rPr>
                <w:lang w:val="en-AU"/>
              </w:rPr>
            </w:pPr>
            <w:r w:rsidRPr="00D33C2C">
              <w:rPr>
                <w:lang w:val="en-AU"/>
              </w:rPr>
              <w:t>40 mcg/kg</w:t>
            </w:r>
          </w:p>
        </w:tc>
        <w:tc>
          <w:tcPr>
            <w:tcW w:w="4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2C6A0D30" w14:textId="60F58349" w:rsidR="003322B9" w:rsidRPr="00D33C2C" w:rsidRDefault="003322B9" w:rsidP="003322B9">
            <w:pPr>
              <w:pStyle w:val="In-tableHeading"/>
              <w:jc w:val="center"/>
              <w:rPr>
                <w:lang w:val="en-AU"/>
              </w:rPr>
            </w:pPr>
            <w:r w:rsidRPr="00D33C2C">
              <w:rPr>
                <w:lang w:val="en-AU"/>
              </w:rPr>
              <w:t>120 mcg/kg</w:t>
            </w:r>
          </w:p>
        </w:tc>
        <w:tc>
          <w:tcPr>
            <w:tcW w:w="4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7B88B0B8" w14:textId="45BA76DD" w:rsidR="003322B9" w:rsidRPr="00D33C2C" w:rsidRDefault="003322B9" w:rsidP="003322B9">
            <w:pPr>
              <w:pStyle w:val="In-tableHeading"/>
              <w:jc w:val="center"/>
              <w:rPr>
                <w:lang w:val="en-AU"/>
              </w:rPr>
            </w:pPr>
            <w:r w:rsidRPr="00D33C2C">
              <w:rPr>
                <w:lang w:val="en-AU"/>
              </w:rPr>
              <w:t>All doses</w:t>
            </w:r>
          </w:p>
        </w:tc>
        <w:tc>
          <w:tcPr>
            <w:tcW w:w="46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334E1E3C" w14:textId="1482E756" w:rsidR="003322B9" w:rsidRPr="00D33C2C" w:rsidRDefault="003322B9" w:rsidP="003322B9">
            <w:pPr>
              <w:pStyle w:val="In-tableHeading"/>
              <w:jc w:val="center"/>
              <w:rPr>
                <w:lang w:val="en-AU"/>
              </w:rPr>
            </w:pPr>
            <w:r w:rsidRPr="00D33C2C">
              <w:rPr>
                <w:lang w:val="en-AU"/>
              </w:rPr>
              <w:t>Placebo</w:t>
            </w:r>
          </w:p>
        </w:tc>
        <w:tc>
          <w:tcPr>
            <w:tcW w:w="673" w:type="pct"/>
            <w:vMerge/>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56EAA3EF" w14:textId="77777777" w:rsidR="003322B9" w:rsidRPr="00D33C2C" w:rsidRDefault="003322B9" w:rsidP="003322B9">
            <w:pPr>
              <w:pStyle w:val="In-tableHeading"/>
              <w:jc w:val="center"/>
              <w:rPr>
                <w:lang w:val="en-AU"/>
              </w:rPr>
            </w:pPr>
          </w:p>
        </w:tc>
      </w:tr>
      <w:tr w:rsidR="003322B9" w:rsidRPr="00D33C2C" w14:paraId="73409B62" w14:textId="77777777" w:rsidTr="0030512D">
        <w:trPr>
          <w:cantSplit/>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tcPr>
          <w:p w14:paraId="0423FA29" w14:textId="168CA99D" w:rsidR="003322B9" w:rsidRPr="00D33C2C" w:rsidRDefault="003322B9" w:rsidP="003322B9">
            <w:pPr>
              <w:pStyle w:val="TableText0"/>
            </w:pPr>
            <w:r w:rsidRPr="00D33C2C">
              <w:rPr>
                <w:b/>
                <w:bCs w:val="0"/>
              </w:rPr>
              <w:t>Benefits</w:t>
            </w:r>
            <w:r>
              <w:rPr>
                <w:b/>
                <w:bCs w:val="0"/>
              </w:rPr>
              <w:t xml:space="preserve"> (adjusted RD 40 mcg/kg/day vs placebo)</w:t>
            </w:r>
          </w:p>
        </w:tc>
      </w:tr>
      <w:tr w:rsidR="003322B9" w:rsidRPr="00D33C2C" w14:paraId="573E850E" w14:textId="77777777" w:rsidTr="003322B9">
        <w:trPr>
          <w:cantSplit/>
        </w:trPr>
        <w:tc>
          <w:tcPr>
            <w:tcW w:w="741"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74A53D35" w14:textId="3CFC7BAE" w:rsidR="003322B9" w:rsidRPr="00D33C2C" w:rsidRDefault="003322B9" w:rsidP="007460E2">
            <w:pPr>
              <w:pStyle w:val="TableText0"/>
            </w:pPr>
            <w:r w:rsidRPr="00D33C2C">
              <w:t>sBA response</w:t>
            </w:r>
            <w:r>
              <w:t xml:space="preserve"> </w:t>
            </w:r>
          </w:p>
        </w:tc>
        <w:tc>
          <w:tcPr>
            <w:tcW w:w="446"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022A0C60" w14:textId="77777777" w:rsidR="003322B9" w:rsidRPr="00D33C2C" w:rsidRDefault="003322B9" w:rsidP="007460E2">
            <w:pPr>
              <w:pStyle w:val="TableText0"/>
              <w:jc w:val="center"/>
            </w:pPr>
            <w:r w:rsidRPr="00D33C2C">
              <w:t>10/23</w:t>
            </w:r>
          </w:p>
        </w:tc>
        <w:tc>
          <w:tcPr>
            <w:tcW w:w="446"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22296491" w14:textId="77777777" w:rsidR="003322B9" w:rsidRPr="00D33C2C" w:rsidRDefault="003322B9" w:rsidP="007460E2">
            <w:pPr>
              <w:pStyle w:val="TableText0"/>
              <w:jc w:val="center"/>
            </w:pPr>
            <w:r w:rsidRPr="00D33C2C">
              <w:t>4/19</w:t>
            </w:r>
          </w:p>
        </w:tc>
        <w:tc>
          <w:tcPr>
            <w:tcW w:w="446"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2903D02B" w14:textId="77777777" w:rsidR="003322B9" w:rsidRPr="00D33C2C" w:rsidRDefault="003322B9" w:rsidP="007460E2">
            <w:pPr>
              <w:pStyle w:val="TableText0"/>
              <w:jc w:val="center"/>
            </w:pPr>
            <w:r w:rsidRPr="00D33C2C">
              <w:t>14/42</w:t>
            </w:r>
          </w:p>
        </w:tc>
        <w:tc>
          <w:tcPr>
            <w:tcW w:w="4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1255C2A9" w14:textId="5FE1E1C0" w:rsidR="003322B9" w:rsidRPr="00D33C2C" w:rsidRDefault="003322B9" w:rsidP="007460E2">
            <w:pPr>
              <w:pStyle w:val="TableText0"/>
              <w:jc w:val="center"/>
            </w:pPr>
            <w:r w:rsidRPr="00D33C2C">
              <w:t>0</w:t>
            </w:r>
            <w:r w:rsidR="007B5955">
              <w:t>/20</w:t>
            </w:r>
          </w:p>
        </w:tc>
        <w:tc>
          <w:tcPr>
            <w:tcW w:w="4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144310B7" w14:textId="77777777" w:rsidR="003322B9" w:rsidRPr="00D33C2C" w:rsidRDefault="003322B9" w:rsidP="007460E2">
            <w:pPr>
              <w:pStyle w:val="TableText0"/>
              <w:jc w:val="center"/>
            </w:pPr>
            <w:r w:rsidRPr="00D33C2C">
              <w:t>43.5%</w:t>
            </w:r>
          </w:p>
        </w:tc>
        <w:tc>
          <w:tcPr>
            <w:tcW w:w="4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6BE501F0" w14:textId="77777777" w:rsidR="003322B9" w:rsidRPr="00D33C2C" w:rsidRDefault="003322B9" w:rsidP="007460E2">
            <w:pPr>
              <w:pStyle w:val="TableText0"/>
              <w:jc w:val="center"/>
            </w:pPr>
            <w:r w:rsidRPr="00D33C2C">
              <w:t>21.1%</w:t>
            </w:r>
          </w:p>
        </w:tc>
        <w:tc>
          <w:tcPr>
            <w:tcW w:w="4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4B883CA3" w14:textId="77777777" w:rsidR="003322B9" w:rsidRPr="00D33C2C" w:rsidRDefault="003322B9" w:rsidP="007460E2">
            <w:pPr>
              <w:pStyle w:val="TableText0"/>
              <w:jc w:val="center"/>
            </w:pPr>
            <w:r w:rsidRPr="00D33C2C">
              <w:t>33.3%</w:t>
            </w:r>
          </w:p>
        </w:tc>
        <w:tc>
          <w:tcPr>
            <w:tcW w:w="46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448B1B25" w14:textId="5131CAD9" w:rsidR="003322B9" w:rsidRPr="00D33C2C" w:rsidRDefault="003322B9" w:rsidP="007460E2">
            <w:pPr>
              <w:pStyle w:val="TableText0"/>
              <w:jc w:val="center"/>
            </w:pPr>
            <w:r w:rsidRPr="00D33C2C">
              <w:t>0%</w:t>
            </w:r>
          </w:p>
        </w:tc>
        <w:tc>
          <w:tcPr>
            <w:tcW w:w="6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279D43CB" w14:textId="419715FD" w:rsidR="003322B9" w:rsidRPr="00D33C2C" w:rsidRDefault="003322B9" w:rsidP="007460E2">
            <w:pPr>
              <w:pStyle w:val="TableText0"/>
              <w:jc w:val="center"/>
            </w:pPr>
            <w:r w:rsidRPr="00D33C2C">
              <w:t>44.1%</w:t>
            </w:r>
            <w:r w:rsidR="00835221" w:rsidRPr="00835221">
              <w:rPr>
                <w:vertAlign w:val="superscript"/>
              </w:rPr>
              <w:t>1</w:t>
            </w:r>
            <w:r>
              <w:br/>
            </w:r>
            <w:r w:rsidRPr="00D33C2C">
              <w:t>(23.61, 64.64)</w:t>
            </w:r>
          </w:p>
        </w:tc>
      </w:tr>
    </w:tbl>
    <w:p w14:paraId="07205432" w14:textId="77777777" w:rsidR="00E5561C" w:rsidRPr="00D33C2C" w:rsidRDefault="00E5561C" w:rsidP="00E5561C">
      <w:pPr>
        <w:pStyle w:val="TableFigureFooter"/>
        <w:keepNext/>
        <w:keepLines/>
      </w:pPr>
      <w:r w:rsidRPr="00D33C2C">
        <w:t>Source: Table 2-17, p82, Table 2-19, p86, and Table 2-20, p88; Table 2.22, p97 of the submission</w:t>
      </w:r>
    </w:p>
    <w:p w14:paraId="7E4AB63C" w14:textId="638BEC2E" w:rsidR="00E5561C" w:rsidRPr="00D33C2C" w:rsidRDefault="00E5561C" w:rsidP="00E5561C">
      <w:pPr>
        <w:pStyle w:val="TableFigureFooter"/>
      </w:pPr>
      <w:r w:rsidRPr="00D33C2C">
        <w:t xml:space="preserve">RD = risk </w:t>
      </w:r>
      <w:r w:rsidR="00A654C5" w:rsidRPr="00D33C2C">
        <w:t xml:space="preserve">difference; </w:t>
      </w:r>
      <w:r w:rsidR="00A654C5">
        <w:t>sBA</w:t>
      </w:r>
      <w:r w:rsidRPr="00D33C2C">
        <w:t xml:space="preserve"> = serum bile acid</w:t>
      </w:r>
    </w:p>
    <w:p w14:paraId="133E2538" w14:textId="32B1D180" w:rsidR="00E5561C" w:rsidRPr="00D33C2C" w:rsidRDefault="00835221" w:rsidP="00E5561C">
      <w:pPr>
        <w:pStyle w:val="TableFigureFooter"/>
      </w:pPr>
      <w:r>
        <w:t>1.</w:t>
      </w:r>
      <w:r w:rsidR="00DC18D2">
        <w:t xml:space="preserve">RD for sBA response was </w:t>
      </w:r>
      <w:r w:rsidR="0079377F">
        <w:t xml:space="preserve">the adjusted </w:t>
      </w:r>
      <w:r w:rsidR="00C65FC0">
        <w:t>difference</w:t>
      </w:r>
      <w:r w:rsidR="0079377F">
        <w:t xml:space="preserve"> </w:t>
      </w:r>
      <w:r w:rsidR="00DC18D2">
        <w:t>between the 40 mcg/kg and placebo as this was the only comparison demonstrating statistical significance</w:t>
      </w:r>
      <w:r w:rsidR="0079377F">
        <w:t xml:space="preserve"> (</w:t>
      </w:r>
      <w:r w:rsidR="00C65FC0">
        <w:t xml:space="preserve">see </w:t>
      </w:r>
      <w:r w:rsidR="0079377F">
        <w:fldChar w:fldCharType="begin"/>
      </w:r>
      <w:r w:rsidR="0079377F">
        <w:instrText xml:space="preserve"> REF _Ref164608051 \h </w:instrText>
      </w:r>
      <w:r w:rsidR="0079377F">
        <w:fldChar w:fldCharType="separate"/>
      </w:r>
      <w:r w:rsidR="008B4717" w:rsidRPr="00D33C2C">
        <w:t xml:space="preserve">Table </w:t>
      </w:r>
      <w:r w:rsidR="008B4717">
        <w:rPr>
          <w:noProof/>
        </w:rPr>
        <w:t>5</w:t>
      </w:r>
      <w:r w:rsidR="0079377F">
        <w:fldChar w:fldCharType="end"/>
      </w:r>
      <w:r w:rsidR="0079377F">
        <w:t>)</w:t>
      </w:r>
      <w:r w:rsidR="00DC18D2">
        <w:t>.</w:t>
      </w:r>
      <w:r w:rsidR="00E5561C" w:rsidRPr="00D33C2C">
        <w:t xml:space="preserve"> </w:t>
      </w:r>
    </w:p>
    <w:p w14:paraId="52268DEA" w14:textId="51104514" w:rsidR="00E5561C" w:rsidRPr="00D33C2C" w:rsidRDefault="00E5561C" w:rsidP="00E5561C">
      <w:pPr>
        <w:pStyle w:val="3-BodyText"/>
      </w:pPr>
      <w:r w:rsidRPr="00D33C2C">
        <w:t>On the basis of direct compar</w:t>
      </w:r>
      <w:r w:rsidR="00835221">
        <w:t>ative</w:t>
      </w:r>
      <w:r w:rsidRPr="00D33C2C">
        <w:t xml:space="preserve"> evidence presented by the submission, for every 100 patients treated with odevixibat </w:t>
      </w:r>
      <w:r w:rsidR="00650C66" w:rsidRPr="00D33C2C">
        <w:t xml:space="preserve">(40 mcg/kg/day) </w:t>
      </w:r>
      <w:r w:rsidRPr="00D33C2C">
        <w:t>in comparison with placebo</w:t>
      </w:r>
      <w:r w:rsidR="008E6381">
        <w:t>,</w:t>
      </w:r>
      <w:r w:rsidRPr="00D33C2C">
        <w:t xml:space="preserve"> after 24 weeks of treatment:</w:t>
      </w:r>
    </w:p>
    <w:p w14:paraId="2C1F292B" w14:textId="408367B3" w:rsidR="00E5561C" w:rsidRPr="00D33C2C" w:rsidRDefault="00E5561C" w:rsidP="006F7E58">
      <w:pPr>
        <w:pStyle w:val="ListParagraph"/>
        <w:ind w:left="993" w:hanging="284"/>
      </w:pPr>
      <w:r w:rsidRPr="00D33C2C">
        <w:t xml:space="preserve">Approximately 44 additional patients will achieve a sBA response (at least a 70% reduction in sBA concentrations from baseline or reaching </w:t>
      </w:r>
      <w:r w:rsidRPr="00D33C2C">
        <w:rPr>
          <w:rFonts w:cstheme="minorHAnsi"/>
        </w:rPr>
        <w:t>≤</w:t>
      </w:r>
      <w:r w:rsidR="00E5514C">
        <w:rPr>
          <w:rFonts w:cstheme="minorHAnsi"/>
        </w:rPr>
        <w:t> </w:t>
      </w:r>
      <w:r w:rsidRPr="00D33C2C">
        <w:t>70</w:t>
      </w:r>
      <w:r w:rsidR="00E5514C">
        <w:t> </w:t>
      </w:r>
      <w:r w:rsidRPr="00D33C2C">
        <w:rPr>
          <w:rFonts w:cstheme="minorHAnsi"/>
        </w:rPr>
        <w:t>µ</w:t>
      </w:r>
      <w:r w:rsidRPr="00D33C2C">
        <w:t>mol)</w:t>
      </w:r>
      <w:r w:rsidR="00143118">
        <w:t>.</w:t>
      </w:r>
    </w:p>
    <w:p w14:paraId="28CFB53D" w14:textId="77777777" w:rsidR="00E5561C" w:rsidRPr="00D33C2C" w:rsidRDefault="00E5561C" w:rsidP="00E5561C">
      <w:pPr>
        <w:pStyle w:val="4-SubsectionHeading"/>
      </w:pPr>
      <w:bookmarkStart w:id="73" w:name="_Toc22897644"/>
      <w:bookmarkStart w:id="74" w:name="_Toc22898856"/>
      <w:bookmarkStart w:id="75" w:name="_Toc166210658"/>
      <w:r w:rsidRPr="00D33C2C">
        <w:t>Clinical claim</w:t>
      </w:r>
      <w:bookmarkEnd w:id="73"/>
      <w:bookmarkEnd w:id="74"/>
      <w:bookmarkEnd w:id="75"/>
    </w:p>
    <w:p w14:paraId="43689D0F" w14:textId="0C2E134D" w:rsidR="00E5561C" w:rsidRPr="00D12904" w:rsidRDefault="00E5561C" w:rsidP="00E5561C">
      <w:pPr>
        <w:pStyle w:val="3-BodyText"/>
        <w:rPr>
          <w:rFonts w:eastAsia="Calibri"/>
        </w:rPr>
      </w:pPr>
      <w:bookmarkStart w:id="76" w:name="_Ref164702589"/>
      <w:r w:rsidRPr="00D12904">
        <w:rPr>
          <w:rFonts w:eastAsia="Calibri"/>
        </w:rPr>
        <w:t>The submission described odevixibat as superior in terms of effectiveness compared to SOC. Th</w:t>
      </w:r>
      <w:r w:rsidR="00530D99" w:rsidRPr="00D12904">
        <w:rPr>
          <w:rFonts w:eastAsia="Calibri"/>
        </w:rPr>
        <w:t>e ESC considered that th</w:t>
      </w:r>
      <w:r w:rsidRPr="00D12904">
        <w:rPr>
          <w:rFonts w:eastAsia="Calibri"/>
        </w:rPr>
        <w:t xml:space="preserve">is claim </w:t>
      </w:r>
      <w:r w:rsidR="00530D99" w:rsidRPr="00D12904">
        <w:rPr>
          <w:rFonts w:eastAsia="Calibri"/>
        </w:rPr>
        <w:t>was likely</w:t>
      </w:r>
      <w:r w:rsidRPr="00D12904">
        <w:rPr>
          <w:rFonts w:eastAsia="Calibri"/>
        </w:rPr>
        <w:t xml:space="preserve"> supported</w:t>
      </w:r>
      <w:r w:rsidR="00530D99" w:rsidRPr="00D12904">
        <w:rPr>
          <w:rFonts w:eastAsia="Calibri"/>
        </w:rPr>
        <w:t xml:space="preserve"> and that odevixibat was likely effective at lowering sBA</w:t>
      </w:r>
      <w:r w:rsidR="0066767D">
        <w:rPr>
          <w:rFonts w:eastAsia="Calibri"/>
        </w:rPr>
        <w:t xml:space="preserve"> and causing</w:t>
      </w:r>
      <w:r w:rsidR="00530D99" w:rsidRPr="00D12904">
        <w:rPr>
          <w:rFonts w:eastAsia="Calibri"/>
        </w:rPr>
        <w:t xml:space="preserve"> a reduction in pruritus symptoms</w:t>
      </w:r>
      <w:r w:rsidR="0066767D">
        <w:rPr>
          <w:rFonts w:eastAsia="Calibri"/>
        </w:rPr>
        <w:t xml:space="preserve">. The </w:t>
      </w:r>
      <w:r w:rsidR="00B518C4">
        <w:rPr>
          <w:rFonts w:eastAsia="Calibri"/>
        </w:rPr>
        <w:t>PBAC</w:t>
      </w:r>
      <w:r w:rsidR="0066767D">
        <w:rPr>
          <w:rFonts w:eastAsia="Calibri"/>
        </w:rPr>
        <w:t xml:space="preserve"> also felt that odevixibat </w:t>
      </w:r>
      <w:r w:rsidR="00530D99" w:rsidRPr="00D12904">
        <w:rPr>
          <w:rFonts w:eastAsia="Calibri"/>
        </w:rPr>
        <w:t xml:space="preserve">potentially </w:t>
      </w:r>
      <w:r w:rsidR="0066767D">
        <w:rPr>
          <w:rFonts w:eastAsia="Calibri"/>
        </w:rPr>
        <w:t xml:space="preserve">increased </w:t>
      </w:r>
      <w:r w:rsidR="00530D99" w:rsidRPr="00D12904">
        <w:rPr>
          <w:rFonts w:eastAsia="Calibri"/>
        </w:rPr>
        <w:t>native liver survival</w:t>
      </w:r>
      <w:r w:rsidR="0066767D">
        <w:rPr>
          <w:rFonts w:eastAsia="Calibri"/>
        </w:rPr>
        <w:t>, but that this was less likely</w:t>
      </w:r>
      <w:r w:rsidR="00530D99" w:rsidRPr="00D12904">
        <w:rPr>
          <w:rFonts w:eastAsia="Calibri"/>
        </w:rPr>
        <w:t>. However</w:t>
      </w:r>
      <w:r w:rsidR="009C3103" w:rsidRPr="00D12904">
        <w:rPr>
          <w:rFonts w:eastAsia="Calibri"/>
        </w:rPr>
        <w:t>,</w:t>
      </w:r>
      <w:r w:rsidR="00477328" w:rsidRPr="00D12904">
        <w:rPr>
          <w:rFonts w:eastAsia="Calibri"/>
        </w:rPr>
        <w:t xml:space="preserve"> </w:t>
      </w:r>
      <w:r w:rsidR="00E46D1B" w:rsidRPr="00D12904">
        <w:rPr>
          <w:rFonts w:eastAsia="Calibri"/>
        </w:rPr>
        <w:t xml:space="preserve">the </w:t>
      </w:r>
      <w:r w:rsidR="008277EE" w:rsidRPr="00D12904">
        <w:rPr>
          <w:rFonts w:eastAsia="Calibri"/>
        </w:rPr>
        <w:t xml:space="preserve">magnitude of benefit was considered to be highly </w:t>
      </w:r>
      <w:r w:rsidR="008E6381" w:rsidRPr="00D12904">
        <w:rPr>
          <w:rFonts w:eastAsia="Calibri"/>
        </w:rPr>
        <w:t>uncertain,</w:t>
      </w:r>
      <w:r w:rsidR="008277EE" w:rsidRPr="00D12904">
        <w:rPr>
          <w:rFonts w:eastAsia="Calibri"/>
        </w:rPr>
        <w:t xml:space="preserve"> and the </w:t>
      </w:r>
      <w:r w:rsidR="00E46D1B" w:rsidRPr="00D12904">
        <w:rPr>
          <w:rFonts w:eastAsia="Calibri"/>
        </w:rPr>
        <w:t xml:space="preserve">incremental benefit compared to the nominated comparator of SOC </w:t>
      </w:r>
      <w:r w:rsidR="00BF6C06" w:rsidRPr="00D12904">
        <w:rPr>
          <w:rFonts w:eastAsia="Calibri"/>
        </w:rPr>
        <w:t xml:space="preserve">(which includes SBD and LT) </w:t>
      </w:r>
      <w:r w:rsidR="00E46D1B" w:rsidRPr="00D12904">
        <w:rPr>
          <w:rFonts w:eastAsia="Calibri"/>
        </w:rPr>
        <w:t>could not be determined as</w:t>
      </w:r>
      <w:r w:rsidRPr="00D12904">
        <w:rPr>
          <w:rFonts w:eastAsia="Calibri"/>
        </w:rPr>
        <w:t>:</w:t>
      </w:r>
      <w:bookmarkEnd w:id="76"/>
    </w:p>
    <w:p w14:paraId="1F5E0F42" w14:textId="60840691" w:rsidR="00E5561C" w:rsidRPr="00D12904" w:rsidRDefault="00477328" w:rsidP="001825BF">
      <w:pPr>
        <w:pStyle w:val="3-BodyText"/>
        <w:numPr>
          <w:ilvl w:val="0"/>
          <w:numId w:val="8"/>
        </w:numPr>
        <w:ind w:left="1134" w:hanging="425"/>
        <w:rPr>
          <w:rFonts w:eastAsia="Calibri"/>
        </w:rPr>
      </w:pPr>
      <w:r w:rsidRPr="00D12904">
        <w:t>T</w:t>
      </w:r>
      <w:r w:rsidR="00E5561C" w:rsidRPr="00D12904">
        <w:t xml:space="preserve">he </w:t>
      </w:r>
      <w:r w:rsidRPr="00D12904">
        <w:t xml:space="preserve">direct </w:t>
      </w:r>
      <w:r w:rsidR="00E5561C" w:rsidRPr="00D12904">
        <w:t xml:space="preserve">evidence </w:t>
      </w:r>
      <w:r w:rsidRPr="00D12904">
        <w:t xml:space="preserve">from PEDFIC 1 </w:t>
      </w:r>
      <w:r w:rsidR="00E5561C" w:rsidRPr="00D12904">
        <w:t>suggest</w:t>
      </w:r>
      <w:r w:rsidRPr="00D12904">
        <w:t>ed</w:t>
      </w:r>
      <w:r w:rsidR="00E5561C" w:rsidRPr="00D12904">
        <w:t xml:space="preserve"> that odevixibat was effective at lowering sBA when compared to placebo in patients with PFIC1 and PFIC2 (except </w:t>
      </w:r>
      <w:r w:rsidR="00E5561C" w:rsidRPr="00D12904">
        <w:lastRenderedPageBreak/>
        <w:t xml:space="preserve">for PFIC2 </w:t>
      </w:r>
      <w:r w:rsidR="00E5561C" w:rsidRPr="00F07922">
        <w:rPr>
          <w:i/>
          <w:iCs/>
        </w:rPr>
        <w:t>BSEP3</w:t>
      </w:r>
      <w:r w:rsidR="00E5561C" w:rsidRPr="00D12904">
        <w:t>)</w:t>
      </w:r>
      <w:r w:rsidR="00E5561C" w:rsidRPr="00D12904">
        <w:rPr>
          <w:rFonts w:eastAsia="Calibri"/>
        </w:rPr>
        <w:t xml:space="preserve">. However, </w:t>
      </w:r>
      <w:r w:rsidR="00E5561C" w:rsidRPr="00D12904">
        <w:t xml:space="preserve">placebo was not the nominated comparator and the results of PEDFIC 1 may not be sufficient to support a clinical claim compared to SOC. Randomised trial evidence from PEDFIC 1 was also limited to </w:t>
      </w:r>
      <w:r w:rsidR="00E5514C" w:rsidRPr="00D12904">
        <w:t>24</w:t>
      </w:r>
      <w:r w:rsidR="00E5514C">
        <w:t> </w:t>
      </w:r>
      <w:r w:rsidR="00E5561C" w:rsidRPr="00D12904">
        <w:t>weeks. Further, there were applicability issues regarding the dosage of odevixibat used in PEDFIC 1 and</w:t>
      </w:r>
      <w:r w:rsidR="009C49B7" w:rsidRPr="00D12904">
        <w:t xml:space="preserve"> PEDFIC</w:t>
      </w:r>
      <w:r w:rsidR="00E5561C" w:rsidRPr="00D12904">
        <w:t xml:space="preserve"> 2, in which </w:t>
      </w:r>
      <w:r w:rsidR="000A7CED" w:rsidRPr="00D12904">
        <w:t xml:space="preserve">a </w:t>
      </w:r>
      <w:r w:rsidR="00E5561C" w:rsidRPr="00D12904">
        <w:t xml:space="preserve">dose increase from </w:t>
      </w:r>
      <w:r w:rsidR="00E5514C" w:rsidRPr="00D12904">
        <w:t>40</w:t>
      </w:r>
      <w:r w:rsidR="00E5514C">
        <w:t> </w:t>
      </w:r>
      <w:r w:rsidR="00E5561C" w:rsidRPr="00D12904">
        <w:t xml:space="preserve">mcg/kg/day to </w:t>
      </w:r>
      <w:r w:rsidR="00E5514C" w:rsidRPr="00D12904">
        <w:t>120</w:t>
      </w:r>
      <w:r w:rsidR="00E5514C">
        <w:t> </w:t>
      </w:r>
      <w:r w:rsidR="00E5561C" w:rsidRPr="00D12904">
        <w:t>mcg/kg/day was not a clinical decision that was dependent on response to the 40 mcg/kg/day dose</w:t>
      </w:r>
      <w:r w:rsidR="008277EE" w:rsidRPr="00D12904">
        <w:t xml:space="preserve"> and no clinical benefit of the higher dose was provided</w:t>
      </w:r>
      <w:r w:rsidR="00EF7979" w:rsidRPr="00D12904">
        <w:t>; and</w:t>
      </w:r>
    </w:p>
    <w:p w14:paraId="767C2367" w14:textId="3775A335" w:rsidR="00E5561C" w:rsidRPr="00D12904" w:rsidRDefault="00EF7979" w:rsidP="001825BF">
      <w:pPr>
        <w:pStyle w:val="3-BodyText"/>
        <w:numPr>
          <w:ilvl w:val="0"/>
          <w:numId w:val="8"/>
        </w:numPr>
        <w:ind w:left="1134" w:hanging="425"/>
        <w:rPr>
          <w:rFonts w:eastAsia="Calibri"/>
        </w:rPr>
      </w:pPr>
      <w:r w:rsidRPr="00D12904">
        <w:t>T</w:t>
      </w:r>
      <w:r w:rsidR="00E5561C" w:rsidRPr="00D12904">
        <w:t xml:space="preserve">he evidence from the OvEC unanchored ITC Part B which compared odevixibat and SBD reported some numerical differences in </w:t>
      </w:r>
      <w:r w:rsidR="00AB2CF3" w:rsidRPr="00D12904">
        <w:t>native liver survival</w:t>
      </w:r>
      <w:r w:rsidR="00A13BD3">
        <w:t xml:space="preserve"> </w:t>
      </w:r>
      <w:r w:rsidR="00E5561C" w:rsidRPr="00D12904">
        <w:t>and deaths (</w:t>
      </w:r>
      <w:r w:rsidR="00835221">
        <w:t xml:space="preserve">see paragraph </w:t>
      </w:r>
      <w:r w:rsidR="00835221">
        <w:fldChar w:fldCharType="begin"/>
      </w:r>
      <w:r w:rsidR="00835221">
        <w:instrText xml:space="preserve"> REF _Ref166207652 \r \h </w:instrText>
      </w:r>
      <w:r w:rsidR="00835221">
        <w:fldChar w:fldCharType="separate"/>
      </w:r>
      <w:r w:rsidR="008B4717">
        <w:t>6.32</w:t>
      </w:r>
      <w:r w:rsidR="00835221">
        <w:fldChar w:fldCharType="end"/>
      </w:r>
      <w:r w:rsidR="00E5561C" w:rsidRPr="00D12904">
        <w:t>) that favoured odevixibat. However, these results were highly uncertain as:</w:t>
      </w:r>
    </w:p>
    <w:p w14:paraId="13670AC0" w14:textId="5E0A2897" w:rsidR="00E5561C" w:rsidRPr="00D12904" w:rsidRDefault="00E5561C" w:rsidP="001825BF">
      <w:pPr>
        <w:pStyle w:val="ListParagraph"/>
        <w:numPr>
          <w:ilvl w:val="1"/>
          <w:numId w:val="8"/>
        </w:numPr>
        <w:ind w:left="1560" w:hanging="426"/>
      </w:pPr>
      <w:r w:rsidRPr="00D12904">
        <w:t xml:space="preserve">No baseline characteristics were reported. As such, it was unclear whether there were transitivity issues or imbalances in characteristics which may have biased the results; </w:t>
      </w:r>
    </w:p>
    <w:p w14:paraId="5B6EFFD5" w14:textId="77777777" w:rsidR="00F31A2F" w:rsidRPr="00D12904" w:rsidRDefault="00E5561C" w:rsidP="001825BF">
      <w:pPr>
        <w:pStyle w:val="3-BodyText"/>
        <w:numPr>
          <w:ilvl w:val="1"/>
          <w:numId w:val="8"/>
        </w:numPr>
        <w:ind w:left="1560" w:hanging="426"/>
        <w:rPr>
          <w:rFonts w:eastAsia="Calibri"/>
        </w:rPr>
      </w:pPr>
      <w:r w:rsidRPr="00D12904">
        <w:t>The number of patients in the control arm was small</w:t>
      </w:r>
      <w:r w:rsidR="000A7CED" w:rsidRPr="00D12904">
        <w:t xml:space="preserve"> (n = 24)</w:t>
      </w:r>
      <w:r w:rsidRPr="00D12904">
        <w:t xml:space="preserve">, </w:t>
      </w:r>
    </w:p>
    <w:p w14:paraId="3EB26B85" w14:textId="27668FF9" w:rsidR="000A7CED" w:rsidRPr="00D12904" w:rsidRDefault="00F31A2F" w:rsidP="001825BF">
      <w:pPr>
        <w:pStyle w:val="3-BodyText"/>
        <w:numPr>
          <w:ilvl w:val="1"/>
          <w:numId w:val="8"/>
        </w:numPr>
        <w:ind w:left="1560" w:hanging="426"/>
        <w:rPr>
          <w:rFonts w:eastAsia="Calibri"/>
        </w:rPr>
      </w:pPr>
      <w:r w:rsidRPr="00D12904">
        <w:t xml:space="preserve">The results were nonrandomised </w:t>
      </w:r>
      <w:r w:rsidR="00E5561C" w:rsidRPr="00D12904">
        <w:t xml:space="preserve">and </w:t>
      </w:r>
    </w:p>
    <w:p w14:paraId="7314239D" w14:textId="09536909" w:rsidR="00E5561C" w:rsidRPr="00D12904" w:rsidRDefault="000A7CED" w:rsidP="001825BF">
      <w:pPr>
        <w:pStyle w:val="3-BodyText"/>
        <w:numPr>
          <w:ilvl w:val="1"/>
          <w:numId w:val="8"/>
        </w:numPr>
        <w:ind w:left="1560" w:hanging="426"/>
        <w:rPr>
          <w:rFonts w:eastAsia="Calibri"/>
        </w:rPr>
      </w:pPr>
      <w:r w:rsidRPr="00D12904">
        <w:t>T</w:t>
      </w:r>
      <w:r w:rsidR="00E5561C" w:rsidRPr="00D12904">
        <w:t>he primary outcome of OvEC was EFS</w:t>
      </w:r>
      <w:r w:rsidRPr="00D12904">
        <w:t>. A</w:t>
      </w:r>
      <w:r w:rsidR="00E5561C" w:rsidRPr="00D12904">
        <w:t>ll other outcomes (</w:t>
      </w:r>
      <w:r w:rsidRPr="00D12904">
        <w:t xml:space="preserve">e.g. </w:t>
      </w:r>
      <w:r w:rsidR="00AB2CF3" w:rsidRPr="00D12904">
        <w:t xml:space="preserve">native liver survival </w:t>
      </w:r>
      <w:r w:rsidRPr="00D12904">
        <w:t xml:space="preserve">and </w:t>
      </w:r>
      <w:r w:rsidR="00E5561C" w:rsidRPr="00D12904">
        <w:t>OS) were considered exploratory only and not adjusted for multiplicity</w:t>
      </w:r>
      <w:r w:rsidRPr="00D12904">
        <w:t>.</w:t>
      </w:r>
    </w:p>
    <w:p w14:paraId="544D18D6" w14:textId="05A4E658" w:rsidR="00B146C3" w:rsidRDefault="00B146C3" w:rsidP="0048781E">
      <w:pPr>
        <w:pStyle w:val="3-BodyText"/>
        <w:rPr>
          <w:rFonts w:eastAsia="Calibri"/>
        </w:rPr>
      </w:pPr>
      <w:r w:rsidRPr="003006FE">
        <w:rPr>
          <w:iCs/>
        </w:rPr>
        <w:t>The</w:t>
      </w:r>
      <w:r w:rsidRPr="003006FE">
        <w:rPr>
          <w:szCs w:val="20"/>
        </w:rPr>
        <w:t xml:space="preserve"> PBAC considered </w:t>
      </w:r>
      <w:r w:rsidRPr="003006FE">
        <w:rPr>
          <w:lang w:val="en-GB" w:eastAsia="en-US"/>
        </w:rPr>
        <w:t>th</w:t>
      </w:r>
      <w:r>
        <w:rPr>
          <w:lang w:val="en-GB" w:eastAsia="en-US"/>
        </w:rPr>
        <w:t xml:space="preserve">at odevixibat was superior in terms of effectiveness compared to placebo in patients with PFIC1 and PFIC2 based on the results of the PEDFIC 1 trial. Compared to SOC, the PBAC considered that odevixibat was possibly superior in terms of effectiveness, based on the results of OvEC Part B, but that the magnitude of the benefit was highly uncertain. </w:t>
      </w:r>
    </w:p>
    <w:p w14:paraId="39CC1351" w14:textId="6156B989" w:rsidR="00E5561C" w:rsidRPr="003006FE" w:rsidRDefault="00E5561C" w:rsidP="0048781E">
      <w:pPr>
        <w:pStyle w:val="3-BodyText"/>
        <w:rPr>
          <w:rFonts w:eastAsia="Calibri"/>
        </w:rPr>
      </w:pPr>
      <w:r w:rsidRPr="00D12904">
        <w:rPr>
          <w:rFonts w:eastAsia="Calibri"/>
        </w:rPr>
        <w:t xml:space="preserve">The submission described odevixibat as non-inferior in terms of safety compared to SOC. </w:t>
      </w:r>
      <w:r w:rsidR="004F634E" w:rsidRPr="00D12904">
        <w:rPr>
          <w:rFonts w:eastAsia="Calibri"/>
        </w:rPr>
        <w:t xml:space="preserve">The </w:t>
      </w:r>
      <w:r w:rsidR="00530D99" w:rsidRPr="00D12904">
        <w:rPr>
          <w:rFonts w:eastAsia="Calibri"/>
        </w:rPr>
        <w:t xml:space="preserve">ESC considered that the </w:t>
      </w:r>
      <w:r w:rsidR="004F634E" w:rsidRPr="00D12904">
        <w:rPr>
          <w:rFonts w:eastAsia="Calibri"/>
        </w:rPr>
        <w:t xml:space="preserve">claim was </w:t>
      </w:r>
      <w:r w:rsidR="00530D99" w:rsidRPr="00D12904">
        <w:rPr>
          <w:rFonts w:eastAsia="Calibri"/>
        </w:rPr>
        <w:t>not adequately supported by the evidence presented, noting that the comparative data from PEDFIC 1 was against placebo</w:t>
      </w:r>
      <w:r w:rsidR="0066767D">
        <w:rPr>
          <w:rFonts w:eastAsia="Calibri"/>
        </w:rPr>
        <w:t xml:space="preserve"> and this comparative data was only for a maximum period of 24 weeks</w:t>
      </w:r>
      <w:r w:rsidR="004F634E" w:rsidRPr="00D12904">
        <w:rPr>
          <w:rFonts w:eastAsia="Calibri"/>
        </w:rPr>
        <w:t xml:space="preserve">. </w:t>
      </w:r>
      <w:r w:rsidR="00530D99" w:rsidRPr="00D12904">
        <w:rPr>
          <w:rFonts w:eastAsia="Calibri"/>
        </w:rPr>
        <w:t>Noting that d</w:t>
      </w:r>
      <w:r w:rsidR="004F634E" w:rsidRPr="00D12904">
        <w:rPr>
          <w:rFonts w:eastAsia="Calibri"/>
        </w:rPr>
        <w:t>iscontinuation in PEDFIC 1 and PEDFIC 2 due to AEs was low</w:t>
      </w:r>
      <w:r w:rsidR="001B385E" w:rsidRPr="00D12904">
        <w:rPr>
          <w:rFonts w:eastAsia="Calibri"/>
        </w:rPr>
        <w:t>,</w:t>
      </w:r>
      <w:r w:rsidR="004F634E" w:rsidRPr="00D12904">
        <w:rPr>
          <w:rFonts w:eastAsia="Calibri"/>
        </w:rPr>
        <w:t xml:space="preserve"> no deaths </w:t>
      </w:r>
      <w:r w:rsidR="00B143F7" w:rsidRPr="00D12904">
        <w:rPr>
          <w:rFonts w:eastAsia="Calibri"/>
        </w:rPr>
        <w:t xml:space="preserve">were </w:t>
      </w:r>
      <w:r w:rsidR="004F634E" w:rsidRPr="00D12904">
        <w:rPr>
          <w:rFonts w:eastAsia="Calibri"/>
        </w:rPr>
        <w:t>reported during follow up</w:t>
      </w:r>
      <w:r w:rsidR="00530D99" w:rsidRPr="00D12904">
        <w:rPr>
          <w:rFonts w:eastAsia="Calibri"/>
        </w:rPr>
        <w:t xml:space="preserve"> </w:t>
      </w:r>
      <w:r w:rsidR="001B385E" w:rsidRPr="00D12904">
        <w:rPr>
          <w:rFonts w:eastAsia="Calibri"/>
        </w:rPr>
        <w:t xml:space="preserve">and that no signals of serious toxicity </w:t>
      </w:r>
      <w:r w:rsidR="001B385E" w:rsidRPr="003006FE">
        <w:rPr>
          <w:rFonts w:eastAsia="Calibri"/>
        </w:rPr>
        <w:t xml:space="preserve">were evident in the limited patient exposure to date, </w:t>
      </w:r>
      <w:r w:rsidR="00530D99" w:rsidRPr="003006FE">
        <w:rPr>
          <w:rFonts w:eastAsia="Calibri"/>
        </w:rPr>
        <w:t xml:space="preserve">the ESC considered that odevixibat </w:t>
      </w:r>
      <w:r w:rsidR="0066767D">
        <w:rPr>
          <w:rFonts w:eastAsia="Calibri"/>
        </w:rPr>
        <w:t>may have</w:t>
      </w:r>
      <w:r w:rsidR="00530D99" w:rsidRPr="003006FE">
        <w:rPr>
          <w:rFonts w:eastAsia="Calibri"/>
        </w:rPr>
        <w:t xml:space="preserve"> comparable safety compared to SOC</w:t>
      </w:r>
      <w:r w:rsidR="004F634E" w:rsidRPr="003006FE">
        <w:rPr>
          <w:rFonts w:eastAsia="Calibri"/>
        </w:rPr>
        <w:t xml:space="preserve">. </w:t>
      </w:r>
    </w:p>
    <w:p w14:paraId="43E668DC" w14:textId="73F797BF" w:rsidR="00AC339C" w:rsidRPr="00B7763C" w:rsidRDefault="00AC339C" w:rsidP="00AC339C">
      <w:pPr>
        <w:widowControl w:val="0"/>
        <w:numPr>
          <w:ilvl w:val="1"/>
          <w:numId w:val="1"/>
        </w:numPr>
        <w:spacing w:after="120"/>
        <w:rPr>
          <w:rFonts w:asciiTheme="minorHAnsi" w:hAnsiTheme="minorHAnsi"/>
          <w:snapToGrid w:val="0"/>
          <w:szCs w:val="20"/>
        </w:rPr>
      </w:pPr>
      <w:bookmarkStart w:id="77" w:name="_Hlk76376200"/>
      <w:r w:rsidRPr="00B7763C">
        <w:rPr>
          <w:rFonts w:asciiTheme="minorHAnsi" w:hAnsiTheme="minorHAnsi"/>
          <w:snapToGrid w:val="0"/>
          <w:szCs w:val="20"/>
        </w:rPr>
        <w:t>The PBAC considered that the claim of non-inferior comparative safety was not adequately supported by the data</w:t>
      </w:r>
      <w:r w:rsidR="00B146C3">
        <w:rPr>
          <w:rFonts w:asciiTheme="minorHAnsi" w:hAnsiTheme="minorHAnsi"/>
          <w:snapToGrid w:val="0"/>
          <w:szCs w:val="20"/>
        </w:rPr>
        <w:t xml:space="preserve"> due to the lack of comparative data presented versus SOC</w:t>
      </w:r>
      <w:r w:rsidRPr="00B7763C">
        <w:rPr>
          <w:rFonts w:asciiTheme="minorHAnsi" w:hAnsiTheme="minorHAnsi"/>
          <w:snapToGrid w:val="0"/>
          <w:szCs w:val="20"/>
        </w:rPr>
        <w:t>.</w:t>
      </w:r>
      <w:r w:rsidR="00B146C3">
        <w:rPr>
          <w:rFonts w:asciiTheme="minorHAnsi" w:hAnsiTheme="minorHAnsi"/>
          <w:snapToGrid w:val="0"/>
          <w:szCs w:val="20"/>
        </w:rPr>
        <w:t xml:space="preserve"> The PBAC considered that a claim of comparable safety between odevixibat and SOC was reasonable.</w:t>
      </w:r>
      <w:r w:rsidR="00B7763C" w:rsidRPr="00B7763C">
        <w:rPr>
          <w:rFonts w:asciiTheme="minorHAnsi" w:hAnsiTheme="minorHAnsi"/>
          <w:snapToGrid w:val="0"/>
          <w:lang w:val="en-GB" w:eastAsia="en-US"/>
        </w:rPr>
        <w:t xml:space="preserve"> </w:t>
      </w:r>
    </w:p>
    <w:p w14:paraId="650DEA2F" w14:textId="77777777" w:rsidR="00E5561C" w:rsidRPr="00D33C2C" w:rsidRDefault="00E5561C" w:rsidP="00E5561C">
      <w:pPr>
        <w:pStyle w:val="4-SubsectionHeading"/>
      </w:pPr>
      <w:bookmarkStart w:id="78" w:name="_Toc22897645"/>
      <w:bookmarkStart w:id="79" w:name="_Toc22898857"/>
      <w:bookmarkStart w:id="80" w:name="_Toc166210659"/>
      <w:bookmarkEnd w:id="77"/>
      <w:r w:rsidRPr="00D33C2C">
        <w:lastRenderedPageBreak/>
        <w:t>Economic analysis</w:t>
      </w:r>
      <w:bookmarkEnd w:id="78"/>
      <w:bookmarkEnd w:id="79"/>
      <w:bookmarkEnd w:id="80"/>
      <w:r w:rsidRPr="00D33C2C">
        <w:t xml:space="preserve"> </w:t>
      </w:r>
    </w:p>
    <w:p w14:paraId="5078723D" w14:textId="73FCE822" w:rsidR="0004730A" w:rsidRPr="00446A51" w:rsidRDefault="004F634E" w:rsidP="00AA7659">
      <w:pPr>
        <w:pStyle w:val="3-BodyText"/>
        <w:rPr>
          <w:b/>
          <w:bCs/>
        </w:rPr>
      </w:pPr>
      <w:bookmarkStart w:id="81" w:name="_Ref164702723"/>
      <w:r w:rsidRPr="00446A51">
        <w:t>T</w:t>
      </w:r>
      <w:r w:rsidR="00E5561C" w:rsidRPr="00446A51">
        <w:t xml:space="preserve">here were a large number of discrepancies between what the submission claimed was used in the base case of the economic model </w:t>
      </w:r>
      <w:r w:rsidR="008E6381">
        <w:t xml:space="preserve">and what was actually used </w:t>
      </w:r>
      <w:r w:rsidR="00E5561C" w:rsidRPr="00446A51">
        <w:t xml:space="preserve">(both </w:t>
      </w:r>
      <w:r w:rsidR="00301784" w:rsidRPr="00446A51">
        <w:t xml:space="preserve">in terms of the </w:t>
      </w:r>
      <w:r w:rsidR="00E5561C" w:rsidRPr="00446A51">
        <w:t xml:space="preserve">values of inputs and the source of inputs). </w:t>
      </w:r>
      <w:r w:rsidR="003D2332" w:rsidRPr="00446A51">
        <w:t>The base case model used data from OvEC despite the submission claiming to have used data from PEDFIC 1, PEDFIC</w:t>
      </w:r>
      <w:r w:rsidR="00605771">
        <w:t> </w:t>
      </w:r>
      <w:r w:rsidR="003D2332" w:rsidRPr="00446A51">
        <w:t xml:space="preserve">2, </w:t>
      </w:r>
      <w:r w:rsidR="00CA6436" w:rsidRPr="00446A51">
        <w:t xml:space="preserve">and </w:t>
      </w:r>
      <w:r w:rsidR="003D2332" w:rsidRPr="00446A51">
        <w:t>NAPPED</w:t>
      </w:r>
      <w:r w:rsidR="00CA6436" w:rsidRPr="00446A51">
        <w:t xml:space="preserve"> individually </w:t>
      </w:r>
      <w:r w:rsidR="0004730A" w:rsidRPr="00446A51">
        <w:t>(see</w:t>
      </w:r>
      <w:r w:rsidR="00CA6436" w:rsidRPr="00446A51">
        <w:t xml:space="preserve"> paragraph </w:t>
      </w:r>
      <w:r w:rsidR="00CA6436" w:rsidRPr="00446A51">
        <w:fldChar w:fldCharType="begin"/>
      </w:r>
      <w:r w:rsidR="00CA6436" w:rsidRPr="00446A51">
        <w:instrText xml:space="preserve"> REF _Ref166870087 \r \h </w:instrText>
      </w:r>
      <w:r w:rsidR="00446A51">
        <w:instrText xml:space="preserve"> \* MERGEFORMAT </w:instrText>
      </w:r>
      <w:r w:rsidR="00CA6436" w:rsidRPr="00446A51">
        <w:fldChar w:fldCharType="separate"/>
      </w:r>
      <w:r w:rsidR="008B4717">
        <w:t>6.55</w:t>
      </w:r>
      <w:r w:rsidR="00CA6436" w:rsidRPr="00446A51">
        <w:fldChar w:fldCharType="end"/>
      </w:r>
      <w:r w:rsidR="00CA6436" w:rsidRPr="00446A51">
        <w:t xml:space="preserve"> and</w:t>
      </w:r>
      <w:r w:rsidR="0004730A" w:rsidRPr="00446A51">
        <w:t xml:space="preserve"> </w:t>
      </w:r>
      <w:r w:rsidR="0004730A" w:rsidRPr="00446A51">
        <w:fldChar w:fldCharType="begin"/>
      </w:r>
      <w:r w:rsidR="0004730A" w:rsidRPr="00446A51">
        <w:instrText xml:space="preserve"> REF _Ref164628236 \h </w:instrText>
      </w:r>
      <w:r w:rsidR="00AD3824" w:rsidRPr="00446A51">
        <w:instrText xml:space="preserve"> \* MERGEFORMAT </w:instrText>
      </w:r>
      <w:r w:rsidR="0004730A" w:rsidRPr="00446A51">
        <w:fldChar w:fldCharType="separate"/>
      </w:r>
      <w:r w:rsidR="008B4717" w:rsidRPr="00D33C2C">
        <w:t xml:space="preserve">Table </w:t>
      </w:r>
      <w:r w:rsidR="008B4717">
        <w:rPr>
          <w:noProof/>
        </w:rPr>
        <w:t>12</w:t>
      </w:r>
      <w:r w:rsidR="0004730A" w:rsidRPr="00446A51">
        <w:fldChar w:fldCharType="end"/>
      </w:r>
      <w:r w:rsidR="0004730A" w:rsidRPr="00446A51">
        <w:t>)</w:t>
      </w:r>
      <w:r w:rsidR="00E5561C" w:rsidRPr="00446A51">
        <w:t xml:space="preserve">. Most of the data used from OvEC could not be verified during the evaluation. As such, there was </w:t>
      </w:r>
      <w:r w:rsidR="00B143F7" w:rsidRPr="00446A51">
        <w:t>considerable</w:t>
      </w:r>
      <w:r w:rsidR="00E5561C" w:rsidRPr="00446A51">
        <w:t xml:space="preserve"> uncertainty associated with the </w:t>
      </w:r>
      <w:r w:rsidR="00B11B2B" w:rsidRPr="00446A51">
        <w:t xml:space="preserve">model </w:t>
      </w:r>
      <w:r w:rsidR="00E5561C" w:rsidRPr="00446A51">
        <w:t>base case.</w:t>
      </w:r>
      <w:bookmarkEnd w:id="81"/>
      <w:r w:rsidR="0004730A" w:rsidRPr="00446A51">
        <w:t xml:space="preserve"> </w:t>
      </w:r>
    </w:p>
    <w:p w14:paraId="4DA57C5D" w14:textId="447A23FE" w:rsidR="00E5561C" w:rsidRPr="00D33C2C" w:rsidRDefault="00CF1B9C" w:rsidP="00E5561C">
      <w:pPr>
        <w:pStyle w:val="3-BodyText"/>
        <w:rPr>
          <w:b/>
          <w:bCs/>
        </w:rPr>
      </w:pPr>
      <w:r w:rsidRPr="00D33C2C">
        <w:t>The submission presented a cost utility analysis (CUA)</w:t>
      </w:r>
      <w:r>
        <w:t xml:space="preserve">. </w:t>
      </w:r>
      <w:r w:rsidR="00E5561C" w:rsidRPr="00D33C2C">
        <w:t xml:space="preserve">The key components of the economic evaluation are presented in </w:t>
      </w:r>
      <w:r w:rsidR="00E5561C" w:rsidRPr="00D33C2C">
        <w:fldChar w:fldCharType="begin"/>
      </w:r>
      <w:r w:rsidR="00E5561C" w:rsidRPr="00D33C2C">
        <w:instrText xml:space="preserve"> REF _Ref164621341 \h  \* MERGEFORMAT </w:instrText>
      </w:r>
      <w:r w:rsidR="00E5561C" w:rsidRPr="00D33C2C">
        <w:fldChar w:fldCharType="separate"/>
      </w:r>
      <w:r w:rsidR="008B4717" w:rsidRPr="00D33C2C">
        <w:t xml:space="preserve">Table </w:t>
      </w:r>
      <w:r w:rsidR="008B4717">
        <w:rPr>
          <w:noProof/>
        </w:rPr>
        <w:t>11</w:t>
      </w:r>
      <w:r w:rsidR="00E5561C" w:rsidRPr="00D33C2C">
        <w:fldChar w:fldCharType="end"/>
      </w:r>
      <w:r w:rsidR="00E5561C" w:rsidRPr="00D33C2C">
        <w:t>.</w:t>
      </w:r>
    </w:p>
    <w:p w14:paraId="60A0DD91" w14:textId="0B3F2305" w:rsidR="00E5561C" w:rsidRPr="00D33C2C" w:rsidRDefault="00E5561C" w:rsidP="00DC6589">
      <w:pPr>
        <w:pStyle w:val="TableFigureHeading"/>
        <w:keepLines/>
        <w:rPr>
          <w:rStyle w:val="CommentReference"/>
          <w:b/>
          <w:szCs w:val="24"/>
        </w:rPr>
      </w:pPr>
      <w:bookmarkStart w:id="82" w:name="_Ref164621341"/>
      <w:r w:rsidRPr="00D33C2C">
        <w:t xml:space="preserve">Table </w:t>
      </w:r>
      <w:r w:rsidR="00DF1200">
        <w:fldChar w:fldCharType="begin"/>
      </w:r>
      <w:r w:rsidR="00DF1200">
        <w:instrText xml:space="preserve"> SEQ Table \* ARABIC </w:instrText>
      </w:r>
      <w:r w:rsidR="00DF1200">
        <w:fldChar w:fldCharType="separate"/>
      </w:r>
      <w:r w:rsidR="008B4717">
        <w:rPr>
          <w:noProof/>
        </w:rPr>
        <w:t>11</w:t>
      </w:r>
      <w:r w:rsidR="00DF1200">
        <w:rPr>
          <w:noProof/>
        </w:rPr>
        <w:fldChar w:fldCharType="end"/>
      </w:r>
      <w:bookmarkEnd w:id="82"/>
      <w:r w:rsidRPr="00D33C2C">
        <w:t xml:space="preserve">: </w:t>
      </w:r>
      <w:r w:rsidRPr="00D33C2C">
        <w:rPr>
          <w:rStyle w:val="CommentReference"/>
          <w:b/>
          <w:szCs w:val="24"/>
        </w:rPr>
        <w:t>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Caption w:val="Table 11: Summary of model structure, key inputs, and rationale"/>
      </w:tblPr>
      <w:tblGrid>
        <w:gridCol w:w="1414"/>
        <w:gridCol w:w="7603"/>
      </w:tblGrid>
      <w:tr w:rsidR="00E5561C" w:rsidRPr="00D12904" w14:paraId="0F2099A8" w14:textId="77777777" w:rsidTr="00DC6589">
        <w:trPr>
          <w:tblHeader/>
        </w:trPr>
        <w:tc>
          <w:tcPr>
            <w:tcW w:w="784" w:type="pct"/>
            <w:shd w:val="clear" w:color="auto" w:fill="auto"/>
            <w:vAlign w:val="center"/>
          </w:tcPr>
          <w:p w14:paraId="1660F618" w14:textId="77777777" w:rsidR="00E5561C" w:rsidRPr="00D12904" w:rsidRDefault="00E5561C" w:rsidP="00DC6589">
            <w:pPr>
              <w:pStyle w:val="In-tableHeading"/>
              <w:keepLines/>
              <w:rPr>
                <w:lang w:val="en-AU"/>
              </w:rPr>
            </w:pPr>
            <w:r w:rsidRPr="00D12904">
              <w:rPr>
                <w:lang w:val="en-AU"/>
              </w:rPr>
              <w:t>Component</w:t>
            </w:r>
          </w:p>
        </w:tc>
        <w:tc>
          <w:tcPr>
            <w:tcW w:w="4216" w:type="pct"/>
            <w:shd w:val="clear" w:color="auto" w:fill="auto"/>
            <w:vAlign w:val="center"/>
          </w:tcPr>
          <w:p w14:paraId="20CDB835" w14:textId="77777777" w:rsidR="00E5561C" w:rsidRPr="00D12904" w:rsidRDefault="00E5561C" w:rsidP="00DC6589">
            <w:pPr>
              <w:pStyle w:val="In-tableHeading"/>
              <w:keepLines/>
              <w:rPr>
                <w:lang w:val="en-AU"/>
              </w:rPr>
            </w:pPr>
            <w:r w:rsidRPr="00D12904">
              <w:rPr>
                <w:lang w:val="en-AU"/>
              </w:rPr>
              <w:t>Summary</w:t>
            </w:r>
          </w:p>
        </w:tc>
      </w:tr>
      <w:tr w:rsidR="00E5561C" w:rsidRPr="00D12904" w14:paraId="0E73B199" w14:textId="77777777" w:rsidTr="00DC6589">
        <w:tc>
          <w:tcPr>
            <w:tcW w:w="784" w:type="pct"/>
            <w:shd w:val="clear" w:color="auto" w:fill="auto"/>
            <w:vAlign w:val="center"/>
          </w:tcPr>
          <w:p w14:paraId="70B371AF" w14:textId="77777777" w:rsidR="00E5561C" w:rsidRPr="00D12904" w:rsidRDefault="00E5561C" w:rsidP="00DC6589">
            <w:pPr>
              <w:pStyle w:val="TableText0"/>
              <w:keepLines/>
            </w:pPr>
            <w:r w:rsidRPr="00D12904">
              <w:t>Treatments</w:t>
            </w:r>
          </w:p>
        </w:tc>
        <w:tc>
          <w:tcPr>
            <w:tcW w:w="4216" w:type="pct"/>
            <w:shd w:val="clear" w:color="auto" w:fill="auto"/>
            <w:vAlign w:val="center"/>
          </w:tcPr>
          <w:p w14:paraId="2F1D347F" w14:textId="77777777" w:rsidR="00E5561C" w:rsidRPr="00D12904" w:rsidRDefault="00E5561C" w:rsidP="00DC6589">
            <w:pPr>
              <w:pStyle w:val="TableText0"/>
              <w:keepLines/>
            </w:pPr>
            <w:r w:rsidRPr="00D12904">
              <w:t xml:space="preserve">Odevixibat vs SOC </w:t>
            </w:r>
          </w:p>
        </w:tc>
      </w:tr>
      <w:tr w:rsidR="00E5561C" w:rsidRPr="00D12904" w14:paraId="75143254" w14:textId="77777777" w:rsidTr="00DC6589">
        <w:tc>
          <w:tcPr>
            <w:tcW w:w="784" w:type="pct"/>
            <w:shd w:val="clear" w:color="auto" w:fill="auto"/>
            <w:vAlign w:val="center"/>
          </w:tcPr>
          <w:p w14:paraId="0770FCAC" w14:textId="77777777" w:rsidR="00E5561C" w:rsidRPr="00D12904" w:rsidRDefault="00E5561C" w:rsidP="00DC6589">
            <w:pPr>
              <w:pStyle w:val="TableText0"/>
              <w:keepLines/>
            </w:pPr>
            <w:r w:rsidRPr="00D12904">
              <w:t>Time horizon</w:t>
            </w:r>
          </w:p>
        </w:tc>
        <w:tc>
          <w:tcPr>
            <w:tcW w:w="4216" w:type="pct"/>
            <w:shd w:val="clear" w:color="auto" w:fill="auto"/>
            <w:vAlign w:val="center"/>
          </w:tcPr>
          <w:p w14:paraId="149A0DE8" w14:textId="487A8E05" w:rsidR="00E5561C" w:rsidRPr="00D12904" w:rsidRDefault="00E5561C" w:rsidP="00DC6589">
            <w:pPr>
              <w:pStyle w:val="TableText0"/>
              <w:keepLines/>
            </w:pPr>
            <w:r w:rsidRPr="00D12904">
              <w:t xml:space="preserve">Lifetime time horizon up to 100 years vs </w:t>
            </w:r>
            <w:r w:rsidR="002B4BD9" w:rsidRPr="00D12904">
              <w:t>24-week</w:t>
            </w:r>
            <w:r w:rsidRPr="00D12904">
              <w:t xml:space="preserve"> trial period in PEDFIC 1</w:t>
            </w:r>
            <w:r w:rsidR="00530D99" w:rsidRPr="00D12904">
              <w:t xml:space="preserve">. The ESC considered that a </w:t>
            </w:r>
            <w:r w:rsidR="00F07922" w:rsidRPr="00D12904">
              <w:t>100-year</w:t>
            </w:r>
            <w:r w:rsidR="00530D99" w:rsidRPr="00D12904">
              <w:t xml:space="preserve"> time horizon was too long</w:t>
            </w:r>
            <w:r w:rsidR="008E6381" w:rsidRPr="00D12904">
              <w:t xml:space="preserve">, </w:t>
            </w:r>
            <w:r w:rsidR="00530D99" w:rsidRPr="00D12904">
              <w:t>question</w:t>
            </w:r>
            <w:r w:rsidR="008E6381" w:rsidRPr="00D12904">
              <w:t>ing</w:t>
            </w:r>
            <w:r w:rsidR="00530D99" w:rsidRPr="00D12904">
              <w:t xml:space="preserve"> whether the clinical effects of odevixibat observed in the 24-week PEDFIC 1 trial would be maintained for the model horizon.</w:t>
            </w:r>
          </w:p>
        </w:tc>
      </w:tr>
      <w:tr w:rsidR="00E5561C" w:rsidRPr="00D12904" w14:paraId="72D53384" w14:textId="77777777" w:rsidTr="00DC6589">
        <w:tc>
          <w:tcPr>
            <w:tcW w:w="784" w:type="pct"/>
            <w:shd w:val="clear" w:color="auto" w:fill="auto"/>
            <w:vAlign w:val="center"/>
          </w:tcPr>
          <w:p w14:paraId="22DBB16F" w14:textId="77777777" w:rsidR="00E5561C" w:rsidRPr="00D12904" w:rsidRDefault="00E5561C" w:rsidP="00DC6589">
            <w:pPr>
              <w:pStyle w:val="TableText0"/>
              <w:keepLines/>
            </w:pPr>
            <w:r w:rsidRPr="00D12904">
              <w:t>Outcomes</w:t>
            </w:r>
          </w:p>
        </w:tc>
        <w:tc>
          <w:tcPr>
            <w:tcW w:w="4216" w:type="pct"/>
            <w:shd w:val="clear" w:color="auto" w:fill="auto"/>
            <w:vAlign w:val="center"/>
          </w:tcPr>
          <w:p w14:paraId="6132BEF9" w14:textId="6F8737CE" w:rsidR="00E5561C" w:rsidRPr="00D12904" w:rsidRDefault="002B4BD9" w:rsidP="00DC6589">
            <w:pPr>
              <w:pStyle w:val="TableText0"/>
              <w:keepLines/>
            </w:pPr>
            <w:r w:rsidRPr="00D12904">
              <w:t xml:space="preserve">QALYs and LYG </w:t>
            </w:r>
          </w:p>
        </w:tc>
      </w:tr>
      <w:tr w:rsidR="00E5561C" w:rsidRPr="00D12904" w14:paraId="0E8AE5C1" w14:textId="77777777" w:rsidTr="00DC6589">
        <w:tc>
          <w:tcPr>
            <w:tcW w:w="784" w:type="pct"/>
            <w:shd w:val="clear" w:color="auto" w:fill="auto"/>
            <w:vAlign w:val="center"/>
          </w:tcPr>
          <w:p w14:paraId="78263FB8" w14:textId="77777777" w:rsidR="00E5561C" w:rsidRPr="00D12904" w:rsidRDefault="00E5561C" w:rsidP="00DC6589">
            <w:pPr>
              <w:pStyle w:val="TableText0"/>
              <w:keepLines/>
            </w:pPr>
            <w:r w:rsidRPr="00D12904">
              <w:t>Methods used to generate results</w:t>
            </w:r>
          </w:p>
        </w:tc>
        <w:tc>
          <w:tcPr>
            <w:tcW w:w="4216" w:type="pct"/>
            <w:shd w:val="clear" w:color="auto" w:fill="auto"/>
            <w:vAlign w:val="center"/>
          </w:tcPr>
          <w:p w14:paraId="6E675DEB" w14:textId="77777777" w:rsidR="00E5561C" w:rsidRPr="00D12904" w:rsidRDefault="00E5561C" w:rsidP="00DC6589">
            <w:pPr>
              <w:pStyle w:val="TableText0"/>
              <w:keepLines/>
            </w:pPr>
            <w:r w:rsidRPr="00D12904">
              <w:t>Markov state transition model</w:t>
            </w:r>
          </w:p>
        </w:tc>
      </w:tr>
      <w:tr w:rsidR="00E5561C" w:rsidRPr="00D12904" w14:paraId="6EA17619" w14:textId="77777777" w:rsidTr="00DC6589">
        <w:tc>
          <w:tcPr>
            <w:tcW w:w="784" w:type="pct"/>
            <w:shd w:val="clear" w:color="auto" w:fill="auto"/>
            <w:vAlign w:val="center"/>
          </w:tcPr>
          <w:p w14:paraId="019CC774" w14:textId="77777777" w:rsidR="00E5561C" w:rsidRPr="00D12904" w:rsidRDefault="00E5561C" w:rsidP="00DC6589">
            <w:pPr>
              <w:pStyle w:val="TableText0"/>
              <w:keepLines/>
            </w:pPr>
            <w:r w:rsidRPr="00D12904">
              <w:t>Health states</w:t>
            </w:r>
          </w:p>
        </w:tc>
        <w:tc>
          <w:tcPr>
            <w:tcW w:w="4216" w:type="pct"/>
            <w:shd w:val="clear" w:color="auto" w:fill="auto"/>
            <w:vAlign w:val="center"/>
          </w:tcPr>
          <w:p w14:paraId="769C524D" w14:textId="77777777" w:rsidR="00E5561C" w:rsidRPr="00D12904" w:rsidRDefault="00E5561C" w:rsidP="00DC6589">
            <w:pPr>
              <w:pStyle w:val="TableText0"/>
              <w:keepLines/>
            </w:pPr>
            <w:r w:rsidRPr="00D12904">
              <w:t xml:space="preserve">Response to treatment was defined as ‘pruritus response with or without sBA response’. </w:t>
            </w:r>
          </w:p>
          <w:p w14:paraId="660E57C5" w14:textId="77777777" w:rsidR="00E5561C" w:rsidRPr="00D12904" w:rsidRDefault="00E5561C" w:rsidP="00DC6589">
            <w:pPr>
              <w:pStyle w:val="TableText0"/>
              <w:keepLines/>
            </w:pPr>
            <w:r w:rsidRPr="00D12904">
              <w:t>7 heath states capture disease progression:</w:t>
            </w:r>
          </w:p>
          <w:p w14:paraId="4F4A196D" w14:textId="77777777" w:rsidR="00E5561C" w:rsidRPr="00D12904" w:rsidRDefault="00E5561C" w:rsidP="00DC6589">
            <w:pPr>
              <w:pStyle w:val="TableText0"/>
              <w:keepLines/>
              <w:numPr>
                <w:ilvl w:val="0"/>
                <w:numId w:val="6"/>
              </w:numPr>
              <w:ind w:left="360"/>
            </w:pPr>
            <w:r w:rsidRPr="00D12904">
              <w:t>‘No PEBD, response’ – response to odevixibat or SOC</w:t>
            </w:r>
          </w:p>
          <w:p w14:paraId="68BE43E9" w14:textId="77777777" w:rsidR="00E5561C" w:rsidRPr="00D12904" w:rsidRDefault="00E5561C" w:rsidP="00DC6589">
            <w:pPr>
              <w:pStyle w:val="TableText0"/>
              <w:keepLines/>
              <w:numPr>
                <w:ilvl w:val="0"/>
                <w:numId w:val="6"/>
              </w:numPr>
              <w:ind w:left="360"/>
            </w:pPr>
            <w:r w:rsidRPr="00D12904">
              <w:t xml:space="preserve">‘No PEBD, no response’ – loss of response or no response to odevixibat or SOC </w:t>
            </w:r>
          </w:p>
          <w:p w14:paraId="66402F43" w14:textId="77777777" w:rsidR="00E5561C" w:rsidRPr="00D12904" w:rsidRDefault="00E5561C" w:rsidP="00DC6589">
            <w:pPr>
              <w:pStyle w:val="TableText0"/>
              <w:keepLines/>
              <w:numPr>
                <w:ilvl w:val="0"/>
                <w:numId w:val="6"/>
              </w:numPr>
              <w:ind w:left="360"/>
            </w:pPr>
            <w:r w:rsidRPr="00D12904">
              <w:t>‘PEBD, response’ – achieving response after PEBD</w:t>
            </w:r>
          </w:p>
          <w:p w14:paraId="47621394" w14:textId="77777777" w:rsidR="00E5561C" w:rsidRPr="00D12904" w:rsidRDefault="00E5561C" w:rsidP="00DC6589">
            <w:pPr>
              <w:pStyle w:val="TableText0"/>
              <w:keepLines/>
              <w:numPr>
                <w:ilvl w:val="0"/>
                <w:numId w:val="6"/>
              </w:numPr>
              <w:ind w:left="360"/>
            </w:pPr>
            <w:r w:rsidRPr="00D12904">
              <w:t xml:space="preserve">‘PEBD, no response' – loss of response or no response after PEBD </w:t>
            </w:r>
          </w:p>
          <w:p w14:paraId="1895E05F" w14:textId="570719AD" w:rsidR="00E5561C" w:rsidRPr="00D12904" w:rsidRDefault="00E5561C" w:rsidP="00DC6589">
            <w:pPr>
              <w:pStyle w:val="TableText0"/>
              <w:keepLines/>
              <w:numPr>
                <w:ilvl w:val="0"/>
                <w:numId w:val="6"/>
              </w:numPr>
              <w:ind w:left="360"/>
            </w:pPr>
            <w:r w:rsidRPr="00D12904">
              <w:t>LT</w:t>
            </w:r>
          </w:p>
          <w:p w14:paraId="48CD5A8D" w14:textId="77777777" w:rsidR="00E5561C" w:rsidRPr="00D12904" w:rsidRDefault="00E5561C" w:rsidP="00DC6589">
            <w:pPr>
              <w:pStyle w:val="TableText0"/>
              <w:keepLines/>
              <w:numPr>
                <w:ilvl w:val="0"/>
                <w:numId w:val="6"/>
              </w:numPr>
              <w:ind w:left="360"/>
            </w:pPr>
            <w:r w:rsidRPr="00D12904">
              <w:t>Post-LT</w:t>
            </w:r>
          </w:p>
          <w:p w14:paraId="0917BC5A" w14:textId="77777777" w:rsidR="00E5561C" w:rsidRPr="00D12904" w:rsidRDefault="00E5561C" w:rsidP="00DC6589">
            <w:pPr>
              <w:pStyle w:val="TableText0"/>
              <w:keepLines/>
              <w:numPr>
                <w:ilvl w:val="0"/>
                <w:numId w:val="6"/>
              </w:numPr>
              <w:ind w:left="360"/>
            </w:pPr>
            <w:r w:rsidRPr="00D12904">
              <w:t>Death</w:t>
            </w:r>
          </w:p>
        </w:tc>
      </w:tr>
      <w:tr w:rsidR="00E5561C" w:rsidRPr="00D12904" w14:paraId="057887E9" w14:textId="77777777" w:rsidTr="00DC6589">
        <w:tc>
          <w:tcPr>
            <w:tcW w:w="784" w:type="pct"/>
            <w:shd w:val="clear" w:color="auto" w:fill="auto"/>
            <w:vAlign w:val="center"/>
          </w:tcPr>
          <w:p w14:paraId="433CA022" w14:textId="77777777" w:rsidR="00E5561C" w:rsidRPr="00D12904" w:rsidRDefault="00E5561C" w:rsidP="00DC6589">
            <w:pPr>
              <w:pStyle w:val="TableText0"/>
              <w:keepNext w:val="0"/>
            </w:pPr>
            <w:r w:rsidRPr="00D12904">
              <w:t>Cycle length</w:t>
            </w:r>
          </w:p>
        </w:tc>
        <w:tc>
          <w:tcPr>
            <w:tcW w:w="4216" w:type="pct"/>
            <w:shd w:val="clear" w:color="auto" w:fill="auto"/>
            <w:vAlign w:val="center"/>
          </w:tcPr>
          <w:p w14:paraId="07D8065B" w14:textId="77777777" w:rsidR="00E5561C" w:rsidRPr="00D12904" w:rsidRDefault="00E5561C" w:rsidP="00DC6589">
            <w:pPr>
              <w:pStyle w:val="TableText0"/>
              <w:keepNext w:val="0"/>
            </w:pPr>
            <w:r w:rsidRPr="00D12904">
              <w:t>1 year</w:t>
            </w:r>
          </w:p>
        </w:tc>
      </w:tr>
      <w:tr w:rsidR="00E5561C" w:rsidRPr="00D12904" w14:paraId="5817C5CD" w14:textId="77777777" w:rsidTr="00DC6589">
        <w:tc>
          <w:tcPr>
            <w:tcW w:w="784" w:type="pct"/>
            <w:shd w:val="clear" w:color="auto" w:fill="auto"/>
            <w:vAlign w:val="center"/>
          </w:tcPr>
          <w:p w14:paraId="0CE55E86" w14:textId="5B36555F" w:rsidR="00E5561C" w:rsidRPr="00D12904" w:rsidRDefault="00E5561C" w:rsidP="00DC6589">
            <w:pPr>
              <w:pStyle w:val="TableText0"/>
              <w:keepNext w:val="0"/>
            </w:pPr>
            <w:r w:rsidRPr="00D12904">
              <w:t>Transition probabilities</w:t>
            </w:r>
          </w:p>
        </w:tc>
        <w:tc>
          <w:tcPr>
            <w:tcW w:w="4216" w:type="pct"/>
            <w:shd w:val="clear" w:color="auto" w:fill="auto"/>
            <w:vAlign w:val="center"/>
          </w:tcPr>
          <w:p w14:paraId="6CF73CE4" w14:textId="45C516D9" w:rsidR="00E5561C" w:rsidRPr="00D12904" w:rsidRDefault="00E5561C" w:rsidP="00DC6589">
            <w:pPr>
              <w:pStyle w:val="TableText0"/>
              <w:keepNext w:val="0"/>
            </w:pPr>
            <w:r w:rsidRPr="00D12904">
              <w:t xml:space="preserve">The model was primarily informed by OvEC despite the submission claiming to have used PEDFIC and NAPPED data. A comparison of what the submission claimed and what the model used is presented in </w:t>
            </w:r>
            <w:r w:rsidRPr="00D12904">
              <w:fldChar w:fldCharType="begin"/>
            </w:r>
            <w:r w:rsidRPr="00D12904">
              <w:instrText xml:space="preserve"> REF _Ref164628236 \h </w:instrText>
            </w:r>
            <w:r w:rsidR="00D12904" w:rsidRPr="00D12904">
              <w:instrText xml:space="preserve"> \* MERGEFORMAT </w:instrText>
            </w:r>
            <w:r w:rsidRPr="00D12904">
              <w:fldChar w:fldCharType="separate"/>
            </w:r>
            <w:r w:rsidR="008B4717" w:rsidRPr="00D33C2C">
              <w:t xml:space="preserve">Table </w:t>
            </w:r>
            <w:r w:rsidR="008B4717">
              <w:rPr>
                <w:noProof/>
              </w:rPr>
              <w:t>12</w:t>
            </w:r>
            <w:r w:rsidRPr="00D12904">
              <w:fldChar w:fldCharType="end"/>
            </w:r>
            <w:r w:rsidRPr="00D12904">
              <w:t xml:space="preserve">.  The transition probability </w:t>
            </w:r>
            <w:r w:rsidR="009B0E22" w:rsidRPr="00D12904">
              <w:t xml:space="preserve">inputs and </w:t>
            </w:r>
            <w:r w:rsidRPr="00D12904">
              <w:t xml:space="preserve">sources below describe what the base case </w:t>
            </w:r>
            <w:r w:rsidR="00CF1B9C" w:rsidRPr="00D12904">
              <w:t xml:space="preserve">model </w:t>
            </w:r>
            <w:r w:rsidRPr="00D12904">
              <w:t>used (OvEC)</w:t>
            </w:r>
            <w:r w:rsidR="009B0E22" w:rsidRPr="00D12904">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8"/>
              <w:gridCol w:w="2061"/>
              <w:gridCol w:w="5000"/>
            </w:tblGrid>
            <w:tr w:rsidR="00E5561C" w:rsidRPr="00D12904" w14:paraId="00B20B32" w14:textId="77777777" w:rsidTr="00D97F5D">
              <w:trPr>
                <w:trHeight w:val="20"/>
              </w:trPr>
              <w:tc>
                <w:tcPr>
                  <w:tcW w:w="421" w:type="dxa"/>
                  <w:vAlign w:val="center"/>
                </w:tcPr>
                <w:p w14:paraId="63E7DA68" w14:textId="77777777" w:rsidR="00E5561C" w:rsidRPr="00D12904" w:rsidRDefault="00E5561C" w:rsidP="00DC6589">
                  <w:pPr>
                    <w:pStyle w:val="Tabletext"/>
                    <w:rPr>
                      <w:rStyle w:val="ReporttextChar"/>
                      <w:rFonts w:ascii="Arial Narrow" w:hAnsi="Arial Narrow" w:cstheme="minorHAnsi"/>
                      <w:b/>
                      <w:sz w:val="20"/>
                      <w:szCs w:val="20"/>
                      <w:lang w:val="en-AU"/>
                    </w:rPr>
                  </w:pPr>
                  <w:r w:rsidRPr="00D12904">
                    <w:rPr>
                      <w:rStyle w:val="ReporttextChar"/>
                      <w:rFonts w:ascii="Arial Narrow" w:hAnsi="Arial Narrow" w:cstheme="minorHAnsi"/>
                      <w:b/>
                      <w:sz w:val="20"/>
                      <w:szCs w:val="20"/>
                      <w:lang w:val="en-AU"/>
                    </w:rPr>
                    <w:t>No.</w:t>
                  </w:r>
                </w:p>
              </w:tc>
              <w:tc>
                <w:tcPr>
                  <w:tcW w:w="2077" w:type="dxa"/>
                  <w:vAlign w:val="center"/>
                </w:tcPr>
                <w:p w14:paraId="50B2B10E" w14:textId="77777777" w:rsidR="00E5561C" w:rsidRPr="00D12904" w:rsidRDefault="00E5561C" w:rsidP="00DC6589">
                  <w:pPr>
                    <w:pStyle w:val="Tabletext"/>
                    <w:rPr>
                      <w:rStyle w:val="ReporttextChar"/>
                      <w:rFonts w:ascii="Arial Narrow" w:hAnsi="Arial Narrow" w:cstheme="minorHAnsi"/>
                      <w:b/>
                      <w:sz w:val="20"/>
                      <w:szCs w:val="20"/>
                      <w:lang w:val="en-AU"/>
                    </w:rPr>
                  </w:pPr>
                  <w:r w:rsidRPr="00D12904">
                    <w:rPr>
                      <w:rStyle w:val="ReporttextChar"/>
                      <w:rFonts w:ascii="Arial Narrow" w:hAnsi="Arial Narrow" w:cstheme="minorHAnsi"/>
                      <w:b/>
                      <w:sz w:val="20"/>
                      <w:szCs w:val="20"/>
                      <w:lang w:val="en-AU"/>
                    </w:rPr>
                    <w:t>Transition</w:t>
                  </w:r>
                </w:p>
              </w:tc>
              <w:tc>
                <w:tcPr>
                  <w:tcW w:w="5039" w:type="dxa"/>
                  <w:vAlign w:val="center"/>
                </w:tcPr>
                <w:p w14:paraId="723F47CA" w14:textId="77777777" w:rsidR="00E5561C" w:rsidRPr="00D12904" w:rsidRDefault="00E5561C" w:rsidP="00DC6589">
                  <w:pPr>
                    <w:pStyle w:val="Tabletext"/>
                    <w:rPr>
                      <w:rStyle w:val="ReporttextChar"/>
                      <w:rFonts w:ascii="Arial Narrow" w:hAnsi="Arial Narrow" w:cs="Times New Roman"/>
                      <w:b/>
                      <w:bCs/>
                      <w:sz w:val="20"/>
                      <w:szCs w:val="20"/>
                      <w:lang w:val="en-AU" w:eastAsia="en-AU"/>
                      <w14:ligatures w14:val="none"/>
                    </w:rPr>
                  </w:pPr>
                  <w:r w:rsidRPr="00D12904">
                    <w:rPr>
                      <w:rStyle w:val="ReporttextChar"/>
                      <w:rFonts w:ascii="Arial Narrow" w:hAnsi="Arial Narrow" w:cstheme="minorHAnsi"/>
                      <w:b/>
                      <w:sz w:val="20"/>
                      <w:szCs w:val="20"/>
                      <w:lang w:val="en-AU"/>
                    </w:rPr>
                    <w:t>Source used in model</w:t>
                  </w:r>
                </w:p>
              </w:tc>
            </w:tr>
            <w:tr w:rsidR="00E5561C" w:rsidRPr="00D12904" w14:paraId="344AC740" w14:textId="77777777" w:rsidTr="00D97F5D">
              <w:trPr>
                <w:trHeight w:val="20"/>
              </w:trPr>
              <w:tc>
                <w:tcPr>
                  <w:tcW w:w="421" w:type="dxa"/>
                  <w:vAlign w:val="center"/>
                </w:tcPr>
                <w:p w14:paraId="4964258D" w14:textId="77777777" w:rsidR="00E5561C" w:rsidRPr="00D12904" w:rsidRDefault="00E5561C" w:rsidP="00DC6589">
                  <w:pPr>
                    <w:pStyle w:val="Tabletext"/>
                    <w:rPr>
                      <w:rStyle w:val="ReporttextChar"/>
                      <w:rFonts w:ascii="Arial Narrow" w:hAnsi="Arial Narrow" w:cstheme="minorHAnsi"/>
                      <w:bCs/>
                      <w:sz w:val="20"/>
                      <w:szCs w:val="20"/>
                      <w:lang w:val="en-AU"/>
                    </w:rPr>
                  </w:pPr>
                  <w:r w:rsidRPr="00D12904">
                    <w:rPr>
                      <w:rStyle w:val="ReporttextChar"/>
                      <w:rFonts w:ascii="Arial Narrow" w:hAnsi="Arial Narrow" w:cstheme="minorHAnsi"/>
                      <w:bCs/>
                      <w:sz w:val="20"/>
                      <w:szCs w:val="20"/>
                      <w:lang w:val="en-AU"/>
                    </w:rPr>
                    <w:t>0</w:t>
                  </w:r>
                </w:p>
              </w:tc>
              <w:tc>
                <w:tcPr>
                  <w:tcW w:w="2077" w:type="dxa"/>
                  <w:vAlign w:val="center"/>
                </w:tcPr>
                <w:p w14:paraId="22016865" w14:textId="77777777" w:rsidR="00E5561C" w:rsidRPr="00D12904" w:rsidRDefault="00E5561C" w:rsidP="00DC6589">
                  <w:pPr>
                    <w:pStyle w:val="Tabletext"/>
                    <w:rPr>
                      <w:rStyle w:val="ReporttextChar"/>
                      <w:rFonts w:ascii="Arial Narrow" w:hAnsi="Arial Narrow" w:cstheme="minorHAnsi"/>
                      <w:bCs/>
                      <w:sz w:val="20"/>
                      <w:szCs w:val="20"/>
                      <w:lang w:val="en-AU"/>
                    </w:rPr>
                  </w:pPr>
                  <w:r w:rsidRPr="00D12904">
                    <w:rPr>
                      <w:szCs w:val="20"/>
                    </w:rPr>
                    <w:t>No PEBD, response</w:t>
                  </w:r>
                </w:p>
              </w:tc>
              <w:tc>
                <w:tcPr>
                  <w:tcW w:w="5039" w:type="dxa"/>
                  <w:vAlign w:val="center"/>
                </w:tcPr>
                <w:p w14:paraId="2B0EA549" w14:textId="77777777" w:rsidR="00E5561C" w:rsidRPr="00D12904" w:rsidRDefault="00E5561C" w:rsidP="00DC6589">
                  <w:pPr>
                    <w:pStyle w:val="Tabletext"/>
                    <w:rPr>
                      <w:rStyle w:val="ReporttextChar"/>
                      <w:rFonts w:ascii="Arial Narrow" w:hAnsi="Arial Narrow" w:cstheme="minorHAnsi"/>
                      <w:bCs/>
                      <w:sz w:val="20"/>
                      <w:szCs w:val="20"/>
                      <w:vertAlign w:val="superscript"/>
                      <w:lang w:val="en-AU"/>
                    </w:rPr>
                  </w:pPr>
                  <w:r w:rsidRPr="00D12904">
                    <w:rPr>
                      <w:rStyle w:val="ReporttextChar"/>
                      <w:rFonts w:ascii="Arial Narrow" w:hAnsi="Arial Narrow" w:cstheme="minorHAnsi"/>
                      <w:bCs/>
                      <w:sz w:val="20"/>
                      <w:szCs w:val="20"/>
                      <w:lang w:val="en-AU"/>
                    </w:rPr>
                    <w:t xml:space="preserve">Odevixibat response based on OvEC ‘doses combined’ which was from internal data from the Sponsor (62.28%) </w:t>
                  </w:r>
                  <w:r w:rsidRPr="00D12904">
                    <w:rPr>
                      <w:rStyle w:val="ReporttextChar"/>
                      <w:rFonts w:ascii="Arial Narrow" w:hAnsi="Arial Narrow" w:cstheme="minorHAnsi"/>
                      <w:bCs/>
                      <w:sz w:val="20"/>
                      <w:szCs w:val="20"/>
                      <w:vertAlign w:val="superscript"/>
                      <w:lang w:val="en-AU"/>
                    </w:rPr>
                    <w:t>a</w:t>
                  </w:r>
                </w:p>
                <w:p w14:paraId="6BE7BD01" w14:textId="77777777" w:rsidR="00E5561C" w:rsidRPr="00D12904" w:rsidRDefault="00E5561C" w:rsidP="00DC6589">
                  <w:pPr>
                    <w:pStyle w:val="Tabletext"/>
                    <w:rPr>
                      <w:rStyle w:val="ReporttextChar"/>
                      <w:rFonts w:ascii="Arial Narrow" w:hAnsi="Arial Narrow" w:cstheme="minorHAnsi"/>
                      <w:bCs/>
                      <w:sz w:val="20"/>
                      <w:szCs w:val="20"/>
                      <w:lang w:val="en-AU"/>
                    </w:rPr>
                  </w:pPr>
                  <w:r w:rsidRPr="00D12904">
                    <w:rPr>
                      <w:rStyle w:val="ReporttextChar"/>
                      <w:rFonts w:ascii="Arial Narrow" w:hAnsi="Arial Narrow" w:cstheme="minorHAnsi"/>
                      <w:bCs/>
                      <w:sz w:val="20"/>
                      <w:szCs w:val="20"/>
                      <w:lang w:val="en-AU"/>
                    </w:rPr>
                    <w:t>SOC response was assumed to be 0%.</w:t>
                  </w:r>
                </w:p>
              </w:tc>
            </w:tr>
            <w:tr w:rsidR="00E5561C" w:rsidRPr="00D12904" w14:paraId="3843A318" w14:textId="77777777" w:rsidTr="00D97F5D">
              <w:trPr>
                <w:trHeight w:val="20"/>
              </w:trPr>
              <w:tc>
                <w:tcPr>
                  <w:tcW w:w="421" w:type="dxa"/>
                  <w:vAlign w:val="center"/>
                </w:tcPr>
                <w:p w14:paraId="33CAADB4" w14:textId="77777777" w:rsidR="00E5561C" w:rsidRPr="00D12904" w:rsidRDefault="00E5561C" w:rsidP="00DC6589">
                  <w:pPr>
                    <w:pStyle w:val="Tabletext"/>
                    <w:rPr>
                      <w:szCs w:val="20"/>
                    </w:rPr>
                  </w:pPr>
                  <w:r w:rsidRPr="00D12904">
                    <w:rPr>
                      <w:rStyle w:val="ReporttextChar"/>
                      <w:rFonts w:ascii="Arial Narrow" w:hAnsi="Arial Narrow" w:cstheme="minorHAnsi"/>
                      <w:sz w:val="20"/>
                      <w:szCs w:val="20"/>
                      <w:lang w:val="en-AU"/>
                    </w:rPr>
                    <w:t>1</w:t>
                  </w:r>
                </w:p>
              </w:tc>
              <w:tc>
                <w:tcPr>
                  <w:tcW w:w="2077" w:type="dxa"/>
                  <w:vAlign w:val="center"/>
                </w:tcPr>
                <w:p w14:paraId="0176A8DD" w14:textId="77777777" w:rsidR="00E5561C" w:rsidRPr="00D12904" w:rsidRDefault="00E5561C" w:rsidP="00DC6589">
                  <w:pPr>
                    <w:pStyle w:val="Tabletext"/>
                    <w:rPr>
                      <w:szCs w:val="20"/>
                    </w:rPr>
                  </w:pPr>
                  <w:r w:rsidRPr="00D12904">
                    <w:rPr>
                      <w:szCs w:val="20"/>
                    </w:rPr>
                    <w:t>No PEBD, no response (or loss of response)</w:t>
                  </w:r>
                </w:p>
              </w:tc>
              <w:tc>
                <w:tcPr>
                  <w:tcW w:w="5039" w:type="dxa"/>
                  <w:vAlign w:val="center"/>
                </w:tcPr>
                <w:p w14:paraId="5DCDB91E" w14:textId="499C061C" w:rsidR="00E5561C" w:rsidRPr="00D12904" w:rsidRDefault="00E5561C" w:rsidP="00DC6589">
                  <w:pPr>
                    <w:pStyle w:val="Tabletext"/>
                  </w:pPr>
                  <w:r w:rsidRPr="00D12904">
                    <w:rPr>
                      <w:szCs w:val="20"/>
                    </w:rPr>
                    <w:t>O</w:t>
                  </w:r>
                  <w:r w:rsidRPr="00D12904">
                    <w:t>devixibat annual discontinuation was based on PEDFIC 2 (3.53%)</w:t>
                  </w:r>
                  <w:r w:rsidR="007077B0" w:rsidRPr="00D12904">
                    <w:t xml:space="preserve">; </w:t>
                  </w:r>
                  <w:r w:rsidRPr="00D12904">
                    <w:t xml:space="preserve">SOC discontinuation was assumed to be 0%.  </w:t>
                  </w:r>
                </w:p>
              </w:tc>
            </w:tr>
            <w:tr w:rsidR="00E5561C" w:rsidRPr="00D12904" w14:paraId="6CB1D529" w14:textId="77777777" w:rsidTr="00D97F5D">
              <w:trPr>
                <w:trHeight w:val="20"/>
              </w:trPr>
              <w:tc>
                <w:tcPr>
                  <w:tcW w:w="421" w:type="dxa"/>
                  <w:vAlign w:val="center"/>
                </w:tcPr>
                <w:p w14:paraId="15D4987A" w14:textId="77777777" w:rsidR="00E5561C" w:rsidRPr="00D12904" w:rsidRDefault="00E5561C" w:rsidP="00DC6589">
                  <w:pPr>
                    <w:pStyle w:val="Tabletext"/>
                    <w:rPr>
                      <w:szCs w:val="20"/>
                    </w:rPr>
                  </w:pPr>
                  <w:r w:rsidRPr="00D12904">
                    <w:rPr>
                      <w:rStyle w:val="ReporttextChar"/>
                      <w:rFonts w:ascii="Arial Narrow" w:hAnsi="Arial Narrow" w:cstheme="minorHAnsi"/>
                      <w:sz w:val="20"/>
                      <w:szCs w:val="20"/>
                      <w:lang w:val="en-AU"/>
                    </w:rPr>
                    <w:t>2</w:t>
                  </w:r>
                </w:p>
              </w:tc>
              <w:tc>
                <w:tcPr>
                  <w:tcW w:w="2077" w:type="dxa"/>
                  <w:vAlign w:val="center"/>
                </w:tcPr>
                <w:p w14:paraId="17EA421C" w14:textId="77777777" w:rsidR="00E5561C" w:rsidRPr="00D12904" w:rsidRDefault="00E5561C" w:rsidP="00DC6589">
                  <w:pPr>
                    <w:pStyle w:val="Tabletext"/>
                    <w:rPr>
                      <w:szCs w:val="20"/>
                    </w:rPr>
                  </w:pPr>
                  <w:r w:rsidRPr="00D12904">
                    <w:rPr>
                      <w:szCs w:val="20"/>
                    </w:rPr>
                    <w:t>PEBD, response</w:t>
                  </w:r>
                </w:p>
              </w:tc>
              <w:tc>
                <w:tcPr>
                  <w:tcW w:w="5039" w:type="dxa"/>
                  <w:vAlign w:val="center"/>
                </w:tcPr>
                <w:p w14:paraId="10F6F215" w14:textId="733BD3C0" w:rsidR="00E5561C" w:rsidRPr="00D12904" w:rsidRDefault="00E5561C" w:rsidP="00DC6589">
                  <w:pPr>
                    <w:pStyle w:val="Tabletext"/>
                    <w:rPr>
                      <w:szCs w:val="20"/>
                    </w:rPr>
                  </w:pPr>
                  <w:r w:rsidRPr="00D12904">
                    <w:rPr>
                      <w:szCs w:val="20"/>
                    </w:rPr>
                    <w:t>PEBD response based on OvEC data (32.3%)</w:t>
                  </w:r>
                  <w:r w:rsidR="000D69D0" w:rsidRPr="00D12904">
                    <w:rPr>
                      <w:szCs w:val="20"/>
                    </w:rPr>
                    <w:t>. Note that odevixibat patients cannot transition to either PEBD health state.</w:t>
                  </w:r>
                </w:p>
              </w:tc>
            </w:tr>
            <w:tr w:rsidR="00E5561C" w:rsidRPr="00D12904" w14:paraId="07887E6F" w14:textId="77777777" w:rsidTr="00D97F5D">
              <w:trPr>
                <w:trHeight w:val="20"/>
              </w:trPr>
              <w:tc>
                <w:tcPr>
                  <w:tcW w:w="421" w:type="dxa"/>
                  <w:vAlign w:val="center"/>
                </w:tcPr>
                <w:p w14:paraId="7D4B754F" w14:textId="77777777" w:rsidR="00E5561C" w:rsidRPr="00D12904" w:rsidRDefault="00E5561C" w:rsidP="00DC6589">
                  <w:pPr>
                    <w:pStyle w:val="Tabletext"/>
                    <w:rPr>
                      <w:szCs w:val="20"/>
                    </w:rPr>
                  </w:pPr>
                  <w:r w:rsidRPr="00D12904">
                    <w:rPr>
                      <w:rStyle w:val="ReporttextChar"/>
                      <w:rFonts w:ascii="Arial Narrow" w:hAnsi="Arial Narrow" w:cstheme="minorHAnsi"/>
                      <w:sz w:val="20"/>
                      <w:szCs w:val="20"/>
                      <w:lang w:val="en-AU"/>
                    </w:rPr>
                    <w:t>3</w:t>
                  </w:r>
                </w:p>
              </w:tc>
              <w:tc>
                <w:tcPr>
                  <w:tcW w:w="2077" w:type="dxa"/>
                  <w:vAlign w:val="center"/>
                </w:tcPr>
                <w:p w14:paraId="52E05BCC" w14:textId="77777777" w:rsidR="00E5561C" w:rsidRPr="00D12904" w:rsidRDefault="00E5561C" w:rsidP="00DC6589">
                  <w:pPr>
                    <w:pStyle w:val="Tabletext"/>
                    <w:rPr>
                      <w:szCs w:val="20"/>
                    </w:rPr>
                  </w:pPr>
                  <w:r w:rsidRPr="00D12904">
                    <w:rPr>
                      <w:szCs w:val="20"/>
                    </w:rPr>
                    <w:t>PEBD, no response</w:t>
                  </w:r>
                </w:p>
              </w:tc>
              <w:tc>
                <w:tcPr>
                  <w:tcW w:w="5039" w:type="dxa"/>
                  <w:vAlign w:val="center"/>
                </w:tcPr>
                <w:p w14:paraId="042E83F2" w14:textId="77777777" w:rsidR="00E5561C" w:rsidRPr="00D12904" w:rsidRDefault="00E5561C" w:rsidP="00DC6589">
                  <w:pPr>
                    <w:pStyle w:val="Tabletext"/>
                    <w:rPr>
                      <w:szCs w:val="20"/>
                    </w:rPr>
                  </w:pPr>
                  <w:r w:rsidRPr="00D12904">
                    <w:rPr>
                      <w:szCs w:val="20"/>
                    </w:rPr>
                    <w:t>PEBD no response was the complement to no.2 (67.7%)</w:t>
                  </w:r>
                </w:p>
              </w:tc>
            </w:tr>
            <w:tr w:rsidR="00E5561C" w:rsidRPr="00D12904" w14:paraId="12C798BF" w14:textId="77777777" w:rsidTr="00D97F5D">
              <w:trPr>
                <w:trHeight w:val="20"/>
              </w:trPr>
              <w:tc>
                <w:tcPr>
                  <w:tcW w:w="421" w:type="dxa"/>
                  <w:vAlign w:val="center"/>
                </w:tcPr>
                <w:p w14:paraId="1A671F8D" w14:textId="77777777" w:rsidR="00E5561C" w:rsidRPr="00D12904" w:rsidRDefault="00E5561C" w:rsidP="00DC6589">
                  <w:pPr>
                    <w:pStyle w:val="Tabletext"/>
                    <w:rPr>
                      <w:szCs w:val="20"/>
                    </w:rPr>
                  </w:pPr>
                  <w:r w:rsidRPr="00D12904">
                    <w:rPr>
                      <w:rStyle w:val="ReporttextChar"/>
                      <w:rFonts w:ascii="Arial Narrow" w:hAnsi="Arial Narrow" w:cstheme="minorHAnsi"/>
                      <w:sz w:val="20"/>
                      <w:szCs w:val="20"/>
                      <w:lang w:val="en-AU"/>
                    </w:rPr>
                    <w:t>4</w:t>
                  </w:r>
                </w:p>
              </w:tc>
              <w:tc>
                <w:tcPr>
                  <w:tcW w:w="2077" w:type="dxa"/>
                  <w:vAlign w:val="center"/>
                </w:tcPr>
                <w:p w14:paraId="013212AF" w14:textId="77777777" w:rsidR="00E5561C" w:rsidRPr="00D12904" w:rsidRDefault="00E5561C" w:rsidP="00DC6589">
                  <w:pPr>
                    <w:pStyle w:val="Tabletext"/>
                    <w:rPr>
                      <w:szCs w:val="20"/>
                    </w:rPr>
                  </w:pPr>
                  <w:r w:rsidRPr="00D12904">
                    <w:rPr>
                      <w:szCs w:val="20"/>
                    </w:rPr>
                    <w:t>Loss of response to PEBD</w:t>
                  </w:r>
                </w:p>
              </w:tc>
              <w:tc>
                <w:tcPr>
                  <w:tcW w:w="5039" w:type="dxa"/>
                  <w:vAlign w:val="center"/>
                </w:tcPr>
                <w:p w14:paraId="7903685C" w14:textId="77777777" w:rsidR="00E5561C" w:rsidRPr="00D12904" w:rsidRDefault="00E5561C" w:rsidP="00DC6589">
                  <w:pPr>
                    <w:pStyle w:val="Tabletext"/>
                    <w:rPr>
                      <w:szCs w:val="20"/>
                    </w:rPr>
                  </w:pPr>
                  <w:r w:rsidRPr="00D12904">
                    <w:rPr>
                      <w:szCs w:val="20"/>
                    </w:rPr>
                    <w:t>PEBD loss of response assumed to be 5%</w:t>
                  </w:r>
                </w:p>
              </w:tc>
            </w:tr>
            <w:tr w:rsidR="00E5561C" w:rsidRPr="00D12904" w14:paraId="3671BD9B" w14:textId="77777777" w:rsidTr="00D97F5D">
              <w:trPr>
                <w:trHeight w:val="20"/>
              </w:trPr>
              <w:tc>
                <w:tcPr>
                  <w:tcW w:w="421" w:type="dxa"/>
                  <w:vAlign w:val="center"/>
                </w:tcPr>
                <w:p w14:paraId="0E3B980E" w14:textId="77777777" w:rsidR="00E5561C" w:rsidRPr="00D12904" w:rsidRDefault="00E5561C" w:rsidP="00DC6589">
                  <w:pPr>
                    <w:pStyle w:val="Tabletext"/>
                    <w:rPr>
                      <w:szCs w:val="20"/>
                    </w:rPr>
                  </w:pPr>
                  <w:r w:rsidRPr="00D12904">
                    <w:rPr>
                      <w:rStyle w:val="ReporttextChar"/>
                      <w:rFonts w:ascii="Arial Narrow" w:hAnsi="Arial Narrow" w:cstheme="minorHAnsi"/>
                      <w:sz w:val="20"/>
                      <w:szCs w:val="20"/>
                      <w:lang w:val="en-AU"/>
                    </w:rPr>
                    <w:t>5</w:t>
                  </w:r>
                </w:p>
              </w:tc>
              <w:tc>
                <w:tcPr>
                  <w:tcW w:w="2077" w:type="dxa"/>
                  <w:vAlign w:val="center"/>
                </w:tcPr>
                <w:p w14:paraId="1F44FB33" w14:textId="77777777" w:rsidR="00E5561C" w:rsidRPr="00D12904" w:rsidRDefault="00E5561C" w:rsidP="00DC6589">
                  <w:pPr>
                    <w:pStyle w:val="Tabletext"/>
                    <w:rPr>
                      <w:szCs w:val="20"/>
                    </w:rPr>
                  </w:pPr>
                  <w:r w:rsidRPr="00D12904">
                    <w:rPr>
                      <w:szCs w:val="20"/>
                    </w:rPr>
                    <w:t>LT without PEBD</w:t>
                  </w:r>
                </w:p>
              </w:tc>
              <w:tc>
                <w:tcPr>
                  <w:tcW w:w="5039" w:type="dxa"/>
                  <w:vAlign w:val="center"/>
                </w:tcPr>
                <w:p w14:paraId="34658A27" w14:textId="77777777" w:rsidR="00E5561C" w:rsidRPr="00D12904" w:rsidRDefault="00E5561C" w:rsidP="00DC6589">
                  <w:pPr>
                    <w:pStyle w:val="Tabletext"/>
                    <w:rPr>
                      <w:szCs w:val="20"/>
                    </w:rPr>
                  </w:pPr>
                  <w:r w:rsidRPr="00D12904">
                    <w:rPr>
                      <w:szCs w:val="20"/>
                    </w:rPr>
                    <w:t xml:space="preserve">Based on OvEC </w:t>
                  </w:r>
                  <w:r w:rsidRPr="00D12904">
                    <w:t>(2.47%)</w:t>
                  </w:r>
                </w:p>
              </w:tc>
            </w:tr>
            <w:tr w:rsidR="00E5561C" w:rsidRPr="00D12904" w14:paraId="52F3A700" w14:textId="77777777" w:rsidTr="00D97F5D">
              <w:trPr>
                <w:trHeight w:val="20"/>
              </w:trPr>
              <w:tc>
                <w:tcPr>
                  <w:tcW w:w="421" w:type="dxa"/>
                  <w:vAlign w:val="center"/>
                </w:tcPr>
                <w:p w14:paraId="4483A911" w14:textId="77777777" w:rsidR="00E5561C" w:rsidRPr="00D12904" w:rsidRDefault="00E5561C" w:rsidP="00DC6589">
                  <w:pPr>
                    <w:pStyle w:val="Tabletext"/>
                    <w:rPr>
                      <w:szCs w:val="20"/>
                    </w:rPr>
                  </w:pPr>
                  <w:r w:rsidRPr="00D12904">
                    <w:rPr>
                      <w:rStyle w:val="ReporttextChar"/>
                      <w:rFonts w:ascii="Arial Narrow" w:hAnsi="Arial Narrow" w:cstheme="minorHAnsi"/>
                      <w:sz w:val="20"/>
                      <w:szCs w:val="20"/>
                      <w:lang w:val="en-AU"/>
                    </w:rPr>
                    <w:t>6</w:t>
                  </w:r>
                </w:p>
              </w:tc>
              <w:tc>
                <w:tcPr>
                  <w:tcW w:w="2077" w:type="dxa"/>
                  <w:vAlign w:val="center"/>
                </w:tcPr>
                <w:p w14:paraId="09F9CF24" w14:textId="77777777" w:rsidR="00E5561C" w:rsidRPr="00D12904" w:rsidRDefault="00E5561C" w:rsidP="00DC6589">
                  <w:pPr>
                    <w:pStyle w:val="Tabletext"/>
                    <w:rPr>
                      <w:szCs w:val="20"/>
                    </w:rPr>
                  </w:pPr>
                  <w:r w:rsidRPr="00D12904">
                    <w:rPr>
                      <w:szCs w:val="20"/>
                    </w:rPr>
                    <w:t>LT after PEBD response</w:t>
                  </w:r>
                </w:p>
              </w:tc>
              <w:tc>
                <w:tcPr>
                  <w:tcW w:w="5039" w:type="dxa"/>
                  <w:vAlign w:val="center"/>
                </w:tcPr>
                <w:p w14:paraId="4F8C4303" w14:textId="77777777" w:rsidR="00E5561C" w:rsidRPr="00D12904" w:rsidRDefault="00E5561C" w:rsidP="00DC6589">
                  <w:pPr>
                    <w:pStyle w:val="Tabletext"/>
                    <w:rPr>
                      <w:szCs w:val="20"/>
                    </w:rPr>
                  </w:pPr>
                  <w:r w:rsidRPr="00D12904">
                    <w:rPr>
                      <w:szCs w:val="20"/>
                    </w:rPr>
                    <w:t>Assumed to be 0%</w:t>
                  </w:r>
                </w:p>
              </w:tc>
            </w:tr>
            <w:tr w:rsidR="00E5561C" w:rsidRPr="00D12904" w14:paraId="34B46435" w14:textId="77777777" w:rsidTr="00D97F5D">
              <w:trPr>
                <w:trHeight w:val="20"/>
              </w:trPr>
              <w:tc>
                <w:tcPr>
                  <w:tcW w:w="421" w:type="dxa"/>
                  <w:vAlign w:val="center"/>
                </w:tcPr>
                <w:p w14:paraId="685A8DD4" w14:textId="77777777" w:rsidR="00E5561C" w:rsidRPr="00D12904" w:rsidRDefault="00E5561C" w:rsidP="00DC6589">
                  <w:pPr>
                    <w:pStyle w:val="Tabletext"/>
                    <w:rPr>
                      <w:szCs w:val="20"/>
                    </w:rPr>
                  </w:pPr>
                  <w:r w:rsidRPr="00D12904">
                    <w:rPr>
                      <w:rStyle w:val="ReporttextChar"/>
                      <w:rFonts w:ascii="Arial Narrow" w:hAnsi="Arial Narrow" w:cstheme="minorHAnsi"/>
                      <w:sz w:val="20"/>
                      <w:szCs w:val="20"/>
                      <w:lang w:val="en-AU"/>
                    </w:rPr>
                    <w:t>7</w:t>
                  </w:r>
                </w:p>
              </w:tc>
              <w:tc>
                <w:tcPr>
                  <w:tcW w:w="2077" w:type="dxa"/>
                  <w:vAlign w:val="center"/>
                </w:tcPr>
                <w:p w14:paraId="74FFEE41" w14:textId="77777777" w:rsidR="00E5561C" w:rsidRPr="00D12904" w:rsidRDefault="00E5561C" w:rsidP="00DC6589">
                  <w:pPr>
                    <w:pStyle w:val="Tabletext"/>
                    <w:rPr>
                      <w:szCs w:val="20"/>
                    </w:rPr>
                  </w:pPr>
                  <w:r w:rsidRPr="00D12904">
                    <w:rPr>
                      <w:szCs w:val="20"/>
                    </w:rPr>
                    <w:t>LT after PEBD non-response</w:t>
                  </w:r>
                </w:p>
              </w:tc>
              <w:tc>
                <w:tcPr>
                  <w:tcW w:w="5039" w:type="dxa"/>
                  <w:vAlign w:val="center"/>
                </w:tcPr>
                <w:p w14:paraId="19643791" w14:textId="77777777" w:rsidR="00E5561C" w:rsidRPr="00D12904" w:rsidRDefault="00E5561C" w:rsidP="00DC6589">
                  <w:pPr>
                    <w:pStyle w:val="Tabletext"/>
                    <w:rPr>
                      <w:szCs w:val="20"/>
                    </w:rPr>
                  </w:pPr>
                  <w:r w:rsidRPr="00D12904">
                    <w:rPr>
                      <w:szCs w:val="20"/>
                    </w:rPr>
                    <w:t>Based on NAPPED data for PFIC1 and PFIC2 then estimated a joint probability using PFIC1 and 2 proportions from PEDFIC 1 (27% PFIC1 and 73% PFIC2) (9.9%)</w:t>
                  </w:r>
                </w:p>
              </w:tc>
            </w:tr>
            <w:tr w:rsidR="00E5561C" w:rsidRPr="00D12904" w14:paraId="68D5522F" w14:textId="77777777" w:rsidTr="00D97F5D">
              <w:trPr>
                <w:trHeight w:val="20"/>
              </w:trPr>
              <w:tc>
                <w:tcPr>
                  <w:tcW w:w="421" w:type="dxa"/>
                  <w:vAlign w:val="center"/>
                </w:tcPr>
                <w:p w14:paraId="07751761" w14:textId="77777777" w:rsidR="00E5561C" w:rsidRPr="00D12904" w:rsidRDefault="00E5561C" w:rsidP="00DC6589">
                  <w:pPr>
                    <w:pStyle w:val="Tabletext"/>
                    <w:rPr>
                      <w:szCs w:val="20"/>
                    </w:rPr>
                  </w:pPr>
                  <w:r w:rsidRPr="00D12904">
                    <w:rPr>
                      <w:rStyle w:val="ReporttextChar"/>
                      <w:rFonts w:ascii="Arial Narrow" w:hAnsi="Arial Narrow" w:cstheme="minorHAnsi"/>
                      <w:sz w:val="20"/>
                      <w:szCs w:val="20"/>
                      <w:lang w:val="en-AU"/>
                    </w:rPr>
                    <w:t>8</w:t>
                  </w:r>
                </w:p>
              </w:tc>
              <w:tc>
                <w:tcPr>
                  <w:tcW w:w="2077" w:type="dxa"/>
                  <w:vAlign w:val="center"/>
                </w:tcPr>
                <w:p w14:paraId="320E9AB6" w14:textId="77777777" w:rsidR="00E5561C" w:rsidRPr="00D12904" w:rsidRDefault="00E5561C" w:rsidP="00DC6589">
                  <w:pPr>
                    <w:pStyle w:val="Tabletext"/>
                    <w:rPr>
                      <w:szCs w:val="20"/>
                    </w:rPr>
                  </w:pPr>
                  <w:r w:rsidRPr="00D12904">
                    <w:rPr>
                      <w:szCs w:val="20"/>
                    </w:rPr>
                    <w:t>LT to post-LT</w:t>
                  </w:r>
                </w:p>
              </w:tc>
              <w:tc>
                <w:tcPr>
                  <w:tcW w:w="5039" w:type="dxa"/>
                  <w:vAlign w:val="center"/>
                </w:tcPr>
                <w:p w14:paraId="755213FA" w14:textId="4B4186C6" w:rsidR="00E5561C" w:rsidRPr="00D12904" w:rsidRDefault="00E5561C" w:rsidP="00DC6589">
                  <w:pPr>
                    <w:pStyle w:val="Tabletext"/>
                    <w:rPr>
                      <w:szCs w:val="20"/>
                    </w:rPr>
                  </w:pPr>
                  <w:r w:rsidRPr="00D12904">
                    <w:rPr>
                      <w:szCs w:val="20"/>
                    </w:rPr>
                    <w:t xml:space="preserve">Complement of no.9 </w:t>
                  </w:r>
                  <w:r w:rsidR="007077B0" w:rsidRPr="00D12904">
                    <w:rPr>
                      <w:szCs w:val="20"/>
                    </w:rPr>
                    <w:t>(</w:t>
                  </w:r>
                  <w:r w:rsidR="007077B0" w:rsidRPr="00D12904">
                    <w:t xml:space="preserve">re-transplant) </w:t>
                  </w:r>
                  <w:r w:rsidRPr="00D12904">
                    <w:rPr>
                      <w:szCs w:val="20"/>
                    </w:rPr>
                    <w:t>and no.10 (acute post LT mortality) (78.8%)</w:t>
                  </w:r>
                </w:p>
              </w:tc>
            </w:tr>
            <w:tr w:rsidR="00E5561C" w:rsidRPr="00D12904" w14:paraId="4F21DF7F" w14:textId="77777777" w:rsidTr="00D97F5D">
              <w:trPr>
                <w:trHeight w:val="20"/>
              </w:trPr>
              <w:tc>
                <w:tcPr>
                  <w:tcW w:w="421" w:type="dxa"/>
                  <w:vAlign w:val="center"/>
                </w:tcPr>
                <w:p w14:paraId="5ABEB25C" w14:textId="77777777" w:rsidR="00E5561C" w:rsidRPr="00D12904" w:rsidRDefault="00E5561C" w:rsidP="00DC6589">
                  <w:pPr>
                    <w:pStyle w:val="Tabletext"/>
                    <w:rPr>
                      <w:szCs w:val="20"/>
                    </w:rPr>
                  </w:pPr>
                  <w:r w:rsidRPr="00D12904">
                    <w:rPr>
                      <w:rStyle w:val="ReporttextChar"/>
                      <w:rFonts w:ascii="Arial Narrow" w:hAnsi="Arial Narrow" w:cstheme="minorHAnsi"/>
                      <w:sz w:val="20"/>
                      <w:szCs w:val="20"/>
                      <w:lang w:val="en-AU"/>
                    </w:rPr>
                    <w:lastRenderedPageBreak/>
                    <w:t>9</w:t>
                  </w:r>
                </w:p>
              </w:tc>
              <w:tc>
                <w:tcPr>
                  <w:tcW w:w="2077" w:type="dxa"/>
                  <w:vAlign w:val="center"/>
                </w:tcPr>
                <w:p w14:paraId="60CD52BB" w14:textId="77777777" w:rsidR="00E5561C" w:rsidRPr="00D12904" w:rsidRDefault="00E5561C" w:rsidP="00DC6589">
                  <w:pPr>
                    <w:pStyle w:val="Tabletext"/>
                    <w:rPr>
                      <w:szCs w:val="20"/>
                    </w:rPr>
                  </w:pPr>
                  <w:r w:rsidRPr="00D12904">
                    <w:rPr>
                      <w:szCs w:val="20"/>
                    </w:rPr>
                    <w:t>Re-transplant</w:t>
                  </w:r>
                </w:p>
              </w:tc>
              <w:tc>
                <w:tcPr>
                  <w:tcW w:w="5039" w:type="dxa"/>
                  <w:vAlign w:val="center"/>
                </w:tcPr>
                <w:p w14:paraId="3FEBAB92" w14:textId="654D4AE3" w:rsidR="00E5561C" w:rsidRPr="00D12904" w:rsidRDefault="00E5561C" w:rsidP="00DC6589">
                  <w:pPr>
                    <w:pStyle w:val="Tabletext"/>
                    <w:rPr>
                      <w:szCs w:val="20"/>
                    </w:rPr>
                  </w:pPr>
                  <w:r w:rsidRPr="00D12904">
                    <w:rPr>
                      <w:rFonts w:cstheme="minorHAnsi"/>
                      <w:szCs w:val="20"/>
                    </w:rPr>
                    <w:t>Based on Bull 2018</w:t>
                  </w:r>
                  <w:r w:rsidR="007077B0" w:rsidRPr="00D12904">
                    <w:rPr>
                      <w:rFonts w:cstheme="minorHAnsi"/>
                      <w:szCs w:val="20"/>
                    </w:rPr>
                    <w:t xml:space="preserve"> (</w:t>
                  </w:r>
                  <w:r w:rsidRPr="00D12904">
                    <w:t>a retrospective multi-centre study of 42 PFIC1 and 60 PFIC2 patients who had previously undergone LT over the median follow-up time of 3.6 years) and a weighted probability was estimated based on PFIC1 and PFIC2 proportions from PEDFIC1 (9.81%)</w:t>
                  </w:r>
                </w:p>
              </w:tc>
            </w:tr>
            <w:tr w:rsidR="00E5561C" w:rsidRPr="00D12904" w14:paraId="74272A8A" w14:textId="77777777" w:rsidTr="00D97F5D">
              <w:trPr>
                <w:trHeight w:val="20"/>
              </w:trPr>
              <w:tc>
                <w:tcPr>
                  <w:tcW w:w="421" w:type="dxa"/>
                  <w:vAlign w:val="center"/>
                </w:tcPr>
                <w:p w14:paraId="6187F4B5" w14:textId="77777777" w:rsidR="00E5561C" w:rsidRPr="00D12904" w:rsidRDefault="00E5561C" w:rsidP="00DC6589">
                  <w:pPr>
                    <w:pStyle w:val="Tabletext"/>
                    <w:rPr>
                      <w:szCs w:val="20"/>
                    </w:rPr>
                  </w:pPr>
                  <w:r w:rsidRPr="00D12904">
                    <w:rPr>
                      <w:szCs w:val="20"/>
                    </w:rPr>
                    <w:t>10</w:t>
                  </w:r>
                </w:p>
              </w:tc>
              <w:tc>
                <w:tcPr>
                  <w:tcW w:w="2077" w:type="dxa"/>
                  <w:vAlign w:val="center"/>
                </w:tcPr>
                <w:p w14:paraId="37C3C156" w14:textId="77777777" w:rsidR="00E5561C" w:rsidRPr="00D12904" w:rsidRDefault="00E5561C" w:rsidP="00DC6589">
                  <w:pPr>
                    <w:pStyle w:val="Tabletext"/>
                    <w:rPr>
                      <w:szCs w:val="20"/>
                    </w:rPr>
                  </w:pPr>
                  <w:r w:rsidRPr="00D12904">
                    <w:rPr>
                      <w:szCs w:val="20"/>
                    </w:rPr>
                    <w:t>Mortality</w:t>
                  </w:r>
                </w:p>
              </w:tc>
              <w:tc>
                <w:tcPr>
                  <w:tcW w:w="5039" w:type="dxa"/>
                  <w:vAlign w:val="center"/>
                </w:tcPr>
                <w:p w14:paraId="6BDCC433" w14:textId="77777777" w:rsidR="00E5561C" w:rsidRPr="00D12904" w:rsidRDefault="00E5561C" w:rsidP="00DC6589">
                  <w:pPr>
                    <w:pStyle w:val="ReporttextSource"/>
                    <w:spacing w:before="0" w:after="0" w:line="240" w:lineRule="auto"/>
                    <w:jc w:val="left"/>
                    <w:rPr>
                      <w:rFonts w:ascii="Arial Narrow" w:hAnsi="Arial Narrow"/>
                      <w:sz w:val="20"/>
                      <w:szCs w:val="20"/>
                      <w:lang w:val="en-AU"/>
                    </w:rPr>
                  </w:pPr>
                  <w:r w:rsidRPr="00D12904">
                    <w:rPr>
                      <w:rFonts w:ascii="Arial Narrow" w:hAnsi="Arial Narrow"/>
                      <w:sz w:val="20"/>
                      <w:szCs w:val="20"/>
                      <w:lang w:val="en-AU"/>
                    </w:rPr>
                    <w:t>Pre-LT mortality was based on OvEC (0.38%)</w:t>
                  </w:r>
                </w:p>
                <w:p w14:paraId="0F5FCF11" w14:textId="44A9A64A" w:rsidR="00E5561C" w:rsidRPr="00D12904" w:rsidRDefault="00E5561C" w:rsidP="00DC6589">
                  <w:pPr>
                    <w:pStyle w:val="ReporttextSource"/>
                    <w:spacing w:before="0" w:after="0" w:line="240" w:lineRule="auto"/>
                    <w:jc w:val="left"/>
                    <w:rPr>
                      <w:rFonts w:ascii="Arial Narrow" w:hAnsi="Arial Narrow"/>
                      <w:sz w:val="20"/>
                      <w:szCs w:val="20"/>
                      <w:lang w:val="en-AU"/>
                    </w:rPr>
                  </w:pPr>
                  <w:r w:rsidRPr="00D12904">
                    <w:rPr>
                      <w:rFonts w:ascii="Arial Narrow" w:hAnsi="Arial Narrow"/>
                      <w:sz w:val="20"/>
                      <w:szCs w:val="20"/>
                      <w:lang w:val="en-AU"/>
                    </w:rPr>
                    <w:t>Acute (1 year) post-LT mortality from meta-analysis of Wanty 2004, Hori 2011, Aydogdu 2007, and</w:t>
                  </w:r>
                  <w:r w:rsidRPr="00D12904">
                    <w:rPr>
                      <w:lang w:val="en-AU"/>
                    </w:rPr>
                    <w:t xml:space="preserve"> </w:t>
                  </w:r>
                  <w:r w:rsidRPr="00D12904">
                    <w:rPr>
                      <w:rFonts w:ascii="Arial Narrow" w:hAnsi="Arial Narrow"/>
                      <w:sz w:val="20"/>
                      <w:szCs w:val="20"/>
                      <w:lang w:val="en-AU"/>
                    </w:rPr>
                    <w:t>Valamparampil 2019.</w:t>
                  </w:r>
                </w:p>
                <w:p w14:paraId="69978070" w14:textId="77777777" w:rsidR="00E5561C" w:rsidRPr="00D12904" w:rsidRDefault="00E5561C" w:rsidP="00DC6589">
                  <w:pPr>
                    <w:pStyle w:val="ReporttextSource"/>
                    <w:spacing w:before="0" w:after="0" w:line="240" w:lineRule="auto"/>
                    <w:jc w:val="left"/>
                    <w:rPr>
                      <w:rFonts w:ascii="Arial Narrow" w:hAnsi="Arial Narrow"/>
                      <w:sz w:val="20"/>
                      <w:szCs w:val="20"/>
                      <w:lang w:val="en-AU"/>
                    </w:rPr>
                  </w:pPr>
                  <w:r w:rsidRPr="00D12904">
                    <w:rPr>
                      <w:rFonts w:ascii="Arial Narrow" w:hAnsi="Arial Narrow"/>
                      <w:sz w:val="20"/>
                      <w:szCs w:val="20"/>
                      <w:lang w:val="en-AU"/>
                    </w:rPr>
                    <w:t>Long-term (2-5 year) post-LT mortality was based on pooled data from Hori 2011 and Wanty 2004 (1.91%)</w:t>
                  </w:r>
                </w:p>
              </w:tc>
            </w:tr>
          </w:tbl>
          <w:p w14:paraId="1D97F8E1" w14:textId="77777777" w:rsidR="00E5561C" w:rsidRPr="00D12904" w:rsidRDefault="00E5561C" w:rsidP="00DC6589">
            <w:pPr>
              <w:pStyle w:val="TableFigureFooter"/>
            </w:pPr>
            <w:r w:rsidRPr="00D12904">
              <w:t>Source: Table 3-15 from the submission (modified to reflect the base case)</w:t>
            </w:r>
          </w:p>
          <w:p w14:paraId="6A33963E" w14:textId="77777777" w:rsidR="00E5561C" w:rsidRPr="00D12904" w:rsidRDefault="00E5561C" w:rsidP="00DC6589">
            <w:pPr>
              <w:pStyle w:val="TableFigureFooter"/>
              <w:spacing w:after="0"/>
            </w:pPr>
            <w:r w:rsidRPr="00D12904">
              <w:rPr>
                <w:vertAlign w:val="superscript"/>
              </w:rPr>
              <w:t>a</w:t>
            </w:r>
            <w:r w:rsidRPr="00D12904">
              <w:t xml:space="preserve"> Included patients who up titrated to 120 mcg/kg and response (25% based on internal data).  OvEC ‘combined doses’ response was 49.7%. Therefore, adjusted response was calculated as 49.7% + (100 – 49.7%) × 25%</w:t>
            </w:r>
          </w:p>
        </w:tc>
      </w:tr>
      <w:tr w:rsidR="00E5561C" w:rsidRPr="00D12904" w14:paraId="7F413528" w14:textId="77777777" w:rsidTr="00DC6589">
        <w:tc>
          <w:tcPr>
            <w:tcW w:w="784" w:type="pct"/>
            <w:shd w:val="clear" w:color="auto" w:fill="auto"/>
            <w:vAlign w:val="center"/>
          </w:tcPr>
          <w:p w14:paraId="230C3E4A" w14:textId="77777777" w:rsidR="00E5561C" w:rsidRPr="00D12904" w:rsidRDefault="00E5561C" w:rsidP="00DC6589">
            <w:pPr>
              <w:pStyle w:val="TableText0"/>
              <w:keepNext w:val="0"/>
            </w:pPr>
            <w:r w:rsidRPr="00D12904">
              <w:lastRenderedPageBreak/>
              <w:t>Extrapolation method</w:t>
            </w:r>
          </w:p>
        </w:tc>
        <w:tc>
          <w:tcPr>
            <w:tcW w:w="4216" w:type="pct"/>
            <w:shd w:val="clear" w:color="auto" w:fill="auto"/>
            <w:vAlign w:val="center"/>
          </w:tcPr>
          <w:p w14:paraId="27BE572E" w14:textId="77777777" w:rsidR="00E5561C" w:rsidRPr="00D12904" w:rsidRDefault="00E5561C" w:rsidP="00DC6589">
            <w:pPr>
              <w:pStyle w:val="TableText0"/>
              <w:keepNext w:val="0"/>
            </w:pPr>
            <w:r w:rsidRPr="00D12904">
              <w:t xml:space="preserve">For transitions to PEBD and LT, exponential models were fitted to OvEC data. </w:t>
            </w:r>
          </w:p>
          <w:p w14:paraId="4C233F53" w14:textId="22257172" w:rsidR="00E5561C" w:rsidRPr="00D12904" w:rsidRDefault="00E5561C" w:rsidP="00DC6589">
            <w:pPr>
              <w:pStyle w:val="TableText0"/>
              <w:keepNext w:val="0"/>
            </w:pPr>
            <w:r w:rsidRPr="00D12904">
              <w:t>For transitions to long-term post-LT mortality, an exponential model was fitted to pooled data from two studies (Hori 2011 and Wanty 2004) to informed transitions of long-term post-LT mortality and a weighted average of PFIC1 (27.4%) and PFIC2 (72.6%).</w:t>
            </w:r>
          </w:p>
        </w:tc>
      </w:tr>
      <w:tr w:rsidR="00E5561C" w:rsidRPr="00D12904" w14:paraId="74803B57" w14:textId="77777777" w:rsidTr="00605771">
        <w:trPr>
          <w:cantSplit/>
        </w:trPr>
        <w:tc>
          <w:tcPr>
            <w:tcW w:w="784" w:type="pct"/>
            <w:shd w:val="clear" w:color="auto" w:fill="auto"/>
            <w:vAlign w:val="center"/>
          </w:tcPr>
          <w:p w14:paraId="03A12FDA" w14:textId="77777777" w:rsidR="00E5561C" w:rsidRPr="00D12904" w:rsidRDefault="00E5561C" w:rsidP="00DC6589">
            <w:pPr>
              <w:pStyle w:val="TableText0"/>
              <w:keepNext w:val="0"/>
            </w:pPr>
            <w:r w:rsidRPr="00D12904">
              <w:t>Health related quality of life</w:t>
            </w:r>
          </w:p>
        </w:tc>
        <w:tc>
          <w:tcPr>
            <w:tcW w:w="4216" w:type="pct"/>
            <w:shd w:val="clear" w:color="auto" w:fill="auto"/>
            <w:vAlign w:val="center"/>
          </w:tcPr>
          <w:p w14:paraId="22749289" w14:textId="2661FEF6" w:rsidR="00E5561C" w:rsidRPr="00D12904" w:rsidRDefault="000D69D0" w:rsidP="00605771">
            <w:pPr>
              <w:pStyle w:val="TableText0"/>
              <w:keepLines/>
            </w:pPr>
            <w:r w:rsidRPr="00D12904">
              <w:t xml:space="preserve">Utilities from </w:t>
            </w:r>
            <w:r w:rsidR="00E5561C" w:rsidRPr="00D12904">
              <w:t xml:space="preserve">PEDFIC 1 </w:t>
            </w:r>
            <w:r w:rsidR="00B143F7" w:rsidRPr="00D12904">
              <w:t xml:space="preserve">were </w:t>
            </w:r>
            <w:r w:rsidR="00E5561C" w:rsidRPr="00D12904">
              <w:t>not used</w:t>
            </w:r>
            <w:r w:rsidRPr="00D12904">
              <w:t>. U</w:t>
            </w:r>
            <w:r w:rsidR="00E5561C" w:rsidRPr="00D12904">
              <w:t>tility values were informed from the literature</w:t>
            </w:r>
            <w:r w:rsidR="005174A4" w:rsidRPr="00D12904">
              <w:t>.</w:t>
            </w:r>
            <w:r w:rsidR="00E5561C" w:rsidRPr="00D12904">
              <w:t xml:space="preserve"> </w:t>
            </w:r>
            <w:r w:rsidR="005174A4" w:rsidRPr="00D12904">
              <w:t>F</w:t>
            </w:r>
            <w:r w:rsidR="00E5561C" w:rsidRPr="00D12904">
              <w:t xml:space="preserve">or all health states </w:t>
            </w:r>
            <w:r w:rsidR="009E25A5" w:rsidRPr="00D12904">
              <w:t>except for ‘LT’ (no. 5</w:t>
            </w:r>
            <w:r w:rsidR="0070300F" w:rsidRPr="00D12904">
              <w:t>), PedsQL</w:t>
            </w:r>
            <w:r w:rsidR="00E5561C" w:rsidRPr="00D12904">
              <w:t xml:space="preserve"> scores from respective studies were mapped to the EQ-5D using the mapping algorithm by Khan 2014. A short stature disutility multiplier (0.97) estimated from Al-Uzri 2013 was applied to ‘no PEBD, no response’ (no.2), and the ‘PEBD, no response’ (no.4) health states. A stoma bag disutility multiplier (0.722) estimated from Hornbrook 2011 was applied to ‘PEBD, response’ (no.3) and ‘PEBD, no response’ (no.4) health states. The utility values </w:t>
            </w:r>
            <w:r w:rsidR="00B54BCA" w:rsidRPr="00D12904">
              <w:t xml:space="preserve">and </w:t>
            </w:r>
            <w:r w:rsidR="00E5561C" w:rsidRPr="00D12904">
              <w:t xml:space="preserve">sources </w:t>
            </w:r>
            <w:r w:rsidR="00B54BCA" w:rsidRPr="00D12904">
              <w:t>are presented below</w:t>
            </w:r>
            <w:r w:rsidR="005174A4" w:rsidRPr="00D12904">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92"/>
              <w:gridCol w:w="777"/>
              <w:gridCol w:w="5310"/>
            </w:tblGrid>
            <w:tr w:rsidR="00E5561C" w:rsidRPr="00D12904" w14:paraId="523E23D7" w14:textId="77777777" w:rsidTr="00D97F5D">
              <w:trPr>
                <w:trHeight w:val="20"/>
                <w:tblHeader/>
              </w:trPr>
              <w:tc>
                <w:tcPr>
                  <w:tcW w:w="1271" w:type="dxa"/>
                  <w:vAlign w:val="center"/>
                </w:tcPr>
                <w:p w14:paraId="6D26592C" w14:textId="77777777" w:rsidR="00E5561C" w:rsidRPr="00D12904" w:rsidRDefault="00E5561C" w:rsidP="00605771">
                  <w:pPr>
                    <w:pStyle w:val="In-tableHeading"/>
                    <w:keepLines/>
                    <w:jc w:val="center"/>
                    <w:rPr>
                      <w:lang w:val="en-AU"/>
                    </w:rPr>
                  </w:pPr>
                  <w:r w:rsidRPr="00D12904">
                    <w:rPr>
                      <w:lang w:val="en-AU"/>
                    </w:rPr>
                    <w:t>Health state</w:t>
                  </w:r>
                </w:p>
              </w:tc>
              <w:tc>
                <w:tcPr>
                  <w:tcW w:w="709" w:type="dxa"/>
                  <w:vAlign w:val="center"/>
                </w:tcPr>
                <w:p w14:paraId="7337F128" w14:textId="77777777" w:rsidR="00E5561C" w:rsidRPr="00D12904" w:rsidRDefault="00E5561C" w:rsidP="00605771">
                  <w:pPr>
                    <w:pStyle w:val="In-tableHeading"/>
                    <w:keepLines/>
                    <w:jc w:val="center"/>
                    <w:rPr>
                      <w:lang w:val="en-AU"/>
                    </w:rPr>
                  </w:pPr>
                  <w:r w:rsidRPr="00D12904">
                    <w:rPr>
                      <w:lang w:val="en-AU"/>
                    </w:rPr>
                    <w:t>Utility</w:t>
                  </w:r>
                </w:p>
              </w:tc>
              <w:tc>
                <w:tcPr>
                  <w:tcW w:w="4848" w:type="dxa"/>
                </w:tcPr>
                <w:p w14:paraId="442B7541" w14:textId="77777777" w:rsidR="00E5561C" w:rsidRPr="00D12904" w:rsidRDefault="00E5561C" w:rsidP="00605771">
                  <w:pPr>
                    <w:pStyle w:val="In-tableHeading"/>
                    <w:keepLines/>
                    <w:jc w:val="center"/>
                    <w:rPr>
                      <w:lang w:val="en-AU"/>
                    </w:rPr>
                  </w:pPr>
                  <w:r w:rsidRPr="00D12904">
                    <w:rPr>
                      <w:lang w:val="en-AU"/>
                    </w:rPr>
                    <w:t>Source</w:t>
                  </w:r>
                </w:p>
              </w:tc>
            </w:tr>
            <w:tr w:rsidR="00E5561C" w:rsidRPr="00D12904" w14:paraId="58DCD17D" w14:textId="77777777" w:rsidTr="00D97F5D">
              <w:trPr>
                <w:trHeight w:val="20"/>
              </w:trPr>
              <w:tc>
                <w:tcPr>
                  <w:tcW w:w="1271" w:type="dxa"/>
                  <w:vAlign w:val="center"/>
                </w:tcPr>
                <w:p w14:paraId="34F1D828" w14:textId="77777777" w:rsidR="00E5561C" w:rsidRPr="00D12904" w:rsidRDefault="00E5561C" w:rsidP="00605771">
                  <w:pPr>
                    <w:pStyle w:val="TableText0"/>
                    <w:keepLines/>
                  </w:pPr>
                  <w:r w:rsidRPr="00D12904">
                    <w:t>No PEBD, response</w:t>
                  </w:r>
                </w:p>
              </w:tc>
              <w:tc>
                <w:tcPr>
                  <w:tcW w:w="709" w:type="dxa"/>
                  <w:vAlign w:val="center"/>
                </w:tcPr>
                <w:p w14:paraId="3CFE4355" w14:textId="77777777" w:rsidR="00E5561C" w:rsidRPr="00D12904" w:rsidRDefault="00E5561C" w:rsidP="00605771">
                  <w:pPr>
                    <w:pStyle w:val="TableText0"/>
                    <w:keepLines/>
                  </w:pPr>
                  <w:r w:rsidRPr="00D12904">
                    <w:t>0.91</w:t>
                  </w:r>
                </w:p>
              </w:tc>
              <w:tc>
                <w:tcPr>
                  <w:tcW w:w="4848" w:type="dxa"/>
                  <w:vAlign w:val="center"/>
                </w:tcPr>
                <w:p w14:paraId="0169F4B1" w14:textId="77777777" w:rsidR="00E5561C" w:rsidRPr="00D12904" w:rsidRDefault="00E5561C" w:rsidP="00605771">
                  <w:pPr>
                    <w:pStyle w:val="TableText0"/>
                    <w:keepLines/>
                  </w:pPr>
                  <w:r w:rsidRPr="00D12904">
                    <w:t>‘Healthy children’ from Kamath 2015</w:t>
                  </w:r>
                </w:p>
              </w:tc>
            </w:tr>
            <w:tr w:rsidR="00E5561C" w:rsidRPr="00D12904" w14:paraId="774BBFEA" w14:textId="77777777" w:rsidTr="00D97F5D">
              <w:trPr>
                <w:trHeight w:val="20"/>
              </w:trPr>
              <w:tc>
                <w:tcPr>
                  <w:tcW w:w="1271" w:type="dxa"/>
                  <w:vAlign w:val="center"/>
                </w:tcPr>
                <w:p w14:paraId="2A5D822D" w14:textId="77777777" w:rsidR="00E5561C" w:rsidRPr="00D12904" w:rsidRDefault="00E5561C" w:rsidP="00605771">
                  <w:pPr>
                    <w:pStyle w:val="TableText0"/>
                    <w:keepLines/>
                  </w:pPr>
                  <w:r w:rsidRPr="00D12904">
                    <w:t>No PEBD, no response</w:t>
                  </w:r>
                </w:p>
              </w:tc>
              <w:tc>
                <w:tcPr>
                  <w:tcW w:w="709" w:type="dxa"/>
                  <w:vAlign w:val="center"/>
                </w:tcPr>
                <w:p w14:paraId="6057CE83" w14:textId="77777777" w:rsidR="00E5561C" w:rsidRPr="00D12904" w:rsidRDefault="00E5561C" w:rsidP="00605771">
                  <w:pPr>
                    <w:pStyle w:val="TableText0"/>
                    <w:keepLines/>
                  </w:pPr>
                  <w:r w:rsidRPr="00D12904">
                    <w:t>0.83</w:t>
                  </w:r>
                </w:p>
              </w:tc>
              <w:tc>
                <w:tcPr>
                  <w:tcW w:w="4848" w:type="dxa"/>
                  <w:vAlign w:val="center"/>
                </w:tcPr>
                <w:p w14:paraId="239A7373" w14:textId="77777777" w:rsidR="00E5561C" w:rsidRPr="00D12904" w:rsidRDefault="00E5561C" w:rsidP="00605771">
                  <w:pPr>
                    <w:pStyle w:val="TableText0"/>
                    <w:keepLines/>
                  </w:pPr>
                  <w:r w:rsidRPr="00D12904">
                    <w:t>‘</w:t>
                  </w:r>
                  <w:r w:rsidRPr="00D12904">
                    <w:rPr>
                      <w:rFonts w:cstheme="minorHAnsi"/>
                    </w:rPr>
                    <w:t xml:space="preserve">CIC children’ from </w:t>
                  </w:r>
                  <w:r w:rsidRPr="00D12904">
                    <w:t>Kamath 2015; ‘Short stature multiplier’ from Al-Uzri 2013</w:t>
                  </w:r>
                </w:p>
              </w:tc>
            </w:tr>
            <w:tr w:rsidR="00E5561C" w:rsidRPr="00D12904" w14:paraId="416B3141" w14:textId="77777777" w:rsidTr="00D97F5D">
              <w:trPr>
                <w:trHeight w:val="20"/>
              </w:trPr>
              <w:tc>
                <w:tcPr>
                  <w:tcW w:w="1271" w:type="dxa"/>
                  <w:vAlign w:val="center"/>
                </w:tcPr>
                <w:p w14:paraId="300E7C9A" w14:textId="77777777" w:rsidR="00E5561C" w:rsidRPr="00D12904" w:rsidRDefault="00E5561C" w:rsidP="00605771">
                  <w:pPr>
                    <w:pStyle w:val="TableText0"/>
                    <w:keepLines/>
                  </w:pPr>
                  <w:r w:rsidRPr="00D12904">
                    <w:t>PEBD, response</w:t>
                  </w:r>
                </w:p>
              </w:tc>
              <w:tc>
                <w:tcPr>
                  <w:tcW w:w="709" w:type="dxa"/>
                  <w:vAlign w:val="center"/>
                </w:tcPr>
                <w:p w14:paraId="36CEFEE1" w14:textId="77777777" w:rsidR="00E5561C" w:rsidRPr="00D12904" w:rsidRDefault="00E5561C" w:rsidP="00605771">
                  <w:pPr>
                    <w:pStyle w:val="TableText0"/>
                    <w:keepLines/>
                  </w:pPr>
                  <w:r w:rsidRPr="00D12904">
                    <w:t>0.659</w:t>
                  </w:r>
                </w:p>
              </w:tc>
              <w:tc>
                <w:tcPr>
                  <w:tcW w:w="4848" w:type="dxa"/>
                  <w:vAlign w:val="center"/>
                </w:tcPr>
                <w:p w14:paraId="3E14DCE6" w14:textId="77777777" w:rsidR="00E5561C" w:rsidRPr="00D12904" w:rsidRDefault="00E5561C" w:rsidP="00605771">
                  <w:pPr>
                    <w:pStyle w:val="TableText0"/>
                    <w:keepLines/>
                  </w:pPr>
                  <w:r w:rsidRPr="00D12904">
                    <w:t>‘Healthy children’ from Kamath 2015; ‘Stoma bag multiplier’ from Hornbrook 2011</w:t>
                  </w:r>
                </w:p>
              </w:tc>
            </w:tr>
            <w:tr w:rsidR="00E5561C" w:rsidRPr="00D12904" w14:paraId="53ECC760" w14:textId="77777777" w:rsidTr="00D97F5D">
              <w:trPr>
                <w:trHeight w:val="20"/>
              </w:trPr>
              <w:tc>
                <w:tcPr>
                  <w:tcW w:w="1271" w:type="dxa"/>
                  <w:vAlign w:val="center"/>
                </w:tcPr>
                <w:p w14:paraId="484D7250" w14:textId="30C60822" w:rsidR="00E5561C" w:rsidRPr="00D12904" w:rsidRDefault="00E5561C" w:rsidP="00605771">
                  <w:pPr>
                    <w:pStyle w:val="TableText0"/>
                    <w:keepLines/>
                  </w:pPr>
                  <w:r w:rsidRPr="00D12904">
                    <w:t>PEBD, no response</w:t>
                  </w:r>
                </w:p>
              </w:tc>
              <w:tc>
                <w:tcPr>
                  <w:tcW w:w="709" w:type="dxa"/>
                  <w:vAlign w:val="center"/>
                </w:tcPr>
                <w:p w14:paraId="5E274FE3" w14:textId="77777777" w:rsidR="00E5561C" w:rsidRPr="00D12904" w:rsidRDefault="00E5561C" w:rsidP="00605771">
                  <w:pPr>
                    <w:pStyle w:val="TableText0"/>
                    <w:keepLines/>
                  </w:pPr>
                  <w:r w:rsidRPr="00D12904">
                    <w:t>0.599</w:t>
                  </w:r>
                </w:p>
              </w:tc>
              <w:tc>
                <w:tcPr>
                  <w:tcW w:w="4848" w:type="dxa"/>
                  <w:vAlign w:val="center"/>
                </w:tcPr>
                <w:p w14:paraId="253095BA" w14:textId="77777777" w:rsidR="00E5561C" w:rsidRPr="00D12904" w:rsidRDefault="00E5561C" w:rsidP="00605771">
                  <w:pPr>
                    <w:pStyle w:val="TableText0"/>
                    <w:keepLines/>
                  </w:pPr>
                  <w:r w:rsidRPr="00D12904">
                    <w:t>‘</w:t>
                  </w:r>
                  <w:r w:rsidRPr="00D12904">
                    <w:rPr>
                      <w:rFonts w:cstheme="minorHAnsi"/>
                    </w:rPr>
                    <w:t xml:space="preserve">CIC children’ </w:t>
                  </w:r>
                  <w:r w:rsidRPr="00D12904">
                    <w:t>from Kamath 2015; ‘Short stature multiplier’ from Al-Uzri 2013; ‘Stoma bag multiplier’ from Hornbrook 2011</w:t>
                  </w:r>
                </w:p>
              </w:tc>
            </w:tr>
            <w:tr w:rsidR="00E5561C" w:rsidRPr="00D12904" w14:paraId="369D2DB2" w14:textId="77777777" w:rsidTr="00D97F5D">
              <w:trPr>
                <w:trHeight w:val="20"/>
              </w:trPr>
              <w:tc>
                <w:tcPr>
                  <w:tcW w:w="1271" w:type="dxa"/>
                  <w:vAlign w:val="center"/>
                </w:tcPr>
                <w:p w14:paraId="3DA9A0AA" w14:textId="77777777" w:rsidR="00E5561C" w:rsidRPr="00D12904" w:rsidRDefault="00E5561C" w:rsidP="00605771">
                  <w:pPr>
                    <w:pStyle w:val="TableText0"/>
                    <w:keepLines/>
                  </w:pPr>
                  <w:r w:rsidRPr="00D12904">
                    <w:t>LT</w:t>
                  </w:r>
                </w:p>
              </w:tc>
              <w:tc>
                <w:tcPr>
                  <w:tcW w:w="709" w:type="dxa"/>
                  <w:vAlign w:val="center"/>
                </w:tcPr>
                <w:p w14:paraId="2F857E17" w14:textId="77777777" w:rsidR="00E5561C" w:rsidRPr="00D12904" w:rsidRDefault="00E5561C" w:rsidP="00605771">
                  <w:pPr>
                    <w:pStyle w:val="TableText0"/>
                    <w:keepLines/>
                  </w:pPr>
                  <w:r w:rsidRPr="00D12904">
                    <w:t>0.71</w:t>
                  </w:r>
                </w:p>
              </w:tc>
              <w:tc>
                <w:tcPr>
                  <w:tcW w:w="4848" w:type="dxa"/>
                  <w:vAlign w:val="center"/>
                </w:tcPr>
                <w:p w14:paraId="2F42F426" w14:textId="692D86CB" w:rsidR="00E5561C" w:rsidRPr="00D12904" w:rsidRDefault="00E5561C" w:rsidP="00605771">
                  <w:pPr>
                    <w:pStyle w:val="TableText0"/>
                    <w:keepLines/>
                  </w:pPr>
                  <w:r w:rsidRPr="00D12904">
                    <w:t xml:space="preserve">‘Severe pruritus patients’ </w:t>
                  </w:r>
                  <w:r w:rsidR="00777A77" w:rsidRPr="00D12904">
                    <w:t xml:space="preserve">from </w:t>
                  </w:r>
                  <w:r w:rsidRPr="00D12904">
                    <w:t>Kini 2011</w:t>
                  </w:r>
                </w:p>
              </w:tc>
            </w:tr>
            <w:tr w:rsidR="00E5561C" w:rsidRPr="00D12904" w14:paraId="079DB7D1" w14:textId="77777777" w:rsidTr="00D97F5D">
              <w:trPr>
                <w:trHeight w:val="20"/>
              </w:trPr>
              <w:tc>
                <w:tcPr>
                  <w:tcW w:w="1271" w:type="dxa"/>
                  <w:vAlign w:val="center"/>
                </w:tcPr>
                <w:p w14:paraId="46EEE1FA" w14:textId="77777777" w:rsidR="00E5561C" w:rsidRPr="00D12904" w:rsidRDefault="00E5561C" w:rsidP="00605771">
                  <w:pPr>
                    <w:pStyle w:val="TableText0"/>
                    <w:keepLines/>
                  </w:pPr>
                  <w:r w:rsidRPr="00D12904">
                    <w:t>Post-LT</w:t>
                  </w:r>
                </w:p>
              </w:tc>
              <w:tc>
                <w:tcPr>
                  <w:tcW w:w="709" w:type="dxa"/>
                  <w:vAlign w:val="center"/>
                </w:tcPr>
                <w:p w14:paraId="55600544" w14:textId="77777777" w:rsidR="00E5561C" w:rsidRPr="00D12904" w:rsidRDefault="00E5561C" w:rsidP="00605771">
                  <w:pPr>
                    <w:pStyle w:val="TableText0"/>
                    <w:keepLines/>
                    <w:rPr>
                      <w:vertAlign w:val="superscript"/>
                    </w:rPr>
                  </w:pPr>
                  <w:r w:rsidRPr="00D12904">
                    <w:t>0.774</w:t>
                  </w:r>
                  <w:r w:rsidRPr="00D12904">
                    <w:rPr>
                      <w:vertAlign w:val="superscript"/>
                    </w:rPr>
                    <w:t>a</w:t>
                  </w:r>
                </w:p>
              </w:tc>
              <w:tc>
                <w:tcPr>
                  <w:tcW w:w="4848" w:type="dxa"/>
                  <w:vAlign w:val="center"/>
                </w:tcPr>
                <w:p w14:paraId="5FB6EC8D" w14:textId="67C1AC47" w:rsidR="00E5561C" w:rsidRPr="00D12904" w:rsidRDefault="00E5561C" w:rsidP="00605771">
                  <w:pPr>
                    <w:pStyle w:val="TableText0"/>
                    <w:keepLines/>
                  </w:pPr>
                  <w:r w:rsidRPr="00D12904">
                    <w:t xml:space="preserve">‘Post LT children’ </w:t>
                  </w:r>
                  <w:r w:rsidR="00777A77" w:rsidRPr="00D12904">
                    <w:t xml:space="preserve">from </w:t>
                  </w:r>
                  <w:r w:rsidRPr="00D12904">
                    <w:t xml:space="preserve">Parma 2017, </w:t>
                  </w:r>
                </w:p>
              </w:tc>
            </w:tr>
          </w:tbl>
          <w:p w14:paraId="48A17131" w14:textId="77777777" w:rsidR="00E5561C" w:rsidRPr="00D12904" w:rsidRDefault="00E5561C" w:rsidP="00605771">
            <w:pPr>
              <w:pStyle w:val="TableFigureFooter"/>
              <w:keepNext/>
              <w:keepLines/>
              <w:spacing w:after="0"/>
              <w:rPr>
                <w:sz w:val="20"/>
              </w:rPr>
            </w:pPr>
            <w:r w:rsidRPr="00D12904">
              <w:rPr>
                <w:vertAlign w:val="superscript"/>
              </w:rPr>
              <w:t>a</w:t>
            </w:r>
            <w:r w:rsidRPr="00D12904">
              <w:t xml:space="preserve"> The submission reported post LT utility as 0.85 however, in the model base case this value was 0.774</w:t>
            </w:r>
          </w:p>
        </w:tc>
      </w:tr>
      <w:tr w:rsidR="00E5561C" w:rsidRPr="00D12904" w14:paraId="1E41101B" w14:textId="77777777" w:rsidTr="00DC6589">
        <w:tc>
          <w:tcPr>
            <w:tcW w:w="784" w:type="pct"/>
            <w:shd w:val="clear" w:color="auto" w:fill="auto"/>
            <w:vAlign w:val="center"/>
          </w:tcPr>
          <w:p w14:paraId="767170F0" w14:textId="77777777" w:rsidR="00E5561C" w:rsidRPr="00D12904" w:rsidRDefault="00E5561C" w:rsidP="00DC6589">
            <w:pPr>
              <w:pStyle w:val="Tabletext"/>
            </w:pPr>
            <w:r w:rsidRPr="00D12904">
              <w:t xml:space="preserve">Healthcare resource use and costs </w:t>
            </w:r>
          </w:p>
        </w:tc>
        <w:tc>
          <w:tcPr>
            <w:tcW w:w="4216" w:type="pct"/>
            <w:shd w:val="clear" w:color="auto" w:fill="auto"/>
            <w:vAlign w:val="center"/>
          </w:tcPr>
          <w:p w14:paraId="0DB28BB4" w14:textId="7E6D2D7E" w:rsidR="00E5561C" w:rsidRPr="00D12904" w:rsidRDefault="00E5561C" w:rsidP="00DC6589">
            <w:pPr>
              <w:pStyle w:val="Tabletext"/>
            </w:pPr>
            <w:r w:rsidRPr="00D12904">
              <w:t>The submission included costs associated with:</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06"/>
              <w:gridCol w:w="5373"/>
            </w:tblGrid>
            <w:tr w:rsidR="005034F8" w:rsidRPr="00D12904" w14:paraId="51B5C84C" w14:textId="77777777" w:rsidTr="00D97F5D">
              <w:trPr>
                <w:trHeight w:val="20"/>
              </w:trPr>
              <w:tc>
                <w:tcPr>
                  <w:tcW w:w="2122" w:type="dxa"/>
                </w:tcPr>
                <w:p w14:paraId="15A61E15" w14:textId="30061579" w:rsidR="00E5561C" w:rsidRPr="00D12904" w:rsidRDefault="00E5561C" w:rsidP="00DC6589">
                  <w:pPr>
                    <w:pStyle w:val="TableText0"/>
                    <w:rPr>
                      <w:rStyle w:val="ReporttextChar"/>
                      <w:rFonts w:ascii="Arial Narrow" w:eastAsiaTheme="majorEastAsia" w:hAnsi="Arial Narrow" w:cstheme="majorBidi"/>
                      <w:b/>
                      <w:bCs w:val="0"/>
                      <w:sz w:val="20"/>
                      <w:szCs w:val="24"/>
                      <w:lang w:val="en-AU" w:eastAsia="en-AU"/>
                      <w14:ligatures w14:val="none"/>
                    </w:rPr>
                  </w:pPr>
                  <w:r w:rsidRPr="00D12904">
                    <w:rPr>
                      <w:rStyle w:val="ReporttextChar"/>
                      <w:rFonts w:ascii="Arial Narrow" w:eastAsiaTheme="majorEastAsia" w:hAnsi="Arial Narrow" w:cstheme="majorBidi"/>
                      <w:b/>
                      <w:bCs w:val="0"/>
                      <w:sz w:val="20"/>
                      <w:szCs w:val="24"/>
                      <w:lang w:val="en-AU" w:eastAsia="en-AU"/>
                      <w14:ligatures w14:val="none"/>
                    </w:rPr>
                    <w:t xml:space="preserve">Resource use or cost </w:t>
                  </w:r>
                </w:p>
              </w:tc>
              <w:tc>
                <w:tcPr>
                  <w:tcW w:w="5415" w:type="dxa"/>
                  <w:vAlign w:val="center"/>
                </w:tcPr>
                <w:p w14:paraId="20DCCD1E" w14:textId="77777777" w:rsidR="00E5561C" w:rsidRPr="00D12904" w:rsidRDefault="00E5561C" w:rsidP="00DC6589">
                  <w:pPr>
                    <w:pStyle w:val="TableText0"/>
                    <w:rPr>
                      <w:rStyle w:val="ReporttextChar"/>
                      <w:rFonts w:ascii="Arial Narrow" w:eastAsiaTheme="majorEastAsia" w:hAnsi="Arial Narrow" w:cstheme="majorBidi"/>
                      <w:b/>
                      <w:bCs w:val="0"/>
                      <w:sz w:val="20"/>
                      <w:szCs w:val="24"/>
                      <w:lang w:val="en-AU" w:eastAsia="en-AU"/>
                      <w14:ligatures w14:val="none"/>
                    </w:rPr>
                  </w:pPr>
                  <w:r w:rsidRPr="00D12904">
                    <w:rPr>
                      <w:rStyle w:val="ReporttextChar"/>
                      <w:rFonts w:ascii="Arial Narrow" w:eastAsiaTheme="majorEastAsia" w:hAnsi="Arial Narrow" w:cstheme="majorBidi"/>
                      <w:b/>
                      <w:bCs w:val="0"/>
                      <w:sz w:val="20"/>
                      <w:szCs w:val="24"/>
                      <w:lang w:val="en-AU" w:eastAsia="en-AU"/>
                      <w14:ligatures w14:val="none"/>
                    </w:rPr>
                    <w:t>Source used in model</w:t>
                  </w:r>
                </w:p>
              </w:tc>
            </w:tr>
            <w:tr w:rsidR="005034F8" w:rsidRPr="00D12904" w14:paraId="15CD82BF" w14:textId="77777777" w:rsidTr="00D97F5D">
              <w:trPr>
                <w:trHeight w:val="20"/>
              </w:trPr>
              <w:tc>
                <w:tcPr>
                  <w:tcW w:w="2122" w:type="dxa"/>
                </w:tcPr>
                <w:p w14:paraId="45D1E1A1" w14:textId="77777777" w:rsidR="00E5561C" w:rsidRPr="00D12904" w:rsidRDefault="00E5561C" w:rsidP="00DC6589">
                  <w:pPr>
                    <w:pStyle w:val="TableText0"/>
                    <w:rPr>
                      <w:rStyle w:val="ReporttextChar"/>
                      <w:rFonts w:ascii="Arial Narrow" w:eastAsiaTheme="majorEastAsia" w:hAnsi="Arial Narrow" w:cstheme="majorBidi"/>
                      <w:sz w:val="20"/>
                      <w:szCs w:val="24"/>
                      <w:lang w:val="en-AU" w:eastAsia="en-AU"/>
                      <w14:ligatures w14:val="none"/>
                    </w:rPr>
                  </w:pPr>
                  <w:r w:rsidRPr="00D12904">
                    <w:rPr>
                      <w:rStyle w:val="ReporttextChar"/>
                      <w:rFonts w:ascii="Arial Narrow" w:eastAsiaTheme="majorEastAsia" w:hAnsi="Arial Narrow" w:cstheme="majorBidi"/>
                      <w:sz w:val="20"/>
                      <w:szCs w:val="24"/>
                      <w:lang w:val="en-AU" w:eastAsia="en-AU"/>
                      <w14:ligatures w14:val="none"/>
                    </w:rPr>
                    <w:t>Odevixibat drug acquisition costs</w:t>
                  </w:r>
                </w:p>
              </w:tc>
              <w:tc>
                <w:tcPr>
                  <w:tcW w:w="5415" w:type="dxa"/>
                  <w:vAlign w:val="center"/>
                </w:tcPr>
                <w:p w14:paraId="1FC9A50C" w14:textId="1F2C8271" w:rsidR="00E5561C" w:rsidRPr="00D12904" w:rsidRDefault="00E5561C" w:rsidP="00DC6589">
                  <w:pPr>
                    <w:pStyle w:val="TableText0"/>
                    <w:rPr>
                      <w:rStyle w:val="ReporttextChar"/>
                      <w:rFonts w:ascii="Arial Narrow" w:eastAsiaTheme="majorEastAsia" w:hAnsi="Arial Narrow" w:cstheme="majorBidi"/>
                      <w:sz w:val="20"/>
                      <w:szCs w:val="24"/>
                      <w:lang w:val="en-AU" w:eastAsia="en-AU"/>
                      <w14:ligatures w14:val="none"/>
                    </w:rPr>
                  </w:pPr>
                  <w:r w:rsidRPr="00D12904">
                    <w:rPr>
                      <w:rStyle w:val="ReporttextChar"/>
                      <w:rFonts w:ascii="Arial Narrow" w:eastAsiaTheme="majorEastAsia" w:hAnsi="Arial Narrow" w:cstheme="majorBidi"/>
                      <w:sz w:val="20"/>
                      <w:szCs w:val="24"/>
                      <w:lang w:val="en-AU" w:eastAsia="en-AU"/>
                      <w14:ligatures w14:val="none"/>
                    </w:rPr>
                    <w:t xml:space="preserve">Based </w:t>
                  </w:r>
                  <w:r w:rsidR="00BA1A02" w:rsidRPr="00D12904">
                    <w:rPr>
                      <w:rStyle w:val="ReporttextChar"/>
                      <w:rFonts w:ascii="Arial Narrow" w:eastAsiaTheme="majorEastAsia" w:hAnsi="Arial Narrow" w:cstheme="majorBidi"/>
                      <w:sz w:val="20"/>
                      <w:szCs w:val="24"/>
                      <w:lang w:val="en-AU" w:eastAsia="en-AU"/>
                      <w14:ligatures w14:val="none"/>
                    </w:rPr>
                    <w:t>o</w:t>
                  </w:r>
                  <w:r w:rsidR="00BA1A02" w:rsidRPr="00D12904">
                    <w:rPr>
                      <w:rStyle w:val="ReporttextChar"/>
                      <w:rFonts w:ascii="Arial Narrow" w:eastAsiaTheme="majorEastAsia" w:hAnsi="Arial Narrow" w:cstheme="majorBidi"/>
                      <w:szCs w:val="24"/>
                    </w:rPr>
                    <w:t xml:space="preserve">n </w:t>
                  </w:r>
                  <w:r w:rsidRPr="00D12904">
                    <w:rPr>
                      <w:rStyle w:val="ReporttextChar"/>
                      <w:rFonts w:ascii="Arial Narrow" w:eastAsiaTheme="majorEastAsia" w:hAnsi="Arial Narrow" w:cstheme="majorBidi"/>
                      <w:sz w:val="20"/>
                      <w:szCs w:val="24"/>
                      <w:lang w:val="en-AU" w:eastAsia="en-AU"/>
                      <w14:ligatures w14:val="none"/>
                    </w:rPr>
                    <w:t xml:space="preserve">the dose administered (40 or 120 mcg/kg/day); patient weight and weight distribution data (CDC growth charts and ABS); and corresponding capsule strengths (200, 400, 600, and 1200 mcg). Low dose patients initiate </w:t>
                  </w:r>
                  <w:r w:rsidR="00AE5080">
                    <w:rPr>
                      <w:rStyle w:val="ReporttextChar"/>
                      <w:rFonts w:ascii="Arial Narrow" w:eastAsiaTheme="majorEastAsia" w:hAnsi="Arial Narrow" w:cstheme="majorBidi"/>
                      <w:sz w:val="20"/>
                      <w:szCs w:val="24"/>
                      <w:lang w:val="en-AU" w:eastAsia="en-AU"/>
                      <w14:ligatures w14:val="none"/>
                    </w:rPr>
                    <w:t>on</w:t>
                  </w:r>
                  <w:r w:rsidR="00AE5080" w:rsidRPr="00D12904">
                    <w:rPr>
                      <w:rStyle w:val="ReporttextChar"/>
                      <w:rFonts w:ascii="Arial Narrow" w:eastAsiaTheme="majorEastAsia" w:hAnsi="Arial Narrow" w:cstheme="majorBidi"/>
                      <w:sz w:val="20"/>
                      <w:szCs w:val="24"/>
                      <w:lang w:val="en-AU" w:eastAsia="en-AU"/>
                      <w14:ligatures w14:val="none"/>
                    </w:rPr>
                    <w:t xml:space="preserve"> </w:t>
                  </w:r>
                  <w:r w:rsidRPr="00D12904">
                    <w:rPr>
                      <w:rStyle w:val="ReporttextChar"/>
                      <w:rFonts w:ascii="Arial Narrow" w:eastAsiaTheme="majorEastAsia" w:hAnsi="Arial Narrow" w:cstheme="majorBidi"/>
                      <w:sz w:val="20"/>
                      <w:szCs w:val="24"/>
                      <w:lang w:val="en-AU" w:eastAsia="en-AU"/>
                      <w14:ligatures w14:val="none"/>
                    </w:rPr>
                    <w:t xml:space="preserve">either 200 or 400 mcg capsules dose escalations </w:t>
                  </w:r>
                  <w:r w:rsidR="00AE5080">
                    <w:rPr>
                      <w:rStyle w:val="ReporttextChar"/>
                      <w:rFonts w:ascii="Arial Narrow" w:eastAsiaTheme="majorEastAsia" w:hAnsi="Arial Narrow" w:cstheme="majorBidi"/>
                      <w:sz w:val="20"/>
                      <w:szCs w:val="24"/>
                      <w:lang w:val="en-AU" w:eastAsia="en-AU"/>
                      <w14:ligatures w14:val="none"/>
                    </w:rPr>
                    <w:t>to</w:t>
                  </w:r>
                  <w:r w:rsidR="00B146C3">
                    <w:rPr>
                      <w:rStyle w:val="ReporttextChar"/>
                      <w:rFonts w:ascii="Arial Narrow" w:eastAsiaTheme="majorEastAsia" w:hAnsi="Arial Narrow" w:cstheme="majorBidi"/>
                      <w:sz w:val="20"/>
                      <w:szCs w:val="24"/>
                      <w:lang w:val="en-AU" w:eastAsia="en-AU"/>
                      <w14:ligatures w14:val="none"/>
                    </w:rPr>
                    <w:t xml:space="preserve"> </w:t>
                  </w:r>
                  <w:r w:rsidR="008637E8">
                    <w:rPr>
                      <w:rStyle w:val="ReporttextChar"/>
                      <w:rFonts w:ascii="Arial Narrow" w:eastAsiaTheme="majorEastAsia" w:hAnsi="Arial Narrow" w:cstheme="majorBidi"/>
                      <w:sz w:val="20"/>
                      <w:szCs w:val="24"/>
                      <w:lang w:val="en-AU" w:eastAsia="en-AU"/>
                      <w14:ligatures w14:val="none"/>
                    </w:rPr>
                    <w:t>either</w:t>
                  </w:r>
                  <w:r w:rsidRPr="00D12904">
                    <w:rPr>
                      <w:rStyle w:val="ReporttextChar"/>
                      <w:rFonts w:ascii="Arial Narrow" w:eastAsiaTheme="majorEastAsia" w:hAnsi="Arial Narrow" w:cstheme="majorBidi"/>
                      <w:sz w:val="20"/>
                      <w:szCs w:val="24"/>
                      <w:lang w:val="en-AU" w:eastAsia="en-AU"/>
                      <w14:ligatures w14:val="none"/>
                    </w:rPr>
                    <w:t xml:space="preserve"> 600 mcg or 1200 mcg capsules based on patient weight. Odevixibat costs are only incurred in the ‘no PEBD, response’ state</w:t>
                  </w:r>
                </w:p>
              </w:tc>
            </w:tr>
            <w:tr w:rsidR="005034F8" w:rsidRPr="00D12904" w14:paraId="5FF8803D" w14:textId="77777777" w:rsidTr="00D97F5D">
              <w:trPr>
                <w:trHeight w:val="20"/>
              </w:trPr>
              <w:tc>
                <w:tcPr>
                  <w:tcW w:w="2122" w:type="dxa"/>
                </w:tcPr>
                <w:p w14:paraId="081D9482" w14:textId="012D545E" w:rsidR="00E5561C" w:rsidRPr="00D12904" w:rsidRDefault="00E5561C" w:rsidP="00DC6589">
                  <w:pPr>
                    <w:pStyle w:val="TableText0"/>
                  </w:pPr>
                  <w:r w:rsidRPr="00D12904">
                    <w:t xml:space="preserve">Oral </w:t>
                  </w:r>
                  <w:r w:rsidR="005034F8" w:rsidRPr="00D12904">
                    <w:t>therapy drug acquisition cost (</w:t>
                  </w:r>
                  <w:r w:rsidRPr="00D12904">
                    <w:t>UDCA, cholestyramine, rifampicin, and naltrexone</w:t>
                  </w:r>
                  <w:r w:rsidR="005034F8" w:rsidRPr="00D12904">
                    <w:t>)</w:t>
                  </w:r>
                </w:p>
              </w:tc>
              <w:tc>
                <w:tcPr>
                  <w:tcW w:w="5415" w:type="dxa"/>
                  <w:vAlign w:val="center"/>
                </w:tcPr>
                <w:p w14:paraId="71D6FEC3" w14:textId="60BFE2E0" w:rsidR="00E5561C" w:rsidRPr="00D12904" w:rsidRDefault="00977192" w:rsidP="00DC6589">
                  <w:pPr>
                    <w:pStyle w:val="TableText0"/>
                  </w:pPr>
                  <w:r>
                    <w:t>P</w:t>
                  </w:r>
                  <w:r w:rsidR="00E5561C" w:rsidRPr="00D12904">
                    <w:t>roportion of use w</w:t>
                  </w:r>
                  <w:r>
                    <w:t>as</w:t>
                  </w:r>
                  <w:r w:rsidR="00E5561C" w:rsidRPr="00D12904">
                    <w:t xml:space="preserve"> informed by PEDFIC 1 (UDCA, rifampicin), a burden of </w:t>
                  </w:r>
                  <w:r w:rsidR="00DE7B08">
                    <w:t>i</w:t>
                  </w:r>
                  <w:r w:rsidR="00E5561C" w:rsidRPr="00D12904">
                    <w:t>llness study (HCD 2021</w:t>
                  </w:r>
                  <w:r w:rsidR="00530D99" w:rsidRPr="00D12904">
                    <w:t>*</w:t>
                  </w:r>
                  <w:r w:rsidR="00E5561C" w:rsidRPr="00D12904">
                    <w:t xml:space="preserve">; cholestyramine), and the NICE (naltrexone). Both odevixibat and SOC arms receive oral therapies in the ‘no PEBD, response’ and ‘no PEBD, no response’ health states only. </w:t>
                  </w:r>
                </w:p>
              </w:tc>
            </w:tr>
            <w:tr w:rsidR="005034F8" w:rsidRPr="00D12904" w14:paraId="3664BBF3" w14:textId="77777777" w:rsidTr="00D97F5D">
              <w:trPr>
                <w:trHeight w:val="20"/>
              </w:trPr>
              <w:tc>
                <w:tcPr>
                  <w:tcW w:w="2122" w:type="dxa"/>
                </w:tcPr>
                <w:p w14:paraId="5B5C98AC" w14:textId="3E4E7EC1" w:rsidR="00E5561C" w:rsidRPr="00D12904" w:rsidRDefault="00A57600" w:rsidP="00DC6589">
                  <w:pPr>
                    <w:pStyle w:val="TableText0"/>
                  </w:pPr>
                  <w:r w:rsidRPr="00D12904">
                    <w:t>LT costs (</w:t>
                  </w:r>
                  <w:r w:rsidR="00E5561C" w:rsidRPr="00D12904">
                    <w:t>including surgery, immunosuppression, monitoring, and complications</w:t>
                  </w:r>
                  <w:r w:rsidRPr="00D12904">
                    <w:t>)</w:t>
                  </w:r>
                </w:p>
              </w:tc>
              <w:tc>
                <w:tcPr>
                  <w:tcW w:w="5415" w:type="dxa"/>
                  <w:vAlign w:val="center"/>
                </w:tcPr>
                <w:p w14:paraId="0A59E9A3" w14:textId="2955E6FA" w:rsidR="00E5561C" w:rsidRPr="00D12904" w:rsidRDefault="00E5561C" w:rsidP="00DC6589">
                  <w:pPr>
                    <w:pStyle w:val="TableText0"/>
                  </w:pPr>
                  <w:r w:rsidRPr="00D12904">
                    <w:t xml:space="preserve">Pre-transplant costs were based on the McElroy 2017 and </w:t>
                  </w:r>
                  <w:r w:rsidR="005F1476" w:rsidRPr="00D12904">
                    <w:t xml:space="preserve">LT </w:t>
                  </w:r>
                  <w:r w:rsidRPr="00D12904">
                    <w:t>and organ retrieval costs were sourced from NHCDC. Post-LT costs were also based on McElroy 2017 and include outpatient visits, blood tests, imaging tests and inpatient admission</w:t>
                  </w:r>
                </w:p>
              </w:tc>
            </w:tr>
            <w:tr w:rsidR="005034F8" w:rsidRPr="00D12904" w14:paraId="30B9A5B3" w14:textId="77777777" w:rsidTr="00D97F5D">
              <w:trPr>
                <w:trHeight w:val="20"/>
              </w:trPr>
              <w:tc>
                <w:tcPr>
                  <w:tcW w:w="2122" w:type="dxa"/>
                </w:tcPr>
                <w:p w14:paraId="518B39C9" w14:textId="49DBEF57" w:rsidR="00E5561C" w:rsidRPr="00D12904" w:rsidRDefault="00A57600" w:rsidP="00DC6589">
                  <w:pPr>
                    <w:pStyle w:val="TableText0"/>
                  </w:pPr>
                  <w:r w:rsidRPr="00D12904">
                    <w:lastRenderedPageBreak/>
                    <w:t>PEBD costs (i</w:t>
                  </w:r>
                  <w:r w:rsidR="00E5561C" w:rsidRPr="00D12904">
                    <w:t>ncluding surgery</w:t>
                  </w:r>
                  <w:r w:rsidRPr="00D12904">
                    <w:t>,</w:t>
                  </w:r>
                  <w:r w:rsidR="000865B8" w:rsidRPr="00D12904">
                    <w:t xml:space="preserve"> reoperations,</w:t>
                  </w:r>
                  <w:r w:rsidRPr="00D12904">
                    <w:t xml:space="preserve"> complications,</w:t>
                  </w:r>
                  <w:r w:rsidR="00E5561C" w:rsidRPr="00D12904">
                    <w:t xml:space="preserve"> and monitoring</w:t>
                  </w:r>
                  <w:r w:rsidRPr="00D12904">
                    <w:t>)</w:t>
                  </w:r>
                </w:p>
              </w:tc>
              <w:tc>
                <w:tcPr>
                  <w:tcW w:w="5415" w:type="dxa"/>
                  <w:vAlign w:val="center"/>
                </w:tcPr>
                <w:p w14:paraId="6534AC0F" w14:textId="60E0911A" w:rsidR="00E5561C" w:rsidRPr="00D12904" w:rsidRDefault="00E5561C" w:rsidP="00DC6589">
                  <w:pPr>
                    <w:pStyle w:val="TableText0"/>
                  </w:pPr>
                  <w:r w:rsidRPr="00D12904">
                    <w:t>The proportion of patients with complications (re</w:t>
                  </w:r>
                  <w:r w:rsidRPr="00D12904">
                    <w:noBreakHyphen/>
                    <w:t>operations, infection or bowel prolapse) was informed by Bjornland 2021. The weighted average cost of PEBD and associated complications was applied once-off for new patients entering the PEBD health state. The unit costs, mean number of visits, and the proportion of patients who have clinical were informed by the HCD 2021</w:t>
                  </w:r>
                  <w:r w:rsidR="00530D99" w:rsidRPr="00D12904">
                    <w:t>*</w:t>
                  </w:r>
                  <w:r w:rsidRPr="00D12904">
                    <w:t xml:space="preserve"> burden of illness study.</w:t>
                  </w:r>
                </w:p>
              </w:tc>
            </w:tr>
            <w:tr w:rsidR="005034F8" w:rsidRPr="00D12904" w14:paraId="1CB59274" w14:textId="77777777" w:rsidTr="00D97F5D">
              <w:trPr>
                <w:trHeight w:val="20"/>
              </w:trPr>
              <w:tc>
                <w:tcPr>
                  <w:tcW w:w="2122" w:type="dxa"/>
                </w:tcPr>
                <w:p w14:paraId="5D168D3B" w14:textId="77777777" w:rsidR="00E5561C" w:rsidRPr="00D12904" w:rsidRDefault="00E5561C" w:rsidP="00DC6589">
                  <w:pPr>
                    <w:pStyle w:val="TableText0"/>
                  </w:pPr>
                  <w:r w:rsidRPr="00D12904">
                    <w:t>AE</w:t>
                  </w:r>
                </w:p>
              </w:tc>
              <w:tc>
                <w:tcPr>
                  <w:tcW w:w="5415" w:type="dxa"/>
                  <w:vAlign w:val="center"/>
                </w:tcPr>
                <w:p w14:paraId="4534FC08" w14:textId="77777777" w:rsidR="00E5561C" w:rsidRPr="00D12904" w:rsidRDefault="00E5561C" w:rsidP="00DC6589">
                  <w:pPr>
                    <w:pStyle w:val="TableText0"/>
                  </w:pPr>
                  <w:r w:rsidRPr="00D12904">
                    <w:t xml:space="preserve">AE events included were based on PEDFIC 1.  </w:t>
                  </w:r>
                </w:p>
              </w:tc>
            </w:tr>
            <w:tr w:rsidR="005034F8" w:rsidRPr="00D12904" w14:paraId="09711E60" w14:textId="77777777" w:rsidTr="00D97F5D">
              <w:trPr>
                <w:trHeight w:val="20"/>
              </w:trPr>
              <w:tc>
                <w:tcPr>
                  <w:tcW w:w="2122" w:type="dxa"/>
                </w:tcPr>
                <w:p w14:paraId="7CC033EB" w14:textId="3EE609F6" w:rsidR="00E5561C" w:rsidRPr="00D12904" w:rsidRDefault="00E5561C" w:rsidP="00DC6589">
                  <w:pPr>
                    <w:pStyle w:val="TableText0"/>
                  </w:pPr>
                  <w:r w:rsidRPr="00D12904">
                    <w:t>Societal costs</w:t>
                  </w:r>
                  <w:r w:rsidR="001F0C93" w:rsidRPr="00D12904">
                    <w:t xml:space="preserve"> including </w:t>
                  </w:r>
                  <w:r w:rsidRPr="00D12904">
                    <w:t>lost productivity (scenario</w:t>
                  </w:r>
                  <w:r w:rsidR="001F0C93" w:rsidRPr="00D12904">
                    <w:t xml:space="preserve"> </w:t>
                  </w:r>
                  <w:r w:rsidRPr="00D12904">
                    <w:t>analysis only)</w:t>
                  </w:r>
                </w:p>
              </w:tc>
              <w:tc>
                <w:tcPr>
                  <w:tcW w:w="5415" w:type="dxa"/>
                  <w:vAlign w:val="center"/>
                </w:tcPr>
                <w:p w14:paraId="7494BF05" w14:textId="647F3644" w:rsidR="00E5561C" w:rsidRPr="00D12904" w:rsidRDefault="00E5561C" w:rsidP="00DC6589">
                  <w:pPr>
                    <w:pStyle w:val="TableText0"/>
                  </w:pPr>
                  <w:r w:rsidRPr="00D12904">
                    <w:t xml:space="preserve">Lost productivity </w:t>
                  </w:r>
                  <w:r w:rsidR="00977192">
                    <w:t>was</w:t>
                  </w:r>
                  <w:r w:rsidRPr="00D12904">
                    <w:t xml:space="preserve"> based on the proportion of work impairment recorded in the burden of illness study (HCD 2021</w:t>
                  </w:r>
                  <w:r w:rsidR="00530D99" w:rsidRPr="00D12904">
                    <w:t>*</w:t>
                  </w:r>
                  <w:r w:rsidRPr="00D12904">
                    <w:t>).</w:t>
                  </w:r>
                </w:p>
              </w:tc>
            </w:tr>
          </w:tbl>
          <w:p w14:paraId="23A8D005" w14:textId="679EC790" w:rsidR="00E5561C" w:rsidRPr="00D12904" w:rsidRDefault="00530D99" w:rsidP="00DC6589">
            <w:pPr>
              <w:pStyle w:val="Tabletext"/>
              <w:rPr>
                <w:sz w:val="18"/>
                <w:szCs w:val="18"/>
              </w:rPr>
            </w:pPr>
            <w:r w:rsidRPr="00D12904">
              <w:rPr>
                <w:sz w:val="18"/>
                <w:szCs w:val="18"/>
              </w:rPr>
              <w:t xml:space="preserve">* </w:t>
            </w:r>
            <w:r w:rsidR="00E5561C" w:rsidRPr="00D12904">
              <w:rPr>
                <w:sz w:val="18"/>
                <w:szCs w:val="18"/>
              </w:rPr>
              <w:t xml:space="preserve">Note: The HCD 2021 burden of illness study was not </w:t>
            </w:r>
            <w:r w:rsidR="005F1476" w:rsidRPr="00D12904">
              <w:rPr>
                <w:sz w:val="18"/>
                <w:szCs w:val="18"/>
              </w:rPr>
              <w:t>provided,</w:t>
            </w:r>
            <w:r w:rsidR="00E5561C" w:rsidRPr="00D12904">
              <w:rPr>
                <w:sz w:val="18"/>
                <w:szCs w:val="18"/>
              </w:rPr>
              <w:t xml:space="preserve"> and no clear citations presented, hence could not be verified </w:t>
            </w:r>
          </w:p>
        </w:tc>
      </w:tr>
    </w:tbl>
    <w:p w14:paraId="4113AFCE" w14:textId="77777777" w:rsidR="00E5561C" w:rsidRPr="00D33C2C" w:rsidRDefault="00E5561C" w:rsidP="00E5561C">
      <w:pPr>
        <w:pStyle w:val="TableFigureFooter"/>
      </w:pPr>
      <w:r w:rsidRPr="00D33C2C">
        <w:lastRenderedPageBreak/>
        <w:t>Source: Table 3-1, p128; and Table 3-15, pp147-8; Table 3-15; Table 3-13, p145; Table 3-32, p156 of the submission</w:t>
      </w:r>
    </w:p>
    <w:p w14:paraId="2B4C3D11" w14:textId="12954FEF" w:rsidR="00E5561C" w:rsidRPr="00D33C2C" w:rsidRDefault="00E5561C" w:rsidP="00E5561C">
      <w:pPr>
        <w:pStyle w:val="TableFigureFooter"/>
      </w:pPr>
      <w:r w:rsidRPr="00D33C2C">
        <w:t xml:space="preserve">ABS = Australian Bureau of Statistics; AEs = adverse events; CDC = Centre for Disease Control; </w:t>
      </w:r>
      <w:r w:rsidR="00DE7B08" w:rsidRPr="00D33C2C">
        <w:t xml:space="preserve">EQ-5D = EuroQol-5 Dimension; </w:t>
      </w:r>
      <w:r w:rsidR="00DE7B08">
        <w:t xml:space="preserve">LT = liver transplant; LYG = life years gained; </w:t>
      </w:r>
      <w:r w:rsidR="00DE7B08" w:rsidRPr="00D33C2C">
        <w:t xml:space="preserve">NHCDC = National Hospital Cost Data Collection; </w:t>
      </w:r>
      <w:r w:rsidR="00DE7B08">
        <w:t xml:space="preserve">NICE = National institute for Health Care and Excellence; </w:t>
      </w:r>
      <w:r w:rsidRPr="00D33C2C">
        <w:t xml:space="preserve">PEBD = </w:t>
      </w:r>
      <w:r w:rsidR="00DE7B08">
        <w:t>p</w:t>
      </w:r>
      <w:r w:rsidRPr="00D33C2C">
        <w:t>artial external biliary diversion;</w:t>
      </w:r>
      <w:r w:rsidR="00DE7B08">
        <w:t xml:space="preserve"> </w:t>
      </w:r>
      <w:r w:rsidR="00DE7B08" w:rsidRPr="00D33C2C">
        <w:t>PedsQL = Paediatric Quality of Life Inventory;</w:t>
      </w:r>
      <w:r w:rsidRPr="00D33C2C">
        <w:t xml:space="preserve"> PFIC = </w:t>
      </w:r>
      <w:r w:rsidR="00DE7B08">
        <w:t>p</w:t>
      </w:r>
      <w:r w:rsidRPr="00D33C2C">
        <w:t xml:space="preserve">rogressive familial intrahepatic cholestasis; </w:t>
      </w:r>
      <w:r w:rsidR="00DE7B08" w:rsidRPr="00D33C2C">
        <w:t xml:space="preserve">QALY = quality-adjusted life years; </w:t>
      </w:r>
      <w:r w:rsidR="00DE7B08">
        <w:t xml:space="preserve">sBA = serum bile acid; </w:t>
      </w:r>
      <w:r w:rsidRPr="00D33C2C">
        <w:t xml:space="preserve">SOC = standard of care; </w:t>
      </w:r>
      <w:r w:rsidR="001F0C93" w:rsidRPr="00D33C2C">
        <w:t>UDCA = Ursodeoxycholic acid</w:t>
      </w:r>
    </w:p>
    <w:p w14:paraId="26CF76BD" w14:textId="1D0E4221" w:rsidR="00E5561C" w:rsidRPr="00D33C2C" w:rsidRDefault="00E5561C" w:rsidP="00E5561C">
      <w:pPr>
        <w:pStyle w:val="3-BodyText"/>
        <w:rPr>
          <w:i/>
          <w:iCs/>
        </w:rPr>
      </w:pPr>
      <w:r w:rsidRPr="00D33C2C">
        <w:t>The submission considered pruritus response with or without sBA response as the clinically relevant outcome and that model progression was predicated on losing or not achieving response (i.e., worsening of pruritus symptoms due to elevated sBA)</w:t>
      </w:r>
      <w:r w:rsidR="00B143F7">
        <w:t>.</w:t>
      </w:r>
    </w:p>
    <w:p w14:paraId="000B0808" w14:textId="7DB74AA4" w:rsidR="00E5561C" w:rsidRPr="00D33C2C" w:rsidRDefault="00E5561C" w:rsidP="00E5561C">
      <w:pPr>
        <w:pStyle w:val="3-BodyText"/>
      </w:pPr>
      <w:r w:rsidRPr="00D33C2C">
        <w:t xml:space="preserve">Patients </w:t>
      </w:r>
      <w:r w:rsidR="00BB4D5B">
        <w:t>we</w:t>
      </w:r>
      <w:r w:rsidRPr="00D33C2C">
        <w:t xml:space="preserve">re assumed to be either treated with odevixibat or SOC and initially distributed to either the ‘no PEBD, pruritus with/without sBA response’ or ‘no PEBD, no response’ health states based on the sBA responder rate. OvEC informed sBA response for odevixibat and the submission assumed sBA response was 0% for SOC. At this point, all patients were assumed </w:t>
      </w:r>
      <w:r w:rsidR="008E6381">
        <w:t xml:space="preserve">not </w:t>
      </w:r>
      <w:r w:rsidRPr="00D33C2C">
        <w:t xml:space="preserve">to have undergone PEBD. Patients </w:t>
      </w:r>
      <w:r w:rsidR="000C3DBE">
        <w:t xml:space="preserve">could </w:t>
      </w:r>
      <w:r w:rsidRPr="00D33C2C">
        <w:t>lose response and progress to PEBD or LT</w:t>
      </w:r>
      <w:r w:rsidR="000D69D0" w:rsidRPr="00D33C2C">
        <w:t>, but</w:t>
      </w:r>
      <w:r w:rsidRPr="00D33C2C">
        <w:t xml:space="preserve"> </w:t>
      </w:r>
      <w:r w:rsidR="000D69D0" w:rsidRPr="00D33C2C">
        <w:t>t</w:t>
      </w:r>
      <w:r w:rsidRPr="00D33C2C">
        <w:t xml:space="preserve">he model assumed </w:t>
      </w:r>
      <w:r w:rsidR="008E6381">
        <w:t xml:space="preserve">that </w:t>
      </w:r>
      <w:r w:rsidRPr="00D33C2C">
        <w:t xml:space="preserve">only </w:t>
      </w:r>
      <w:r w:rsidR="008E6381">
        <w:t xml:space="preserve">patients in </w:t>
      </w:r>
      <w:r w:rsidRPr="00D33C2C">
        <w:t xml:space="preserve">the SOC arm could undergo PEBD, and these patients </w:t>
      </w:r>
      <w:r w:rsidR="000C3DBE">
        <w:t>could</w:t>
      </w:r>
      <w:r w:rsidR="000C3DBE" w:rsidRPr="00D33C2C">
        <w:t xml:space="preserve"> </w:t>
      </w:r>
      <w:r w:rsidRPr="00D33C2C">
        <w:t xml:space="preserve">respond or not respond to PEBD. Patients </w:t>
      </w:r>
      <w:r w:rsidR="000C3DBE">
        <w:t>could</w:t>
      </w:r>
      <w:r w:rsidR="000C3DBE" w:rsidRPr="00D33C2C">
        <w:t xml:space="preserve"> </w:t>
      </w:r>
      <w:r w:rsidRPr="00D33C2C">
        <w:t>progress to LT from the post-PEBD states or the initial PEBD-naïve state. From LT, patients enter the post-LT state and c</w:t>
      </w:r>
      <w:r w:rsidR="007B4384">
        <w:t>ould</w:t>
      </w:r>
      <w:r w:rsidRPr="00D33C2C">
        <w:t xml:space="preserve"> also undergo a second transplant. All patients </w:t>
      </w:r>
      <w:r w:rsidR="007B4384">
        <w:t>we</w:t>
      </w:r>
      <w:r w:rsidRPr="00D33C2C">
        <w:t>re a</w:t>
      </w:r>
      <w:r w:rsidR="00246D65">
        <w:t>ssumed to be a</w:t>
      </w:r>
      <w:r w:rsidRPr="00D33C2C">
        <w:t>t risk of death, with additional mortality risks following LT.</w:t>
      </w:r>
    </w:p>
    <w:p w14:paraId="49AC2DF2" w14:textId="21614DE9" w:rsidR="00ED7895" w:rsidRPr="00446A51" w:rsidRDefault="00E5561C" w:rsidP="00180510">
      <w:pPr>
        <w:pStyle w:val="3-BodyText"/>
      </w:pPr>
      <w:bookmarkStart w:id="83" w:name="_Ref164668208"/>
      <w:r w:rsidRPr="00D33C2C">
        <w:t xml:space="preserve">A key driver of the model was the assumption that </w:t>
      </w:r>
      <w:r w:rsidR="000C3DBE">
        <w:t xml:space="preserve">patients from </w:t>
      </w:r>
      <w:r w:rsidRPr="00D33C2C">
        <w:t xml:space="preserve">the odevixibat arm </w:t>
      </w:r>
      <w:r w:rsidR="00246D65">
        <w:t>will</w:t>
      </w:r>
      <w:r w:rsidR="00246D65" w:rsidRPr="00D33C2C">
        <w:t xml:space="preserve"> </w:t>
      </w:r>
      <w:r w:rsidRPr="00D33C2C">
        <w:t>not undergo PEBD after losing response whereas th</w:t>
      </w:r>
      <w:r w:rsidR="000C3DBE">
        <w:t>os</w:t>
      </w:r>
      <w:r w:rsidRPr="00D33C2C">
        <w:t xml:space="preserve">e </w:t>
      </w:r>
      <w:r w:rsidR="000C3DBE">
        <w:t xml:space="preserve">from the </w:t>
      </w:r>
      <w:r w:rsidRPr="00D33C2C">
        <w:t xml:space="preserve">SOC arm </w:t>
      </w:r>
      <w:r w:rsidR="000C3DBE">
        <w:t>were</w:t>
      </w:r>
      <w:r w:rsidR="000C3DBE" w:rsidRPr="00D33C2C">
        <w:t xml:space="preserve"> </w:t>
      </w:r>
      <w:r w:rsidRPr="00D33C2C">
        <w:t xml:space="preserve">modelled to enter PEBD states. </w:t>
      </w:r>
      <w:r w:rsidRPr="00446A51">
        <w:t xml:space="preserve">This assumption </w:t>
      </w:r>
      <w:r w:rsidR="000C3DBE" w:rsidRPr="00446A51">
        <w:t>resulted in</w:t>
      </w:r>
      <w:r w:rsidRPr="00446A51">
        <w:t xml:space="preserve"> odevixibat patients remain</w:t>
      </w:r>
      <w:r w:rsidR="000C3DBE" w:rsidRPr="00446A51">
        <w:t>ing</w:t>
      </w:r>
      <w:r w:rsidRPr="00446A51">
        <w:t xml:space="preserve"> in the ‘no PEBD, no response’ health state for an extended </w:t>
      </w:r>
      <w:r w:rsidR="00246D65" w:rsidRPr="00446A51">
        <w:t>period</w:t>
      </w:r>
      <w:r w:rsidRPr="00446A51">
        <w:t xml:space="preserve"> compared to the SOC arm. </w:t>
      </w:r>
      <w:r w:rsidR="000C3DBE" w:rsidRPr="00446A51">
        <w:t xml:space="preserve">Additionally, </w:t>
      </w:r>
      <w:r w:rsidR="00246D65">
        <w:t>the model</w:t>
      </w:r>
      <w:r w:rsidR="00246D65" w:rsidRPr="00446A51">
        <w:t xml:space="preserve"> </w:t>
      </w:r>
      <w:r w:rsidRPr="00446A51">
        <w:t xml:space="preserve">may </w:t>
      </w:r>
      <w:r w:rsidR="00246D65">
        <w:t xml:space="preserve">have </w:t>
      </w:r>
      <w:r w:rsidRPr="00446A51">
        <w:t>be</w:t>
      </w:r>
      <w:r w:rsidR="00246D65">
        <w:t>en</w:t>
      </w:r>
      <w:r w:rsidRPr="00446A51">
        <w:t xml:space="preserve"> overly optimistic </w:t>
      </w:r>
      <w:r w:rsidR="0004730A" w:rsidRPr="00446A51">
        <w:t xml:space="preserve">to assume </w:t>
      </w:r>
      <w:r w:rsidRPr="00446A51">
        <w:t xml:space="preserve">that patients who lose response and experience pruritus symptoms and/or progressive liver disease would go without any intervention over this time or </w:t>
      </w:r>
      <w:r w:rsidR="0004730A" w:rsidRPr="00446A51">
        <w:t xml:space="preserve">that there would not be any </w:t>
      </w:r>
      <w:r w:rsidRPr="00446A51">
        <w:t xml:space="preserve">adjustment to transitions to LT or death. </w:t>
      </w:r>
    </w:p>
    <w:p w14:paraId="4F9A9835" w14:textId="557AC116" w:rsidR="000D3DBC" w:rsidRDefault="00486449" w:rsidP="00180510">
      <w:pPr>
        <w:pStyle w:val="3-BodyText"/>
      </w:pPr>
      <w:r w:rsidRPr="00446A51">
        <w:t>As noted in paragraph</w:t>
      </w:r>
      <w:r w:rsidR="00ED7895" w:rsidRPr="00446A51">
        <w:t xml:space="preserve"> </w:t>
      </w:r>
      <w:r w:rsidR="00ED7895" w:rsidRPr="00446A51">
        <w:fldChar w:fldCharType="begin"/>
      </w:r>
      <w:r w:rsidR="00ED7895" w:rsidRPr="00446A51">
        <w:instrText xml:space="preserve"> REF _Ref165899211 \r \h </w:instrText>
      </w:r>
      <w:r w:rsidR="00446A51">
        <w:instrText xml:space="preserve"> \* MERGEFORMAT </w:instrText>
      </w:r>
      <w:r w:rsidR="00ED7895" w:rsidRPr="00446A51">
        <w:fldChar w:fldCharType="separate"/>
      </w:r>
      <w:r w:rsidR="008B4717">
        <w:t>4.12</w:t>
      </w:r>
      <w:r w:rsidR="00ED7895" w:rsidRPr="00446A51">
        <w:fldChar w:fldCharType="end"/>
      </w:r>
      <w:r w:rsidR="00ED7895" w:rsidRPr="00446A51">
        <w:t xml:space="preserve">, </w:t>
      </w:r>
      <w:r w:rsidR="001623C0" w:rsidRPr="00446A51">
        <w:t xml:space="preserve">although </w:t>
      </w:r>
      <w:r w:rsidR="00ED7895" w:rsidRPr="00446A51">
        <w:t>the NICE considered that PEBD was unlikely to be offered after odevixibat,</w:t>
      </w:r>
      <w:r w:rsidRPr="00446A51">
        <w:t xml:space="preserve"> the </w:t>
      </w:r>
      <w:r w:rsidR="0030283A" w:rsidRPr="0030283A">
        <w:t>ESC noted th</w:t>
      </w:r>
      <w:r w:rsidR="0030283A">
        <w:t>ere was conflicting</w:t>
      </w:r>
      <w:r w:rsidR="0030283A" w:rsidRPr="0030283A">
        <w:t xml:space="preserve"> advice </w:t>
      </w:r>
      <w:r w:rsidR="0030283A">
        <w:t>regarding the clinical utility of PEBD following odevixibat treatment</w:t>
      </w:r>
      <w:r w:rsidR="00051FEA">
        <w:t>.  A</w:t>
      </w:r>
      <w:r w:rsidR="0030283A" w:rsidRPr="0030283A">
        <w:t xml:space="preserve">lthough clinical experts from </w:t>
      </w:r>
      <w:r w:rsidR="003F35F1">
        <w:t xml:space="preserve">the </w:t>
      </w:r>
      <w:r w:rsidR="0030283A" w:rsidRPr="0030283A">
        <w:t xml:space="preserve">NICE explained that surgery is only an option for a limited group who have no liver fibrosis and where their disease is not advanced, information from </w:t>
      </w:r>
      <w:r w:rsidR="00C73C7E">
        <w:t>six</w:t>
      </w:r>
      <w:r w:rsidR="0030283A" w:rsidRPr="0030283A">
        <w:t xml:space="preserve"> European experts suggested that in patients who do not respond to odevixibat and oral </w:t>
      </w:r>
      <w:r w:rsidR="0030283A" w:rsidRPr="0030283A">
        <w:lastRenderedPageBreak/>
        <w:t>therapies, SBD should be considered.</w:t>
      </w:r>
      <w:r w:rsidR="000D3DBC">
        <w:t xml:space="preserve"> The </w:t>
      </w:r>
      <w:r w:rsidR="00B146C3">
        <w:t>p</w:t>
      </w:r>
      <w:r w:rsidR="000D3DBC">
        <w:t>re-PBAC Response stated that local advice from clinicians experienced in treating PFIC conditions indicated that PEBD may be considered in only a very small number of cases following lack of response with an IBAT inhibitor, and that PEBD does not reflect a standard treatment pathway for all odevixibat non-responders.</w:t>
      </w:r>
    </w:p>
    <w:p w14:paraId="423FC671" w14:textId="7962E847" w:rsidR="00E5561C" w:rsidRPr="00446A51" w:rsidRDefault="0030283A" w:rsidP="00180510">
      <w:pPr>
        <w:pStyle w:val="3-BodyText"/>
      </w:pPr>
      <w:r>
        <w:t xml:space="preserve">The submission’s assumption in regard to </w:t>
      </w:r>
      <w:r w:rsidR="00C73C7E">
        <w:t xml:space="preserve">post-odevixibat </w:t>
      </w:r>
      <w:r>
        <w:t>PEBD</w:t>
      </w:r>
      <w:r w:rsidR="00ED7895" w:rsidRPr="00446A51">
        <w:t xml:space="preserve"> did not align with the 72</w:t>
      </w:r>
      <w:r w:rsidR="00ED7895" w:rsidRPr="00446A51">
        <w:noBreakHyphen/>
        <w:t xml:space="preserve">week data for PEDFIC 2 (see paragraph </w:t>
      </w:r>
      <w:r w:rsidR="000161B3" w:rsidRPr="00446A51">
        <w:fldChar w:fldCharType="begin"/>
      </w:r>
      <w:r w:rsidR="000161B3" w:rsidRPr="00446A51">
        <w:instrText xml:space="preserve"> REF _Ref166154264 \r \h </w:instrText>
      </w:r>
      <w:r w:rsidR="000161B3">
        <w:instrText xml:space="preserve"> \* MERGEFORMAT </w:instrText>
      </w:r>
      <w:r w:rsidR="000161B3" w:rsidRPr="00446A51">
        <w:fldChar w:fldCharType="separate"/>
      </w:r>
      <w:r w:rsidR="008B4717">
        <w:t>6.27</w:t>
      </w:r>
      <w:r w:rsidR="000161B3" w:rsidRPr="00446A51">
        <w:fldChar w:fldCharType="end"/>
      </w:r>
      <w:r w:rsidR="00ED7895" w:rsidRPr="00446A51">
        <w:t>)</w:t>
      </w:r>
      <w:r w:rsidR="0004730A" w:rsidRPr="00446A51">
        <w:t xml:space="preserve"> </w:t>
      </w:r>
      <w:r w:rsidR="00C73C7E">
        <w:t>that</w:t>
      </w:r>
      <w:r w:rsidR="00C73C7E" w:rsidRPr="00446A51">
        <w:t xml:space="preserve"> </w:t>
      </w:r>
      <w:r w:rsidR="0004730A" w:rsidRPr="00446A51">
        <w:t xml:space="preserve">reported that </w:t>
      </w:r>
      <w:r w:rsidR="00D231D4" w:rsidRPr="00446A51">
        <w:t>three</w:t>
      </w:r>
      <w:r w:rsidR="0004730A" w:rsidRPr="00446A51">
        <w:t xml:space="preserve"> patients had received PEBD following odevixibat</w:t>
      </w:r>
      <w:r w:rsidR="00ED7895" w:rsidRPr="00446A51">
        <w:t>.</w:t>
      </w:r>
      <w:r w:rsidR="00486449" w:rsidRPr="00446A51">
        <w:t xml:space="preserve"> </w:t>
      </w:r>
      <w:r w:rsidR="00E5561C" w:rsidRPr="00446A51">
        <w:t xml:space="preserve"> </w:t>
      </w:r>
      <w:r w:rsidR="00AD3596" w:rsidRPr="00446A51">
        <w:t>Nonetheless, t</w:t>
      </w:r>
      <w:r w:rsidR="00E5561C" w:rsidRPr="00446A51">
        <w:t xml:space="preserve">he ‘no PEBD, no response’ health state had a higher utility </w:t>
      </w:r>
      <w:r w:rsidR="003B3534" w:rsidRPr="00446A51">
        <w:t xml:space="preserve">(0.83) </w:t>
      </w:r>
      <w:r w:rsidR="00E5561C" w:rsidRPr="00446A51">
        <w:t xml:space="preserve">than the </w:t>
      </w:r>
      <w:r w:rsidR="000C3DBE" w:rsidRPr="00446A51">
        <w:t xml:space="preserve">post-PEBD </w:t>
      </w:r>
      <w:r w:rsidR="00E5561C" w:rsidRPr="00446A51">
        <w:t>health states</w:t>
      </w:r>
      <w:r w:rsidR="003B3534" w:rsidRPr="00446A51">
        <w:t xml:space="preserve"> (0.659 for ‘PEBD, response’ and 0.599 for </w:t>
      </w:r>
      <w:r w:rsidR="008E6381">
        <w:t>‘</w:t>
      </w:r>
      <w:r w:rsidR="003B3534" w:rsidRPr="00446A51">
        <w:t>PEBD, no response’)</w:t>
      </w:r>
      <w:r w:rsidR="00E5561C" w:rsidRPr="00446A51">
        <w:t>,</w:t>
      </w:r>
      <w:r w:rsidR="00285437" w:rsidRPr="00446A51">
        <w:t xml:space="preserve"> which did not appear reasonable as transition into the post-PEBD health state </w:t>
      </w:r>
      <w:r w:rsidR="009E7D16" w:rsidRPr="00446A51">
        <w:t xml:space="preserve">is not a sign of disease progression but a conscious choice made by the patient (or their carer) to improve, rather than worsen, their quality of life. The </w:t>
      </w:r>
      <w:r w:rsidR="001F054A" w:rsidRPr="00446A51">
        <w:t xml:space="preserve">'no PEBD, no response’ health state </w:t>
      </w:r>
      <w:r w:rsidR="0004730A" w:rsidRPr="00446A51">
        <w:t xml:space="preserve">was </w:t>
      </w:r>
      <w:r w:rsidR="00E5561C" w:rsidRPr="00446A51">
        <w:t xml:space="preserve">also associated with decreased odevixibat costs, hence cost-effectiveness favoured odevixibat over the SOC arm (see </w:t>
      </w:r>
      <w:r w:rsidR="00E5561C" w:rsidRPr="00446A51">
        <w:fldChar w:fldCharType="begin"/>
      </w:r>
      <w:r w:rsidR="00E5561C" w:rsidRPr="00446A51">
        <w:instrText xml:space="preserve"> REF _Ref164621341 \h  \* MERGEFORMAT </w:instrText>
      </w:r>
      <w:r w:rsidR="00E5561C" w:rsidRPr="00446A51">
        <w:fldChar w:fldCharType="separate"/>
      </w:r>
      <w:r w:rsidR="008B4717" w:rsidRPr="00D33C2C">
        <w:t xml:space="preserve">Table </w:t>
      </w:r>
      <w:r w:rsidR="008B4717">
        <w:rPr>
          <w:noProof/>
        </w:rPr>
        <w:t>11</w:t>
      </w:r>
      <w:r w:rsidR="00E5561C" w:rsidRPr="00446A51">
        <w:fldChar w:fldCharType="end"/>
      </w:r>
      <w:r w:rsidR="00E5561C" w:rsidRPr="00446A51">
        <w:t xml:space="preserve"> and paragraph </w:t>
      </w:r>
      <w:r w:rsidR="000161B3" w:rsidRPr="00446A51">
        <w:fldChar w:fldCharType="begin"/>
      </w:r>
      <w:r w:rsidR="000161B3" w:rsidRPr="00446A51">
        <w:instrText xml:space="preserve"> REF _Ref164668236 \r \h </w:instrText>
      </w:r>
      <w:r w:rsidR="000161B3">
        <w:instrText xml:space="preserve"> \* MERGEFORMAT </w:instrText>
      </w:r>
      <w:r w:rsidR="000161B3" w:rsidRPr="00446A51">
        <w:fldChar w:fldCharType="separate"/>
      </w:r>
      <w:r w:rsidR="008B4717">
        <w:t>6.62</w:t>
      </w:r>
      <w:r w:rsidR="000161B3" w:rsidRPr="00446A51">
        <w:fldChar w:fldCharType="end"/>
      </w:r>
      <w:r w:rsidR="00E5561C" w:rsidRPr="00446A51">
        <w:t xml:space="preserve">). Including PEBD within the </w:t>
      </w:r>
      <w:r w:rsidR="00C530F9" w:rsidRPr="00446A51">
        <w:t>odevixibat</w:t>
      </w:r>
      <w:r w:rsidR="00E5561C" w:rsidRPr="00446A51">
        <w:t xml:space="preserve"> arm increased the ICER by 36%.</w:t>
      </w:r>
      <w:bookmarkEnd w:id="83"/>
      <w:r w:rsidR="00E5561C" w:rsidRPr="00446A51">
        <w:t xml:space="preserve"> </w:t>
      </w:r>
    </w:p>
    <w:p w14:paraId="0834AE69" w14:textId="288CFDCF" w:rsidR="001623C0" w:rsidRPr="00446A51" w:rsidRDefault="001623C0" w:rsidP="00D542F8">
      <w:pPr>
        <w:pStyle w:val="3-BodyText"/>
      </w:pPr>
      <w:bookmarkStart w:id="84" w:name="_Ref164673572"/>
      <w:r w:rsidRPr="00446A51">
        <w:t xml:space="preserve">The annual odevixibat discontinuation rate was informed by PEDFIC 2 (3.53% per year). This was </w:t>
      </w:r>
      <w:r w:rsidR="00051FEA">
        <w:t>highly uncertain and likely</w:t>
      </w:r>
      <w:r w:rsidR="00051FEA" w:rsidRPr="00446A51">
        <w:t xml:space="preserve"> </w:t>
      </w:r>
      <w:r w:rsidRPr="00446A51">
        <w:t>underestimated given it was based on 1/34 patients discontinuing over a 42.54-week period</w:t>
      </w:r>
      <w:r w:rsidR="0004730A" w:rsidRPr="00446A51">
        <w:t xml:space="preserve">. Further, </w:t>
      </w:r>
      <w:r w:rsidRPr="00446A51">
        <w:t xml:space="preserve">it </w:t>
      </w:r>
      <w:r w:rsidRPr="00446A51">
        <w:rPr>
          <w:rFonts w:cstheme="minorHAnsi"/>
        </w:rPr>
        <w:t>was unclear if it was appropriate to apply the annual probability to Cycle 1 (cycle length = 1 year) of the model given patients would be on initiation treatment for 3-6 months</w:t>
      </w:r>
      <w:r w:rsidR="007B4384" w:rsidRPr="00446A51">
        <w:rPr>
          <w:rFonts w:cstheme="minorHAnsi"/>
        </w:rPr>
        <w:t xml:space="preserve"> (depending on whether there was dose escalation)</w:t>
      </w:r>
      <w:r w:rsidRPr="00446A51">
        <w:rPr>
          <w:rFonts w:cstheme="minorHAnsi"/>
        </w:rPr>
        <w:t xml:space="preserve">. </w:t>
      </w:r>
    </w:p>
    <w:p w14:paraId="23ACA4FC" w14:textId="39EE716E" w:rsidR="00E5561C" w:rsidRPr="00446A51" w:rsidRDefault="00E34C55" w:rsidP="00E5561C">
      <w:pPr>
        <w:pStyle w:val="3-BodyText"/>
      </w:pPr>
      <w:bookmarkStart w:id="85" w:name="_Ref166870087"/>
      <w:r w:rsidRPr="00446A51">
        <w:t>T</w:t>
      </w:r>
      <w:r w:rsidR="00E5561C" w:rsidRPr="00446A51">
        <w:t xml:space="preserve">he submission claimed that PEDFIC 1 informed odevixibat response rates, and NAPPED informed PEBD response rates as well as transitions to PEBD and LT. However, OvEC data </w:t>
      </w:r>
      <w:r w:rsidRPr="00446A51">
        <w:t>informed</w:t>
      </w:r>
      <w:r w:rsidR="00E5561C" w:rsidRPr="00446A51">
        <w:t xml:space="preserve"> these inputs</w:t>
      </w:r>
      <w:r w:rsidR="0004730A" w:rsidRPr="00446A51">
        <w:t>. The OvEC data</w:t>
      </w:r>
      <w:r w:rsidR="00694880" w:rsidRPr="00446A51">
        <w:t xml:space="preserve"> </w:t>
      </w:r>
      <w:r w:rsidR="0075072F" w:rsidRPr="00446A51">
        <w:t xml:space="preserve">were </w:t>
      </w:r>
      <w:r w:rsidR="00E5561C" w:rsidRPr="00446A51">
        <w:t xml:space="preserve">considered highly uncertain as they could not be independently verified. </w:t>
      </w:r>
      <w:r w:rsidR="00E5561C" w:rsidRPr="00446A51">
        <w:fldChar w:fldCharType="begin"/>
      </w:r>
      <w:r w:rsidR="00E5561C" w:rsidRPr="00446A51">
        <w:instrText xml:space="preserve"> REF _Ref164628236 \h  \* MERGEFORMAT </w:instrText>
      </w:r>
      <w:r w:rsidR="00E5561C" w:rsidRPr="00446A51">
        <w:fldChar w:fldCharType="separate"/>
      </w:r>
      <w:r w:rsidR="008B4717" w:rsidRPr="00D33C2C">
        <w:t xml:space="preserve">Table </w:t>
      </w:r>
      <w:r w:rsidR="008B4717">
        <w:rPr>
          <w:noProof/>
        </w:rPr>
        <w:t>12</w:t>
      </w:r>
      <w:r w:rsidR="00E5561C" w:rsidRPr="00446A51">
        <w:fldChar w:fldCharType="end"/>
      </w:r>
      <w:r w:rsidR="00E5561C" w:rsidRPr="00446A51">
        <w:t xml:space="preserve"> </w:t>
      </w:r>
      <w:r w:rsidR="008D31AC" w:rsidRPr="00446A51">
        <w:t>compar</w:t>
      </w:r>
      <w:r w:rsidR="00BA1A02">
        <w:t>e</w:t>
      </w:r>
      <w:r w:rsidR="008E6381">
        <w:t>s</w:t>
      </w:r>
      <w:r w:rsidR="00E5561C" w:rsidRPr="00446A51">
        <w:t xml:space="preserve"> </w:t>
      </w:r>
      <w:r w:rsidR="008D31AC" w:rsidRPr="00446A51">
        <w:t xml:space="preserve">the </w:t>
      </w:r>
      <w:r w:rsidR="00E5561C" w:rsidRPr="00446A51">
        <w:t xml:space="preserve">inputs and sources claimed by the submission </w:t>
      </w:r>
      <w:r w:rsidR="008D31AC" w:rsidRPr="00446A51">
        <w:t xml:space="preserve">with </w:t>
      </w:r>
      <w:r w:rsidR="00E5561C" w:rsidRPr="00446A51">
        <w:t xml:space="preserve">what was </w:t>
      </w:r>
      <w:r w:rsidR="008E6381">
        <w:t>applied</w:t>
      </w:r>
      <w:r w:rsidR="008E6381" w:rsidRPr="00446A51">
        <w:t xml:space="preserve"> </w:t>
      </w:r>
      <w:r w:rsidR="00E5561C" w:rsidRPr="00446A51">
        <w:t xml:space="preserve">in the model. Using </w:t>
      </w:r>
      <w:r w:rsidR="008E6381">
        <w:t xml:space="preserve">data from </w:t>
      </w:r>
      <w:r w:rsidR="00E5561C" w:rsidRPr="00446A51">
        <w:t>PEDFIC</w:t>
      </w:r>
      <w:r w:rsidR="008E6381">
        <w:t xml:space="preserve"> </w:t>
      </w:r>
      <w:r w:rsidR="00E83B7C" w:rsidRPr="00446A51">
        <w:t>1/2</w:t>
      </w:r>
      <w:r w:rsidR="00E5561C" w:rsidRPr="00446A51">
        <w:t xml:space="preserve"> and NAPPED (i.e., not using OvEC) to inform the model led to a 5% increase in the ICER.</w:t>
      </w:r>
      <w:bookmarkEnd w:id="84"/>
      <w:bookmarkEnd w:id="85"/>
    </w:p>
    <w:p w14:paraId="3142270C" w14:textId="24364FB6" w:rsidR="00E5561C" w:rsidRPr="00D33C2C" w:rsidRDefault="00E5561C" w:rsidP="005B61B0">
      <w:pPr>
        <w:pStyle w:val="TableFigureHeading"/>
        <w:keepLines/>
      </w:pPr>
      <w:bookmarkStart w:id="86" w:name="_Ref164628236"/>
      <w:r w:rsidRPr="00D33C2C">
        <w:lastRenderedPageBreak/>
        <w:t xml:space="preserve">Table </w:t>
      </w:r>
      <w:r w:rsidR="00DF1200">
        <w:fldChar w:fldCharType="begin"/>
      </w:r>
      <w:r w:rsidR="00DF1200">
        <w:instrText xml:space="preserve"> SEQ Table \* ARABIC </w:instrText>
      </w:r>
      <w:r w:rsidR="00DF1200">
        <w:fldChar w:fldCharType="separate"/>
      </w:r>
      <w:r w:rsidR="008B4717">
        <w:rPr>
          <w:noProof/>
        </w:rPr>
        <w:t>12</w:t>
      </w:r>
      <w:r w:rsidR="00DF1200">
        <w:rPr>
          <w:noProof/>
        </w:rPr>
        <w:fldChar w:fldCharType="end"/>
      </w:r>
      <w:bookmarkEnd w:id="86"/>
      <w:r w:rsidRPr="00D33C2C">
        <w:t>: Comparison of inputs between OvEC and PEDFIC and NAPPED</w:t>
      </w:r>
    </w:p>
    <w:tbl>
      <w:tblPr>
        <w:tblStyle w:val="TableGrid"/>
        <w:tblW w:w="0" w:type="auto"/>
        <w:tblLook w:val="04A0" w:firstRow="1" w:lastRow="0" w:firstColumn="1" w:lastColumn="0" w:noHBand="0" w:noVBand="1"/>
        <w:tblCaption w:val="Table 12: Comparison of inputs between OvEC and PEDFIC and NAPPED"/>
      </w:tblPr>
      <w:tblGrid>
        <w:gridCol w:w="3114"/>
        <w:gridCol w:w="2951"/>
        <w:gridCol w:w="2952"/>
      </w:tblGrid>
      <w:tr w:rsidR="00E5561C" w:rsidRPr="00D33C2C" w14:paraId="0C695C9B" w14:textId="77777777" w:rsidTr="00D231D4">
        <w:tc>
          <w:tcPr>
            <w:tcW w:w="3114" w:type="dxa"/>
            <w:tcBorders>
              <w:bottom w:val="single" w:sz="4" w:space="0" w:color="auto"/>
            </w:tcBorders>
          </w:tcPr>
          <w:p w14:paraId="51E0C67C" w14:textId="77777777" w:rsidR="00E5561C" w:rsidRPr="00D33C2C" w:rsidRDefault="00E5561C" w:rsidP="005B61B0">
            <w:pPr>
              <w:pStyle w:val="Tabletext"/>
              <w:keepNext/>
              <w:keepLines/>
              <w:rPr>
                <w:b/>
                <w:bCs/>
              </w:rPr>
            </w:pPr>
            <w:r w:rsidRPr="00D33C2C">
              <w:rPr>
                <w:b/>
                <w:bCs/>
              </w:rPr>
              <w:t>Input</w:t>
            </w:r>
          </w:p>
        </w:tc>
        <w:tc>
          <w:tcPr>
            <w:tcW w:w="2951" w:type="dxa"/>
            <w:tcBorders>
              <w:bottom w:val="single" w:sz="4" w:space="0" w:color="auto"/>
            </w:tcBorders>
            <w:vAlign w:val="center"/>
          </w:tcPr>
          <w:p w14:paraId="372B55B2" w14:textId="5DF95D71" w:rsidR="00E5561C" w:rsidRPr="00D33C2C" w:rsidRDefault="00E5561C" w:rsidP="005B61B0">
            <w:pPr>
              <w:pStyle w:val="Tabletext"/>
              <w:keepNext/>
              <w:keepLines/>
              <w:jc w:val="center"/>
              <w:rPr>
                <w:b/>
                <w:bCs/>
              </w:rPr>
            </w:pPr>
            <w:r w:rsidRPr="00D33C2C">
              <w:rPr>
                <w:b/>
                <w:bCs/>
              </w:rPr>
              <w:t>Base case input</w:t>
            </w:r>
            <w:r w:rsidR="00A53AEA" w:rsidRPr="00D33C2C">
              <w:rPr>
                <w:b/>
                <w:bCs/>
              </w:rPr>
              <w:t xml:space="preserve"> in model</w:t>
            </w:r>
          </w:p>
        </w:tc>
        <w:tc>
          <w:tcPr>
            <w:tcW w:w="2952" w:type="dxa"/>
            <w:tcBorders>
              <w:bottom w:val="single" w:sz="4" w:space="0" w:color="auto"/>
            </w:tcBorders>
            <w:vAlign w:val="center"/>
          </w:tcPr>
          <w:p w14:paraId="14834E8E" w14:textId="77777777" w:rsidR="00E5561C" w:rsidRPr="00D33C2C" w:rsidRDefault="00E5561C" w:rsidP="005B61B0">
            <w:pPr>
              <w:pStyle w:val="Tabletext"/>
              <w:keepNext/>
              <w:keepLines/>
              <w:jc w:val="center"/>
              <w:rPr>
                <w:b/>
                <w:bCs/>
              </w:rPr>
            </w:pPr>
            <w:r w:rsidRPr="00D33C2C">
              <w:rPr>
                <w:b/>
                <w:bCs/>
              </w:rPr>
              <w:t>Submission’s claim</w:t>
            </w:r>
          </w:p>
        </w:tc>
      </w:tr>
      <w:tr w:rsidR="00E5561C" w:rsidRPr="00D33C2C" w14:paraId="48AE7BBC" w14:textId="77777777" w:rsidTr="00D231D4">
        <w:tc>
          <w:tcPr>
            <w:tcW w:w="3114" w:type="dxa"/>
            <w:tcBorders>
              <w:top w:val="single" w:sz="4" w:space="0" w:color="auto"/>
              <w:left w:val="single" w:sz="4" w:space="0" w:color="auto"/>
              <w:bottom w:val="single" w:sz="4" w:space="0" w:color="auto"/>
              <w:right w:val="nil"/>
            </w:tcBorders>
          </w:tcPr>
          <w:p w14:paraId="41125092" w14:textId="77777777" w:rsidR="00E5561C" w:rsidRPr="00D33C2C" w:rsidRDefault="00E5561C" w:rsidP="005B61B0">
            <w:pPr>
              <w:pStyle w:val="Tabletext"/>
              <w:keepNext/>
              <w:keepLines/>
              <w:rPr>
                <w:b/>
                <w:bCs/>
              </w:rPr>
            </w:pPr>
            <w:r w:rsidRPr="00D33C2C">
              <w:rPr>
                <w:b/>
                <w:bCs/>
              </w:rPr>
              <w:t>Response inputs</w:t>
            </w:r>
          </w:p>
        </w:tc>
        <w:tc>
          <w:tcPr>
            <w:tcW w:w="2951" w:type="dxa"/>
            <w:tcBorders>
              <w:top w:val="single" w:sz="4" w:space="0" w:color="auto"/>
              <w:left w:val="nil"/>
              <w:bottom w:val="single" w:sz="4" w:space="0" w:color="auto"/>
              <w:right w:val="nil"/>
            </w:tcBorders>
            <w:vAlign w:val="center"/>
          </w:tcPr>
          <w:p w14:paraId="76A9B598" w14:textId="77777777" w:rsidR="00E5561C" w:rsidRPr="00D33C2C" w:rsidRDefault="00E5561C" w:rsidP="005B61B0">
            <w:pPr>
              <w:pStyle w:val="Tabletext"/>
              <w:keepNext/>
              <w:keepLines/>
              <w:jc w:val="center"/>
            </w:pPr>
          </w:p>
        </w:tc>
        <w:tc>
          <w:tcPr>
            <w:tcW w:w="2952" w:type="dxa"/>
            <w:tcBorders>
              <w:top w:val="single" w:sz="4" w:space="0" w:color="auto"/>
              <w:left w:val="nil"/>
              <w:bottom w:val="single" w:sz="4" w:space="0" w:color="auto"/>
              <w:right w:val="single" w:sz="4" w:space="0" w:color="auto"/>
            </w:tcBorders>
            <w:vAlign w:val="center"/>
          </w:tcPr>
          <w:p w14:paraId="67A89023" w14:textId="77777777" w:rsidR="00E5561C" w:rsidRPr="00D33C2C" w:rsidRDefault="00E5561C" w:rsidP="005B61B0">
            <w:pPr>
              <w:pStyle w:val="Tabletext"/>
              <w:keepNext/>
              <w:keepLines/>
              <w:jc w:val="center"/>
            </w:pPr>
          </w:p>
        </w:tc>
      </w:tr>
      <w:tr w:rsidR="00E5561C" w:rsidRPr="00D33C2C" w14:paraId="6C602B17" w14:textId="77777777" w:rsidTr="00D231D4">
        <w:tc>
          <w:tcPr>
            <w:tcW w:w="3114" w:type="dxa"/>
            <w:tcBorders>
              <w:top w:val="single" w:sz="4" w:space="0" w:color="auto"/>
            </w:tcBorders>
          </w:tcPr>
          <w:p w14:paraId="68CDC026" w14:textId="527E7841" w:rsidR="00E5561C" w:rsidRPr="00D33C2C" w:rsidRDefault="0004730A" w:rsidP="005B61B0">
            <w:pPr>
              <w:pStyle w:val="Tabletext"/>
              <w:keepNext/>
              <w:keepLines/>
            </w:pPr>
            <w:r>
              <w:t>‘</w:t>
            </w:r>
            <w:r w:rsidR="00E5561C" w:rsidRPr="00D33C2C">
              <w:t>No PEBD, response</w:t>
            </w:r>
            <w:r>
              <w:t>’</w:t>
            </w:r>
            <w:r w:rsidR="00E5561C" w:rsidRPr="00D33C2C">
              <w:t xml:space="preserve"> rate (odevixibat)</w:t>
            </w:r>
          </w:p>
        </w:tc>
        <w:tc>
          <w:tcPr>
            <w:tcW w:w="2951" w:type="dxa"/>
            <w:tcBorders>
              <w:top w:val="single" w:sz="4" w:space="0" w:color="auto"/>
            </w:tcBorders>
            <w:shd w:val="clear" w:color="auto" w:fill="auto"/>
            <w:vAlign w:val="center"/>
          </w:tcPr>
          <w:p w14:paraId="38515E60" w14:textId="77777777" w:rsidR="00E5561C" w:rsidRPr="00D33C2C" w:rsidRDefault="00E5561C" w:rsidP="005B61B0">
            <w:pPr>
              <w:pStyle w:val="Tabletext"/>
              <w:keepNext/>
              <w:keepLines/>
              <w:jc w:val="center"/>
              <w:rPr>
                <w:b/>
                <w:bCs/>
              </w:rPr>
            </w:pPr>
            <w:r w:rsidRPr="00D33C2C">
              <w:rPr>
                <w:b/>
                <w:bCs/>
              </w:rPr>
              <w:t>62.28% (OvEC)</w:t>
            </w:r>
          </w:p>
        </w:tc>
        <w:tc>
          <w:tcPr>
            <w:tcW w:w="2952" w:type="dxa"/>
            <w:tcBorders>
              <w:top w:val="single" w:sz="4" w:space="0" w:color="auto"/>
            </w:tcBorders>
            <w:shd w:val="clear" w:color="auto" w:fill="auto"/>
            <w:vAlign w:val="center"/>
          </w:tcPr>
          <w:p w14:paraId="249E6A49" w14:textId="77777777" w:rsidR="00E5561C" w:rsidRPr="00D33C2C" w:rsidRDefault="00E5561C" w:rsidP="005B61B0">
            <w:pPr>
              <w:pStyle w:val="Tabletext"/>
              <w:keepNext/>
              <w:keepLines/>
              <w:jc w:val="center"/>
              <w:rPr>
                <w:b/>
                <w:bCs/>
              </w:rPr>
            </w:pPr>
            <w:r w:rsidRPr="00D33C2C">
              <w:rPr>
                <w:b/>
                <w:bCs/>
              </w:rPr>
              <w:t>57.63% (PEDFIC)</w:t>
            </w:r>
          </w:p>
        </w:tc>
      </w:tr>
      <w:tr w:rsidR="00E5561C" w:rsidRPr="00D33C2C" w14:paraId="10C2F5C2" w14:textId="77777777" w:rsidTr="00D231D4">
        <w:tc>
          <w:tcPr>
            <w:tcW w:w="3114" w:type="dxa"/>
            <w:tcBorders>
              <w:top w:val="single" w:sz="4" w:space="0" w:color="auto"/>
            </w:tcBorders>
          </w:tcPr>
          <w:p w14:paraId="4061F084" w14:textId="2B05A1C5" w:rsidR="00E5561C" w:rsidRPr="00D33C2C" w:rsidRDefault="0004730A" w:rsidP="005B61B0">
            <w:pPr>
              <w:pStyle w:val="Tabletext"/>
              <w:keepNext/>
              <w:keepLines/>
            </w:pPr>
            <w:r>
              <w:t>‘</w:t>
            </w:r>
            <w:r w:rsidR="00E5561C" w:rsidRPr="00D33C2C">
              <w:t>No PEBD, response</w:t>
            </w:r>
            <w:r>
              <w:t>’</w:t>
            </w:r>
            <w:r w:rsidR="00E5561C" w:rsidRPr="00D33C2C">
              <w:t xml:space="preserve"> rate (SOC)</w:t>
            </w:r>
          </w:p>
        </w:tc>
        <w:tc>
          <w:tcPr>
            <w:tcW w:w="2951" w:type="dxa"/>
            <w:tcBorders>
              <w:top w:val="single" w:sz="4" w:space="0" w:color="auto"/>
            </w:tcBorders>
            <w:vAlign w:val="center"/>
          </w:tcPr>
          <w:p w14:paraId="0854C5CF" w14:textId="77777777" w:rsidR="00E5561C" w:rsidRPr="00D33C2C" w:rsidRDefault="00E5561C" w:rsidP="005B61B0">
            <w:pPr>
              <w:pStyle w:val="Tabletext"/>
              <w:keepNext/>
              <w:keepLines/>
              <w:jc w:val="center"/>
            </w:pPr>
            <w:r w:rsidRPr="00D33C2C">
              <w:t>0% (assumption)</w:t>
            </w:r>
          </w:p>
        </w:tc>
        <w:tc>
          <w:tcPr>
            <w:tcW w:w="2952" w:type="dxa"/>
            <w:tcBorders>
              <w:top w:val="single" w:sz="4" w:space="0" w:color="auto"/>
            </w:tcBorders>
            <w:vAlign w:val="center"/>
          </w:tcPr>
          <w:p w14:paraId="37353F1C" w14:textId="77777777" w:rsidR="00E5561C" w:rsidRPr="00D33C2C" w:rsidRDefault="00E5561C" w:rsidP="005B61B0">
            <w:pPr>
              <w:pStyle w:val="Tabletext"/>
              <w:keepNext/>
              <w:keepLines/>
              <w:jc w:val="center"/>
            </w:pPr>
            <w:r w:rsidRPr="00D33C2C">
              <w:t>0% (assumption)</w:t>
            </w:r>
          </w:p>
        </w:tc>
      </w:tr>
      <w:tr w:rsidR="00E5561C" w:rsidRPr="00D33C2C" w14:paraId="3C0F5C5B" w14:textId="77777777" w:rsidTr="00D231D4">
        <w:tc>
          <w:tcPr>
            <w:tcW w:w="3114" w:type="dxa"/>
            <w:tcBorders>
              <w:bottom w:val="single" w:sz="4" w:space="0" w:color="auto"/>
            </w:tcBorders>
          </w:tcPr>
          <w:p w14:paraId="225ACC20" w14:textId="67A858DD" w:rsidR="00E5561C" w:rsidRPr="00D33C2C" w:rsidRDefault="0004730A" w:rsidP="005B61B0">
            <w:pPr>
              <w:pStyle w:val="Tabletext"/>
              <w:keepNext/>
              <w:keepLines/>
            </w:pPr>
            <w:r>
              <w:t>‘</w:t>
            </w:r>
            <w:r w:rsidR="00E5561C" w:rsidRPr="00D33C2C">
              <w:t>PEBD, response</w:t>
            </w:r>
            <w:r>
              <w:t>’</w:t>
            </w:r>
            <w:r w:rsidR="00E5561C" w:rsidRPr="00D33C2C">
              <w:t xml:space="preserve"> rate</w:t>
            </w:r>
          </w:p>
        </w:tc>
        <w:tc>
          <w:tcPr>
            <w:tcW w:w="2951" w:type="dxa"/>
            <w:tcBorders>
              <w:bottom w:val="single" w:sz="4" w:space="0" w:color="auto"/>
            </w:tcBorders>
            <w:shd w:val="clear" w:color="auto" w:fill="auto"/>
            <w:vAlign w:val="center"/>
          </w:tcPr>
          <w:p w14:paraId="1055A764" w14:textId="77777777" w:rsidR="00E5561C" w:rsidRPr="00D33C2C" w:rsidRDefault="00E5561C" w:rsidP="005B61B0">
            <w:pPr>
              <w:pStyle w:val="Tabletext"/>
              <w:keepNext/>
              <w:keepLines/>
              <w:jc w:val="center"/>
              <w:rPr>
                <w:b/>
                <w:bCs/>
              </w:rPr>
            </w:pPr>
            <w:r w:rsidRPr="00D33C2C">
              <w:rPr>
                <w:b/>
                <w:bCs/>
              </w:rPr>
              <w:t>32.3% (OvEC)</w:t>
            </w:r>
          </w:p>
        </w:tc>
        <w:tc>
          <w:tcPr>
            <w:tcW w:w="2952" w:type="dxa"/>
            <w:tcBorders>
              <w:bottom w:val="single" w:sz="4" w:space="0" w:color="auto"/>
            </w:tcBorders>
            <w:shd w:val="clear" w:color="auto" w:fill="auto"/>
            <w:vAlign w:val="center"/>
          </w:tcPr>
          <w:p w14:paraId="410370E8" w14:textId="77777777" w:rsidR="00E5561C" w:rsidRPr="00D33C2C" w:rsidRDefault="00E5561C" w:rsidP="005B61B0">
            <w:pPr>
              <w:pStyle w:val="Tabletext"/>
              <w:keepNext/>
              <w:keepLines/>
              <w:jc w:val="center"/>
              <w:rPr>
                <w:b/>
                <w:bCs/>
              </w:rPr>
            </w:pPr>
            <w:r w:rsidRPr="00D33C2C">
              <w:rPr>
                <w:b/>
                <w:bCs/>
              </w:rPr>
              <w:t>60.15% (NAPPED)</w:t>
            </w:r>
          </w:p>
        </w:tc>
      </w:tr>
      <w:tr w:rsidR="00E5561C" w:rsidRPr="00D33C2C" w14:paraId="7801671D" w14:textId="77777777" w:rsidTr="00D231D4">
        <w:tc>
          <w:tcPr>
            <w:tcW w:w="3114" w:type="dxa"/>
            <w:tcBorders>
              <w:top w:val="single" w:sz="4" w:space="0" w:color="auto"/>
              <w:left w:val="single" w:sz="4" w:space="0" w:color="auto"/>
              <w:bottom w:val="single" w:sz="4" w:space="0" w:color="auto"/>
              <w:right w:val="nil"/>
            </w:tcBorders>
          </w:tcPr>
          <w:p w14:paraId="3456F45D" w14:textId="77777777" w:rsidR="00E5561C" w:rsidRPr="00D33C2C" w:rsidRDefault="00E5561C" w:rsidP="005B61B0">
            <w:pPr>
              <w:pStyle w:val="Tabletext"/>
              <w:keepNext/>
              <w:keepLines/>
              <w:rPr>
                <w:b/>
                <w:bCs/>
              </w:rPr>
            </w:pPr>
            <w:r w:rsidRPr="00D33C2C">
              <w:rPr>
                <w:b/>
                <w:bCs/>
              </w:rPr>
              <w:t>Transition probabilities</w:t>
            </w:r>
          </w:p>
        </w:tc>
        <w:tc>
          <w:tcPr>
            <w:tcW w:w="2951" w:type="dxa"/>
            <w:tcBorders>
              <w:top w:val="single" w:sz="4" w:space="0" w:color="auto"/>
              <w:left w:val="nil"/>
              <w:bottom w:val="single" w:sz="4" w:space="0" w:color="auto"/>
              <w:right w:val="nil"/>
            </w:tcBorders>
            <w:vAlign w:val="center"/>
          </w:tcPr>
          <w:p w14:paraId="06E95D72" w14:textId="77777777" w:rsidR="00E5561C" w:rsidRPr="00D33C2C" w:rsidRDefault="00E5561C" w:rsidP="005B61B0">
            <w:pPr>
              <w:pStyle w:val="Tabletext"/>
              <w:keepNext/>
              <w:keepLines/>
              <w:jc w:val="center"/>
            </w:pPr>
          </w:p>
        </w:tc>
        <w:tc>
          <w:tcPr>
            <w:tcW w:w="2952" w:type="dxa"/>
            <w:tcBorders>
              <w:top w:val="single" w:sz="4" w:space="0" w:color="auto"/>
              <w:left w:val="nil"/>
              <w:bottom w:val="single" w:sz="4" w:space="0" w:color="auto"/>
              <w:right w:val="single" w:sz="4" w:space="0" w:color="auto"/>
            </w:tcBorders>
            <w:vAlign w:val="center"/>
          </w:tcPr>
          <w:p w14:paraId="41B280BB" w14:textId="77777777" w:rsidR="00E5561C" w:rsidRPr="00D33C2C" w:rsidRDefault="00E5561C" w:rsidP="005B61B0">
            <w:pPr>
              <w:pStyle w:val="Tabletext"/>
              <w:keepNext/>
              <w:keepLines/>
              <w:jc w:val="center"/>
            </w:pPr>
          </w:p>
        </w:tc>
      </w:tr>
      <w:tr w:rsidR="00E5561C" w:rsidRPr="00D33C2C" w14:paraId="0EB0A425" w14:textId="77777777" w:rsidTr="00D231D4">
        <w:tc>
          <w:tcPr>
            <w:tcW w:w="3114" w:type="dxa"/>
            <w:tcBorders>
              <w:top w:val="single" w:sz="4" w:space="0" w:color="auto"/>
            </w:tcBorders>
          </w:tcPr>
          <w:p w14:paraId="68DDB3ED" w14:textId="7FE5D56E" w:rsidR="00E5561C" w:rsidRPr="00D33C2C" w:rsidRDefault="0004730A" w:rsidP="005B61B0">
            <w:pPr>
              <w:pStyle w:val="Tabletext"/>
              <w:keepNext/>
              <w:keepLines/>
            </w:pPr>
            <w:r>
              <w:t>‘</w:t>
            </w:r>
            <w:r w:rsidR="00E5561C" w:rsidRPr="00D33C2C">
              <w:t>No PEBD, no response</w:t>
            </w:r>
            <w:r>
              <w:t>’</w:t>
            </w:r>
            <w:r w:rsidR="00E5561C" w:rsidRPr="00D33C2C">
              <w:t xml:space="preserve"> </w:t>
            </w:r>
            <w:r w:rsidR="00E5561C" w:rsidRPr="00D33C2C">
              <w:sym w:font="Wingdings" w:char="F0E0"/>
            </w:r>
            <w:r w:rsidR="00E5561C" w:rsidRPr="00D33C2C">
              <w:t xml:space="preserve"> </w:t>
            </w:r>
            <w:r>
              <w:t>‘</w:t>
            </w:r>
            <w:r w:rsidR="00E5561C" w:rsidRPr="00D33C2C">
              <w:t>PEBD, response</w:t>
            </w:r>
            <w:r>
              <w:t>’</w:t>
            </w:r>
            <w:r w:rsidR="00E5561C" w:rsidRPr="00D33C2C">
              <w:t xml:space="preserve"> and </w:t>
            </w:r>
            <w:r>
              <w:t>‘</w:t>
            </w:r>
            <w:r w:rsidR="00E5561C" w:rsidRPr="00D33C2C">
              <w:t>PEBD, no response</w:t>
            </w:r>
            <w:r>
              <w:t>’</w:t>
            </w:r>
          </w:p>
        </w:tc>
        <w:tc>
          <w:tcPr>
            <w:tcW w:w="2951" w:type="dxa"/>
            <w:tcBorders>
              <w:top w:val="single" w:sz="4" w:space="0" w:color="auto"/>
            </w:tcBorders>
            <w:shd w:val="clear" w:color="auto" w:fill="auto"/>
            <w:vAlign w:val="center"/>
          </w:tcPr>
          <w:p w14:paraId="1C4C769F" w14:textId="77777777" w:rsidR="00E5561C" w:rsidRPr="00D33C2C" w:rsidRDefault="00E5561C" w:rsidP="005B61B0">
            <w:pPr>
              <w:pStyle w:val="Tabletext"/>
              <w:keepNext/>
              <w:keepLines/>
              <w:jc w:val="center"/>
              <w:rPr>
                <w:b/>
                <w:bCs/>
                <w:vertAlign w:val="superscript"/>
              </w:rPr>
            </w:pPr>
            <w:r w:rsidRPr="00D33C2C">
              <w:rPr>
                <w:b/>
                <w:bCs/>
              </w:rPr>
              <w:t xml:space="preserve">5.52% </w:t>
            </w:r>
            <w:r w:rsidRPr="00D33C2C">
              <w:rPr>
                <w:b/>
                <w:bCs/>
                <w:vertAlign w:val="superscript"/>
              </w:rPr>
              <w:t xml:space="preserve">a </w:t>
            </w:r>
            <w:r w:rsidRPr="00D33C2C">
              <w:rPr>
                <w:b/>
                <w:bCs/>
              </w:rPr>
              <w:t>(OvEC)</w:t>
            </w:r>
          </w:p>
        </w:tc>
        <w:tc>
          <w:tcPr>
            <w:tcW w:w="2952" w:type="dxa"/>
            <w:tcBorders>
              <w:top w:val="single" w:sz="4" w:space="0" w:color="auto"/>
            </w:tcBorders>
            <w:shd w:val="clear" w:color="auto" w:fill="auto"/>
            <w:vAlign w:val="center"/>
          </w:tcPr>
          <w:p w14:paraId="3C6F7E57" w14:textId="77777777" w:rsidR="00E5561C" w:rsidRPr="00D33C2C" w:rsidRDefault="00E5561C" w:rsidP="005B61B0">
            <w:pPr>
              <w:pStyle w:val="Tabletext"/>
              <w:keepNext/>
              <w:keepLines/>
              <w:jc w:val="center"/>
              <w:rPr>
                <w:b/>
                <w:bCs/>
              </w:rPr>
            </w:pPr>
            <w:r w:rsidRPr="00D33C2C">
              <w:rPr>
                <w:b/>
                <w:bCs/>
              </w:rPr>
              <w:t>8.43% (&lt;3 years old) (NAPPED)</w:t>
            </w:r>
          </w:p>
          <w:p w14:paraId="1C4E9B83" w14:textId="77777777" w:rsidR="00E5561C" w:rsidRPr="00D33C2C" w:rsidRDefault="00E5561C" w:rsidP="005B61B0">
            <w:pPr>
              <w:pStyle w:val="Tabletext"/>
              <w:keepNext/>
              <w:keepLines/>
              <w:jc w:val="center"/>
              <w:rPr>
                <w:b/>
                <w:bCs/>
              </w:rPr>
            </w:pPr>
            <w:r w:rsidRPr="00D33C2C">
              <w:rPr>
                <w:b/>
                <w:bCs/>
              </w:rPr>
              <w:t>4.75% (&gt;3 years old) (NAPPED)</w:t>
            </w:r>
          </w:p>
        </w:tc>
      </w:tr>
      <w:tr w:rsidR="00E5561C" w:rsidRPr="00D33C2C" w14:paraId="59CDEF05" w14:textId="77777777" w:rsidTr="00D231D4">
        <w:tc>
          <w:tcPr>
            <w:tcW w:w="3114" w:type="dxa"/>
          </w:tcPr>
          <w:p w14:paraId="2995D1B8" w14:textId="49F50E9B" w:rsidR="00E5561C" w:rsidRPr="00D33C2C" w:rsidRDefault="0004730A" w:rsidP="005B61B0">
            <w:pPr>
              <w:pStyle w:val="Tabletext"/>
              <w:keepNext/>
              <w:keepLines/>
            </w:pPr>
            <w:r>
              <w:t>‘</w:t>
            </w:r>
            <w:r w:rsidR="00E5561C" w:rsidRPr="00D33C2C">
              <w:t>No PEBD, no response</w:t>
            </w:r>
            <w:r>
              <w:t>’</w:t>
            </w:r>
            <w:r w:rsidR="00E5561C" w:rsidRPr="00D33C2C">
              <w:t xml:space="preserve"> </w:t>
            </w:r>
            <w:r w:rsidR="00E5561C" w:rsidRPr="00D33C2C">
              <w:sym w:font="Wingdings" w:char="F0E0"/>
            </w:r>
            <w:r w:rsidR="00E5561C" w:rsidRPr="00D33C2C">
              <w:t xml:space="preserve"> </w:t>
            </w:r>
            <w:r>
              <w:t>‘</w:t>
            </w:r>
            <w:r w:rsidR="00E5561C" w:rsidRPr="00D33C2C">
              <w:t>LT</w:t>
            </w:r>
            <w:r>
              <w:t>’</w:t>
            </w:r>
            <w:r w:rsidR="00E5561C" w:rsidRPr="00D33C2C">
              <w:t xml:space="preserve"> </w:t>
            </w:r>
          </w:p>
        </w:tc>
        <w:tc>
          <w:tcPr>
            <w:tcW w:w="2951" w:type="dxa"/>
            <w:shd w:val="clear" w:color="auto" w:fill="auto"/>
            <w:vAlign w:val="center"/>
          </w:tcPr>
          <w:p w14:paraId="739B551C" w14:textId="77777777" w:rsidR="00E5561C" w:rsidRPr="00D33C2C" w:rsidRDefault="00E5561C" w:rsidP="005B61B0">
            <w:pPr>
              <w:pStyle w:val="Tabletext"/>
              <w:keepNext/>
              <w:keepLines/>
              <w:jc w:val="center"/>
              <w:rPr>
                <w:b/>
                <w:bCs/>
                <w:vertAlign w:val="superscript"/>
              </w:rPr>
            </w:pPr>
            <w:r w:rsidRPr="00D33C2C">
              <w:rPr>
                <w:b/>
                <w:bCs/>
              </w:rPr>
              <w:t xml:space="preserve">2.47% </w:t>
            </w:r>
            <w:r w:rsidRPr="00D33C2C">
              <w:rPr>
                <w:b/>
                <w:bCs/>
                <w:vertAlign w:val="superscript"/>
              </w:rPr>
              <w:t xml:space="preserve">b </w:t>
            </w:r>
            <w:r w:rsidRPr="00D33C2C">
              <w:rPr>
                <w:b/>
                <w:bCs/>
              </w:rPr>
              <w:t>(OvEC)</w:t>
            </w:r>
          </w:p>
        </w:tc>
        <w:tc>
          <w:tcPr>
            <w:tcW w:w="2952" w:type="dxa"/>
            <w:shd w:val="clear" w:color="auto" w:fill="auto"/>
            <w:vAlign w:val="center"/>
          </w:tcPr>
          <w:p w14:paraId="291D0823" w14:textId="77777777" w:rsidR="00E5561C" w:rsidRPr="00D33C2C" w:rsidRDefault="00E5561C" w:rsidP="005B61B0">
            <w:pPr>
              <w:pStyle w:val="Tabletext"/>
              <w:keepNext/>
              <w:keepLines/>
              <w:jc w:val="center"/>
              <w:rPr>
                <w:b/>
                <w:bCs/>
              </w:rPr>
            </w:pPr>
            <w:r w:rsidRPr="00D33C2C">
              <w:rPr>
                <w:b/>
                <w:bCs/>
              </w:rPr>
              <w:t>6.85% (NAPPED)</w:t>
            </w:r>
          </w:p>
        </w:tc>
      </w:tr>
      <w:tr w:rsidR="00E5561C" w:rsidRPr="00D33C2C" w14:paraId="6D770848" w14:textId="77777777" w:rsidTr="00D231D4">
        <w:tc>
          <w:tcPr>
            <w:tcW w:w="3114" w:type="dxa"/>
          </w:tcPr>
          <w:p w14:paraId="4C577785" w14:textId="58304158" w:rsidR="00E5561C" w:rsidRPr="00D33C2C" w:rsidRDefault="0004730A" w:rsidP="005B61B0">
            <w:pPr>
              <w:pStyle w:val="Tabletext"/>
              <w:keepNext/>
              <w:keepLines/>
            </w:pPr>
            <w:r>
              <w:t>‘</w:t>
            </w:r>
            <w:r w:rsidR="00E5561C" w:rsidRPr="00D33C2C">
              <w:t>PEBD, response</w:t>
            </w:r>
            <w:r>
              <w:t>’</w:t>
            </w:r>
            <w:r w:rsidR="00E5561C" w:rsidRPr="00D33C2C">
              <w:t xml:space="preserve"> </w:t>
            </w:r>
            <w:r w:rsidR="00E5561C" w:rsidRPr="00D33C2C">
              <w:sym w:font="Wingdings" w:char="F0E0"/>
            </w:r>
            <w:r w:rsidR="00E5561C" w:rsidRPr="00D33C2C">
              <w:t xml:space="preserve"> </w:t>
            </w:r>
            <w:r>
              <w:t>‘</w:t>
            </w:r>
            <w:r w:rsidR="00E5561C" w:rsidRPr="00D33C2C">
              <w:t>LT</w:t>
            </w:r>
            <w:r>
              <w:t>’</w:t>
            </w:r>
          </w:p>
        </w:tc>
        <w:tc>
          <w:tcPr>
            <w:tcW w:w="2951" w:type="dxa"/>
            <w:vAlign w:val="center"/>
          </w:tcPr>
          <w:p w14:paraId="529107F3" w14:textId="77777777" w:rsidR="00E5561C" w:rsidRPr="00D33C2C" w:rsidRDefault="00E5561C" w:rsidP="005B61B0">
            <w:pPr>
              <w:pStyle w:val="Tabletext"/>
              <w:keepNext/>
              <w:keepLines/>
              <w:jc w:val="center"/>
            </w:pPr>
            <w:r w:rsidRPr="00D33C2C">
              <w:t>0% (assumption)</w:t>
            </w:r>
          </w:p>
        </w:tc>
        <w:tc>
          <w:tcPr>
            <w:tcW w:w="2952" w:type="dxa"/>
            <w:vAlign w:val="center"/>
          </w:tcPr>
          <w:p w14:paraId="20EADEEE" w14:textId="77777777" w:rsidR="00E5561C" w:rsidRPr="00D33C2C" w:rsidRDefault="00E5561C" w:rsidP="005B61B0">
            <w:pPr>
              <w:pStyle w:val="Tabletext"/>
              <w:keepNext/>
              <w:keepLines/>
              <w:jc w:val="center"/>
            </w:pPr>
            <w:r w:rsidRPr="00D33C2C">
              <w:t>0% (assumption)</w:t>
            </w:r>
          </w:p>
        </w:tc>
      </w:tr>
      <w:tr w:rsidR="00E5561C" w:rsidRPr="00D33C2C" w14:paraId="5784E109" w14:textId="77777777" w:rsidTr="00D231D4">
        <w:tc>
          <w:tcPr>
            <w:tcW w:w="3114" w:type="dxa"/>
          </w:tcPr>
          <w:p w14:paraId="0A85985D" w14:textId="79AA7082" w:rsidR="00E5561C" w:rsidRPr="00D33C2C" w:rsidRDefault="0004730A" w:rsidP="005B61B0">
            <w:pPr>
              <w:pStyle w:val="Tabletext"/>
              <w:keepNext/>
              <w:keepLines/>
            </w:pPr>
            <w:r>
              <w:t>‘</w:t>
            </w:r>
            <w:r w:rsidR="00E5561C" w:rsidRPr="00D33C2C">
              <w:t>PEBD, no response</w:t>
            </w:r>
            <w:r>
              <w:t>’</w:t>
            </w:r>
            <w:r w:rsidR="00E5561C" w:rsidRPr="00D33C2C">
              <w:t xml:space="preserve"> </w:t>
            </w:r>
            <w:r w:rsidR="00E5561C" w:rsidRPr="00D33C2C">
              <w:sym w:font="Wingdings" w:char="F0E0"/>
            </w:r>
            <w:r w:rsidR="00E5561C" w:rsidRPr="00D33C2C">
              <w:t xml:space="preserve"> </w:t>
            </w:r>
            <w:r>
              <w:t>‘</w:t>
            </w:r>
            <w:r w:rsidR="00E5561C" w:rsidRPr="00D33C2C">
              <w:t>LT</w:t>
            </w:r>
            <w:r>
              <w:t>’</w:t>
            </w:r>
            <w:r w:rsidR="00E5561C" w:rsidRPr="00D33C2C">
              <w:t xml:space="preserve"> </w:t>
            </w:r>
          </w:p>
        </w:tc>
        <w:tc>
          <w:tcPr>
            <w:tcW w:w="2951" w:type="dxa"/>
            <w:vAlign w:val="center"/>
          </w:tcPr>
          <w:p w14:paraId="4232D1F8" w14:textId="77777777" w:rsidR="00E5561C" w:rsidRPr="00D33C2C" w:rsidRDefault="00E5561C" w:rsidP="005B61B0">
            <w:pPr>
              <w:pStyle w:val="Tabletext"/>
              <w:keepNext/>
              <w:keepLines/>
              <w:jc w:val="center"/>
            </w:pPr>
            <w:r w:rsidRPr="00D33C2C">
              <w:t>9.9% (NAPPED)</w:t>
            </w:r>
          </w:p>
        </w:tc>
        <w:tc>
          <w:tcPr>
            <w:tcW w:w="2952" w:type="dxa"/>
            <w:vAlign w:val="center"/>
          </w:tcPr>
          <w:p w14:paraId="32ADFB0D" w14:textId="77777777" w:rsidR="00E5561C" w:rsidRPr="00D33C2C" w:rsidRDefault="00E5561C" w:rsidP="005B61B0">
            <w:pPr>
              <w:pStyle w:val="Tabletext"/>
              <w:keepNext/>
              <w:keepLines/>
              <w:jc w:val="center"/>
            </w:pPr>
            <w:r w:rsidRPr="00D33C2C">
              <w:t>9.9% (NAPPED)</w:t>
            </w:r>
          </w:p>
        </w:tc>
      </w:tr>
      <w:tr w:rsidR="00E5561C" w:rsidRPr="00D33C2C" w14:paraId="24B2CEA3" w14:textId="77777777" w:rsidTr="00D231D4">
        <w:tc>
          <w:tcPr>
            <w:tcW w:w="3114" w:type="dxa"/>
          </w:tcPr>
          <w:p w14:paraId="1FBA02C5" w14:textId="5D9DCB7E" w:rsidR="00E5561C" w:rsidRPr="00D33C2C" w:rsidRDefault="0004730A" w:rsidP="005B61B0">
            <w:pPr>
              <w:pStyle w:val="Tabletext"/>
              <w:keepNext/>
              <w:keepLines/>
            </w:pPr>
            <w:r>
              <w:t>‘</w:t>
            </w:r>
            <w:r w:rsidR="00E5561C" w:rsidRPr="00D33C2C">
              <w:t>Retransplant</w:t>
            </w:r>
            <w:r>
              <w:t>’</w:t>
            </w:r>
            <w:r w:rsidR="00E5561C" w:rsidRPr="00D33C2C">
              <w:t xml:space="preserve"> </w:t>
            </w:r>
          </w:p>
        </w:tc>
        <w:tc>
          <w:tcPr>
            <w:tcW w:w="2951" w:type="dxa"/>
            <w:vAlign w:val="center"/>
          </w:tcPr>
          <w:p w14:paraId="3E08F3A4" w14:textId="77777777" w:rsidR="00E5561C" w:rsidRPr="00D33C2C" w:rsidRDefault="00E5561C" w:rsidP="005B61B0">
            <w:pPr>
              <w:pStyle w:val="Tabletext"/>
              <w:keepNext/>
              <w:keepLines/>
              <w:jc w:val="center"/>
            </w:pPr>
            <w:r w:rsidRPr="00D33C2C">
              <w:t>9.81% (Bull 2018)</w:t>
            </w:r>
          </w:p>
        </w:tc>
        <w:tc>
          <w:tcPr>
            <w:tcW w:w="2952" w:type="dxa"/>
            <w:vAlign w:val="center"/>
          </w:tcPr>
          <w:p w14:paraId="7877BDA1" w14:textId="77777777" w:rsidR="00E5561C" w:rsidRPr="00D33C2C" w:rsidRDefault="00E5561C" w:rsidP="005B61B0">
            <w:pPr>
              <w:pStyle w:val="Tabletext"/>
              <w:keepNext/>
              <w:keepLines/>
              <w:jc w:val="center"/>
            </w:pPr>
            <w:r w:rsidRPr="00D33C2C">
              <w:t>9.81% (Bull 2018)</w:t>
            </w:r>
          </w:p>
        </w:tc>
      </w:tr>
      <w:tr w:rsidR="00E5561C" w:rsidRPr="00D33C2C" w14:paraId="64D505C2" w14:textId="77777777" w:rsidTr="00D231D4">
        <w:tc>
          <w:tcPr>
            <w:tcW w:w="3114" w:type="dxa"/>
          </w:tcPr>
          <w:p w14:paraId="7AAE1482" w14:textId="77777777" w:rsidR="00E5561C" w:rsidRPr="00D33C2C" w:rsidRDefault="00E5561C" w:rsidP="005B61B0">
            <w:pPr>
              <w:pStyle w:val="Tabletext"/>
              <w:keepNext/>
              <w:keepLines/>
            </w:pPr>
            <w:r w:rsidRPr="00D33C2C">
              <w:t>Pre-LT mortality</w:t>
            </w:r>
          </w:p>
        </w:tc>
        <w:tc>
          <w:tcPr>
            <w:tcW w:w="2951" w:type="dxa"/>
            <w:vAlign w:val="center"/>
          </w:tcPr>
          <w:p w14:paraId="0355C281" w14:textId="77777777" w:rsidR="00E5561C" w:rsidRPr="00D33C2C" w:rsidRDefault="00E5561C" w:rsidP="005B61B0">
            <w:pPr>
              <w:pStyle w:val="Tabletext"/>
              <w:keepNext/>
              <w:keepLines/>
              <w:jc w:val="center"/>
            </w:pPr>
            <w:r w:rsidRPr="00D33C2C">
              <w:rPr>
                <w:b/>
                <w:bCs/>
              </w:rPr>
              <w:t xml:space="preserve">0.38% </w:t>
            </w:r>
            <w:r w:rsidRPr="00D33C2C">
              <w:rPr>
                <w:b/>
                <w:bCs/>
                <w:vertAlign w:val="superscript"/>
              </w:rPr>
              <w:t xml:space="preserve">c </w:t>
            </w:r>
            <w:r w:rsidRPr="00D33C2C">
              <w:rPr>
                <w:b/>
                <w:bCs/>
              </w:rPr>
              <w:t>(OvEC)</w:t>
            </w:r>
          </w:p>
        </w:tc>
        <w:tc>
          <w:tcPr>
            <w:tcW w:w="2952" w:type="dxa"/>
            <w:vAlign w:val="center"/>
          </w:tcPr>
          <w:p w14:paraId="0C138B55" w14:textId="77777777" w:rsidR="00E5561C" w:rsidRPr="00D33C2C" w:rsidRDefault="00E5561C" w:rsidP="005B61B0">
            <w:pPr>
              <w:pStyle w:val="Tabletext"/>
              <w:keepNext/>
              <w:keepLines/>
              <w:jc w:val="center"/>
            </w:pPr>
            <w:r w:rsidRPr="00D33C2C">
              <w:rPr>
                <w:b/>
                <w:bCs/>
              </w:rPr>
              <w:t>0.27% (NAPPED)</w:t>
            </w:r>
          </w:p>
        </w:tc>
      </w:tr>
      <w:tr w:rsidR="00E5561C" w:rsidRPr="00D33C2C" w14:paraId="7D34E051" w14:textId="77777777" w:rsidTr="00E93B9E">
        <w:tc>
          <w:tcPr>
            <w:tcW w:w="3114" w:type="dxa"/>
            <w:vAlign w:val="center"/>
          </w:tcPr>
          <w:p w14:paraId="5B4AC110" w14:textId="77777777" w:rsidR="00E5561C" w:rsidRPr="00D33C2C" w:rsidRDefault="00E5561C" w:rsidP="005B61B0">
            <w:pPr>
              <w:pStyle w:val="Tabletext"/>
              <w:keepNext/>
              <w:keepLines/>
            </w:pPr>
            <w:r w:rsidRPr="00D33C2C">
              <w:t xml:space="preserve">Long-term post-LT mortality </w:t>
            </w:r>
          </w:p>
        </w:tc>
        <w:tc>
          <w:tcPr>
            <w:tcW w:w="2951" w:type="dxa"/>
            <w:vAlign w:val="center"/>
          </w:tcPr>
          <w:p w14:paraId="5DDD57A1" w14:textId="77777777" w:rsidR="00E5561C" w:rsidRPr="00D33C2C" w:rsidRDefault="00E5561C" w:rsidP="005B61B0">
            <w:pPr>
              <w:pStyle w:val="Tabletext"/>
              <w:keepNext/>
              <w:keepLines/>
              <w:jc w:val="center"/>
            </w:pPr>
            <w:r w:rsidRPr="00D33C2C">
              <w:t>1.91% (pooled estimates from Hori 2011 and Wanty 2004)</w:t>
            </w:r>
          </w:p>
        </w:tc>
        <w:tc>
          <w:tcPr>
            <w:tcW w:w="2952" w:type="dxa"/>
            <w:vAlign w:val="center"/>
          </w:tcPr>
          <w:p w14:paraId="0F77AD02" w14:textId="77777777" w:rsidR="00E5561C" w:rsidRPr="00D33C2C" w:rsidRDefault="00E5561C" w:rsidP="005B61B0">
            <w:pPr>
              <w:pStyle w:val="Tabletext"/>
              <w:keepNext/>
              <w:keepLines/>
              <w:jc w:val="center"/>
            </w:pPr>
            <w:r w:rsidRPr="00D33C2C">
              <w:t>1.91% (pooled estimates from Hori 2011 and Wanty 2004)</w:t>
            </w:r>
          </w:p>
        </w:tc>
      </w:tr>
    </w:tbl>
    <w:p w14:paraId="708E8546" w14:textId="77777777" w:rsidR="00E5561C" w:rsidRPr="00D33C2C" w:rsidRDefault="00E5561C" w:rsidP="005B61B0">
      <w:pPr>
        <w:pStyle w:val="TableFigureFooter"/>
        <w:keepNext/>
        <w:keepLines/>
      </w:pPr>
      <w:r w:rsidRPr="00D33C2C">
        <w:t>Source: ‘Clinical data – Efficacy’ and ‘OvEC data’ worksheets from the economic model</w:t>
      </w:r>
    </w:p>
    <w:p w14:paraId="269BC664" w14:textId="53902DF4" w:rsidR="00E5561C" w:rsidRPr="00D33C2C" w:rsidRDefault="00DE7B08" w:rsidP="005B61B0">
      <w:pPr>
        <w:pStyle w:val="TableFigureFooter"/>
        <w:keepNext/>
        <w:keepLines/>
      </w:pPr>
      <w:r w:rsidRPr="00D33C2C">
        <w:t>LT = liver transplant</w:t>
      </w:r>
      <w:r>
        <w:t>;</w:t>
      </w:r>
      <w:r w:rsidRPr="00D33C2C">
        <w:t xml:space="preserve"> </w:t>
      </w:r>
      <w:r w:rsidR="00E5561C" w:rsidRPr="00D33C2C">
        <w:t xml:space="preserve">PEBD = partial external biliary </w:t>
      </w:r>
      <w:r w:rsidR="00150CCE" w:rsidRPr="00D33C2C">
        <w:t xml:space="preserve">diversion; </w:t>
      </w:r>
      <w:r w:rsidR="00150CCE">
        <w:t>SOC</w:t>
      </w:r>
      <w:r>
        <w:t xml:space="preserve"> = standard of care</w:t>
      </w:r>
    </w:p>
    <w:p w14:paraId="4116BCD3" w14:textId="77777777" w:rsidR="00E5561C" w:rsidRPr="00D33C2C" w:rsidRDefault="00E5561C" w:rsidP="005B61B0">
      <w:pPr>
        <w:pStyle w:val="TableFigureFooter"/>
        <w:keepNext/>
        <w:keepLines/>
      </w:pPr>
      <w:r w:rsidRPr="00D33C2C">
        <w:rPr>
          <w:vertAlign w:val="superscript"/>
        </w:rPr>
        <w:t xml:space="preserve">a </w:t>
      </w:r>
      <w:r w:rsidRPr="00D33C2C">
        <w:t>29/44 (65.9%) SBD events x 8.38% annual event probability</w:t>
      </w:r>
    </w:p>
    <w:p w14:paraId="2056C3F8" w14:textId="1377F847" w:rsidR="00E5561C" w:rsidRPr="00D33C2C" w:rsidRDefault="00E2670D" w:rsidP="005B61B0">
      <w:pPr>
        <w:pStyle w:val="TableFigureFooter"/>
        <w:keepNext/>
        <w:keepLines/>
      </w:pPr>
      <w:r>
        <w:rPr>
          <w:vertAlign w:val="superscript"/>
        </w:rPr>
        <w:t>b</w:t>
      </w:r>
      <w:r w:rsidRPr="00D33C2C">
        <w:rPr>
          <w:vertAlign w:val="superscript"/>
        </w:rPr>
        <w:t xml:space="preserve"> </w:t>
      </w:r>
      <w:r w:rsidR="00E5561C" w:rsidRPr="00D33C2C">
        <w:t xml:space="preserve">13/44 (29.5%) LT events x 8.38% annual event probability </w:t>
      </w:r>
    </w:p>
    <w:p w14:paraId="3BA8C85A" w14:textId="55B62D0C" w:rsidR="00E5561C" w:rsidRPr="00D33C2C" w:rsidRDefault="00E2670D" w:rsidP="005B61B0">
      <w:pPr>
        <w:pStyle w:val="TableFigureFooter"/>
        <w:keepNext/>
        <w:keepLines/>
      </w:pPr>
      <w:r>
        <w:rPr>
          <w:vertAlign w:val="superscript"/>
        </w:rPr>
        <w:t>c</w:t>
      </w:r>
      <w:r w:rsidRPr="00D33C2C">
        <w:rPr>
          <w:vertAlign w:val="superscript"/>
        </w:rPr>
        <w:t xml:space="preserve"> </w:t>
      </w:r>
      <w:r w:rsidR="00E5561C" w:rsidRPr="00D33C2C">
        <w:t xml:space="preserve">2/44 (4.5%) death events x 8.38% annual event probability  </w:t>
      </w:r>
    </w:p>
    <w:p w14:paraId="062550A5" w14:textId="689F734C" w:rsidR="00E5561C" w:rsidRPr="00D33C2C" w:rsidRDefault="00E5561C" w:rsidP="00E5561C">
      <w:pPr>
        <w:pStyle w:val="TableFigureFooter"/>
      </w:pPr>
      <w:r w:rsidRPr="00D33C2C">
        <w:rPr>
          <w:b/>
          <w:bCs/>
        </w:rPr>
        <w:t>Bold</w:t>
      </w:r>
      <w:r w:rsidRPr="00D33C2C">
        <w:t xml:space="preserve"> text indicates the inputs that differed between the model and the submission’s claim</w:t>
      </w:r>
    </w:p>
    <w:p w14:paraId="609387FB" w14:textId="449A2B56" w:rsidR="00E5561C" w:rsidRPr="00446A51" w:rsidRDefault="000C3DBE" w:rsidP="00E5561C">
      <w:pPr>
        <w:pStyle w:val="3-BodyText"/>
      </w:pPr>
      <w:bookmarkStart w:id="87" w:name="_Ref164742419"/>
      <w:r w:rsidRPr="00446A51">
        <w:t>The ‘</w:t>
      </w:r>
      <w:r w:rsidR="00D45AB3" w:rsidRPr="00446A51">
        <w:t>n</w:t>
      </w:r>
      <w:r w:rsidRPr="00446A51">
        <w:t>o PEBD,</w:t>
      </w:r>
      <w:r w:rsidR="00E5561C" w:rsidRPr="00446A51">
        <w:t xml:space="preserve"> response</w:t>
      </w:r>
      <w:r w:rsidR="0004730A" w:rsidRPr="00446A51">
        <w:t>’</w:t>
      </w:r>
      <w:r w:rsidR="00E5561C" w:rsidRPr="00446A51">
        <w:t xml:space="preserve"> </w:t>
      </w:r>
      <w:r w:rsidRPr="00446A51">
        <w:t xml:space="preserve">rate </w:t>
      </w:r>
      <w:r w:rsidR="0004730A" w:rsidRPr="00446A51">
        <w:t xml:space="preserve">applied in the model of 62.28% was derived </w:t>
      </w:r>
      <w:r w:rsidR="00E5561C" w:rsidRPr="00446A51">
        <w:t xml:space="preserve">from </w:t>
      </w:r>
      <w:r w:rsidR="0004730A" w:rsidRPr="00446A51">
        <w:t xml:space="preserve">the sBA response rate from </w:t>
      </w:r>
      <w:r w:rsidR="00E5561C" w:rsidRPr="00446A51">
        <w:t xml:space="preserve">OvEC </w:t>
      </w:r>
      <w:r w:rsidR="0004730A" w:rsidRPr="00446A51">
        <w:t xml:space="preserve">for </w:t>
      </w:r>
      <w:r w:rsidR="00E5561C" w:rsidRPr="00446A51">
        <w:t>‘combined doses’ (49.7%)</w:t>
      </w:r>
      <w:r w:rsidR="00FF58F1">
        <w:t xml:space="preserve"> (see Table 11)</w:t>
      </w:r>
      <w:r w:rsidR="0004730A" w:rsidRPr="00446A51">
        <w:t>,</w:t>
      </w:r>
      <w:r w:rsidR="00E5561C" w:rsidRPr="00446A51">
        <w:t xml:space="preserve"> adjusted to include patients who responded to the up-titrated </w:t>
      </w:r>
      <w:r w:rsidR="005B61B0" w:rsidRPr="00446A51">
        <w:t>120</w:t>
      </w:r>
      <w:r w:rsidR="005B61B0">
        <w:t> </w:t>
      </w:r>
      <w:r w:rsidR="00E5561C" w:rsidRPr="00446A51">
        <w:t>mcg/kg/day dose (25% based on internal data from the Sponsor).</w:t>
      </w:r>
      <w:r w:rsidR="00E5561C" w:rsidRPr="00446A51">
        <w:rPr>
          <w:color w:val="0066FF"/>
        </w:rPr>
        <w:t xml:space="preserve"> </w:t>
      </w:r>
      <w:r w:rsidR="0004730A" w:rsidRPr="00446A51">
        <w:t xml:space="preserve">As </w:t>
      </w:r>
      <w:r w:rsidR="008D31AC" w:rsidRPr="00446A51">
        <w:t xml:space="preserve">the </w:t>
      </w:r>
      <w:r w:rsidR="00E5561C" w:rsidRPr="00446A51">
        <w:t xml:space="preserve">OvEC response comprised </w:t>
      </w:r>
      <w:r w:rsidR="0004730A" w:rsidRPr="00446A51">
        <w:t xml:space="preserve">of </w:t>
      </w:r>
      <w:r w:rsidR="00E5561C" w:rsidRPr="00446A51">
        <w:t>PEDFIC 1 and PEDFIC 2 patients</w:t>
      </w:r>
      <w:r w:rsidR="0004730A" w:rsidRPr="00446A51">
        <w:t>, it</w:t>
      </w:r>
      <w:r w:rsidR="00E5561C" w:rsidRPr="00446A51">
        <w:t xml:space="preserve"> potentially included those who escalated from 40 to </w:t>
      </w:r>
      <w:r w:rsidR="005B61B0" w:rsidRPr="00446A51">
        <w:t>120</w:t>
      </w:r>
      <w:r w:rsidR="005B61B0">
        <w:t> </w:t>
      </w:r>
      <w:r w:rsidR="00E5561C" w:rsidRPr="00446A51">
        <w:t>mcg/kg</w:t>
      </w:r>
      <w:r w:rsidR="00D45AB3" w:rsidRPr="00446A51">
        <w:t>/day</w:t>
      </w:r>
      <w:r w:rsidR="00E5561C" w:rsidRPr="00446A51">
        <w:t xml:space="preserve"> dose</w:t>
      </w:r>
      <w:r w:rsidR="008E6381">
        <w:t>s</w:t>
      </w:r>
      <w:r w:rsidR="0004730A" w:rsidRPr="00446A51">
        <w:t>.</w:t>
      </w:r>
      <w:r w:rsidR="00E5561C" w:rsidRPr="00446A51">
        <w:t xml:space="preserve"> </w:t>
      </w:r>
      <w:r w:rsidR="0004730A" w:rsidRPr="00446A51">
        <w:t>S</w:t>
      </w:r>
      <w:r w:rsidR="00E5561C" w:rsidRPr="00446A51">
        <w:t xml:space="preserve">ince it was not clear what treatment period was reflected in OvEC, the response of dose escalators was potentially double counted. If the model </w:t>
      </w:r>
      <w:r w:rsidR="00FC1C8D" w:rsidRPr="00446A51">
        <w:t xml:space="preserve">was </w:t>
      </w:r>
      <w:r w:rsidR="00E5561C" w:rsidRPr="00446A51">
        <w:t>proposing that patients initiate at the 40 mcg/kg</w:t>
      </w:r>
      <w:r w:rsidR="00D45AB3" w:rsidRPr="00446A51">
        <w:t>/day</w:t>
      </w:r>
      <w:r w:rsidR="00E5561C" w:rsidRPr="00446A51">
        <w:t xml:space="preserve"> dose and then up-titrate to </w:t>
      </w:r>
      <w:r w:rsidR="00A23AAD" w:rsidRPr="00446A51">
        <w:t>120</w:t>
      </w:r>
      <w:r w:rsidR="00A23AAD">
        <w:t> </w:t>
      </w:r>
      <w:r w:rsidR="00E5561C" w:rsidRPr="00446A51">
        <w:t>mcg/kg</w:t>
      </w:r>
      <w:r w:rsidR="00CD25AE" w:rsidRPr="00446A51">
        <w:t>/day</w:t>
      </w:r>
      <w:r w:rsidR="00E5561C" w:rsidRPr="00446A51">
        <w:t xml:space="preserve"> </w:t>
      </w:r>
      <w:r w:rsidR="008E6381">
        <w:t>if</w:t>
      </w:r>
      <w:r w:rsidR="008E6381" w:rsidRPr="00446A51">
        <w:t xml:space="preserve"> </w:t>
      </w:r>
      <w:r w:rsidR="00E5561C" w:rsidRPr="00446A51">
        <w:t xml:space="preserve">no response, then it would be more reasonable to inform the initial response using the </w:t>
      </w:r>
      <w:r w:rsidR="00A23AAD" w:rsidRPr="00446A51">
        <w:t>40</w:t>
      </w:r>
      <w:r w:rsidR="00A23AAD">
        <w:t> </w:t>
      </w:r>
      <w:r w:rsidR="00E5561C" w:rsidRPr="00446A51">
        <w:t>mcg/kg arm from PEDFIC</w:t>
      </w:r>
      <w:r w:rsidR="008D31AC" w:rsidRPr="00446A51">
        <w:t> </w:t>
      </w:r>
      <w:r w:rsidR="00E5561C" w:rsidRPr="00446A51">
        <w:t xml:space="preserve">1 (43.5%) then adjust this by the proportion who responded after escalating to </w:t>
      </w:r>
      <w:r w:rsidR="00A23AAD" w:rsidRPr="00446A51">
        <w:t>120</w:t>
      </w:r>
      <w:r w:rsidR="00A23AAD">
        <w:t> </w:t>
      </w:r>
      <w:r w:rsidR="00E5561C" w:rsidRPr="00446A51">
        <w:t>mcg/kg</w:t>
      </w:r>
      <w:r w:rsidR="00D45AB3" w:rsidRPr="00446A51">
        <w:t>/day</w:t>
      </w:r>
      <w:r w:rsidR="00E5561C" w:rsidRPr="00446A51">
        <w:t xml:space="preserve"> (25%), rather than using ‘all doses combined’. This </w:t>
      </w:r>
      <w:r w:rsidR="00FC1C8D" w:rsidRPr="00446A51">
        <w:t xml:space="preserve">approach would result in </w:t>
      </w:r>
      <w:r w:rsidR="00E5561C" w:rsidRPr="00446A51">
        <w:t xml:space="preserve">an sBA response of 57.63% </w:t>
      </w:r>
      <w:r w:rsidR="00FC1C8D" w:rsidRPr="00446A51">
        <w:t xml:space="preserve">for odevixibat, which was </w:t>
      </w:r>
      <w:r w:rsidR="00E5561C" w:rsidRPr="00446A51">
        <w:t>used in the financial estimates</w:t>
      </w:r>
      <w:r w:rsidR="006A6243" w:rsidRPr="00446A51">
        <w:t>.</w:t>
      </w:r>
      <w:bookmarkEnd w:id="87"/>
    </w:p>
    <w:p w14:paraId="16D49150" w14:textId="1E252A93" w:rsidR="00E5561C" w:rsidRPr="00446A51" w:rsidRDefault="001623C0" w:rsidP="00E5561C">
      <w:pPr>
        <w:pStyle w:val="3-BodyText"/>
      </w:pPr>
      <w:r w:rsidRPr="00446A51">
        <w:t>T</w:t>
      </w:r>
      <w:r w:rsidR="00E5561C" w:rsidRPr="00446A51">
        <w:t xml:space="preserve">he submission claimed to have </w:t>
      </w:r>
      <w:r w:rsidR="000C3DBE" w:rsidRPr="00446A51">
        <w:t>applied the ‘</w:t>
      </w:r>
      <w:r w:rsidR="00E5561C" w:rsidRPr="00446A51">
        <w:t>PEBD</w:t>
      </w:r>
      <w:r w:rsidR="000C3DBE" w:rsidRPr="00446A51">
        <w:t>,</w:t>
      </w:r>
      <w:r w:rsidR="00E5561C" w:rsidRPr="00446A51">
        <w:t xml:space="preserve"> response</w:t>
      </w:r>
      <w:r w:rsidR="0004730A" w:rsidRPr="00446A51">
        <w:t>’</w:t>
      </w:r>
      <w:r w:rsidR="000C3DBE" w:rsidRPr="00446A51">
        <w:t xml:space="preserve"> rate</w:t>
      </w:r>
      <w:r w:rsidR="00E5561C" w:rsidRPr="00446A51">
        <w:t xml:space="preserve"> </w:t>
      </w:r>
      <w:r w:rsidR="000C3DBE" w:rsidRPr="00446A51">
        <w:t>from</w:t>
      </w:r>
      <w:r w:rsidR="00E5561C" w:rsidRPr="00446A51">
        <w:t xml:space="preserve"> NAPPED data (60.15%)</w:t>
      </w:r>
      <w:r w:rsidR="00FC1C8D" w:rsidRPr="00446A51">
        <w:t>.</w:t>
      </w:r>
      <w:r w:rsidR="00E5561C" w:rsidRPr="00446A51">
        <w:t xml:space="preserve"> </w:t>
      </w:r>
      <w:r w:rsidR="00FC1C8D" w:rsidRPr="00446A51">
        <w:t>H</w:t>
      </w:r>
      <w:r w:rsidR="00E5561C" w:rsidRPr="00446A51">
        <w:t xml:space="preserve">owever, </w:t>
      </w:r>
      <w:r w:rsidR="000C3DBE" w:rsidRPr="00446A51">
        <w:t>‘</w:t>
      </w:r>
      <w:r w:rsidR="00E5561C" w:rsidRPr="00446A51">
        <w:t>PEBD</w:t>
      </w:r>
      <w:r w:rsidR="000C3DBE" w:rsidRPr="00446A51">
        <w:t>,</w:t>
      </w:r>
      <w:r w:rsidR="00E5561C" w:rsidRPr="00446A51">
        <w:t xml:space="preserve"> response</w:t>
      </w:r>
      <w:r w:rsidR="0004730A" w:rsidRPr="00446A51">
        <w:t>’</w:t>
      </w:r>
      <w:r w:rsidR="000C3DBE" w:rsidRPr="00446A51">
        <w:t xml:space="preserve"> rate</w:t>
      </w:r>
      <w:r w:rsidR="00E5561C" w:rsidRPr="00446A51">
        <w:t xml:space="preserve"> from OvEC (32.3%) was </w:t>
      </w:r>
      <w:r w:rsidR="000C3DBE" w:rsidRPr="00446A51">
        <w:t xml:space="preserve">applied </w:t>
      </w:r>
      <w:r w:rsidR="00E5561C" w:rsidRPr="00446A51">
        <w:t>in the base case and</w:t>
      </w:r>
      <w:r w:rsidR="00051FEA">
        <w:t>,</w:t>
      </w:r>
      <w:r w:rsidR="00E5561C" w:rsidRPr="00446A51">
        <w:t xml:space="preserve"> </w:t>
      </w:r>
      <w:r w:rsidR="000C3DBE" w:rsidRPr="00446A51">
        <w:t xml:space="preserve">as </w:t>
      </w:r>
      <w:r w:rsidR="00E5561C" w:rsidRPr="00446A51">
        <w:t xml:space="preserve">only </w:t>
      </w:r>
      <w:r w:rsidR="000C3DBE" w:rsidRPr="00446A51">
        <w:t xml:space="preserve">patients from </w:t>
      </w:r>
      <w:r w:rsidR="00E5561C" w:rsidRPr="00446A51">
        <w:t xml:space="preserve">the SOC arm occupied </w:t>
      </w:r>
      <w:r w:rsidR="000C3DBE" w:rsidRPr="00446A51">
        <w:t xml:space="preserve">the </w:t>
      </w:r>
      <w:r w:rsidR="00E5561C" w:rsidRPr="00446A51">
        <w:t>PEBD states, the lower response rate</w:t>
      </w:r>
      <w:r w:rsidR="0004730A" w:rsidRPr="00446A51">
        <w:t xml:space="preserve"> applied</w:t>
      </w:r>
      <w:r w:rsidR="00E5561C" w:rsidRPr="00446A51">
        <w:t xml:space="preserve"> favoured odevixibat. Assuming 0% response </w:t>
      </w:r>
      <w:r w:rsidR="00421C14" w:rsidRPr="00446A51">
        <w:t xml:space="preserve">at the start of the model (i.e. 100% of patients </w:t>
      </w:r>
      <w:r w:rsidR="00E5561C" w:rsidRPr="00446A51">
        <w:t xml:space="preserve">in the SOC arm </w:t>
      </w:r>
      <w:r w:rsidR="00421C14" w:rsidRPr="00446A51">
        <w:t xml:space="preserve">started in the ‘no PEBD, no response’ health state) </w:t>
      </w:r>
      <w:r w:rsidR="00E5561C" w:rsidRPr="00446A51">
        <w:t xml:space="preserve">also favoured odevixibat </w:t>
      </w:r>
      <w:r w:rsidR="000C3DBE" w:rsidRPr="00446A51">
        <w:t xml:space="preserve">as </w:t>
      </w:r>
      <w:r w:rsidR="00E5561C" w:rsidRPr="00446A51">
        <w:t xml:space="preserve">in PEDFIC 1, 20% of placebo patients achieved and maintained pruritus response despite no sBA response (see </w:t>
      </w:r>
      <w:r w:rsidR="00E5561C" w:rsidRPr="00446A51">
        <w:fldChar w:fldCharType="begin"/>
      </w:r>
      <w:r w:rsidR="00E5561C" w:rsidRPr="00446A51">
        <w:instrText xml:space="preserve"> REF _Ref164608051 \h  \* MERGEFORMAT </w:instrText>
      </w:r>
      <w:r w:rsidR="00E5561C" w:rsidRPr="00446A51">
        <w:fldChar w:fldCharType="separate"/>
      </w:r>
      <w:r w:rsidR="008B4717" w:rsidRPr="00D33C2C">
        <w:t xml:space="preserve">Table </w:t>
      </w:r>
      <w:r w:rsidR="008B4717">
        <w:rPr>
          <w:noProof/>
        </w:rPr>
        <w:t>5</w:t>
      </w:r>
      <w:r w:rsidR="00E5561C" w:rsidRPr="00446A51">
        <w:fldChar w:fldCharType="end"/>
      </w:r>
      <w:r w:rsidR="00E5561C" w:rsidRPr="00446A51">
        <w:t xml:space="preserve">). </w:t>
      </w:r>
    </w:p>
    <w:p w14:paraId="27437348" w14:textId="1352E121" w:rsidR="00E5561C" w:rsidRPr="00446A51" w:rsidRDefault="00E5561C" w:rsidP="00E5561C">
      <w:pPr>
        <w:pStyle w:val="3-BodyText"/>
      </w:pPr>
      <w:r w:rsidRPr="00D33C2C">
        <w:t>For transitions to PEBD (5.52%), LT (2.47%), and death (0.38%) from the ‘no PEBD, no response</w:t>
      </w:r>
      <w:r w:rsidR="0004730A">
        <w:t>’</w:t>
      </w:r>
      <w:r w:rsidRPr="00D33C2C">
        <w:t xml:space="preserve"> state, event counts for SBD (29/44, 65.9%), LT (13/44, 29.5%), and death (2/44, 4.5%) were used and the annual event probability 8.38% based on the exponential model was applied.</w:t>
      </w:r>
      <w:r w:rsidRPr="00D33C2C">
        <w:rPr>
          <w:i/>
          <w:iCs/>
        </w:rPr>
        <w:t xml:space="preserve"> </w:t>
      </w:r>
      <w:r w:rsidRPr="00446A51">
        <w:t xml:space="preserve">These event rates were not consistent with OvEC Part </w:t>
      </w:r>
      <w:r w:rsidRPr="00446A51">
        <w:lastRenderedPageBreak/>
        <w:t xml:space="preserve">A results from the submission or Hansen 2023 (see </w:t>
      </w:r>
      <w:r w:rsidRPr="00446A51">
        <w:fldChar w:fldCharType="begin"/>
      </w:r>
      <w:r w:rsidRPr="00446A51">
        <w:instrText xml:space="preserve"> REF _Ref164610397 \h  \* MERGEFORMAT </w:instrText>
      </w:r>
      <w:r w:rsidRPr="00446A51">
        <w:fldChar w:fldCharType="separate"/>
      </w:r>
      <w:r w:rsidR="008B4717" w:rsidRPr="00D33C2C">
        <w:t xml:space="preserve">Table </w:t>
      </w:r>
      <w:r w:rsidR="008B4717">
        <w:rPr>
          <w:noProof/>
        </w:rPr>
        <w:t>6</w:t>
      </w:r>
      <w:r w:rsidRPr="00446A51">
        <w:fldChar w:fldCharType="end"/>
      </w:r>
      <w:r w:rsidRPr="00446A51">
        <w:t xml:space="preserve">) and could </w:t>
      </w:r>
      <w:r w:rsidR="0004730A" w:rsidRPr="00446A51">
        <w:t xml:space="preserve">not </w:t>
      </w:r>
      <w:r w:rsidRPr="00446A51">
        <w:t>be independently verified.</w:t>
      </w:r>
    </w:p>
    <w:p w14:paraId="156C775E" w14:textId="5FC5AB3C" w:rsidR="00E5561C" w:rsidRPr="00446A51" w:rsidRDefault="00E5561C" w:rsidP="00E5561C">
      <w:pPr>
        <w:pStyle w:val="3-BodyText"/>
      </w:pPr>
      <w:r w:rsidRPr="00D33C2C">
        <w:t>A meta-analysis o</w:t>
      </w:r>
      <w:r w:rsidR="007C2CE5" w:rsidRPr="00D33C2C">
        <w:t>f</w:t>
      </w:r>
      <w:r w:rsidRPr="00D33C2C">
        <w:t xml:space="preserve"> four studies (Hori 2011, Wanty 2004, Aydo</w:t>
      </w:r>
      <w:r w:rsidR="00195104" w:rsidRPr="00D33C2C">
        <w:t>gd</w:t>
      </w:r>
      <w:r w:rsidRPr="00D33C2C">
        <w:t>u 2007, and Valamparampil 2019)</w:t>
      </w:r>
      <w:r w:rsidR="007C2CE5" w:rsidRPr="00D33C2C">
        <w:t xml:space="preserve"> informed the acute post-LT mortality</w:t>
      </w:r>
      <w:r w:rsidRPr="00D33C2C">
        <w:t xml:space="preserve">. </w:t>
      </w:r>
      <w:r w:rsidRPr="00446A51">
        <w:t>The analysis weighted studies by the number of death events</w:t>
      </w:r>
      <w:r w:rsidR="00E2670D" w:rsidRPr="00446A51">
        <w:t>,</w:t>
      </w:r>
      <w:r w:rsidRPr="00446A51">
        <w:t xml:space="preserve"> not sample size</w:t>
      </w:r>
      <w:r w:rsidR="00E2670D" w:rsidRPr="00446A51">
        <w:t>,</w:t>
      </w:r>
      <w:r w:rsidRPr="00446A51">
        <w:t xml:space="preserve"> which biased mortality towards studies with greater death events. Valamparampil 2019, a study of LT mortality in India, reported the highest mortality and had the highest weighting in the meta-analysis, but it was unclear if results from this study </w:t>
      </w:r>
      <w:r w:rsidR="00640E66" w:rsidRPr="00446A51">
        <w:t xml:space="preserve">were </w:t>
      </w:r>
      <w:r w:rsidRPr="00446A51">
        <w:t xml:space="preserve">applicable to the Australian setting. Long-term post-LT mortality was estimated by fitting an exponential model to the pooled data from Hori 2011 and Wanty 2004. For consistency, it may have been more reasonable to rely on the same studies </w:t>
      </w:r>
      <w:r w:rsidR="007C2CE5" w:rsidRPr="00446A51">
        <w:t xml:space="preserve">(i.e., Hori 2011 and Wanty 2004 only) </w:t>
      </w:r>
      <w:r w:rsidRPr="00446A51">
        <w:t>for both acute and long-term post-LT mortality.</w:t>
      </w:r>
      <w:r w:rsidR="00286F37" w:rsidRPr="00446A51">
        <w:t xml:space="preserve"> There were also errors in the meta-analysis of acute post-LT mortality</w:t>
      </w:r>
      <w:r w:rsidR="00A15DAC" w:rsidRPr="00446A51">
        <w:t xml:space="preserve"> which had previously been identified by NICE in 2022 and were uncorrected in the submission</w:t>
      </w:r>
      <w:r w:rsidR="00286F37" w:rsidRPr="00446A51">
        <w:t>.</w:t>
      </w:r>
      <w:r w:rsidR="00CA2DF9" w:rsidRPr="00446A51">
        <w:t xml:space="preserve"> Specifically, the submission reported 4/12 deaths in Aydogdu 2007 and 1/49 deaths in Wanty 2004</w:t>
      </w:r>
      <w:r w:rsidR="0004730A" w:rsidRPr="00446A51">
        <w:t>;</w:t>
      </w:r>
      <w:r w:rsidR="00CA2DF9" w:rsidRPr="00446A51">
        <w:t xml:space="preserve"> however</w:t>
      </w:r>
      <w:r w:rsidR="0004730A" w:rsidRPr="00446A51">
        <w:t>,</w:t>
      </w:r>
      <w:r w:rsidR="00CA2DF9" w:rsidRPr="00446A51">
        <w:t xml:space="preserve"> upon review, there were 3/12 deaths in Aydogdu 2008 and 1/38 deaths in Wanty 2004.</w:t>
      </w:r>
      <w:r w:rsidR="00124352" w:rsidRPr="00446A51">
        <w:t xml:space="preserve"> Moreover, it appears that more studies were considered by NICE and it was unclear why these </w:t>
      </w:r>
      <w:r w:rsidR="00E2670D" w:rsidRPr="00446A51">
        <w:t xml:space="preserve">additional studies </w:t>
      </w:r>
      <w:r w:rsidR="00124352" w:rsidRPr="00446A51">
        <w:t>were excluded from the submission. The search strategies for literature on post LT mortality was not reported by the submission.</w:t>
      </w:r>
    </w:p>
    <w:p w14:paraId="7D2C0A8A" w14:textId="214C172E" w:rsidR="00E5561C" w:rsidRPr="00446A51" w:rsidRDefault="00E5561C" w:rsidP="00E5561C">
      <w:pPr>
        <w:pStyle w:val="3-BodyText"/>
      </w:pPr>
      <w:r w:rsidRPr="00D33C2C">
        <w:t xml:space="preserve">Re-transplant probability (9.81%) was obtained directly from Bull 2018. </w:t>
      </w:r>
      <w:r w:rsidRPr="00446A51">
        <w:t>This was aligned with other evidence for re-transplantation.</w:t>
      </w:r>
      <w:r w:rsidRPr="00446A51">
        <w:rPr>
          <w:rStyle w:val="FootnoteReference"/>
        </w:rPr>
        <w:footnoteReference w:id="16"/>
      </w:r>
      <w:r w:rsidRPr="00446A51">
        <w:t xml:space="preserve"> The submission assumed that mortality after the second LT was the same as </w:t>
      </w:r>
      <w:r w:rsidR="000C3DBE" w:rsidRPr="00446A51">
        <w:t xml:space="preserve">after </w:t>
      </w:r>
      <w:r w:rsidRPr="00446A51">
        <w:t>the first LT which may not be reasonable.</w:t>
      </w:r>
    </w:p>
    <w:p w14:paraId="37E8FBF0" w14:textId="6DF8D0D8" w:rsidR="00E5561C" w:rsidRPr="00446A51" w:rsidRDefault="00E5561C" w:rsidP="00E5561C">
      <w:pPr>
        <w:pStyle w:val="3-BodyText"/>
      </w:pPr>
      <w:r w:rsidRPr="00446A51">
        <w:t xml:space="preserve">The base case utility values were informed by various literature. The base case utility values were highly uncertain </w:t>
      </w:r>
      <w:r w:rsidR="00236234" w:rsidRPr="00446A51">
        <w:t xml:space="preserve">as </w:t>
      </w:r>
      <w:r w:rsidRPr="00446A51">
        <w:t xml:space="preserve">none of the </w:t>
      </w:r>
      <w:r w:rsidR="000C3DBE" w:rsidRPr="00446A51">
        <w:t xml:space="preserve">selected </w:t>
      </w:r>
      <w:r w:rsidRPr="00446A51">
        <w:t xml:space="preserve">studies were </w:t>
      </w:r>
      <w:r w:rsidR="00236234" w:rsidRPr="00446A51">
        <w:t xml:space="preserve">in </w:t>
      </w:r>
      <w:r w:rsidRPr="00446A51">
        <w:t xml:space="preserve">the PFIC population. </w:t>
      </w:r>
      <w:r w:rsidR="00E2670D" w:rsidRPr="00446A51">
        <w:t>Although the use of u</w:t>
      </w:r>
      <w:r w:rsidRPr="00446A51">
        <w:t>tilities from PEDFIC</w:t>
      </w:r>
      <w:r w:rsidR="005162BC" w:rsidRPr="00446A51">
        <w:t> </w:t>
      </w:r>
      <w:r w:rsidRPr="00446A51">
        <w:t xml:space="preserve">1 would have been most representative of </w:t>
      </w:r>
      <w:r w:rsidR="00373B5C" w:rsidRPr="00446A51">
        <w:t>PFIC patients</w:t>
      </w:r>
      <w:r w:rsidRPr="00446A51">
        <w:t xml:space="preserve">, PEDFIC 1 patient-reported values were considered implausible, for example, the ‘no PEBD, no response’ health state (0.769) was higher than the ‘no PEBD, response’ health state (0.737). </w:t>
      </w:r>
      <w:r w:rsidR="008E6381">
        <w:t xml:space="preserve">Use of </w:t>
      </w:r>
      <w:r w:rsidRPr="00446A51">
        <w:t>PEDFIC</w:t>
      </w:r>
      <w:r w:rsidR="00373B5C" w:rsidRPr="00446A51">
        <w:t> </w:t>
      </w:r>
      <w:r w:rsidRPr="00446A51">
        <w:t>1 parent-reported utility values</w:t>
      </w:r>
      <w:r w:rsidR="00D74D77" w:rsidRPr="00446A51">
        <w:t xml:space="preserve"> (see </w:t>
      </w:r>
      <w:r w:rsidR="00D74D77" w:rsidRPr="00446A51">
        <w:fldChar w:fldCharType="begin"/>
      </w:r>
      <w:r w:rsidR="00D74D77" w:rsidRPr="00446A51">
        <w:instrText xml:space="preserve"> REF _Ref164662549 \h  \* MERGEFORMAT </w:instrText>
      </w:r>
      <w:r w:rsidR="00D74D77" w:rsidRPr="00446A51">
        <w:fldChar w:fldCharType="separate"/>
      </w:r>
      <w:r w:rsidR="008B4717" w:rsidRPr="00D33C2C">
        <w:t xml:space="preserve">Table </w:t>
      </w:r>
      <w:r w:rsidR="008B4717">
        <w:rPr>
          <w:noProof/>
        </w:rPr>
        <w:t>13</w:t>
      </w:r>
      <w:r w:rsidR="00D74D77" w:rsidRPr="00446A51">
        <w:fldChar w:fldCharType="end"/>
      </w:r>
      <w:r w:rsidR="00D74D77" w:rsidRPr="00446A51">
        <w:t>)</w:t>
      </w:r>
      <w:r w:rsidRPr="00446A51">
        <w:t xml:space="preserve"> </w:t>
      </w:r>
      <w:r w:rsidR="000C3DBE" w:rsidRPr="00446A51">
        <w:t>increased the ICER by 28%</w:t>
      </w:r>
      <w:r w:rsidRPr="00446A51">
        <w:t>.</w:t>
      </w:r>
    </w:p>
    <w:p w14:paraId="0015F29E" w14:textId="6F82E2FF" w:rsidR="00E5561C" w:rsidRPr="00D12904" w:rsidRDefault="00E5561C" w:rsidP="005019EB">
      <w:pPr>
        <w:pStyle w:val="3-BodyText"/>
      </w:pPr>
      <w:bookmarkStart w:id="88" w:name="_Ref164668236"/>
      <w:r w:rsidRPr="00446A51">
        <w:t xml:space="preserve">The </w:t>
      </w:r>
      <w:r w:rsidR="00E2670D" w:rsidRPr="00446A51">
        <w:t xml:space="preserve">base case </w:t>
      </w:r>
      <w:r w:rsidRPr="00446A51">
        <w:t xml:space="preserve">utility values were likely </w:t>
      </w:r>
      <w:r w:rsidR="006221F5" w:rsidRPr="00446A51">
        <w:t xml:space="preserve">biased </w:t>
      </w:r>
      <w:r w:rsidRPr="00446A51">
        <w:t>toward</w:t>
      </w:r>
      <w:r w:rsidR="00E2670D" w:rsidRPr="00446A51">
        <w:t>s</w:t>
      </w:r>
      <w:r w:rsidRPr="00446A51">
        <w:t xml:space="preserve"> health states that odevixibat </w:t>
      </w:r>
      <w:r w:rsidR="000C3DBE" w:rsidRPr="00446A51">
        <w:t xml:space="preserve">patients </w:t>
      </w:r>
      <w:r w:rsidRPr="00446A51">
        <w:t>occupied, particular</w:t>
      </w:r>
      <w:r w:rsidR="00E2670D" w:rsidRPr="00446A51">
        <w:t>ly regarding</w:t>
      </w:r>
      <w:r w:rsidRPr="00446A51">
        <w:t xml:space="preserve"> the assumption that odevixibat patients do not undergo PEBD. The stoma bag disutility multiplier (0.722)</w:t>
      </w:r>
      <w:r w:rsidR="00CB2AF4" w:rsidRPr="00446A51">
        <w:t xml:space="preserve"> applied to PEBD</w:t>
      </w:r>
      <w:r w:rsidRPr="00446A51">
        <w:t xml:space="preserve"> </w:t>
      </w:r>
      <w:r w:rsidR="00E2670D" w:rsidRPr="00446A51">
        <w:t xml:space="preserve">health states </w:t>
      </w:r>
      <w:r w:rsidRPr="00446A51">
        <w:t xml:space="preserve">potentially underestimated QALYs associated with </w:t>
      </w:r>
      <w:r w:rsidR="00E2670D" w:rsidRPr="00446A51">
        <w:t xml:space="preserve">the </w:t>
      </w:r>
      <w:r w:rsidR="00BA4F19" w:rsidRPr="00446A51">
        <w:t xml:space="preserve">health </w:t>
      </w:r>
      <w:r w:rsidRPr="00446A51">
        <w:t>states</w:t>
      </w:r>
      <w:r w:rsidR="00E2670D" w:rsidRPr="00446A51">
        <w:t xml:space="preserve"> which were occupied </w:t>
      </w:r>
      <w:r w:rsidRPr="00446A51">
        <w:t xml:space="preserve">only </w:t>
      </w:r>
      <w:r w:rsidR="00E2670D" w:rsidRPr="00446A51">
        <w:t>by</w:t>
      </w:r>
      <w:r w:rsidRPr="00446A51">
        <w:t xml:space="preserve"> SOC </w:t>
      </w:r>
      <w:r w:rsidR="00E2670D" w:rsidRPr="00446A51">
        <w:t>patients</w:t>
      </w:r>
      <w:r w:rsidRPr="00446A51">
        <w:t xml:space="preserve"> and appeared to contribute to the lack of face validity in utility values. Notably, the ‘no PEBD, no response’ health state had higher utility </w:t>
      </w:r>
      <w:r w:rsidRPr="00446A51">
        <w:lastRenderedPageBreak/>
        <w:t>(0.83) than the ‘PEBD, response’ state (0.659)</w:t>
      </w:r>
      <w:r w:rsidR="00E2670D" w:rsidRPr="00446A51">
        <w:t>. This</w:t>
      </w:r>
      <w:r w:rsidRPr="00446A51">
        <w:t xml:space="preserve"> favoured the odevixibat arm and also implied that patients preferred pruritus symptoms </w:t>
      </w:r>
      <w:r w:rsidR="000C3DBE" w:rsidRPr="00446A51">
        <w:t>over</w:t>
      </w:r>
      <w:r w:rsidRPr="00446A51">
        <w:t xml:space="preserve"> achieving </w:t>
      </w:r>
      <w:r w:rsidR="000C3DBE" w:rsidRPr="00446A51">
        <w:t xml:space="preserve">a </w:t>
      </w:r>
      <w:r w:rsidRPr="00446A51">
        <w:t>response after PEBD</w:t>
      </w:r>
      <w:r w:rsidR="00E2670D" w:rsidRPr="00446A51">
        <w:t xml:space="preserve">, which </w:t>
      </w:r>
      <w:r w:rsidRPr="00446A51">
        <w:t xml:space="preserve">may not be plausible. </w:t>
      </w:r>
      <w:bookmarkEnd w:id="88"/>
      <w:r w:rsidR="001825BF" w:rsidRPr="00D12904">
        <w:t>A sensitivity analysis in which the utility in the ‘PEBD, response’ state equalled that in the ‘no PEBD, no response’ state (i.e. 0.830) increased the ICER be 9%.</w:t>
      </w:r>
    </w:p>
    <w:p w14:paraId="6509555D" w14:textId="219603DF" w:rsidR="00E5561C" w:rsidRPr="00D33C2C" w:rsidRDefault="00E5561C" w:rsidP="00EA0D6E">
      <w:pPr>
        <w:pStyle w:val="TableFigureHeading"/>
        <w:keepLines/>
        <w:rPr>
          <w:i/>
          <w:iCs/>
        </w:rPr>
      </w:pPr>
      <w:bookmarkStart w:id="89" w:name="_Ref164662549"/>
      <w:r w:rsidRPr="00D33C2C">
        <w:t xml:space="preserve">Table </w:t>
      </w:r>
      <w:r w:rsidR="00DF1200">
        <w:fldChar w:fldCharType="begin"/>
      </w:r>
      <w:r w:rsidR="00DF1200">
        <w:instrText xml:space="preserve"> SEQ Table \* ARABIC </w:instrText>
      </w:r>
      <w:r w:rsidR="00DF1200">
        <w:fldChar w:fldCharType="separate"/>
      </w:r>
      <w:r w:rsidR="008B4717">
        <w:rPr>
          <w:noProof/>
        </w:rPr>
        <w:t>13</w:t>
      </w:r>
      <w:r w:rsidR="00DF1200">
        <w:rPr>
          <w:noProof/>
        </w:rPr>
        <w:fldChar w:fldCharType="end"/>
      </w:r>
      <w:bookmarkEnd w:id="89"/>
      <w:r w:rsidRPr="00D33C2C">
        <w:t xml:space="preserve">: </w:t>
      </w:r>
      <w:r w:rsidR="00530D99">
        <w:t>Base case u</w:t>
      </w:r>
      <w:r w:rsidRPr="00D33C2C">
        <w:t>tility values</w:t>
      </w:r>
      <w:r w:rsidR="00530D99">
        <w:t xml:space="preserve"> and parent-reported values from </w:t>
      </w:r>
      <w:r w:rsidRPr="00D33C2C">
        <w:t xml:space="preserve">PEDFIC 1 </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Base case utility values and parent-reported values from PEDFIC 1 "/>
      </w:tblPr>
      <w:tblGrid>
        <w:gridCol w:w="4075"/>
        <w:gridCol w:w="2400"/>
        <w:gridCol w:w="2520"/>
      </w:tblGrid>
      <w:tr w:rsidR="00517DC0" w:rsidRPr="00D33C2C" w14:paraId="4B8102FB" w14:textId="77777777" w:rsidTr="00517DC0">
        <w:trPr>
          <w:trHeight w:val="20"/>
        </w:trPr>
        <w:tc>
          <w:tcPr>
            <w:tcW w:w="4075" w:type="dxa"/>
            <w:vAlign w:val="center"/>
          </w:tcPr>
          <w:p w14:paraId="321CB2F2" w14:textId="77777777" w:rsidR="00517DC0" w:rsidRPr="00D33C2C" w:rsidRDefault="00517DC0" w:rsidP="00EA0D6E">
            <w:pPr>
              <w:pStyle w:val="Tabletext"/>
              <w:keepNext/>
              <w:keepLines/>
              <w:rPr>
                <w:b/>
                <w:bCs/>
              </w:rPr>
            </w:pPr>
            <w:r w:rsidRPr="00D33C2C">
              <w:rPr>
                <w:b/>
                <w:bCs/>
              </w:rPr>
              <w:t>Mapped EQ-5D score</w:t>
            </w:r>
          </w:p>
        </w:tc>
        <w:tc>
          <w:tcPr>
            <w:tcW w:w="2400" w:type="dxa"/>
            <w:vAlign w:val="center"/>
          </w:tcPr>
          <w:p w14:paraId="1209AD15" w14:textId="77777777" w:rsidR="00517DC0" w:rsidRPr="00D33C2C" w:rsidRDefault="00517DC0" w:rsidP="00EA0D6E">
            <w:pPr>
              <w:pStyle w:val="Tabletext"/>
              <w:keepNext/>
              <w:keepLines/>
              <w:jc w:val="center"/>
              <w:rPr>
                <w:b/>
                <w:bCs/>
              </w:rPr>
            </w:pPr>
            <w:r w:rsidRPr="00D33C2C">
              <w:rPr>
                <w:b/>
                <w:bCs/>
              </w:rPr>
              <w:t xml:space="preserve">Base case </w:t>
            </w:r>
          </w:p>
        </w:tc>
        <w:tc>
          <w:tcPr>
            <w:tcW w:w="2520" w:type="dxa"/>
            <w:vAlign w:val="center"/>
          </w:tcPr>
          <w:p w14:paraId="1841B6D4" w14:textId="77777777" w:rsidR="00517DC0" w:rsidRPr="00D33C2C" w:rsidRDefault="00517DC0" w:rsidP="00EA0D6E">
            <w:pPr>
              <w:pStyle w:val="Tabletext"/>
              <w:keepNext/>
              <w:keepLines/>
              <w:jc w:val="center"/>
              <w:rPr>
                <w:b/>
                <w:bCs/>
              </w:rPr>
            </w:pPr>
            <w:r w:rsidRPr="00D33C2C">
              <w:rPr>
                <w:b/>
                <w:bCs/>
              </w:rPr>
              <w:t>PEDFIC 1</w:t>
            </w:r>
          </w:p>
          <w:p w14:paraId="2C0F9F56" w14:textId="77777777" w:rsidR="00517DC0" w:rsidRPr="00D33C2C" w:rsidRDefault="00517DC0" w:rsidP="00EA0D6E">
            <w:pPr>
              <w:pStyle w:val="Tabletext"/>
              <w:keepNext/>
              <w:keepLines/>
              <w:jc w:val="center"/>
              <w:rPr>
                <w:b/>
                <w:bCs/>
              </w:rPr>
            </w:pPr>
            <w:r w:rsidRPr="00D33C2C">
              <w:rPr>
                <w:b/>
                <w:bCs/>
              </w:rPr>
              <w:t>Parent-reported</w:t>
            </w:r>
          </w:p>
        </w:tc>
      </w:tr>
      <w:tr w:rsidR="00517DC0" w:rsidRPr="00D33C2C" w14:paraId="339B6239" w14:textId="77777777" w:rsidTr="00517DC0">
        <w:trPr>
          <w:trHeight w:val="20"/>
        </w:trPr>
        <w:tc>
          <w:tcPr>
            <w:tcW w:w="4075" w:type="dxa"/>
            <w:vAlign w:val="center"/>
          </w:tcPr>
          <w:p w14:paraId="2F5C2782" w14:textId="77777777" w:rsidR="00517DC0" w:rsidRPr="00D33C2C" w:rsidRDefault="00517DC0" w:rsidP="00EA0D6E">
            <w:pPr>
              <w:pStyle w:val="Tabletext"/>
              <w:keepNext/>
              <w:keepLines/>
            </w:pPr>
            <w:r w:rsidRPr="00D33C2C">
              <w:t>No PEBD, response</w:t>
            </w:r>
          </w:p>
        </w:tc>
        <w:tc>
          <w:tcPr>
            <w:tcW w:w="2400" w:type="dxa"/>
            <w:vAlign w:val="center"/>
          </w:tcPr>
          <w:p w14:paraId="7D647546" w14:textId="77777777" w:rsidR="00517DC0" w:rsidRPr="00D33C2C" w:rsidRDefault="00517DC0" w:rsidP="00EA0D6E">
            <w:pPr>
              <w:pStyle w:val="Tabletext"/>
              <w:keepNext/>
              <w:keepLines/>
              <w:jc w:val="center"/>
            </w:pPr>
            <w:r w:rsidRPr="00D33C2C">
              <w:t>0.914</w:t>
            </w:r>
          </w:p>
        </w:tc>
        <w:tc>
          <w:tcPr>
            <w:tcW w:w="2520" w:type="dxa"/>
            <w:vAlign w:val="center"/>
          </w:tcPr>
          <w:p w14:paraId="11F3F079" w14:textId="77777777" w:rsidR="00517DC0" w:rsidRPr="00D33C2C" w:rsidRDefault="00517DC0" w:rsidP="00EA0D6E">
            <w:pPr>
              <w:pStyle w:val="Tabletext"/>
              <w:keepNext/>
              <w:keepLines/>
              <w:jc w:val="center"/>
            </w:pPr>
            <w:r w:rsidRPr="00D33C2C">
              <w:t>0.791</w:t>
            </w:r>
          </w:p>
        </w:tc>
      </w:tr>
      <w:tr w:rsidR="00517DC0" w:rsidRPr="00D33C2C" w14:paraId="76EE69C3" w14:textId="77777777" w:rsidTr="00517DC0">
        <w:trPr>
          <w:trHeight w:val="20"/>
        </w:trPr>
        <w:tc>
          <w:tcPr>
            <w:tcW w:w="4075" w:type="dxa"/>
            <w:vAlign w:val="center"/>
          </w:tcPr>
          <w:p w14:paraId="6B13FE9E" w14:textId="77777777" w:rsidR="00517DC0" w:rsidRPr="00D33C2C" w:rsidRDefault="00517DC0" w:rsidP="00EA0D6E">
            <w:pPr>
              <w:pStyle w:val="Tabletext"/>
              <w:keepNext/>
              <w:keepLines/>
            </w:pPr>
            <w:r w:rsidRPr="00D33C2C">
              <w:t xml:space="preserve">No PEBD, no response </w:t>
            </w:r>
          </w:p>
        </w:tc>
        <w:tc>
          <w:tcPr>
            <w:tcW w:w="2400" w:type="dxa"/>
            <w:vAlign w:val="center"/>
          </w:tcPr>
          <w:p w14:paraId="791BF266" w14:textId="77777777" w:rsidR="00517DC0" w:rsidRPr="00D33C2C" w:rsidRDefault="00517DC0" w:rsidP="00EA0D6E">
            <w:pPr>
              <w:pStyle w:val="Tabletext"/>
              <w:keepNext/>
              <w:keepLines/>
              <w:jc w:val="center"/>
            </w:pPr>
            <w:r w:rsidRPr="00D33C2C">
              <w:t>0.830</w:t>
            </w:r>
          </w:p>
        </w:tc>
        <w:tc>
          <w:tcPr>
            <w:tcW w:w="2520" w:type="dxa"/>
            <w:vAlign w:val="center"/>
          </w:tcPr>
          <w:p w14:paraId="402F2EC3" w14:textId="77777777" w:rsidR="00517DC0" w:rsidRPr="00D33C2C" w:rsidRDefault="00517DC0" w:rsidP="00EA0D6E">
            <w:pPr>
              <w:pStyle w:val="Tabletext"/>
              <w:keepNext/>
              <w:keepLines/>
              <w:jc w:val="center"/>
            </w:pPr>
            <w:r w:rsidRPr="00D33C2C">
              <w:t>0.664</w:t>
            </w:r>
          </w:p>
        </w:tc>
      </w:tr>
      <w:tr w:rsidR="00517DC0" w:rsidRPr="00D33C2C" w14:paraId="73C367DF" w14:textId="77777777" w:rsidTr="00517DC0">
        <w:trPr>
          <w:trHeight w:val="20"/>
        </w:trPr>
        <w:tc>
          <w:tcPr>
            <w:tcW w:w="4075" w:type="dxa"/>
            <w:vAlign w:val="center"/>
          </w:tcPr>
          <w:p w14:paraId="335C4B63" w14:textId="77777777" w:rsidR="00517DC0" w:rsidRPr="00D33C2C" w:rsidRDefault="00517DC0" w:rsidP="00EA0D6E">
            <w:pPr>
              <w:pStyle w:val="Tabletext"/>
              <w:keepNext/>
              <w:keepLines/>
            </w:pPr>
            <w:r w:rsidRPr="00D33C2C">
              <w:t>PEBD, response</w:t>
            </w:r>
          </w:p>
        </w:tc>
        <w:tc>
          <w:tcPr>
            <w:tcW w:w="2400" w:type="dxa"/>
            <w:vAlign w:val="center"/>
          </w:tcPr>
          <w:p w14:paraId="76C4DE04" w14:textId="77777777" w:rsidR="00517DC0" w:rsidRPr="00D33C2C" w:rsidRDefault="00517DC0" w:rsidP="00EA0D6E">
            <w:pPr>
              <w:pStyle w:val="Tabletext"/>
              <w:keepNext/>
              <w:keepLines/>
              <w:jc w:val="center"/>
            </w:pPr>
            <w:r w:rsidRPr="00D33C2C">
              <w:t>0.659</w:t>
            </w:r>
          </w:p>
        </w:tc>
        <w:tc>
          <w:tcPr>
            <w:tcW w:w="2520" w:type="dxa"/>
            <w:vAlign w:val="center"/>
          </w:tcPr>
          <w:p w14:paraId="79864379" w14:textId="77777777" w:rsidR="00517DC0" w:rsidRPr="00D33C2C" w:rsidRDefault="00517DC0" w:rsidP="00EA0D6E">
            <w:pPr>
              <w:pStyle w:val="Tabletext"/>
              <w:keepNext/>
              <w:keepLines/>
              <w:jc w:val="center"/>
            </w:pPr>
            <w:r w:rsidRPr="00D33C2C">
              <w:t>0.571</w:t>
            </w:r>
          </w:p>
        </w:tc>
      </w:tr>
      <w:tr w:rsidR="00517DC0" w:rsidRPr="00D33C2C" w14:paraId="43E335D7" w14:textId="77777777" w:rsidTr="00517DC0">
        <w:trPr>
          <w:trHeight w:val="20"/>
        </w:trPr>
        <w:tc>
          <w:tcPr>
            <w:tcW w:w="4075" w:type="dxa"/>
            <w:vAlign w:val="center"/>
          </w:tcPr>
          <w:p w14:paraId="2A74D0F8" w14:textId="77777777" w:rsidR="00517DC0" w:rsidRPr="00D33C2C" w:rsidRDefault="00517DC0" w:rsidP="00EA0D6E">
            <w:pPr>
              <w:pStyle w:val="Tabletext"/>
              <w:keepNext/>
              <w:keepLines/>
            </w:pPr>
            <w:r w:rsidRPr="00D33C2C">
              <w:t>PEBD, no response</w:t>
            </w:r>
          </w:p>
        </w:tc>
        <w:tc>
          <w:tcPr>
            <w:tcW w:w="2400" w:type="dxa"/>
            <w:vAlign w:val="center"/>
          </w:tcPr>
          <w:p w14:paraId="5E8196C7" w14:textId="77777777" w:rsidR="00517DC0" w:rsidRPr="00D33C2C" w:rsidRDefault="00517DC0" w:rsidP="00EA0D6E">
            <w:pPr>
              <w:pStyle w:val="Tabletext"/>
              <w:keepNext/>
              <w:keepLines/>
              <w:jc w:val="center"/>
            </w:pPr>
            <w:r w:rsidRPr="00D33C2C">
              <w:t>0.599</w:t>
            </w:r>
          </w:p>
        </w:tc>
        <w:tc>
          <w:tcPr>
            <w:tcW w:w="2520" w:type="dxa"/>
            <w:vAlign w:val="center"/>
          </w:tcPr>
          <w:p w14:paraId="2C824495" w14:textId="77777777" w:rsidR="00517DC0" w:rsidRPr="00D33C2C" w:rsidRDefault="00517DC0" w:rsidP="00EA0D6E">
            <w:pPr>
              <w:pStyle w:val="Tabletext"/>
              <w:keepNext/>
              <w:keepLines/>
              <w:jc w:val="center"/>
            </w:pPr>
            <w:r w:rsidRPr="00D33C2C">
              <w:t>0.479</w:t>
            </w:r>
          </w:p>
        </w:tc>
      </w:tr>
      <w:tr w:rsidR="00517DC0" w:rsidRPr="00D33C2C" w14:paraId="230E1B0B" w14:textId="77777777" w:rsidTr="00517DC0">
        <w:trPr>
          <w:trHeight w:val="20"/>
        </w:trPr>
        <w:tc>
          <w:tcPr>
            <w:tcW w:w="4075" w:type="dxa"/>
            <w:vAlign w:val="center"/>
          </w:tcPr>
          <w:p w14:paraId="7E955BB5" w14:textId="77777777" w:rsidR="00517DC0" w:rsidRPr="00D33C2C" w:rsidRDefault="00517DC0" w:rsidP="00EA0D6E">
            <w:pPr>
              <w:pStyle w:val="Tabletext"/>
              <w:keepNext/>
              <w:keepLines/>
              <w:rPr>
                <w:vertAlign w:val="superscript"/>
              </w:rPr>
            </w:pPr>
            <w:r w:rsidRPr="00D33C2C">
              <w:t xml:space="preserve">LT </w:t>
            </w:r>
            <w:r w:rsidRPr="00D33C2C">
              <w:rPr>
                <w:vertAlign w:val="superscript"/>
              </w:rPr>
              <w:t>a</w:t>
            </w:r>
          </w:p>
        </w:tc>
        <w:tc>
          <w:tcPr>
            <w:tcW w:w="2400" w:type="dxa"/>
            <w:vAlign w:val="center"/>
          </w:tcPr>
          <w:p w14:paraId="42EC3074" w14:textId="77777777" w:rsidR="00517DC0" w:rsidRPr="00D33C2C" w:rsidRDefault="00517DC0" w:rsidP="00EA0D6E">
            <w:pPr>
              <w:pStyle w:val="Tabletext"/>
              <w:keepNext/>
              <w:keepLines/>
              <w:jc w:val="center"/>
            </w:pPr>
            <w:r w:rsidRPr="00D33C2C">
              <w:t>0.710</w:t>
            </w:r>
          </w:p>
        </w:tc>
        <w:tc>
          <w:tcPr>
            <w:tcW w:w="2520" w:type="dxa"/>
            <w:vAlign w:val="center"/>
          </w:tcPr>
          <w:p w14:paraId="7A0BBC29" w14:textId="4B9F389D" w:rsidR="00517DC0" w:rsidRPr="00D33C2C" w:rsidRDefault="00517DC0" w:rsidP="00EA0D6E">
            <w:pPr>
              <w:pStyle w:val="Tabletext"/>
              <w:keepNext/>
              <w:keepLines/>
              <w:jc w:val="center"/>
            </w:pPr>
            <w:r w:rsidRPr="00D33C2C">
              <w:t>0.71</w:t>
            </w:r>
            <w:r>
              <w:t>0</w:t>
            </w:r>
          </w:p>
        </w:tc>
      </w:tr>
      <w:tr w:rsidR="00517DC0" w:rsidRPr="00D33C2C" w14:paraId="4E8B36C5" w14:textId="77777777" w:rsidTr="00517DC0">
        <w:trPr>
          <w:trHeight w:val="20"/>
        </w:trPr>
        <w:tc>
          <w:tcPr>
            <w:tcW w:w="4075" w:type="dxa"/>
            <w:vAlign w:val="center"/>
          </w:tcPr>
          <w:p w14:paraId="6F303F19" w14:textId="77777777" w:rsidR="00517DC0" w:rsidRPr="00D33C2C" w:rsidRDefault="00517DC0" w:rsidP="00EA0D6E">
            <w:pPr>
              <w:pStyle w:val="Tabletext"/>
              <w:keepNext/>
              <w:keepLines/>
            </w:pPr>
            <w:r w:rsidRPr="00D33C2C">
              <w:t>Post-LT</w:t>
            </w:r>
            <w:r w:rsidRPr="00D33C2C">
              <w:rPr>
                <w:vertAlign w:val="superscript"/>
              </w:rPr>
              <w:t xml:space="preserve"> a</w:t>
            </w:r>
          </w:p>
        </w:tc>
        <w:tc>
          <w:tcPr>
            <w:tcW w:w="2400" w:type="dxa"/>
            <w:vAlign w:val="center"/>
          </w:tcPr>
          <w:p w14:paraId="28F19493" w14:textId="77777777" w:rsidR="00517DC0" w:rsidRPr="00D33C2C" w:rsidRDefault="00517DC0" w:rsidP="00EA0D6E">
            <w:pPr>
              <w:pStyle w:val="Tabletext"/>
              <w:keepNext/>
              <w:keepLines/>
              <w:jc w:val="center"/>
            </w:pPr>
            <w:r w:rsidRPr="00D33C2C">
              <w:t>0.774</w:t>
            </w:r>
          </w:p>
        </w:tc>
        <w:tc>
          <w:tcPr>
            <w:tcW w:w="2520" w:type="dxa"/>
            <w:vAlign w:val="center"/>
          </w:tcPr>
          <w:p w14:paraId="56DD93DB" w14:textId="77777777" w:rsidR="00517DC0" w:rsidRPr="00D33C2C" w:rsidRDefault="00517DC0" w:rsidP="00EA0D6E">
            <w:pPr>
              <w:pStyle w:val="Tabletext"/>
              <w:keepNext/>
              <w:keepLines/>
              <w:jc w:val="center"/>
            </w:pPr>
            <w:r w:rsidRPr="00D33C2C">
              <w:t>0.774</w:t>
            </w:r>
          </w:p>
        </w:tc>
      </w:tr>
    </w:tbl>
    <w:p w14:paraId="4DC0FAB5" w14:textId="77777777" w:rsidR="00E5561C" w:rsidRPr="00D33C2C" w:rsidRDefault="00E5561C" w:rsidP="00EA0D6E">
      <w:pPr>
        <w:pStyle w:val="TableFigureFooter"/>
        <w:keepNext/>
        <w:keepLines/>
      </w:pPr>
      <w:r w:rsidRPr="00D33C2C">
        <w:t>Source: ‘HRQoL data’ worksheet from the economic model</w:t>
      </w:r>
    </w:p>
    <w:p w14:paraId="7F5ED51B" w14:textId="0BB07337" w:rsidR="00E5561C" w:rsidRPr="00D33C2C" w:rsidRDefault="00E5561C" w:rsidP="00EA0D6E">
      <w:pPr>
        <w:pStyle w:val="TableFigureFooter"/>
        <w:keepNext/>
        <w:keepLines/>
      </w:pPr>
      <w:r w:rsidRPr="00D33C2C">
        <w:t xml:space="preserve">EQ-5D = EuroQol-5 Dimension; </w:t>
      </w:r>
      <w:r w:rsidR="00DE7B08" w:rsidRPr="00D33C2C">
        <w:t>LT = liver transplant</w:t>
      </w:r>
      <w:r w:rsidR="00DE7B08">
        <w:t xml:space="preserve">; </w:t>
      </w:r>
      <w:r w:rsidRPr="00D33C2C">
        <w:t xml:space="preserve">PEBD = partial biliary diversion </w:t>
      </w:r>
    </w:p>
    <w:p w14:paraId="74226777" w14:textId="77777777" w:rsidR="00E5561C" w:rsidRPr="00D33C2C" w:rsidRDefault="00E5561C" w:rsidP="00CB3236">
      <w:pPr>
        <w:pStyle w:val="TableFigureFooter"/>
        <w:contextualSpacing w:val="0"/>
      </w:pPr>
      <w:r w:rsidRPr="00D33C2C">
        <w:rPr>
          <w:vertAlign w:val="superscript"/>
        </w:rPr>
        <w:t>a</w:t>
      </w:r>
      <w:r w:rsidRPr="00D33C2C">
        <w:t xml:space="preserve"> LT and post-LT utilities did not change from the base case under these scenarios</w:t>
      </w:r>
    </w:p>
    <w:p w14:paraId="3B3FFBEF" w14:textId="4EAB2642" w:rsidR="00E5561C" w:rsidRPr="00D12904" w:rsidRDefault="00E2670D" w:rsidP="005A3779">
      <w:pPr>
        <w:pStyle w:val="3-BodyText"/>
      </w:pPr>
      <w:r w:rsidRPr="00446A51">
        <w:t>P</w:t>
      </w:r>
      <w:r w:rsidR="00E5561C" w:rsidRPr="00446A51">
        <w:t xml:space="preserve">atients undergoing LT were expected to derive </w:t>
      </w:r>
      <w:r w:rsidRPr="00446A51">
        <w:t>higher utility values in the year of transplant (0.71)</w:t>
      </w:r>
      <w:r w:rsidR="00E5561C" w:rsidRPr="00446A51">
        <w:t xml:space="preserve"> compared to patients who achieved response with PEBD (0.659)</w:t>
      </w:r>
      <w:r w:rsidRPr="00446A51">
        <w:t>. This</w:t>
      </w:r>
      <w:r w:rsidR="00E5561C" w:rsidRPr="00446A51">
        <w:t xml:space="preserve"> may not be plausible given LT is supposed to reflect the most severe health state and </w:t>
      </w:r>
      <w:r w:rsidRPr="00446A51">
        <w:t xml:space="preserve">can be </w:t>
      </w:r>
      <w:r w:rsidR="00E5561C" w:rsidRPr="00446A51">
        <w:t>associated with complications (e.g., immunosuppression, recurrence). Noting that Kini 2011</w:t>
      </w:r>
      <w:r w:rsidRPr="00446A51">
        <w:t>, the source of the LT utility,</w:t>
      </w:r>
      <w:r w:rsidR="00E5561C" w:rsidRPr="00446A51">
        <w:t xml:space="preserve"> investigated adults with pruritus, it was not clear how applicable </w:t>
      </w:r>
      <w:r w:rsidRPr="00446A51">
        <w:t>this value was</w:t>
      </w:r>
      <w:r w:rsidR="00E5561C" w:rsidRPr="00446A51">
        <w:t xml:space="preserve"> to PFIC children. The submission stated </w:t>
      </w:r>
      <w:r w:rsidR="008F0673" w:rsidRPr="00446A51">
        <w:t xml:space="preserve">that the </w:t>
      </w:r>
      <w:r w:rsidR="00E5561C" w:rsidRPr="00446A51">
        <w:t xml:space="preserve">post-LT utility </w:t>
      </w:r>
      <w:r w:rsidRPr="00446A51">
        <w:t xml:space="preserve">value </w:t>
      </w:r>
      <w:r w:rsidR="008F0673" w:rsidRPr="00446A51">
        <w:t xml:space="preserve">was </w:t>
      </w:r>
      <w:r w:rsidR="00E5561C" w:rsidRPr="00446A51">
        <w:t>0.85</w:t>
      </w:r>
      <w:r w:rsidRPr="00446A51">
        <w:t>;</w:t>
      </w:r>
      <w:r w:rsidR="00E5561C" w:rsidRPr="00446A51">
        <w:t xml:space="preserve"> however, the model assumed a utility decrement of 0.076 to reflect patients who experience</w:t>
      </w:r>
      <w:r w:rsidR="000C3DBE" w:rsidRPr="00446A51">
        <w:t>d</w:t>
      </w:r>
      <w:r w:rsidR="00E5561C" w:rsidRPr="00446A51">
        <w:t xml:space="preserve"> recurrence </w:t>
      </w:r>
      <w:r w:rsidR="00E104AF" w:rsidRPr="00446A51">
        <w:t xml:space="preserve">of PFIC </w:t>
      </w:r>
      <w:r w:rsidR="00E5561C" w:rsidRPr="00446A51">
        <w:t xml:space="preserve">after LT. </w:t>
      </w:r>
      <w:r w:rsidRPr="00446A51">
        <w:t>The d</w:t>
      </w:r>
      <w:r w:rsidR="00E5561C" w:rsidRPr="00446A51">
        <w:t xml:space="preserve">erivation of </w:t>
      </w:r>
      <w:r w:rsidRPr="00446A51">
        <w:t xml:space="preserve">the </w:t>
      </w:r>
      <w:r w:rsidR="00E5561C" w:rsidRPr="00446A51">
        <w:t xml:space="preserve">0.076 </w:t>
      </w:r>
      <w:r w:rsidRPr="00446A51">
        <w:t xml:space="preserve">decrement </w:t>
      </w:r>
      <w:r w:rsidR="00E5561C" w:rsidRPr="00446A51">
        <w:t>was not clear</w:t>
      </w:r>
      <w:r w:rsidRPr="00446A51">
        <w:t>; however</w:t>
      </w:r>
      <w:r w:rsidR="00E5561C" w:rsidRPr="00446A51">
        <w:t xml:space="preserve">, the resulting </w:t>
      </w:r>
      <w:r w:rsidR="0004730A" w:rsidRPr="00446A51">
        <w:t xml:space="preserve">utility </w:t>
      </w:r>
      <w:r w:rsidR="008F0673" w:rsidRPr="00446A51">
        <w:t>value</w:t>
      </w:r>
      <w:r w:rsidRPr="00446A51">
        <w:t xml:space="preserve"> (0.774)</w:t>
      </w:r>
      <w:r w:rsidR="00E5561C" w:rsidRPr="00446A51">
        <w:t xml:space="preserve"> was consistent with considerations from </w:t>
      </w:r>
      <w:r w:rsidR="008F0673" w:rsidRPr="00446A51">
        <w:t xml:space="preserve">the ERG from </w:t>
      </w:r>
      <w:r w:rsidR="00E5561C" w:rsidRPr="00446A51">
        <w:t xml:space="preserve">NICE who stated that post-LT utility </w:t>
      </w:r>
      <w:r w:rsidR="008F0673" w:rsidRPr="00446A51">
        <w:t xml:space="preserve">values </w:t>
      </w:r>
      <w:r w:rsidR="00E5561C" w:rsidRPr="00446A51">
        <w:t xml:space="preserve">ranged from 0.70-0.78 in the literature. </w:t>
      </w:r>
    </w:p>
    <w:p w14:paraId="20B0E55B" w14:textId="4ABF1923" w:rsidR="00E5561C" w:rsidRPr="00D12904" w:rsidRDefault="00E5561C" w:rsidP="00E5561C">
      <w:pPr>
        <w:pStyle w:val="3-BodyText"/>
      </w:pPr>
      <w:r w:rsidRPr="00D12904">
        <w:t>The submission presented a scenario analysis that included caregiver disutilit</w:t>
      </w:r>
      <w:r w:rsidR="0004730A" w:rsidRPr="00D12904">
        <w:t>ies.</w:t>
      </w:r>
      <w:r w:rsidRPr="00D12904">
        <w:t xml:space="preserve"> </w:t>
      </w:r>
      <w:r w:rsidR="0004730A" w:rsidRPr="00D12904">
        <w:t>A</w:t>
      </w:r>
      <w:r w:rsidRPr="00D12904">
        <w:t xml:space="preserve"> value of -0.1 was applied to ‘PEBD, no response’, and -0.05 was applied to ‘no PEBD, response’, ‘PEBD response’, and ‘post-LT’ </w:t>
      </w:r>
      <w:r w:rsidR="008F0673" w:rsidRPr="00D12904">
        <w:t xml:space="preserve">states. This decreased the ICER by </w:t>
      </w:r>
      <w:r w:rsidRPr="00D12904">
        <w:t xml:space="preserve">16%. </w:t>
      </w:r>
    </w:p>
    <w:p w14:paraId="4DB9F14E" w14:textId="030361E5" w:rsidR="004201F1" w:rsidRPr="00D12904" w:rsidRDefault="00E5561C" w:rsidP="004201F1">
      <w:pPr>
        <w:pStyle w:val="3-BodyText"/>
      </w:pPr>
      <w:r w:rsidRPr="00D12904">
        <w:t>Odevixibat treatment costs were a key driver of the model and contributed to over 95% of total costs.</w:t>
      </w:r>
      <w:r w:rsidR="007C21C8" w:rsidRPr="00D12904">
        <w:t xml:space="preserve"> </w:t>
      </w:r>
      <w:r w:rsidRPr="00D12904">
        <w:t xml:space="preserve">The cost of odevixibat varied substantially between patients </w:t>
      </w:r>
      <w:r w:rsidR="000C3DBE" w:rsidRPr="00D12904">
        <w:t xml:space="preserve">receiving </w:t>
      </w:r>
      <w:r w:rsidRPr="00D12904">
        <w:t>the low dose (40 mcg/kg</w:t>
      </w:r>
      <w:r w:rsidR="0005770B" w:rsidRPr="00D12904">
        <w:t>/day</w:t>
      </w:r>
      <w:r w:rsidRPr="00D12904">
        <w:t xml:space="preserve">) </w:t>
      </w:r>
      <w:r w:rsidR="000C3DBE" w:rsidRPr="00D12904">
        <w:t>and</w:t>
      </w:r>
      <w:r w:rsidRPr="00D12904">
        <w:t xml:space="preserve"> those </w:t>
      </w:r>
      <w:r w:rsidR="000C3DBE" w:rsidRPr="00D12904">
        <w:t>receiving</w:t>
      </w:r>
      <w:r w:rsidRPr="00D12904">
        <w:t xml:space="preserve"> the high dose (120</w:t>
      </w:r>
      <w:r w:rsidR="00CB3236">
        <w:t> </w:t>
      </w:r>
      <w:r w:rsidRPr="00D12904">
        <w:t>mcg/kg</w:t>
      </w:r>
      <w:r w:rsidR="0005770B" w:rsidRPr="00D12904">
        <w:t>/day</w:t>
      </w:r>
      <w:r w:rsidR="004201F1" w:rsidRPr="00D12904">
        <w:t xml:space="preserve">; see </w:t>
      </w:r>
      <w:r w:rsidR="004201F1" w:rsidRPr="00D12904">
        <w:fldChar w:fldCharType="begin"/>
      </w:r>
      <w:r w:rsidR="004201F1" w:rsidRPr="00D12904">
        <w:instrText xml:space="preserve"> REF _Ref166156313 \h  \* MERGEFORMAT </w:instrText>
      </w:r>
      <w:r w:rsidR="004201F1" w:rsidRPr="00D12904">
        <w:fldChar w:fldCharType="separate"/>
      </w:r>
      <w:r w:rsidR="008B4717" w:rsidRPr="00D12904">
        <w:t xml:space="preserve">Table </w:t>
      </w:r>
      <w:r w:rsidR="008B4717">
        <w:rPr>
          <w:noProof/>
        </w:rPr>
        <w:t>14</w:t>
      </w:r>
      <w:r w:rsidR="004201F1" w:rsidRPr="00D12904">
        <w:fldChar w:fldCharType="end"/>
      </w:r>
      <w:r w:rsidRPr="00D12904">
        <w:t xml:space="preserve">). </w:t>
      </w:r>
      <w:r w:rsidR="008E6381" w:rsidRPr="00D12904">
        <w:t>The ESC considered that the assumption applied in the model that 25% of patients who did not respond to odevixibat 40</w:t>
      </w:r>
      <w:r w:rsidR="007D0590">
        <w:t> </w:t>
      </w:r>
      <w:r w:rsidR="008E6381" w:rsidRPr="00D12904">
        <w:t xml:space="preserve">mcg/kg/day responded after they were treated with </w:t>
      </w:r>
      <w:r w:rsidR="007D0590" w:rsidRPr="00D12904">
        <w:t>120</w:t>
      </w:r>
      <w:r w:rsidR="007D0590">
        <w:t> </w:t>
      </w:r>
      <w:r w:rsidR="008E6381" w:rsidRPr="00D12904">
        <w:t>mcg/kg/day was not</w:t>
      </w:r>
      <w:r w:rsidR="00AB109F">
        <w:t xml:space="preserve"> supported by the evidence and appeared implausible</w:t>
      </w:r>
      <w:r w:rsidR="008E6381" w:rsidRPr="00D12904">
        <w:t>. The ESC considered that there was no clinical justification to increase the dose in patients who did not respond to the 40</w:t>
      </w:r>
      <w:r w:rsidR="007D0590">
        <w:t> </w:t>
      </w:r>
      <w:r w:rsidR="008E6381" w:rsidRPr="00D12904">
        <w:t xml:space="preserve">mcg/kg/day dose, noting that the submission did not supply data justifying the superiority of the </w:t>
      </w:r>
      <w:r w:rsidR="007D0590" w:rsidRPr="00D12904">
        <w:t>120</w:t>
      </w:r>
      <w:r w:rsidR="007D0590">
        <w:t> </w:t>
      </w:r>
      <w:r w:rsidR="008E6381" w:rsidRPr="00D12904">
        <w:t>mcg/kg/day dose. Further, the ESC noted that the 120</w:t>
      </w:r>
      <w:r w:rsidR="007D0590">
        <w:t> </w:t>
      </w:r>
      <w:r w:rsidR="008E6381" w:rsidRPr="00D12904">
        <w:t xml:space="preserve">mcg/kg/day dose was significantly more expensive than the </w:t>
      </w:r>
      <w:r w:rsidR="007D0590" w:rsidRPr="00D12904">
        <w:t>40</w:t>
      </w:r>
      <w:r w:rsidR="007D0590">
        <w:t> </w:t>
      </w:r>
      <w:r w:rsidR="008E6381" w:rsidRPr="00D12904">
        <w:t>mcg/kg/day dose.</w:t>
      </w:r>
    </w:p>
    <w:p w14:paraId="3BCC8058" w14:textId="0EC0204D" w:rsidR="004201F1" w:rsidRPr="00D12904" w:rsidRDefault="004201F1" w:rsidP="00DA33C9">
      <w:pPr>
        <w:pStyle w:val="TableFigureHeading"/>
        <w:keepLines/>
      </w:pPr>
      <w:bookmarkStart w:id="90" w:name="_Ref166156313"/>
      <w:r w:rsidRPr="00D12904">
        <w:lastRenderedPageBreak/>
        <w:t xml:space="preserve">Table </w:t>
      </w:r>
      <w:r w:rsidR="00DF1200">
        <w:fldChar w:fldCharType="begin"/>
      </w:r>
      <w:r w:rsidR="00DF1200">
        <w:instrText xml:space="preserve"> SEQ Table \* ARABIC </w:instrText>
      </w:r>
      <w:r w:rsidR="00DF1200">
        <w:fldChar w:fldCharType="separate"/>
      </w:r>
      <w:r w:rsidR="008B4717">
        <w:rPr>
          <w:noProof/>
        </w:rPr>
        <w:t>14</w:t>
      </w:r>
      <w:r w:rsidR="00DF1200">
        <w:rPr>
          <w:noProof/>
        </w:rPr>
        <w:fldChar w:fldCharType="end"/>
      </w:r>
      <w:bookmarkEnd w:id="90"/>
      <w:r w:rsidRPr="00D12904">
        <w:t>: Annual cost by weight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85" w:type="dxa"/>
        </w:tblCellMar>
        <w:tblLook w:val="04A0" w:firstRow="1" w:lastRow="0" w:firstColumn="1" w:lastColumn="0" w:noHBand="0" w:noVBand="1"/>
        <w:tblCaption w:val="Table 14: Annual cost by weight band"/>
      </w:tblPr>
      <w:tblGrid>
        <w:gridCol w:w="1271"/>
        <w:gridCol w:w="783"/>
        <w:gridCol w:w="783"/>
        <w:gridCol w:w="851"/>
        <w:gridCol w:w="853"/>
        <w:gridCol w:w="992"/>
        <w:gridCol w:w="1136"/>
        <w:gridCol w:w="1134"/>
        <w:gridCol w:w="1214"/>
      </w:tblGrid>
      <w:tr w:rsidR="004201F1" w:rsidRPr="00D12904" w14:paraId="67164A80" w14:textId="77777777" w:rsidTr="00EA7518">
        <w:trPr>
          <w:trHeight w:val="20"/>
        </w:trPr>
        <w:tc>
          <w:tcPr>
            <w:tcW w:w="705" w:type="pct"/>
            <w:vMerge w:val="restart"/>
            <w:shd w:val="clear" w:color="auto" w:fill="auto"/>
            <w:noWrap/>
            <w:hideMark/>
          </w:tcPr>
          <w:p w14:paraId="2F649054" w14:textId="77777777" w:rsidR="004201F1" w:rsidRPr="00D12904" w:rsidRDefault="004201F1" w:rsidP="00DA33C9">
            <w:pPr>
              <w:pStyle w:val="Tabletext"/>
              <w:keepNext/>
              <w:keepLines/>
              <w:rPr>
                <w:b/>
                <w:bCs/>
              </w:rPr>
            </w:pPr>
            <w:r w:rsidRPr="00D12904">
              <w:rPr>
                <w:b/>
                <w:bCs/>
              </w:rPr>
              <w:t>Weight</w:t>
            </w:r>
          </w:p>
        </w:tc>
        <w:tc>
          <w:tcPr>
            <w:tcW w:w="867" w:type="pct"/>
            <w:gridSpan w:val="2"/>
            <w:shd w:val="clear" w:color="auto" w:fill="auto"/>
            <w:noWrap/>
            <w:hideMark/>
          </w:tcPr>
          <w:p w14:paraId="4001B09F" w14:textId="77777777" w:rsidR="004201F1" w:rsidRPr="00D12904" w:rsidRDefault="004201F1" w:rsidP="00DA33C9">
            <w:pPr>
              <w:pStyle w:val="Tabletext"/>
              <w:keepNext/>
              <w:keepLines/>
              <w:jc w:val="center"/>
              <w:rPr>
                <w:b/>
                <w:bCs/>
              </w:rPr>
            </w:pPr>
            <w:r w:rsidRPr="00D12904">
              <w:rPr>
                <w:b/>
                <w:bCs/>
              </w:rPr>
              <w:t>Daily dose (mcg)</w:t>
            </w:r>
          </w:p>
        </w:tc>
        <w:tc>
          <w:tcPr>
            <w:tcW w:w="945" w:type="pct"/>
            <w:gridSpan w:val="2"/>
            <w:shd w:val="clear" w:color="auto" w:fill="auto"/>
            <w:noWrap/>
            <w:hideMark/>
          </w:tcPr>
          <w:p w14:paraId="1BE18FE4" w14:textId="77777777" w:rsidR="004201F1" w:rsidRPr="00D12904" w:rsidRDefault="004201F1" w:rsidP="00DA33C9">
            <w:pPr>
              <w:pStyle w:val="Tabletext"/>
              <w:keepNext/>
              <w:keepLines/>
              <w:jc w:val="center"/>
              <w:rPr>
                <w:b/>
                <w:bCs/>
              </w:rPr>
            </w:pPr>
            <w:r w:rsidRPr="00D12904">
              <w:rPr>
                <w:b/>
                <w:bCs/>
              </w:rPr>
              <w:t>Capsules/day</w:t>
            </w:r>
          </w:p>
        </w:tc>
        <w:tc>
          <w:tcPr>
            <w:tcW w:w="1180" w:type="pct"/>
            <w:gridSpan w:val="2"/>
            <w:shd w:val="clear" w:color="auto" w:fill="auto"/>
          </w:tcPr>
          <w:p w14:paraId="3759E649" w14:textId="77777777" w:rsidR="004201F1" w:rsidRPr="00D12904" w:rsidRDefault="004201F1" w:rsidP="00DA33C9">
            <w:pPr>
              <w:pStyle w:val="Tabletext"/>
              <w:keepNext/>
              <w:keepLines/>
              <w:jc w:val="center"/>
              <w:rPr>
                <w:b/>
                <w:bCs/>
              </w:rPr>
            </w:pPr>
            <w:r w:rsidRPr="00D12904">
              <w:rPr>
                <w:b/>
                <w:bCs/>
              </w:rPr>
              <w:t>Daily cost</w:t>
            </w:r>
          </w:p>
        </w:tc>
        <w:tc>
          <w:tcPr>
            <w:tcW w:w="1303" w:type="pct"/>
            <w:gridSpan w:val="2"/>
            <w:shd w:val="clear" w:color="auto" w:fill="auto"/>
            <w:noWrap/>
            <w:hideMark/>
          </w:tcPr>
          <w:p w14:paraId="0EE44ACD" w14:textId="77777777" w:rsidR="004201F1" w:rsidRPr="00D12904" w:rsidRDefault="004201F1" w:rsidP="00DA33C9">
            <w:pPr>
              <w:pStyle w:val="Tabletext"/>
              <w:keepNext/>
              <w:keepLines/>
              <w:jc w:val="center"/>
              <w:rPr>
                <w:b/>
                <w:bCs/>
              </w:rPr>
            </w:pPr>
            <w:r w:rsidRPr="00D12904">
              <w:rPr>
                <w:b/>
                <w:bCs/>
              </w:rPr>
              <w:t>Annual cost</w:t>
            </w:r>
          </w:p>
        </w:tc>
      </w:tr>
      <w:tr w:rsidR="004201F1" w:rsidRPr="00D12904" w14:paraId="42D4EE39" w14:textId="77777777" w:rsidTr="00EA7518">
        <w:trPr>
          <w:trHeight w:val="20"/>
        </w:trPr>
        <w:tc>
          <w:tcPr>
            <w:tcW w:w="705" w:type="pct"/>
            <w:vMerge/>
            <w:shd w:val="clear" w:color="auto" w:fill="auto"/>
            <w:hideMark/>
          </w:tcPr>
          <w:p w14:paraId="5D34FAE6" w14:textId="77777777" w:rsidR="004201F1" w:rsidRPr="00D12904" w:rsidRDefault="004201F1" w:rsidP="00DA33C9">
            <w:pPr>
              <w:pStyle w:val="Tabletext"/>
              <w:keepNext/>
              <w:keepLines/>
              <w:rPr>
                <w:b/>
                <w:bCs/>
              </w:rPr>
            </w:pPr>
          </w:p>
        </w:tc>
        <w:tc>
          <w:tcPr>
            <w:tcW w:w="434" w:type="pct"/>
            <w:shd w:val="clear" w:color="auto" w:fill="auto"/>
            <w:noWrap/>
            <w:hideMark/>
          </w:tcPr>
          <w:p w14:paraId="548A20B2" w14:textId="77777777" w:rsidR="004201F1" w:rsidRPr="00D12904" w:rsidRDefault="004201F1" w:rsidP="00DA33C9">
            <w:pPr>
              <w:pStyle w:val="Tabletext"/>
              <w:keepNext/>
              <w:keepLines/>
              <w:jc w:val="center"/>
              <w:rPr>
                <w:b/>
                <w:bCs/>
              </w:rPr>
            </w:pPr>
            <w:r w:rsidRPr="00D12904">
              <w:rPr>
                <w:b/>
                <w:bCs/>
              </w:rPr>
              <w:t>Low dose</w:t>
            </w:r>
          </w:p>
        </w:tc>
        <w:tc>
          <w:tcPr>
            <w:tcW w:w="434" w:type="pct"/>
            <w:shd w:val="clear" w:color="auto" w:fill="auto"/>
            <w:noWrap/>
            <w:hideMark/>
          </w:tcPr>
          <w:p w14:paraId="52153005" w14:textId="77777777" w:rsidR="004201F1" w:rsidRPr="00D12904" w:rsidRDefault="004201F1" w:rsidP="00DA33C9">
            <w:pPr>
              <w:pStyle w:val="Tabletext"/>
              <w:keepNext/>
              <w:keepLines/>
              <w:jc w:val="center"/>
              <w:rPr>
                <w:b/>
                <w:bCs/>
              </w:rPr>
            </w:pPr>
            <w:r w:rsidRPr="00D12904">
              <w:rPr>
                <w:b/>
                <w:bCs/>
              </w:rPr>
              <w:t>High dose</w:t>
            </w:r>
          </w:p>
        </w:tc>
        <w:tc>
          <w:tcPr>
            <w:tcW w:w="472" w:type="pct"/>
            <w:shd w:val="clear" w:color="auto" w:fill="auto"/>
            <w:noWrap/>
            <w:vAlign w:val="center"/>
            <w:hideMark/>
          </w:tcPr>
          <w:p w14:paraId="11E0041D" w14:textId="77777777" w:rsidR="004201F1" w:rsidRPr="00D12904" w:rsidRDefault="004201F1" w:rsidP="00DA33C9">
            <w:pPr>
              <w:pStyle w:val="Tabletext"/>
              <w:keepNext/>
              <w:keepLines/>
              <w:jc w:val="center"/>
              <w:rPr>
                <w:b/>
                <w:bCs/>
              </w:rPr>
            </w:pPr>
            <w:r w:rsidRPr="00D12904">
              <w:rPr>
                <w:b/>
                <w:bCs/>
              </w:rPr>
              <w:t>Sprinkle</w:t>
            </w:r>
          </w:p>
        </w:tc>
        <w:tc>
          <w:tcPr>
            <w:tcW w:w="473" w:type="pct"/>
            <w:shd w:val="clear" w:color="auto" w:fill="auto"/>
            <w:noWrap/>
            <w:vAlign w:val="center"/>
            <w:hideMark/>
          </w:tcPr>
          <w:p w14:paraId="5A0A8D46" w14:textId="77777777" w:rsidR="004201F1" w:rsidRPr="00D12904" w:rsidRDefault="004201F1" w:rsidP="00DA33C9">
            <w:pPr>
              <w:pStyle w:val="Tabletext"/>
              <w:keepNext/>
              <w:keepLines/>
              <w:jc w:val="center"/>
              <w:rPr>
                <w:b/>
                <w:bCs/>
              </w:rPr>
            </w:pPr>
            <w:r w:rsidRPr="00D12904">
              <w:rPr>
                <w:b/>
                <w:bCs/>
              </w:rPr>
              <w:t>Swallow</w:t>
            </w:r>
          </w:p>
        </w:tc>
        <w:tc>
          <w:tcPr>
            <w:tcW w:w="550" w:type="pct"/>
            <w:shd w:val="clear" w:color="auto" w:fill="auto"/>
            <w:vAlign w:val="center"/>
          </w:tcPr>
          <w:p w14:paraId="61DA8DDF" w14:textId="77777777" w:rsidR="004201F1" w:rsidRPr="00D12904" w:rsidRDefault="004201F1" w:rsidP="00DA33C9">
            <w:pPr>
              <w:pStyle w:val="Tabletext"/>
              <w:keepNext/>
              <w:keepLines/>
              <w:jc w:val="center"/>
              <w:rPr>
                <w:b/>
                <w:bCs/>
              </w:rPr>
            </w:pPr>
            <w:r w:rsidRPr="00D12904">
              <w:rPr>
                <w:b/>
                <w:bCs/>
              </w:rPr>
              <w:t>Low dose</w:t>
            </w:r>
          </w:p>
        </w:tc>
        <w:tc>
          <w:tcPr>
            <w:tcW w:w="630" w:type="pct"/>
            <w:shd w:val="clear" w:color="auto" w:fill="auto"/>
            <w:vAlign w:val="center"/>
          </w:tcPr>
          <w:p w14:paraId="18817CE1" w14:textId="77777777" w:rsidR="004201F1" w:rsidRPr="00D12904" w:rsidRDefault="004201F1" w:rsidP="00DA33C9">
            <w:pPr>
              <w:pStyle w:val="Tabletext"/>
              <w:keepNext/>
              <w:keepLines/>
              <w:jc w:val="center"/>
              <w:rPr>
                <w:b/>
                <w:bCs/>
              </w:rPr>
            </w:pPr>
            <w:r w:rsidRPr="00D12904">
              <w:rPr>
                <w:b/>
                <w:bCs/>
              </w:rPr>
              <w:t>High dose</w:t>
            </w:r>
          </w:p>
        </w:tc>
        <w:tc>
          <w:tcPr>
            <w:tcW w:w="629" w:type="pct"/>
            <w:shd w:val="clear" w:color="auto" w:fill="auto"/>
            <w:noWrap/>
            <w:vAlign w:val="center"/>
            <w:hideMark/>
          </w:tcPr>
          <w:p w14:paraId="3AA0878D" w14:textId="77777777" w:rsidR="004201F1" w:rsidRPr="00D12904" w:rsidRDefault="004201F1" w:rsidP="00DA33C9">
            <w:pPr>
              <w:pStyle w:val="Tabletext"/>
              <w:keepNext/>
              <w:keepLines/>
              <w:jc w:val="center"/>
              <w:rPr>
                <w:b/>
                <w:bCs/>
              </w:rPr>
            </w:pPr>
            <w:r w:rsidRPr="00D12904">
              <w:rPr>
                <w:b/>
                <w:bCs/>
              </w:rPr>
              <w:t>Low dose</w:t>
            </w:r>
          </w:p>
        </w:tc>
        <w:tc>
          <w:tcPr>
            <w:tcW w:w="674" w:type="pct"/>
            <w:shd w:val="clear" w:color="auto" w:fill="auto"/>
            <w:noWrap/>
            <w:vAlign w:val="center"/>
            <w:hideMark/>
          </w:tcPr>
          <w:p w14:paraId="3B7CEE76" w14:textId="77777777" w:rsidR="004201F1" w:rsidRPr="00D12904" w:rsidRDefault="004201F1" w:rsidP="00DA33C9">
            <w:pPr>
              <w:pStyle w:val="Tabletext"/>
              <w:keepNext/>
              <w:keepLines/>
              <w:jc w:val="center"/>
              <w:rPr>
                <w:b/>
                <w:bCs/>
              </w:rPr>
            </w:pPr>
            <w:r w:rsidRPr="00D12904">
              <w:rPr>
                <w:b/>
                <w:bCs/>
              </w:rPr>
              <w:t>High dose</w:t>
            </w:r>
          </w:p>
        </w:tc>
      </w:tr>
      <w:tr w:rsidR="004201F1" w:rsidRPr="00D12904" w14:paraId="33CB21DF" w14:textId="77777777" w:rsidTr="00EA7518">
        <w:trPr>
          <w:trHeight w:val="20"/>
        </w:trPr>
        <w:tc>
          <w:tcPr>
            <w:tcW w:w="705" w:type="pct"/>
            <w:shd w:val="clear" w:color="auto" w:fill="auto"/>
            <w:noWrap/>
            <w:vAlign w:val="center"/>
            <w:hideMark/>
          </w:tcPr>
          <w:p w14:paraId="7DC3D3E0" w14:textId="77777777" w:rsidR="004201F1" w:rsidRPr="00D12904" w:rsidRDefault="004201F1" w:rsidP="00DA33C9">
            <w:pPr>
              <w:pStyle w:val="Tabletext"/>
              <w:keepNext/>
              <w:keepLines/>
            </w:pPr>
            <w:r w:rsidRPr="00D12904">
              <w:t>4 to &lt; 7.5</w:t>
            </w:r>
          </w:p>
        </w:tc>
        <w:tc>
          <w:tcPr>
            <w:tcW w:w="434" w:type="pct"/>
            <w:shd w:val="clear" w:color="auto" w:fill="auto"/>
            <w:noWrap/>
            <w:vAlign w:val="center"/>
            <w:hideMark/>
          </w:tcPr>
          <w:p w14:paraId="5CA42A0A" w14:textId="77777777" w:rsidR="004201F1" w:rsidRPr="00D12904" w:rsidRDefault="004201F1" w:rsidP="00DA33C9">
            <w:pPr>
              <w:pStyle w:val="Tabletext"/>
              <w:keepNext/>
              <w:keepLines/>
              <w:jc w:val="center"/>
            </w:pPr>
            <w:r w:rsidRPr="00D12904">
              <w:t>200</w:t>
            </w:r>
          </w:p>
        </w:tc>
        <w:tc>
          <w:tcPr>
            <w:tcW w:w="434" w:type="pct"/>
            <w:shd w:val="clear" w:color="auto" w:fill="auto"/>
            <w:noWrap/>
            <w:vAlign w:val="center"/>
            <w:hideMark/>
          </w:tcPr>
          <w:p w14:paraId="20EDB09B" w14:textId="77777777" w:rsidR="004201F1" w:rsidRPr="00D12904" w:rsidRDefault="004201F1" w:rsidP="00DA33C9">
            <w:pPr>
              <w:pStyle w:val="Tabletext"/>
              <w:keepNext/>
              <w:keepLines/>
              <w:jc w:val="center"/>
            </w:pPr>
            <w:r w:rsidRPr="00D12904">
              <w:t>600</w:t>
            </w:r>
          </w:p>
        </w:tc>
        <w:tc>
          <w:tcPr>
            <w:tcW w:w="472" w:type="pct"/>
            <w:shd w:val="clear" w:color="auto" w:fill="auto"/>
            <w:noWrap/>
            <w:vAlign w:val="center"/>
            <w:hideMark/>
          </w:tcPr>
          <w:p w14:paraId="599CDE28" w14:textId="77777777" w:rsidR="004201F1" w:rsidRPr="00D12904" w:rsidRDefault="004201F1" w:rsidP="00DA33C9">
            <w:pPr>
              <w:pStyle w:val="Tabletext"/>
              <w:keepNext/>
              <w:keepLines/>
              <w:jc w:val="center"/>
            </w:pPr>
            <w:r w:rsidRPr="00D12904">
              <w:t>1</w:t>
            </w:r>
          </w:p>
        </w:tc>
        <w:tc>
          <w:tcPr>
            <w:tcW w:w="473" w:type="pct"/>
            <w:shd w:val="clear" w:color="auto" w:fill="auto"/>
            <w:noWrap/>
            <w:hideMark/>
          </w:tcPr>
          <w:p w14:paraId="7203990B" w14:textId="77777777" w:rsidR="004201F1" w:rsidRPr="00D12904" w:rsidRDefault="004201F1" w:rsidP="00DA33C9">
            <w:pPr>
              <w:pStyle w:val="Tabletext"/>
              <w:keepNext/>
              <w:keepLines/>
              <w:jc w:val="center"/>
            </w:pPr>
            <w:r w:rsidRPr="00D12904">
              <w:t>-</w:t>
            </w:r>
          </w:p>
        </w:tc>
        <w:tc>
          <w:tcPr>
            <w:tcW w:w="550" w:type="pct"/>
            <w:shd w:val="clear" w:color="auto" w:fill="auto"/>
            <w:vAlign w:val="center"/>
          </w:tcPr>
          <w:p w14:paraId="0F132626" w14:textId="548CDE29" w:rsidR="004201F1" w:rsidRPr="00D12904" w:rsidRDefault="004201F1" w:rsidP="00DA33C9">
            <w:pPr>
              <w:pStyle w:val="Tabletext"/>
              <w:keepNext/>
              <w:keepLines/>
              <w:jc w:val="center"/>
            </w:pPr>
            <w:r w:rsidRPr="00D12904">
              <w:t>$</w:t>
            </w:r>
            <w:r w:rsidR="0066157F" w:rsidRPr="0066157F">
              <w:rPr>
                <w:rFonts w:hint="eastAsia"/>
                <w:color w:val="000000"/>
                <w:w w:val="31"/>
                <w:shd w:val="solid" w:color="000000" w:fill="000000"/>
                <w:fitText w:val="140" w:id="-894208768"/>
                <w14:textFill>
                  <w14:solidFill>
                    <w14:srgbClr w14:val="000000">
                      <w14:alpha w14:val="100000"/>
                    </w14:srgbClr>
                  </w14:solidFill>
                </w14:textFill>
              </w:rPr>
              <w:t xml:space="preserve">　</w:t>
            </w:r>
            <w:r w:rsidR="0066157F" w:rsidRPr="0066157F">
              <w:rPr>
                <w:color w:val="000000"/>
                <w:w w:val="31"/>
                <w:shd w:val="solid" w:color="000000" w:fill="000000"/>
                <w:fitText w:val="140" w:id="-894208768"/>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68"/>
                <w14:textFill>
                  <w14:solidFill>
                    <w14:srgbClr w14:val="000000">
                      <w14:alpha w14:val="100000"/>
                    </w14:srgbClr>
                  </w14:solidFill>
                </w14:textFill>
              </w:rPr>
              <w:t xml:space="preserve">　</w:t>
            </w:r>
          </w:p>
        </w:tc>
        <w:tc>
          <w:tcPr>
            <w:tcW w:w="630" w:type="pct"/>
            <w:shd w:val="clear" w:color="auto" w:fill="auto"/>
            <w:vAlign w:val="center"/>
          </w:tcPr>
          <w:p w14:paraId="6CAB29B0" w14:textId="0D9F7610" w:rsidR="004201F1" w:rsidRPr="00D12904" w:rsidRDefault="004201F1" w:rsidP="00DA33C9">
            <w:pPr>
              <w:pStyle w:val="Tabletext"/>
              <w:keepNext/>
              <w:keepLines/>
              <w:jc w:val="center"/>
            </w:pPr>
            <w:r w:rsidRPr="00D12904">
              <w:t>$</w:t>
            </w:r>
            <w:r w:rsidR="0066157F" w:rsidRPr="0066157F">
              <w:rPr>
                <w:rFonts w:hint="eastAsia"/>
                <w:color w:val="000000"/>
                <w:w w:val="18"/>
                <w:shd w:val="solid" w:color="000000" w:fill="000000"/>
                <w:fitText w:val="80" w:id="-894208767"/>
                <w14:textFill>
                  <w14:solidFill>
                    <w14:srgbClr w14:val="000000">
                      <w14:alpha w14:val="100000"/>
                    </w14:srgbClr>
                  </w14:solidFill>
                </w14:textFill>
              </w:rPr>
              <w:t xml:space="preserve">　</w:t>
            </w:r>
            <w:r w:rsidR="0066157F" w:rsidRPr="0066157F">
              <w:rPr>
                <w:color w:val="000000"/>
                <w:w w:val="18"/>
                <w:shd w:val="solid" w:color="000000" w:fill="000000"/>
                <w:fitText w:val="80" w:id="-894208767"/>
                <w14:textFill>
                  <w14:solidFill>
                    <w14:srgbClr w14:val="000000">
                      <w14:alpha w14:val="100000"/>
                    </w14:srgbClr>
                  </w14:solidFill>
                </w14:textFill>
              </w:rPr>
              <w:t>|</w:t>
            </w:r>
            <w:r w:rsidR="0066157F" w:rsidRPr="0066157F">
              <w:rPr>
                <w:rFonts w:hint="eastAsia"/>
                <w:color w:val="000000"/>
                <w:w w:val="18"/>
                <w:shd w:val="solid" w:color="000000" w:fill="000000"/>
                <w:fitText w:val="80" w:id="-894208767"/>
                <w14:textFill>
                  <w14:solidFill>
                    <w14:srgbClr w14:val="000000">
                      <w14:alpha w14:val="100000"/>
                    </w14:srgbClr>
                  </w14:solidFill>
                </w14:textFill>
              </w:rPr>
              <w:t xml:space="preserve">　</w:t>
            </w:r>
          </w:p>
        </w:tc>
        <w:tc>
          <w:tcPr>
            <w:tcW w:w="629" w:type="pct"/>
            <w:shd w:val="clear" w:color="auto" w:fill="auto"/>
            <w:noWrap/>
            <w:vAlign w:val="center"/>
          </w:tcPr>
          <w:p w14:paraId="7D6B3361" w14:textId="23EE7518" w:rsidR="004201F1" w:rsidRPr="00D12904" w:rsidRDefault="004201F1" w:rsidP="00DA33C9">
            <w:pPr>
              <w:pStyle w:val="Tabletext"/>
              <w:keepNext/>
              <w:keepLines/>
              <w:jc w:val="center"/>
            </w:pPr>
            <w:r w:rsidRPr="00D12904">
              <w:t>$</w:t>
            </w:r>
            <w:r w:rsidR="0066157F" w:rsidRPr="0066157F">
              <w:rPr>
                <w:rFonts w:hint="eastAsia"/>
                <w:color w:val="000000"/>
                <w:w w:val="15"/>
                <w:shd w:val="solid" w:color="000000" w:fill="000000"/>
                <w:fitText w:val="70" w:id="-894208766"/>
                <w14:textFill>
                  <w14:solidFill>
                    <w14:srgbClr w14:val="000000">
                      <w14:alpha w14:val="100000"/>
                    </w14:srgbClr>
                  </w14:solidFill>
                </w14:textFill>
              </w:rPr>
              <w:t xml:space="preserve">　</w:t>
            </w:r>
            <w:r w:rsidR="0066157F" w:rsidRPr="0066157F">
              <w:rPr>
                <w:color w:val="000000"/>
                <w:w w:val="15"/>
                <w:shd w:val="solid" w:color="000000" w:fill="000000"/>
                <w:fitText w:val="70" w:id="-894208766"/>
                <w14:textFill>
                  <w14:solidFill>
                    <w14:srgbClr w14:val="000000">
                      <w14:alpha w14:val="100000"/>
                    </w14:srgbClr>
                  </w14:solidFill>
                </w14:textFill>
              </w:rPr>
              <w:t>|</w:t>
            </w:r>
            <w:r w:rsidR="0066157F" w:rsidRPr="0066157F">
              <w:rPr>
                <w:rFonts w:hint="eastAsia"/>
                <w:color w:val="000000"/>
                <w:spacing w:val="4"/>
                <w:w w:val="15"/>
                <w:shd w:val="solid" w:color="000000" w:fill="000000"/>
                <w:fitText w:val="70" w:id="-894208766"/>
                <w14:textFill>
                  <w14:solidFill>
                    <w14:srgbClr w14:val="000000">
                      <w14:alpha w14:val="100000"/>
                    </w14:srgbClr>
                  </w14:solidFill>
                </w14:textFill>
              </w:rPr>
              <w:t xml:space="preserve">　</w:t>
            </w:r>
          </w:p>
        </w:tc>
        <w:tc>
          <w:tcPr>
            <w:tcW w:w="674" w:type="pct"/>
            <w:shd w:val="clear" w:color="auto" w:fill="auto"/>
            <w:noWrap/>
            <w:vAlign w:val="center"/>
          </w:tcPr>
          <w:p w14:paraId="149F068E" w14:textId="635EC431" w:rsidR="004201F1" w:rsidRPr="00D12904" w:rsidRDefault="004201F1" w:rsidP="00DA33C9">
            <w:pPr>
              <w:pStyle w:val="Tabletext"/>
              <w:keepNext/>
              <w:keepLines/>
              <w:jc w:val="center"/>
            </w:pPr>
            <w:r w:rsidRPr="00D12904">
              <w:t>$</w:t>
            </w:r>
            <w:r w:rsidR="0066157F" w:rsidRPr="0066157F">
              <w:rPr>
                <w:rFonts w:hint="eastAsia"/>
                <w:color w:val="000000"/>
                <w:w w:val="15"/>
                <w:shd w:val="solid" w:color="000000" w:fill="000000"/>
                <w:fitText w:val="30" w:id="-894208765"/>
                <w14:textFill>
                  <w14:solidFill>
                    <w14:srgbClr w14:val="000000">
                      <w14:alpha w14:val="100000"/>
                    </w14:srgbClr>
                  </w14:solidFill>
                </w14:textFill>
              </w:rPr>
              <w:t xml:space="preserve">　</w:t>
            </w:r>
            <w:r w:rsidR="0066157F" w:rsidRPr="0066157F">
              <w:rPr>
                <w:color w:val="000000"/>
                <w:w w:val="15"/>
                <w:shd w:val="solid" w:color="000000" w:fill="000000"/>
                <w:fitText w:val="30" w:id="-894208765"/>
                <w14:textFill>
                  <w14:solidFill>
                    <w14:srgbClr w14:val="000000">
                      <w14:alpha w14:val="100000"/>
                    </w14:srgbClr>
                  </w14:solidFill>
                </w14:textFill>
              </w:rPr>
              <w:t>|</w:t>
            </w:r>
            <w:r w:rsidR="0066157F" w:rsidRPr="0066157F">
              <w:rPr>
                <w:rFonts w:hint="eastAsia"/>
                <w:color w:val="000000"/>
                <w:spacing w:val="-35"/>
                <w:w w:val="15"/>
                <w:shd w:val="solid" w:color="000000" w:fill="000000"/>
                <w:fitText w:val="30" w:id="-894208765"/>
                <w14:textFill>
                  <w14:solidFill>
                    <w14:srgbClr w14:val="000000">
                      <w14:alpha w14:val="100000"/>
                    </w14:srgbClr>
                  </w14:solidFill>
                </w14:textFill>
              </w:rPr>
              <w:t xml:space="preserve">　</w:t>
            </w:r>
          </w:p>
        </w:tc>
      </w:tr>
      <w:tr w:rsidR="004201F1" w:rsidRPr="00D12904" w14:paraId="599634B8" w14:textId="77777777" w:rsidTr="00EA7518">
        <w:trPr>
          <w:trHeight w:val="20"/>
        </w:trPr>
        <w:tc>
          <w:tcPr>
            <w:tcW w:w="705" w:type="pct"/>
            <w:shd w:val="clear" w:color="auto" w:fill="auto"/>
            <w:noWrap/>
            <w:vAlign w:val="center"/>
            <w:hideMark/>
          </w:tcPr>
          <w:p w14:paraId="12DF28E7" w14:textId="77777777" w:rsidR="004201F1" w:rsidRPr="00D12904" w:rsidRDefault="004201F1" w:rsidP="00DA33C9">
            <w:pPr>
              <w:pStyle w:val="Tabletext"/>
              <w:keepNext/>
              <w:keepLines/>
            </w:pPr>
            <w:r w:rsidRPr="00D12904">
              <w:t>7.5 to &lt; 12.5</w:t>
            </w:r>
          </w:p>
        </w:tc>
        <w:tc>
          <w:tcPr>
            <w:tcW w:w="434" w:type="pct"/>
            <w:shd w:val="clear" w:color="auto" w:fill="auto"/>
            <w:noWrap/>
            <w:vAlign w:val="center"/>
            <w:hideMark/>
          </w:tcPr>
          <w:p w14:paraId="1630E4EF" w14:textId="77777777" w:rsidR="004201F1" w:rsidRPr="00D12904" w:rsidRDefault="004201F1" w:rsidP="00DA33C9">
            <w:pPr>
              <w:pStyle w:val="Tabletext"/>
              <w:keepNext/>
              <w:keepLines/>
              <w:jc w:val="center"/>
            </w:pPr>
            <w:r w:rsidRPr="00D12904">
              <w:t>400</w:t>
            </w:r>
          </w:p>
        </w:tc>
        <w:tc>
          <w:tcPr>
            <w:tcW w:w="434" w:type="pct"/>
            <w:shd w:val="clear" w:color="auto" w:fill="auto"/>
            <w:noWrap/>
            <w:vAlign w:val="center"/>
            <w:hideMark/>
          </w:tcPr>
          <w:p w14:paraId="6CCB7572" w14:textId="77777777" w:rsidR="004201F1" w:rsidRPr="00D12904" w:rsidRDefault="004201F1" w:rsidP="00DA33C9">
            <w:pPr>
              <w:pStyle w:val="Tabletext"/>
              <w:keepNext/>
              <w:keepLines/>
              <w:jc w:val="center"/>
            </w:pPr>
            <w:r w:rsidRPr="00D12904">
              <w:t>1200</w:t>
            </w:r>
          </w:p>
        </w:tc>
        <w:tc>
          <w:tcPr>
            <w:tcW w:w="472" w:type="pct"/>
            <w:shd w:val="clear" w:color="auto" w:fill="auto"/>
            <w:noWrap/>
            <w:vAlign w:val="center"/>
            <w:hideMark/>
          </w:tcPr>
          <w:p w14:paraId="54658156" w14:textId="77777777" w:rsidR="004201F1" w:rsidRPr="00D12904" w:rsidRDefault="004201F1" w:rsidP="00DA33C9">
            <w:pPr>
              <w:pStyle w:val="Tabletext"/>
              <w:keepNext/>
              <w:keepLines/>
              <w:jc w:val="center"/>
            </w:pPr>
            <w:r w:rsidRPr="00D12904">
              <w:t>2</w:t>
            </w:r>
          </w:p>
        </w:tc>
        <w:tc>
          <w:tcPr>
            <w:tcW w:w="473" w:type="pct"/>
            <w:shd w:val="clear" w:color="auto" w:fill="auto"/>
            <w:noWrap/>
            <w:hideMark/>
          </w:tcPr>
          <w:p w14:paraId="551FA1DF" w14:textId="77777777" w:rsidR="004201F1" w:rsidRPr="00D12904" w:rsidRDefault="004201F1" w:rsidP="00DA33C9">
            <w:pPr>
              <w:pStyle w:val="Tabletext"/>
              <w:keepNext/>
              <w:keepLines/>
              <w:jc w:val="center"/>
            </w:pPr>
            <w:r w:rsidRPr="00D12904">
              <w:t>-</w:t>
            </w:r>
          </w:p>
        </w:tc>
        <w:tc>
          <w:tcPr>
            <w:tcW w:w="550" w:type="pct"/>
            <w:shd w:val="clear" w:color="auto" w:fill="auto"/>
            <w:vAlign w:val="center"/>
          </w:tcPr>
          <w:p w14:paraId="3991DBDA" w14:textId="61D12193" w:rsidR="004201F1" w:rsidRPr="00D12904" w:rsidRDefault="004201F1" w:rsidP="00DA33C9">
            <w:pPr>
              <w:pStyle w:val="Tabletext"/>
              <w:keepNext/>
              <w:keepLines/>
              <w:jc w:val="center"/>
            </w:pPr>
            <w:r w:rsidRPr="00D12904">
              <w:t>$</w:t>
            </w:r>
            <w:r w:rsidR="0066157F" w:rsidRPr="0066157F">
              <w:rPr>
                <w:rFonts w:hint="eastAsia"/>
                <w:color w:val="000000"/>
                <w:w w:val="31"/>
                <w:shd w:val="solid" w:color="000000" w:fill="000000"/>
                <w:fitText w:val="140" w:id="-894208764"/>
                <w14:textFill>
                  <w14:solidFill>
                    <w14:srgbClr w14:val="000000">
                      <w14:alpha w14:val="100000"/>
                    </w14:srgbClr>
                  </w14:solidFill>
                </w14:textFill>
              </w:rPr>
              <w:t xml:space="preserve">　</w:t>
            </w:r>
            <w:r w:rsidR="0066157F" w:rsidRPr="0066157F">
              <w:rPr>
                <w:color w:val="000000"/>
                <w:w w:val="31"/>
                <w:shd w:val="solid" w:color="000000" w:fill="000000"/>
                <w:fitText w:val="140" w:id="-894208764"/>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64"/>
                <w14:textFill>
                  <w14:solidFill>
                    <w14:srgbClr w14:val="000000">
                      <w14:alpha w14:val="100000"/>
                    </w14:srgbClr>
                  </w14:solidFill>
                </w14:textFill>
              </w:rPr>
              <w:t xml:space="preserve">　</w:t>
            </w:r>
          </w:p>
        </w:tc>
        <w:tc>
          <w:tcPr>
            <w:tcW w:w="630" w:type="pct"/>
            <w:shd w:val="clear" w:color="auto" w:fill="auto"/>
            <w:vAlign w:val="center"/>
          </w:tcPr>
          <w:p w14:paraId="2BAC0CFE" w14:textId="6F469E60" w:rsidR="004201F1" w:rsidRPr="00D12904" w:rsidRDefault="004201F1" w:rsidP="00DA33C9">
            <w:pPr>
              <w:pStyle w:val="Tabletext"/>
              <w:keepNext/>
              <w:keepLines/>
              <w:jc w:val="center"/>
            </w:pPr>
            <w:r w:rsidRPr="00D12904">
              <w:t>$</w:t>
            </w:r>
            <w:r w:rsidR="0066157F" w:rsidRPr="0066157F">
              <w:rPr>
                <w:rFonts w:hint="eastAsia"/>
                <w:color w:val="000000"/>
                <w:w w:val="18"/>
                <w:shd w:val="solid" w:color="000000" w:fill="000000"/>
                <w:fitText w:val="80" w:id="-894208763"/>
                <w14:textFill>
                  <w14:solidFill>
                    <w14:srgbClr w14:val="000000">
                      <w14:alpha w14:val="100000"/>
                    </w14:srgbClr>
                  </w14:solidFill>
                </w14:textFill>
              </w:rPr>
              <w:t xml:space="preserve">　</w:t>
            </w:r>
            <w:r w:rsidR="0066157F" w:rsidRPr="0066157F">
              <w:rPr>
                <w:color w:val="000000"/>
                <w:w w:val="18"/>
                <w:shd w:val="solid" w:color="000000" w:fill="000000"/>
                <w:fitText w:val="80" w:id="-894208763"/>
                <w14:textFill>
                  <w14:solidFill>
                    <w14:srgbClr w14:val="000000">
                      <w14:alpha w14:val="100000"/>
                    </w14:srgbClr>
                  </w14:solidFill>
                </w14:textFill>
              </w:rPr>
              <w:t>|</w:t>
            </w:r>
            <w:r w:rsidR="0066157F" w:rsidRPr="0066157F">
              <w:rPr>
                <w:rFonts w:hint="eastAsia"/>
                <w:color w:val="000000"/>
                <w:w w:val="18"/>
                <w:shd w:val="solid" w:color="000000" w:fill="000000"/>
                <w:fitText w:val="80" w:id="-894208763"/>
                <w14:textFill>
                  <w14:solidFill>
                    <w14:srgbClr w14:val="000000">
                      <w14:alpha w14:val="100000"/>
                    </w14:srgbClr>
                  </w14:solidFill>
                </w14:textFill>
              </w:rPr>
              <w:t xml:space="preserve">　</w:t>
            </w:r>
          </w:p>
        </w:tc>
        <w:tc>
          <w:tcPr>
            <w:tcW w:w="629" w:type="pct"/>
            <w:shd w:val="clear" w:color="auto" w:fill="auto"/>
            <w:noWrap/>
            <w:vAlign w:val="center"/>
          </w:tcPr>
          <w:p w14:paraId="027B3B1A" w14:textId="6BFA75DD" w:rsidR="004201F1" w:rsidRPr="00D12904" w:rsidRDefault="004201F1" w:rsidP="00DA33C9">
            <w:pPr>
              <w:pStyle w:val="Tabletext"/>
              <w:keepNext/>
              <w:keepLines/>
              <w:jc w:val="center"/>
            </w:pPr>
            <w:r w:rsidRPr="00D12904">
              <w:t>$</w:t>
            </w:r>
            <w:r w:rsidR="0066157F" w:rsidRPr="0066157F">
              <w:rPr>
                <w:rFonts w:hint="eastAsia"/>
                <w:color w:val="000000"/>
                <w:w w:val="15"/>
                <w:shd w:val="solid" w:color="000000" w:fill="000000"/>
                <w:fitText w:val="70" w:id="-894208762"/>
                <w14:textFill>
                  <w14:solidFill>
                    <w14:srgbClr w14:val="000000">
                      <w14:alpha w14:val="100000"/>
                    </w14:srgbClr>
                  </w14:solidFill>
                </w14:textFill>
              </w:rPr>
              <w:t xml:space="preserve">　</w:t>
            </w:r>
            <w:r w:rsidR="0066157F" w:rsidRPr="0066157F">
              <w:rPr>
                <w:color w:val="000000"/>
                <w:w w:val="15"/>
                <w:shd w:val="solid" w:color="000000" w:fill="000000"/>
                <w:fitText w:val="70" w:id="-894208762"/>
                <w14:textFill>
                  <w14:solidFill>
                    <w14:srgbClr w14:val="000000">
                      <w14:alpha w14:val="100000"/>
                    </w14:srgbClr>
                  </w14:solidFill>
                </w14:textFill>
              </w:rPr>
              <w:t>|</w:t>
            </w:r>
            <w:r w:rsidR="0066157F" w:rsidRPr="0066157F">
              <w:rPr>
                <w:rFonts w:hint="eastAsia"/>
                <w:color w:val="000000"/>
                <w:spacing w:val="4"/>
                <w:w w:val="15"/>
                <w:shd w:val="solid" w:color="000000" w:fill="000000"/>
                <w:fitText w:val="70" w:id="-894208762"/>
                <w14:textFill>
                  <w14:solidFill>
                    <w14:srgbClr w14:val="000000">
                      <w14:alpha w14:val="100000"/>
                    </w14:srgbClr>
                  </w14:solidFill>
                </w14:textFill>
              </w:rPr>
              <w:t xml:space="preserve">　</w:t>
            </w:r>
          </w:p>
        </w:tc>
        <w:tc>
          <w:tcPr>
            <w:tcW w:w="674" w:type="pct"/>
            <w:shd w:val="clear" w:color="auto" w:fill="auto"/>
            <w:noWrap/>
            <w:vAlign w:val="center"/>
          </w:tcPr>
          <w:p w14:paraId="4C970B38" w14:textId="32629249" w:rsidR="004201F1" w:rsidRPr="00D12904" w:rsidRDefault="004201F1" w:rsidP="00DA33C9">
            <w:pPr>
              <w:pStyle w:val="Tabletext"/>
              <w:keepNext/>
              <w:keepLines/>
              <w:jc w:val="center"/>
            </w:pPr>
            <w:r w:rsidRPr="00D12904">
              <w:t>$</w:t>
            </w:r>
            <w:r w:rsidR="0066157F" w:rsidRPr="0066157F">
              <w:rPr>
                <w:rFonts w:hint="eastAsia"/>
                <w:color w:val="000000"/>
                <w:w w:val="15"/>
                <w:shd w:val="solid" w:color="000000" w:fill="000000"/>
                <w:fitText w:val="30" w:id="-894208761"/>
                <w14:textFill>
                  <w14:solidFill>
                    <w14:srgbClr w14:val="000000">
                      <w14:alpha w14:val="100000"/>
                    </w14:srgbClr>
                  </w14:solidFill>
                </w14:textFill>
              </w:rPr>
              <w:t xml:space="preserve">　</w:t>
            </w:r>
            <w:r w:rsidR="0066157F" w:rsidRPr="0066157F">
              <w:rPr>
                <w:color w:val="000000"/>
                <w:w w:val="15"/>
                <w:shd w:val="solid" w:color="000000" w:fill="000000"/>
                <w:fitText w:val="30" w:id="-894208761"/>
                <w14:textFill>
                  <w14:solidFill>
                    <w14:srgbClr w14:val="000000">
                      <w14:alpha w14:val="100000"/>
                    </w14:srgbClr>
                  </w14:solidFill>
                </w14:textFill>
              </w:rPr>
              <w:t>|</w:t>
            </w:r>
            <w:r w:rsidR="0066157F" w:rsidRPr="0066157F">
              <w:rPr>
                <w:rFonts w:hint="eastAsia"/>
                <w:color w:val="000000"/>
                <w:spacing w:val="-35"/>
                <w:w w:val="15"/>
                <w:shd w:val="solid" w:color="000000" w:fill="000000"/>
                <w:fitText w:val="30" w:id="-894208761"/>
                <w14:textFill>
                  <w14:solidFill>
                    <w14:srgbClr w14:val="000000">
                      <w14:alpha w14:val="100000"/>
                    </w14:srgbClr>
                  </w14:solidFill>
                </w14:textFill>
              </w:rPr>
              <w:t xml:space="preserve">　</w:t>
            </w:r>
          </w:p>
        </w:tc>
      </w:tr>
      <w:tr w:rsidR="004201F1" w:rsidRPr="00D12904" w14:paraId="1D4E5973" w14:textId="77777777" w:rsidTr="00EA7518">
        <w:trPr>
          <w:trHeight w:val="20"/>
        </w:trPr>
        <w:tc>
          <w:tcPr>
            <w:tcW w:w="705" w:type="pct"/>
            <w:shd w:val="clear" w:color="auto" w:fill="auto"/>
            <w:noWrap/>
            <w:vAlign w:val="center"/>
            <w:hideMark/>
          </w:tcPr>
          <w:p w14:paraId="72714B5C" w14:textId="77777777" w:rsidR="004201F1" w:rsidRPr="00D12904" w:rsidRDefault="004201F1" w:rsidP="00DA33C9">
            <w:pPr>
              <w:pStyle w:val="Tabletext"/>
              <w:keepNext/>
              <w:keepLines/>
            </w:pPr>
            <w:r w:rsidRPr="00D12904">
              <w:t>12.5 to &lt; 17.5</w:t>
            </w:r>
          </w:p>
        </w:tc>
        <w:tc>
          <w:tcPr>
            <w:tcW w:w="434" w:type="pct"/>
            <w:shd w:val="clear" w:color="auto" w:fill="auto"/>
            <w:noWrap/>
            <w:vAlign w:val="center"/>
            <w:hideMark/>
          </w:tcPr>
          <w:p w14:paraId="7F65046D" w14:textId="77777777" w:rsidR="004201F1" w:rsidRPr="00D12904" w:rsidRDefault="004201F1" w:rsidP="00DA33C9">
            <w:pPr>
              <w:pStyle w:val="Tabletext"/>
              <w:keepNext/>
              <w:keepLines/>
              <w:jc w:val="center"/>
            </w:pPr>
            <w:r w:rsidRPr="00D12904">
              <w:t>600</w:t>
            </w:r>
          </w:p>
        </w:tc>
        <w:tc>
          <w:tcPr>
            <w:tcW w:w="434" w:type="pct"/>
            <w:shd w:val="clear" w:color="auto" w:fill="auto"/>
            <w:noWrap/>
            <w:vAlign w:val="center"/>
            <w:hideMark/>
          </w:tcPr>
          <w:p w14:paraId="6167BB1D" w14:textId="77777777" w:rsidR="004201F1" w:rsidRPr="00D12904" w:rsidRDefault="004201F1" w:rsidP="00DA33C9">
            <w:pPr>
              <w:pStyle w:val="Tabletext"/>
              <w:keepNext/>
              <w:keepLines/>
              <w:jc w:val="center"/>
            </w:pPr>
            <w:r w:rsidRPr="00D12904">
              <w:t>1800</w:t>
            </w:r>
          </w:p>
        </w:tc>
        <w:tc>
          <w:tcPr>
            <w:tcW w:w="472" w:type="pct"/>
            <w:shd w:val="clear" w:color="auto" w:fill="auto"/>
            <w:noWrap/>
            <w:vAlign w:val="center"/>
            <w:hideMark/>
          </w:tcPr>
          <w:p w14:paraId="63822891" w14:textId="77777777" w:rsidR="004201F1" w:rsidRPr="00D12904" w:rsidRDefault="004201F1" w:rsidP="00DA33C9">
            <w:pPr>
              <w:pStyle w:val="Tabletext"/>
              <w:keepNext/>
              <w:keepLines/>
              <w:jc w:val="center"/>
            </w:pPr>
            <w:r w:rsidRPr="00D12904">
              <w:t>3</w:t>
            </w:r>
          </w:p>
        </w:tc>
        <w:tc>
          <w:tcPr>
            <w:tcW w:w="473" w:type="pct"/>
            <w:shd w:val="clear" w:color="auto" w:fill="auto"/>
            <w:noWrap/>
            <w:hideMark/>
          </w:tcPr>
          <w:p w14:paraId="135B2522" w14:textId="77777777" w:rsidR="004201F1" w:rsidRPr="00D12904" w:rsidRDefault="004201F1" w:rsidP="00DA33C9">
            <w:pPr>
              <w:pStyle w:val="Tabletext"/>
              <w:keepNext/>
              <w:keepLines/>
              <w:jc w:val="center"/>
            </w:pPr>
            <w:r w:rsidRPr="00D12904">
              <w:t>-</w:t>
            </w:r>
          </w:p>
        </w:tc>
        <w:tc>
          <w:tcPr>
            <w:tcW w:w="550" w:type="pct"/>
            <w:shd w:val="clear" w:color="auto" w:fill="auto"/>
            <w:vAlign w:val="center"/>
          </w:tcPr>
          <w:p w14:paraId="2AAC56C1" w14:textId="282AA27C" w:rsidR="004201F1" w:rsidRPr="00D12904" w:rsidRDefault="004201F1" w:rsidP="00DA33C9">
            <w:pPr>
              <w:pStyle w:val="Tabletext"/>
              <w:keepNext/>
              <w:keepLines/>
              <w:jc w:val="center"/>
            </w:pPr>
            <w:r w:rsidRPr="00D12904">
              <w:t>$</w:t>
            </w:r>
            <w:r w:rsidR="0066157F" w:rsidRPr="0066157F">
              <w:rPr>
                <w:rFonts w:hint="eastAsia"/>
                <w:color w:val="000000"/>
                <w:w w:val="31"/>
                <w:shd w:val="solid" w:color="000000" w:fill="000000"/>
                <w:fitText w:val="140" w:id="-894208760"/>
                <w14:textFill>
                  <w14:solidFill>
                    <w14:srgbClr w14:val="000000">
                      <w14:alpha w14:val="100000"/>
                    </w14:srgbClr>
                  </w14:solidFill>
                </w14:textFill>
              </w:rPr>
              <w:t xml:space="preserve">　</w:t>
            </w:r>
            <w:r w:rsidR="0066157F" w:rsidRPr="0066157F">
              <w:rPr>
                <w:color w:val="000000"/>
                <w:w w:val="31"/>
                <w:shd w:val="solid" w:color="000000" w:fill="000000"/>
                <w:fitText w:val="140" w:id="-894208760"/>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60"/>
                <w14:textFill>
                  <w14:solidFill>
                    <w14:srgbClr w14:val="000000">
                      <w14:alpha w14:val="100000"/>
                    </w14:srgbClr>
                  </w14:solidFill>
                </w14:textFill>
              </w:rPr>
              <w:t xml:space="preserve">　</w:t>
            </w:r>
          </w:p>
        </w:tc>
        <w:tc>
          <w:tcPr>
            <w:tcW w:w="630" w:type="pct"/>
            <w:shd w:val="clear" w:color="auto" w:fill="auto"/>
            <w:vAlign w:val="center"/>
          </w:tcPr>
          <w:p w14:paraId="3088F5F1" w14:textId="17D9A7CF" w:rsidR="004201F1" w:rsidRPr="00D12904" w:rsidRDefault="004201F1" w:rsidP="00DA33C9">
            <w:pPr>
              <w:pStyle w:val="Tabletext"/>
              <w:keepNext/>
              <w:keepLines/>
              <w:jc w:val="center"/>
            </w:pPr>
            <w:r w:rsidRPr="00D12904">
              <w:t>$</w:t>
            </w:r>
            <w:r w:rsidR="0066157F" w:rsidRPr="0066157F">
              <w:rPr>
                <w:rFonts w:hint="eastAsia"/>
                <w:color w:val="000000"/>
                <w:w w:val="18"/>
                <w:shd w:val="solid" w:color="000000" w:fill="000000"/>
                <w:fitText w:val="80" w:id="-894208759"/>
                <w14:textFill>
                  <w14:solidFill>
                    <w14:srgbClr w14:val="000000">
                      <w14:alpha w14:val="100000"/>
                    </w14:srgbClr>
                  </w14:solidFill>
                </w14:textFill>
              </w:rPr>
              <w:t xml:space="preserve">　</w:t>
            </w:r>
            <w:r w:rsidR="0066157F" w:rsidRPr="0066157F">
              <w:rPr>
                <w:color w:val="000000"/>
                <w:w w:val="18"/>
                <w:shd w:val="solid" w:color="000000" w:fill="000000"/>
                <w:fitText w:val="80" w:id="-894208759"/>
                <w14:textFill>
                  <w14:solidFill>
                    <w14:srgbClr w14:val="000000">
                      <w14:alpha w14:val="100000"/>
                    </w14:srgbClr>
                  </w14:solidFill>
                </w14:textFill>
              </w:rPr>
              <w:t>|</w:t>
            </w:r>
            <w:r w:rsidR="0066157F" w:rsidRPr="0066157F">
              <w:rPr>
                <w:rFonts w:hint="eastAsia"/>
                <w:color w:val="000000"/>
                <w:w w:val="18"/>
                <w:shd w:val="solid" w:color="000000" w:fill="000000"/>
                <w:fitText w:val="80" w:id="-894208759"/>
                <w14:textFill>
                  <w14:solidFill>
                    <w14:srgbClr w14:val="000000">
                      <w14:alpha w14:val="100000"/>
                    </w14:srgbClr>
                  </w14:solidFill>
                </w14:textFill>
              </w:rPr>
              <w:t xml:space="preserve">　</w:t>
            </w:r>
          </w:p>
        </w:tc>
        <w:tc>
          <w:tcPr>
            <w:tcW w:w="629" w:type="pct"/>
            <w:shd w:val="clear" w:color="auto" w:fill="auto"/>
            <w:noWrap/>
            <w:vAlign w:val="center"/>
          </w:tcPr>
          <w:p w14:paraId="114FF180" w14:textId="56CCD4F8" w:rsidR="004201F1" w:rsidRPr="00D12904" w:rsidRDefault="004201F1" w:rsidP="00DA33C9">
            <w:pPr>
              <w:pStyle w:val="Tabletext"/>
              <w:keepNext/>
              <w:keepLines/>
              <w:jc w:val="center"/>
            </w:pPr>
            <w:r w:rsidRPr="00D12904">
              <w:t>$</w:t>
            </w:r>
            <w:r w:rsidR="0066157F" w:rsidRPr="0066157F">
              <w:rPr>
                <w:rFonts w:hint="eastAsia"/>
                <w:color w:val="000000"/>
                <w:w w:val="15"/>
                <w:shd w:val="solid" w:color="000000" w:fill="000000"/>
                <w:fitText w:val="70" w:id="-894208758"/>
                <w14:textFill>
                  <w14:solidFill>
                    <w14:srgbClr w14:val="000000">
                      <w14:alpha w14:val="100000"/>
                    </w14:srgbClr>
                  </w14:solidFill>
                </w14:textFill>
              </w:rPr>
              <w:t xml:space="preserve">　</w:t>
            </w:r>
            <w:r w:rsidR="0066157F" w:rsidRPr="0066157F">
              <w:rPr>
                <w:color w:val="000000"/>
                <w:w w:val="15"/>
                <w:shd w:val="solid" w:color="000000" w:fill="000000"/>
                <w:fitText w:val="70" w:id="-894208758"/>
                <w14:textFill>
                  <w14:solidFill>
                    <w14:srgbClr w14:val="000000">
                      <w14:alpha w14:val="100000"/>
                    </w14:srgbClr>
                  </w14:solidFill>
                </w14:textFill>
              </w:rPr>
              <w:t>|</w:t>
            </w:r>
            <w:r w:rsidR="0066157F" w:rsidRPr="0066157F">
              <w:rPr>
                <w:rFonts w:hint="eastAsia"/>
                <w:color w:val="000000"/>
                <w:spacing w:val="4"/>
                <w:w w:val="15"/>
                <w:shd w:val="solid" w:color="000000" w:fill="000000"/>
                <w:fitText w:val="70" w:id="-894208758"/>
                <w14:textFill>
                  <w14:solidFill>
                    <w14:srgbClr w14:val="000000">
                      <w14:alpha w14:val="100000"/>
                    </w14:srgbClr>
                  </w14:solidFill>
                </w14:textFill>
              </w:rPr>
              <w:t xml:space="preserve">　</w:t>
            </w:r>
          </w:p>
        </w:tc>
        <w:tc>
          <w:tcPr>
            <w:tcW w:w="674" w:type="pct"/>
            <w:shd w:val="clear" w:color="auto" w:fill="auto"/>
            <w:noWrap/>
            <w:vAlign w:val="center"/>
          </w:tcPr>
          <w:p w14:paraId="42F071E6" w14:textId="6E7DBA63" w:rsidR="004201F1" w:rsidRPr="00D12904" w:rsidRDefault="004201F1" w:rsidP="00DA33C9">
            <w:pPr>
              <w:pStyle w:val="Tabletext"/>
              <w:keepNext/>
              <w:keepLines/>
              <w:jc w:val="center"/>
            </w:pPr>
            <w:r w:rsidRPr="00D12904">
              <w:t>$</w:t>
            </w:r>
            <w:r w:rsidR="0066157F" w:rsidRPr="0066157F">
              <w:rPr>
                <w:rFonts w:hint="eastAsia"/>
                <w:color w:val="000000"/>
                <w:w w:val="15"/>
                <w:shd w:val="solid" w:color="000000" w:fill="000000"/>
                <w:fitText w:val="30" w:id="-894208757"/>
                <w14:textFill>
                  <w14:solidFill>
                    <w14:srgbClr w14:val="000000">
                      <w14:alpha w14:val="100000"/>
                    </w14:srgbClr>
                  </w14:solidFill>
                </w14:textFill>
              </w:rPr>
              <w:t xml:space="preserve">　</w:t>
            </w:r>
            <w:r w:rsidR="0066157F" w:rsidRPr="0066157F">
              <w:rPr>
                <w:color w:val="000000"/>
                <w:w w:val="15"/>
                <w:shd w:val="solid" w:color="000000" w:fill="000000"/>
                <w:fitText w:val="30" w:id="-894208757"/>
                <w14:textFill>
                  <w14:solidFill>
                    <w14:srgbClr w14:val="000000">
                      <w14:alpha w14:val="100000"/>
                    </w14:srgbClr>
                  </w14:solidFill>
                </w14:textFill>
              </w:rPr>
              <w:t>|</w:t>
            </w:r>
            <w:r w:rsidR="0066157F" w:rsidRPr="0066157F">
              <w:rPr>
                <w:rFonts w:hint="eastAsia"/>
                <w:color w:val="000000"/>
                <w:spacing w:val="-35"/>
                <w:w w:val="15"/>
                <w:shd w:val="solid" w:color="000000" w:fill="000000"/>
                <w:fitText w:val="30" w:id="-894208757"/>
                <w14:textFill>
                  <w14:solidFill>
                    <w14:srgbClr w14:val="000000">
                      <w14:alpha w14:val="100000"/>
                    </w14:srgbClr>
                  </w14:solidFill>
                </w14:textFill>
              </w:rPr>
              <w:t xml:space="preserve">　</w:t>
            </w:r>
          </w:p>
        </w:tc>
      </w:tr>
      <w:tr w:rsidR="004201F1" w:rsidRPr="00D12904" w14:paraId="6B47B5E5" w14:textId="77777777" w:rsidTr="00EA7518">
        <w:trPr>
          <w:trHeight w:val="20"/>
        </w:trPr>
        <w:tc>
          <w:tcPr>
            <w:tcW w:w="705" w:type="pct"/>
            <w:shd w:val="clear" w:color="auto" w:fill="auto"/>
            <w:noWrap/>
            <w:vAlign w:val="center"/>
            <w:hideMark/>
          </w:tcPr>
          <w:p w14:paraId="61CA62E6" w14:textId="77777777" w:rsidR="004201F1" w:rsidRPr="00D12904" w:rsidRDefault="004201F1" w:rsidP="00DA33C9">
            <w:pPr>
              <w:pStyle w:val="Tabletext"/>
              <w:keepNext/>
              <w:keepLines/>
            </w:pPr>
            <w:r w:rsidRPr="00D12904">
              <w:t>17.5 to &lt; 19.5</w:t>
            </w:r>
          </w:p>
        </w:tc>
        <w:tc>
          <w:tcPr>
            <w:tcW w:w="434" w:type="pct"/>
            <w:shd w:val="clear" w:color="auto" w:fill="auto"/>
            <w:noWrap/>
            <w:vAlign w:val="center"/>
            <w:hideMark/>
          </w:tcPr>
          <w:p w14:paraId="2C40EE64" w14:textId="77777777" w:rsidR="004201F1" w:rsidRPr="00D12904" w:rsidRDefault="004201F1" w:rsidP="00DA33C9">
            <w:pPr>
              <w:pStyle w:val="Tabletext"/>
              <w:keepNext/>
              <w:keepLines/>
              <w:jc w:val="center"/>
            </w:pPr>
            <w:r w:rsidRPr="00D12904">
              <w:t>800</w:t>
            </w:r>
          </w:p>
        </w:tc>
        <w:tc>
          <w:tcPr>
            <w:tcW w:w="434" w:type="pct"/>
            <w:shd w:val="clear" w:color="auto" w:fill="auto"/>
            <w:noWrap/>
            <w:vAlign w:val="center"/>
            <w:hideMark/>
          </w:tcPr>
          <w:p w14:paraId="52064E30" w14:textId="77777777" w:rsidR="004201F1" w:rsidRPr="00D12904" w:rsidRDefault="004201F1" w:rsidP="00DA33C9">
            <w:pPr>
              <w:pStyle w:val="Tabletext"/>
              <w:keepNext/>
              <w:keepLines/>
              <w:jc w:val="center"/>
            </w:pPr>
            <w:r w:rsidRPr="00D12904">
              <w:t>2400</w:t>
            </w:r>
          </w:p>
        </w:tc>
        <w:tc>
          <w:tcPr>
            <w:tcW w:w="472" w:type="pct"/>
            <w:shd w:val="clear" w:color="auto" w:fill="auto"/>
            <w:noWrap/>
            <w:vAlign w:val="center"/>
            <w:hideMark/>
          </w:tcPr>
          <w:p w14:paraId="56F27BCD" w14:textId="77777777" w:rsidR="004201F1" w:rsidRPr="00D12904" w:rsidRDefault="004201F1" w:rsidP="00DA33C9">
            <w:pPr>
              <w:pStyle w:val="Tabletext"/>
              <w:keepNext/>
              <w:keepLines/>
              <w:jc w:val="center"/>
            </w:pPr>
            <w:r w:rsidRPr="00D12904">
              <w:t>4</w:t>
            </w:r>
          </w:p>
        </w:tc>
        <w:tc>
          <w:tcPr>
            <w:tcW w:w="473" w:type="pct"/>
            <w:shd w:val="clear" w:color="auto" w:fill="auto"/>
            <w:noWrap/>
            <w:hideMark/>
          </w:tcPr>
          <w:p w14:paraId="2F8444AF" w14:textId="77777777" w:rsidR="004201F1" w:rsidRPr="00D12904" w:rsidRDefault="004201F1" w:rsidP="00DA33C9">
            <w:pPr>
              <w:pStyle w:val="Tabletext"/>
              <w:keepNext/>
              <w:keepLines/>
              <w:jc w:val="center"/>
            </w:pPr>
            <w:r w:rsidRPr="00D12904">
              <w:t>-</w:t>
            </w:r>
          </w:p>
        </w:tc>
        <w:tc>
          <w:tcPr>
            <w:tcW w:w="550" w:type="pct"/>
            <w:shd w:val="clear" w:color="auto" w:fill="auto"/>
            <w:vAlign w:val="center"/>
          </w:tcPr>
          <w:p w14:paraId="004BC5EB" w14:textId="7651CF85" w:rsidR="004201F1" w:rsidRPr="00D12904" w:rsidRDefault="004201F1" w:rsidP="00DA33C9">
            <w:pPr>
              <w:pStyle w:val="Tabletext"/>
              <w:keepNext/>
              <w:keepLines/>
              <w:jc w:val="center"/>
            </w:pPr>
            <w:r w:rsidRPr="00D12904">
              <w:t>$</w:t>
            </w:r>
            <w:r w:rsidR="0066157F" w:rsidRPr="0066157F">
              <w:rPr>
                <w:rFonts w:hint="eastAsia"/>
                <w:color w:val="000000"/>
                <w:w w:val="31"/>
                <w:shd w:val="solid" w:color="000000" w:fill="000000"/>
                <w:fitText w:val="140" w:id="-894208756"/>
                <w14:textFill>
                  <w14:solidFill>
                    <w14:srgbClr w14:val="000000">
                      <w14:alpha w14:val="100000"/>
                    </w14:srgbClr>
                  </w14:solidFill>
                </w14:textFill>
              </w:rPr>
              <w:t xml:space="preserve">　</w:t>
            </w:r>
            <w:r w:rsidR="0066157F" w:rsidRPr="0066157F">
              <w:rPr>
                <w:color w:val="000000"/>
                <w:w w:val="31"/>
                <w:shd w:val="solid" w:color="000000" w:fill="000000"/>
                <w:fitText w:val="140" w:id="-894208756"/>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56"/>
                <w14:textFill>
                  <w14:solidFill>
                    <w14:srgbClr w14:val="000000">
                      <w14:alpha w14:val="100000"/>
                    </w14:srgbClr>
                  </w14:solidFill>
                </w14:textFill>
              </w:rPr>
              <w:t xml:space="preserve">　</w:t>
            </w:r>
          </w:p>
        </w:tc>
        <w:tc>
          <w:tcPr>
            <w:tcW w:w="630" w:type="pct"/>
            <w:shd w:val="clear" w:color="auto" w:fill="auto"/>
            <w:vAlign w:val="center"/>
          </w:tcPr>
          <w:p w14:paraId="75F481C3" w14:textId="70746D22" w:rsidR="004201F1" w:rsidRPr="00D12904" w:rsidRDefault="004201F1" w:rsidP="00DA33C9">
            <w:pPr>
              <w:pStyle w:val="Tabletext"/>
              <w:keepNext/>
              <w:keepLines/>
              <w:jc w:val="center"/>
            </w:pPr>
            <w:r w:rsidRPr="00D12904">
              <w:t>$</w:t>
            </w:r>
            <w:r w:rsidR="0066157F" w:rsidRPr="0066157F">
              <w:rPr>
                <w:rFonts w:hint="eastAsia"/>
                <w:color w:val="000000"/>
                <w:w w:val="18"/>
                <w:shd w:val="solid" w:color="000000" w:fill="000000"/>
                <w:fitText w:val="80" w:id="-894208755"/>
                <w14:textFill>
                  <w14:solidFill>
                    <w14:srgbClr w14:val="000000">
                      <w14:alpha w14:val="100000"/>
                    </w14:srgbClr>
                  </w14:solidFill>
                </w14:textFill>
              </w:rPr>
              <w:t xml:space="preserve">　</w:t>
            </w:r>
            <w:r w:rsidR="0066157F" w:rsidRPr="0066157F">
              <w:rPr>
                <w:color w:val="000000"/>
                <w:w w:val="18"/>
                <w:shd w:val="solid" w:color="000000" w:fill="000000"/>
                <w:fitText w:val="80" w:id="-894208755"/>
                <w14:textFill>
                  <w14:solidFill>
                    <w14:srgbClr w14:val="000000">
                      <w14:alpha w14:val="100000"/>
                    </w14:srgbClr>
                  </w14:solidFill>
                </w14:textFill>
              </w:rPr>
              <w:t>|</w:t>
            </w:r>
            <w:r w:rsidR="0066157F" w:rsidRPr="0066157F">
              <w:rPr>
                <w:rFonts w:hint="eastAsia"/>
                <w:color w:val="000000"/>
                <w:w w:val="18"/>
                <w:shd w:val="solid" w:color="000000" w:fill="000000"/>
                <w:fitText w:val="80" w:id="-894208755"/>
                <w14:textFill>
                  <w14:solidFill>
                    <w14:srgbClr w14:val="000000">
                      <w14:alpha w14:val="100000"/>
                    </w14:srgbClr>
                  </w14:solidFill>
                </w14:textFill>
              </w:rPr>
              <w:t xml:space="preserve">　</w:t>
            </w:r>
          </w:p>
        </w:tc>
        <w:tc>
          <w:tcPr>
            <w:tcW w:w="629" w:type="pct"/>
            <w:shd w:val="clear" w:color="auto" w:fill="auto"/>
            <w:noWrap/>
            <w:vAlign w:val="center"/>
          </w:tcPr>
          <w:p w14:paraId="40231B4A" w14:textId="00B822AC" w:rsidR="004201F1" w:rsidRPr="00D12904" w:rsidRDefault="004201F1" w:rsidP="00DA33C9">
            <w:pPr>
              <w:pStyle w:val="Tabletext"/>
              <w:keepNext/>
              <w:keepLines/>
              <w:jc w:val="center"/>
            </w:pPr>
            <w:r w:rsidRPr="00D12904">
              <w:t>$</w:t>
            </w:r>
            <w:r w:rsidR="0066157F" w:rsidRPr="0066157F">
              <w:rPr>
                <w:rFonts w:hint="eastAsia"/>
                <w:color w:val="000000"/>
                <w:w w:val="15"/>
                <w:shd w:val="solid" w:color="000000" w:fill="000000"/>
                <w:fitText w:val="70" w:id="-894208754"/>
                <w14:textFill>
                  <w14:solidFill>
                    <w14:srgbClr w14:val="000000">
                      <w14:alpha w14:val="100000"/>
                    </w14:srgbClr>
                  </w14:solidFill>
                </w14:textFill>
              </w:rPr>
              <w:t xml:space="preserve">　</w:t>
            </w:r>
            <w:r w:rsidR="0066157F" w:rsidRPr="0066157F">
              <w:rPr>
                <w:color w:val="000000"/>
                <w:w w:val="15"/>
                <w:shd w:val="solid" w:color="000000" w:fill="000000"/>
                <w:fitText w:val="70" w:id="-894208754"/>
                <w14:textFill>
                  <w14:solidFill>
                    <w14:srgbClr w14:val="000000">
                      <w14:alpha w14:val="100000"/>
                    </w14:srgbClr>
                  </w14:solidFill>
                </w14:textFill>
              </w:rPr>
              <w:t>|</w:t>
            </w:r>
            <w:r w:rsidR="0066157F" w:rsidRPr="0066157F">
              <w:rPr>
                <w:rFonts w:hint="eastAsia"/>
                <w:color w:val="000000"/>
                <w:spacing w:val="4"/>
                <w:w w:val="15"/>
                <w:shd w:val="solid" w:color="000000" w:fill="000000"/>
                <w:fitText w:val="70" w:id="-894208754"/>
                <w14:textFill>
                  <w14:solidFill>
                    <w14:srgbClr w14:val="000000">
                      <w14:alpha w14:val="100000"/>
                    </w14:srgbClr>
                  </w14:solidFill>
                </w14:textFill>
              </w:rPr>
              <w:t xml:space="preserve">　</w:t>
            </w:r>
          </w:p>
        </w:tc>
        <w:tc>
          <w:tcPr>
            <w:tcW w:w="674" w:type="pct"/>
            <w:shd w:val="clear" w:color="auto" w:fill="auto"/>
            <w:noWrap/>
            <w:vAlign w:val="center"/>
          </w:tcPr>
          <w:p w14:paraId="1DDABB14" w14:textId="7102FD15" w:rsidR="004201F1" w:rsidRPr="00D12904" w:rsidRDefault="004201F1" w:rsidP="00DA33C9">
            <w:pPr>
              <w:pStyle w:val="Tabletext"/>
              <w:keepNext/>
              <w:keepLines/>
              <w:jc w:val="center"/>
            </w:pPr>
            <w:r w:rsidRPr="00D12904">
              <w:t>$</w:t>
            </w:r>
            <w:r w:rsidR="0066157F" w:rsidRPr="0066157F">
              <w:rPr>
                <w:rFonts w:hint="eastAsia"/>
                <w:color w:val="000000"/>
                <w:w w:val="15"/>
                <w:shd w:val="solid" w:color="000000" w:fill="000000"/>
                <w:fitText w:val="30" w:id="-894208753"/>
                <w14:textFill>
                  <w14:solidFill>
                    <w14:srgbClr w14:val="000000">
                      <w14:alpha w14:val="100000"/>
                    </w14:srgbClr>
                  </w14:solidFill>
                </w14:textFill>
              </w:rPr>
              <w:t xml:space="preserve">　</w:t>
            </w:r>
            <w:r w:rsidR="0066157F" w:rsidRPr="0066157F">
              <w:rPr>
                <w:color w:val="000000"/>
                <w:w w:val="15"/>
                <w:shd w:val="solid" w:color="000000" w:fill="000000"/>
                <w:fitText w:val="30" w:id="-894208753"/>
                <w14:textFill>
                  <w14:solidFill>
                    <w14:srgbClr w14:val="000000">
                      <w14:alpha w14:val="100000"/>
                    </w14:srgbClr>
                  </w14:solidFill>
                </w14:textFill>
              </w:rPr>
              <w:t>|</w:t>
            </w:r>
            <w:r w:rsidR="0066157F" w:rsidRPr="0066157F">
              <w:rPr>
                <w:rFonts w:hint="eastAsia"/>
                <w:color w:val="000000"/>
                <w:spacing w:val="-35"/>
                <w:w w:val="15"/>
                <w:shd w:val="solid" w:color="000000" w:fill="000000"/>
                <w:fitText w:val="30" w:id="-894208753"/>
                <w14:textFill>
                  <w14:solidFill>
                    <w14:srgbClr w14:val="000000">
                      <w14:alpha w14:val="100000"/>
                    </w14:srgbClr>
                  </w14:solidFill>
                </w14:textFill>
              </w:rPr>
              <w:t xml:space="preserve">　</w:t>
            </w:r>
          </w:p>
        </w:tc>
      </w:tr>
      <w:tr w:rsidR="004201F1" w:rsidRPr="00D12904" w14:paraId="7FAD6836" w14:textId="77777777" w:rsidTr="00EA7518">
        <w:trPr>
          <w:trHeight w:val="20"/>
        </w:trPr>
        <w:tc>
          <w:tcPr>
            <w:tcW w:w="705" w:type="pct"/>
            <w:shd w:val="clear" w:color="auto" w:fill="auto"/>
            <w:noWrap/>
            <w:vAlign w:val="center"/>
            <w:hideMark/>
          </w:tcPr>
          <w:p w14:paraId="391A04E8" w14:textId="77777777" w:rsidR="004201F1" w:rsidRPr="00D12904" w:rsidRDefault="004201F1" w:rsidP="00DA33C9">
            <w:pPr>
              <w:pStyle w:val="Tabletext"/>
              <w:keepNext/>
              <w:keepLines/>
            </w:pPr>
            <w:r w:rsidRPr="00D12904">
              <w:t>19.5 to &lt; 25.5</w:t>
            </w:r>
          </w:p>
        </w:tc>
        <w:tc>
          <w:tcPr>
            <w:tcW w:w="434" w:type="pct"/>
            <w:shd w:val="clear" w:color="auto" w:fill="auto"/>
            <w:noWrap/>
            <w:vAlign w:val="center"/>
            <w:hideMark/>
          </w:tcPr>
          <w:p w14:paraId="363B15B8" w14:textId="77777777" w:rsidR="004201F1" w:rsidRPr="00D12904" w:rsidRDefault="004201F1" w:rsidP="00DA33C9">
            <w:pPr>
              <w:pStyle w:val="Tabletext"/>
              <w:keepNext/>
              <w:keepLines/>
              <w:jc w:val="center"/>
            </w:pPr>
            <w:r w:rsidRPr="00D12904">
              <w:t>800</w:t>
            </w:r>
          </w:p>
        </w:tc>
        <w:tc>
          <w:tcPr>
            <w:tcW w:w="434" w:type="pct"/>
            <w:shd w:val="clear" w:color="auto" w:fill="auto"/>
            <w:noWrap/>
            <w:vAlign w:val="center"/>
            <w:hideMark/>
          </w:tcPr>
          <w:p w14:paraId="13BCFABB" w14:textId="77777777" w:rsidR="004201F1" w:rsidRPr="00D12904" w:rsidRDefault="004201F1" w:rsidP="00DA33C9">
            <w:pPr>
              <w:pStyle w:val="Tabletext"/>
              <w:keepNext/>
              <w:keepLines/>
              <w:jc w:val="center"/>
            </w:pPr>
            <w:r w:rsidRPr="00D12904">
              <w:t>2400</w:t>
            </w:r>
          </w:p>
        </w:tc>
        <w:tc>
          <w:tcPr>
            <w:tcW w:w="472" w:type="pct"/>
            <w:shd w:val="clear" w:color="auto" w:fill="auto"/>
            <w:noWrap/>
            <w:hideMark/>
          </w:tcPr>
          <w:p w14:paraId="53EB84F7" w14:textId="77777777" w:rsidR="004201F1" w:rsidRPr="00D12904" w:rsidRDefault="004201F1" w:rsidP="00DA33C9">
            <w:pPr>
              <w:pStyle w:val="Tabletext"/>
              <w:keepNext/>
              <w:keepLines/>
              <w:jc w:val="center"/>
            </w:pPr>
            <w:r w:rsidRPr="00D12904">
              <w:t>-</w:t>
            </w:r>
          </w:p>
        </w:tc>
        <w:tc>
          <w:tcPr>
            <w:tcW w:w="473" w:type="pct"/>
            <w:shd w:val="clear" w:color="auto" w:fill="auto"/>
            <w:noWrap/>
            <w:vAlign w:val="center"/>
            <w:hideMark/>
          </w:tcPr>
          <w:p w14:paraId="0D58D7F1" w14:textId="77777777" w:rsidR="004201F1" w:rsidRPr="00D12904" w:rsidRDefault="004201F1" w:rsidP="00DA33C9">
            <w:pPr>
              <w:pStyle w:val="Tabletext"/>
              <w:keepNext/>
              <w:keepLines/>
              <w:jc w:val="center"/>
            </w:pPr>
            <w:r w:rsidRPr="00D12904">
              <w:t>2</w:t>
            </w:r>
          </w:p>
        </w:tc>
        <w:tc>
          <w:tcPr>
            <w:tcW w:w="550" w:type="pct"/>
            <w:shd w:val="clear" w:color="auto" w:fill="auto"/>
            <w:vAlign w:val="center"/>
          </w:tcPr>
          <w:p w14:paraId="2460F4B8" w14:textId="0A20DD1B" w:rsidR="004201F1" w:rsidRPr="00D12904" w:rsidRDefault="004201F1" w:rsidP="00DA33C9">
            <w:pPr>
              <w:pStyle w:val="Tabletext"/>
              <w:keepNext/>
              <w:keepLines/>
              <w:jc w:val="center"/>
            </w:pPr>
            <w:r w:rsidRPr="00D12904">
              <w:t>$</w:t>
            </w:r>
            <w:r w:rsidR="0066157F" w:rsidRPr="0066157F">
              <w:rPr>
                <w:rFonts w:hint="eastAsia"/>
                <w:color w:val="000000"/>
                <w:w w:val="31"/>
                <w:shd w:val="solid" w:color="000000" w:fill="000000"/>
                <w:fitText w:val="140" w:id="-894208752"/>
                <w14:textFill>
                  <w14:solidFill>
                    <w14:srgbClr w14:val="000000">
                      <w14:alpha w14:val="100000"/>
                    </w14:srgbClr>
                  </w14:solidFill>
                </w14:textFill>
              </w:rPr>
              <w:t xml:space="preserve">　</w:t>
            </w:r>
            <w:r w:rsidR="0066157F" w:rsidRPr="0066157F">
              <w:rPr>
                <w:color w:val="000000"/>
                <w:w w:val="31"/>
                <w:shd w:val="solid" w:color="000000" w:fill="000000"/>
                <w:fitText w:val="140" w:id="-894208752"/>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52"/>
                <w14:textFill>
                  <w14:solidFill>
                    <w14:srgbClr w14:val="000000">
                      <w14:alpha w14:val="100000"/>
                    </w14:srgbClr>
                  </w14:solidFill>
                </w14:textFill>
              </w:rPr>
              <w:t xml:space="preserve">　</w:t>
            </w:r>
          </w:p>
        </w:tc>
        <w:tc>
          <w:tcPr>
            <w:tcW w:w="630" w:type="pct"/>
            <w:shd w:val="clear" w:color="auto" w:fill="auto"/>
            <w:vAlign w:val="center"/>
          </w:tcPr>
          <w:p w14:paraId="36990B37" w14:textId="437B3555" w:rsidR="004201F1" w:rsidRPr="00D12904" w:rsidRDefault="004201F1" w:rsidP="00DA33C9">
            <w:pPr>
              <w:pStyle w:val="Tabletext"/>
              <w:keepNext/>
              <w:keepLines/>
              <w:jc w:val="center"/>
            </w:pPr>
            <w:r w:rsidRPr="00D12904">
              <w:t>$</w:t>
            </w:r>
            <w:r w:rsidR="0066157F" w:rsidRPr="0066157F">
              <w:rPr>
                <w:rFonts w:hint="eastAsia"/>
                <w:color w:val="000000"/>
                <w:w w:val="18"/>
                <w:shd w:val="solid" w:color="000000" w:fill="000000"/>
                <w:fitText w:val="80" w:id="-894208768"/>
                <w14:textFill>
                  <w14:solidFill>
                    <w14:srgbClr w14:val="000000">
                      <w14:alpha w14:val="100000"/>
                    </w14:srgbClr>
                  </w14:solidFill>
                </w14:textFill>
              </w:rPr>
              <w:t xml:space="preserve">　</w:t>
            </w:r>
            <w:r w:rsidR="0066157F" w:rsidRPr="0066157F">
              <w:rPr>
                <w:color w:val="000000"/>
                <w:w w:val="18"/>
                <w:shd w:val="solid" w:color="000000" w:fill="000000"/>
                <w:fitText w:val="80" w:id="-894208768"/>
                <w14:textFill>
                  <w14:solidFill>
                    <w14:srgbClr w14:val="000000">
                      <w14:alpha w14:val="100000"/>
                    </w14:srgbClr>
                  </w14:solidFill>
                </w14:textFill>
              </w:rPr>
              <w:t>|</w:t>
            </w:r>
            <w:r w:rsidR="0066157F" w:rsidRPr="0066157F">
              <w:rPr>
                <w:rFonts w:hint="eastAsia"/>
                <w:color w:val="000000"/>
                <w:w w:val="18"/>
                <w:shd w:val="solid" w:color="000000" w:fill="000000"/>
                <w:fitText w:val="80" w:id="-894208768"/>
                <w14:textFill>
                  <w14:solidFill>
                    <w14:srgbClr w14:val="000000">
                      <w14:alpha w14:val="100000"/>
                    </w14:srgbClr>
                  </w14:solidFill>
                </w14:textFill>
              </w:rPr>
              <w:t xml:space="preserve">　</w:t>
            </w:r>
          </w:p>
        </w:tc>
        <w:tc>
          <w:tcPr>
            <w:tcW w:w="629" w:type="pct"/>
            <w:shd w:val="clear" w:color="auto" w:fill="auto"/>
            <w:noWrap/>
            <w:vAlign w:val="center"/>
          </w:tcPr>
          <w:p w14:paraId="285004B0" w14:textId="2CE06647" w:rsidR="004201F1" w:rsidRPr="00D12904" w:rsidRDefault="004201F1" w:rsidP="00DA33C9">
            <w:pPr>
              <w:pStyle w:val="Tabletext"/>
              <w:keepNext/>
              <w:keepLines/>
              <w:jc w:val="center"/>
            </w:pPr>
            <w:r w:rsidRPr="00D12904">
              <w:t>$</w:t>
            </w:r>
            <w:r w:rsidR="0066157F" w:rsidRPr="0066157F">
              <w:rPr>
                <w:rFonts w:hint="eastAsia"/>
                <w:color w:val="000000"/>
                <w:w w:val="15"/>
                <w:shd w:val="solid" w:color="000000" w:fill="000000"/>
                <w:fitText w:val="70" w:id="-894208767"/>
                <w14:textFill>
                  <w14:solidFill>
                    <w14:srgbClr w14:val="000000">
                      <w14:alpha w14:val="100000"/>
                    </w14:srgbClr>
                  </w14:solidFill>
                </w14:textFill>
              </w:rPr>
              <w:t xml:space="preserve">　</w:t>
            </w:r>
            <w:r w:rsidR="0066157F" w:rsidRPr="0066157F">
              <w:rPr>
                <w:color w:val="000000"/>
                <w:w w:val="15"/>
                <w:shd w:val="solid" w:color="000000" w:fill="000000"/>
                <w:fitText w:val="70" w:id="-894208767"/>
                <w14:textFill>
                  <w14:solidFill>
                    <w14:srgbClr w14:val="000000">
                      <w14:alpha w14:val="100000"/>
                    </w14:srgbClr>
                  </w14:solidFill>
                </w14:textFill>
              </w:rPr>
              <w:t>|</w:t>
            </w:r>
            <w:r w:rsidR="0066157F" w:rsidRPr="0066157F">
              <w:rPr>
                <w:rFonts w:hint="eastAsia"/>
                <w:color w:val="000000"/>
                <w:spacing w:val="4"/>
                <w:w w:val="15"/>
                <w:shd w:val="solid" w:color="000000" w:fill="000000"/>
                <w:fitText w:val="70" w:id="-894208767"/>
                <w14:textFill>
                  <w14:solidFill>
                    <w14:srgbClr w14:val="000000">
                      <w14:alpha w14:val="100000"/>
                    </w14:srgbClr>
                  </w14:solidFill>
                </w14:textFill>
              </w:rPr>
              <w:t xml:space="preserve">　</w:t>
            </w:r>
          </w:p>
        </w:tc>
        <w:tc>
          <w:tcPr>
            <w:tcW w:w="674" w:type="pct"/>
            <w:shd w:val="clear" w:color="auto" w:fill="auto"/>
            <w:noWrap/>
            <w:vAlign w:val="center"/>
          </w:tcPr>
          <w:p w14:paraId="20D0A743" w14:textId="3D6D2238" w:rsidR="004201F1" w:rsidRPr="00D12904" w:rsidRDefault="004201F1" w:rsidP="00DA33C9">
            <w:pPr>
              <w:pStyle w:val="Tabletext"/>
              <w:keepNext/>
              <w:keepLines/>
              <w:jc w:val="center"/>
            </w:pPr>
            <w:r w:rsidRPr="00D12904">
              <w:t>$</w:t>
            </w:r>
            <w:r w:rsidR="0066157F" w:rsidRPr="0066157F">
              <w:rPr>
                <w:rFonts w:hint="eastAsia"/>
                <w:color w:val="000000"/>
                <w:w w:val="15"/>
                <w:shd w:val="solid" w:color="000000" w:fill="000000"/>
                <w:fitText w:val="30" w:id="-894208766"/>
                <w14:textFill>
                  <w14:solidFill>
                    <w14:srgbClr w14:val="000000">
                      <w14:alpha w14:val="100000"/>
                    </w14:srgbClr>
                  </w14:solidFill>
                </w14:textFill>
              </w:rPr>
              <w:t xml:space="preserve">　</w:t>
            </w:r>
            <w:r w:rsidR="0066157F" w:rsidRPr="0066157F">
              <w:rPr>
                <w:color w:val="000000"/>
                <w:w w:val="15"/>
                <w:shd w:val="solid" w:color="000000" w:fill="000000"/>
                <w:fitText w:val="30" w:id="-894208766"/>
                <w14:textFill>
                  <w14:solidFill>
                    <w14:srgbClr w14:val="000000">
                      <w14:alpha w14:val="100000"/>
                    </w14:srgbClr>
                  </w14:solidFill>
                </w14:textFill>
              </w:rPr>
              <w:t>|</w:t>
            </w:r>
            <w:r w:rsidR="0066157F" w:rsidRPr="0066157F">
              <w:rPr>
                <w:rFonts w:hint="eastAsia"/>
                <w:color w:val="000000"/>
                <w:spacing w:val="-35"/>
                <w:w w:val="15"/>
                <w:shd w:val="solid" w:color="000000" w:fill="000000"/>
                <w:fitText w:val="30" w:id="-894208766"/>
                <w14:textFill>
                  <w14:solidFill>
                    <w14:srgbClr w14:val="000000">
                      <w14:alpha w14:val="100000"/>
                    </w14:srgbClr>
                  </w14:solidFill>
                </w14:textFill>
              </w:rPr>
              <w:t xml:space="preserve">　</w:t>
            </w:r>
          </w:p>
        </w:tc>
      </w:tr>
      <w:tr w:rsidR="004201F1" w:rsidRPr="00D12904" w14:paraId="68EE7F9D" w14:textId="77777777" w:rsidTr="00EA7518">
        <w:trPr>
          <w:trHeight w:val="20"/>
        </w:trPr>
        <w:tc>
          <w:tcPr>
            <w:tcW w:w="705" w:type="pct"/>
            <w:shd w:val="clear" w:color="auto" w:fill="auto"/>
            <w:noWrap/>
            <w:vAlign w:val="center"/>
            <w:hideMark/>
          </w:tcPr>
          <w:p w14:paraId="3A83ECA2" w14:textId="77777777" w:rsidR="004201F1" w:rsidRPr="00D12904" w:rsidRDefault="004201F1" w:rsidP="00DA33C9">
            <w:pPr>
              <w:pStyle w:val="Tabletext"/>
              <w:keepNext/>
              <w:keepLines/>
            </w:pPr>
            <w:r w:rsidRPr="00D12904">
              <w:t>25.5 to &lt; 35.5</w:t>
            </w:r>
          </w:p>
        </w:tc>
        <w:tc>
          <w:tcPr>
            <w:tcW w:w="434" w:type="pct"/>
            <w:shd w:val="clear" w:color="auto" w:fill="auto"/>
            <w:noWrap/>
            <w:vAlign w:val="center"/>
            <w:hideMark/>
          </w:tcPr>
          <w:p w14:paraId="7219D6FE" w14:textId="77777777" w:rsidR="004201F1" w:rsidRPr="00D12904" w:rsidRDefault="004201F1" w:rsidP="00DA33C9">
            <w:pPr>
              <w:pStyle w:val="Tabletext"/>
              <w:keepNext/>
              <w:keepLines/>
              <w:jc w:val="center"/>
            </w:pPr>
            <w:r w:rsidRPr="00D12904">
              <w:t>1200</w:t>
            </w:r>
          </w:p>
        </w:tc>
        <w:tc>
          <w:tcPr>
            <w:tcW w:w="434" w:type="pct"/>
            <w:shd w:val="clear" w:color="auto" w:fill="auto"/>
            <w:noWrap/>
            <w:vAlign w:val="center"/>
            <w:hideMark/>
          </w:tcPr>
          <w:p w14:paraId="6459CDCD" w14:textId="77777777" w:rsidR="004201F1" w:rsidRPr="00D12904" w:rsidRDefault="004201F1" w:rsidP="00DA33C9">
            <w:pPr>
              <w:pStyle w:val="Tabletext"/>
              <w:keepNext/>
              <w:keepLines/>
              <w:jc w:val="center"/>
            </w:pPr>
            <w:r w:rsidRPr="00D12904">
              <w:t>3600</w:t>
            </w:r>
          </w:p>
        </w:tc>
        <w:tc>
          <w:tcPr>
            <w:tcW w:w="472" w:type="pct"/>
            <w:shd w:val="clear" w:color="auto" w:fill="auto"/>
            <w:noWrap/>
            <w:hideMark/>
          </w:tcPr>
          <w:p w14:paraId="6439114E" w14:textId="77777777" w:rsidR="004201F1" w:rsidRPr="00D12904" w:rsidRDefault="004201F1" w:rsidP="00DA33C9">
            <w:pPr>
              <w:pStyle w:val="Tabletext"/>
              <w:keepNext/>
              <w:keepLines/>
              <w:jc w:val="center"/>
            </w:pPr>
            <w:r w:rsidRPr="00D12904">
              <w:t>-</w:t>
            </w:r>
          </w:p>
        </w:tc>
        <w:tc>
          <w:tcPr>
            <w:tcW w:w="473" w:type="pct"/>
            <w:shd w:val="clear" w:color="auto" w:fill="auto"/>
            <w:noWrap/>
            <w:vAlign w:val="center"/>
            <w:hideMark/>
          </w:tcPr>
          <w:p w14:paraId="7C59C363" w14:textId="77777777" w:rsidR="004201F1" w:rsidRPr="00D12904" w:rsidRDefault="004201F1" w:rsidP="00DA33C9">
            <w:pPr>
              <w:pStyle w:val="Tabletext"/>
              <w:keepNext/>
              <w:keepLines/>
              <w:jc w:val="center"/>
            </w:pPr>
            <w:r w:rsidRPr="00D12904">
              <w:t>3</w:t>
            </w:r>
          </w:p>
        </w:tc>
        <w:tc>
          <w:tcPr>
            <w:tcW w:w="550" w:type="pct"/>
            <w:shd w:val="clear" w:color="auto" w:fill="auto"/>
            <w:vAlign w:val="center"/>
          </w:tcPr>
          <w:p w14:paraId="1AA995F1" w14:textId="5391B72F" w:rsidR="004201F1" w:rsidRPr="00D12904" w:rsidRDefault="004201F1" w:rsidP="00DA33C9">
            <w:pPr>
              <w:pStyle w:val="Tabletext"/>
              <w:keepNext/>
              <w:keepLines/>
              <w:jc w:val="center"/>
            </w:pPr>
            <w:r w:rsidRPr="00D12904">
              <w:t>$</w:t>
            </w:r>
            <w:r w:rsidR="0066157F" w:rsidRPr="0066157F">
              <w:rPr>
                <w:rFonts w:hint="eastAsia"/>
                <w:color w:val="000000"/>
                <w:w w:val="31"/>
                <w:shd w:val="solid" w:color="000000" w:fill="000000"/>
                <w:fitText w:val="140" w:id="-894208765"/>
                <w14:textFill>
                  <w14:solidFill>
                    <w14:srgbClr w14:val="000000">
                      <w14:alpha w14:val="100000"/>
                    </w14:srgbClr>
                  </w14:solidFill>
                </w14:textFill>
              </w:rPr>
              <w:t xml:space="preserve">　</w:t>
            </w:r>
            <w:r w:rsidR="0066157F" w:rsidRPr="0066157F">
              <w:rPr>
                <w:color w:val="000000"/>
                <w:w w:val="31"/>
                <w:shd w:val="solid" w:color="000000" w:fill="000000"/>
                <w:fitText w:val="140" w:id="-894208765"/>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65"/>
                <w14:textFill>
                  <w14:solidFill>
                    <w14:srgbClr w14:val="000000">
                      <w14:alpha w14:val="100000"/>
                    </w14:srgbClr>
                  </w14:solidFill>
                </w14:textFill>
              </w:rPr>
              <w:t xml:space="preserve">　</w:t>
            </w:r>
          </w:p>
        </w:tc>
        <w:tc>
          <w:tcPr>
            <w:tcW w:w="630" w:type="pct"/>
            <w:shd w:val="clear" w:color="auto" w:fill="auto"/>
            <w:vAlign w:val="center"/>
          </w:tcPr>
          <w:p w14:paraId="76EA0475" w14:textId="47AA9885" w:rsidR="004201F1" w:rsidRPr="00D12904" w:rsidRDefault="004201F1" w:rsidP="00DA33C9">
            <w:pPr>
              <w:pStyle w:val="Tabletext"/>
              <w:keepNext/>
              <w:keepLines/>
              <w:jc w:val="center"/>
            </w:pPr>
            <w:r w:rsidRPr="00D12904">
              <w:t>$</w:t>
            </w:r>
            <w:r w:rsidR="0066157F" w:rsidRPr="0066157F">
              <w:rPr>
                <w:rFonts w:hint="eastAsia"/>
                <w:color w:val="000000"/>
                <w:w w:val="18"/>
                <w:shd w:val="solid" w:color="000000" w:fill="000000"/>
                <w:fitText w:val="80" w:id="-894208764"/>
                <w14:textFill>
                  <w14:solidFill>
                    <w14:srgbClr w14:val="000000">
                      <w14:alpha w14:val="100000"/>
                    </w14:srgbClr>
                  </w14:solidFill>
                </w14:textFill>
              </w:rPr>
              <w:t xml:space="preserve">　</w:t>
            </w:r>
            <w:r w:rsidR="0066157F" w:rsidRPr="0066157F">
              <w:rPr>
                <w:color w:val="000000"/>
                <w:w w:val="18"/>
                <w:shd w:val="solid" w:color="000000" w:fill="000000"/>
                <w:fitText w:val="80" w:id="-894208764"/>
                <w14:textFill>
                  <w14:solidFill>
                    <w14:srgbClr w14:val="000000">
                      <w14:alpha w14:val="100000"/>
                    </w14:srgbClr>
                  </w14:solidFill>
                </w14:textFill>
              </w:rPr>
              <w:t>|</w:t>
            </w:r>
            <w:r w:rsidR="0066157F" w:rsidRPr="0066157F">
              <w:rPr>
                <w:rFonts w:hint="eastAsia"/>
                <w:color w:val="000000"/>
                <w:w w:val="18"/>
                <w:shd w:val="solid" w:color="000000" w:fill="000000"/>
                <w:fitText w:val="80" w:id="-894208764"/>
                <w14:textFill>
                  <w14:solidFill>
                    <w14:srgbClr w14:val="000000">
                      <w14:alpha w14:val="100000"/>
                    </w14:srgbClr>
                  </w14:solidFill>
                </w14:textFill>
              </w:rPr>
              <w:t xml:space="preserve">　</w:t>
            </w:r>
          </w:p>
        </w:tc>
        <w:tc>
          <w:tcPr>
            <w:tcW w:w="629" w:type="pct"/>
            <w:shd w:val="clear" w:color="auto" w:fill="auto"/>
            <w:noWrap/>
            <w:vAlign w:val="center"/>
          </w:tcPr>
          <w:p w14:paraId="0AB9E867" w14:textId="499C7B1C" w:rsidR="004201F1" w:rsidRPr="00D12904" w:rsidRDefault="004201F1" w:rsidP="00DA33C9">
            <w:pPr>
              <w:pStyle w:val="Tabletext"/>
              <w:keepNext/>
              <w:keepLines/>
              <w:jc w:val="center"/>
            </w:pPr>
            <w:r w:rsidRPr="00D12904">
              <w:t>$</w:t>
            </w:r>
            <w:r w:rsidR="0066157F" w:rsidRPr="0066157F">
              <w:rPr>
                <w:rFonts w:hint="eastAsia"/>
                <w:color w:val="000000"/>
                <w:w w:val="15"/>
                <w:shd w:val="solid" w:color="000000" w:fill="000000"/>
                <w:fitText w:val="70" w:id="-894208763"/>
                <w14:textFill>
                  <w14:solidFill>
                    <w14:srgbClr w14:val="000000">
                      <w14:alpha w14:val="100000"/>
                    </w14:srgbClr>
                  </w14:solidFill>
                </w14:textFill>
              </w:rPr>
              <w:t xml:space="preserve">　</w:t>
            </w:r>
            <w:r w:rsidR="0066157F" w:rsidRPr="0066157F">
              <w:rPr>
                <w:color w:val="000000"/>
                <w:w w:val="15"/>
                <w:shd w:val="solid" w:color="000000" w:fill="000000"/>
                <w:fitText w:val="70" w:id="-894208763"/>
                <w14:textFill>
                  <w14:solidFill>
                    <w14:srgbClr w14:val="000000">
                      <w14:alpha w14:val="100000"/>
                    </w14:srgbClr>
                  </w14:solidFill>
                </w14:textFill>
              </w:rPr>
              <w:t>|</w:t>
            </w:r>
            <w:r w:rsidR="0066157F" w:rsidRPr="0066157F">
              <w:rPr>
                <w:rFonts w:hint="eastAsia"/>
                <w:color w:val="000000"/>
                <w:spacing w:val="4"/>
                <w:w w:val="15"/>
                <w:shd w:val="solid" w:color="000000" w:fill="000000"/>
                <w:fitText w:val="70" w:id="-894208763"/>
                <w14:textFill>
                  <w14:solidFill>
                    <w14:srgbClr w14:val="000000">
                      <w14:alpha w14:val="100000"/>
                    </w14:srgbClr>
                  </w14:solidFill>
                </w14:textFill>
              </w:rPr>
              <w:t xml:space="preserve">　</w:t>
            </w:r>
          </w:p>
        </w:tc>
        <w:tc>
          <w:tcPr>
            <w:tcW w:w="674" w:type="pct"/>
            <w:shd w:val="clear" w:color="auto" w:fill="auto"/>
            <w:noWrap/>
            <w:vAlign w:val="center"/>
          </w:tcPr>
          <w:p w14:paraId="1915807A" w14:textId="50EB137E" w:rsidR="004201F1" w:rsidRPr="00D12904" w:rsidRDefault="004201F1" w:rsidP="00DA33C9">
            <w:pPr>
              <w:pStyle w:val="Tabletext"/>
              <w:keepNext/>
              <w:keepLines/>
              <w:jc w:val="center"/>
            </w:pPr>
            <w:r w:rsidRPr="00D12904">
              <w:t>$</w:t>
            </w:r>
            <w:r w:rsidR="0066157F" w:rsidRPr="0066157F">
              <w:rPr>
                <w:rFonts w:hint="eastAsia"/>
                <w:color w:val="000000"/>
                <w:w w:val="15"/>
                <w:shd w:val="solid" w:color="000000" w:fill="000000"/>
                <w:fitText w:val="30" w:id="-894208762"/>
                <w14:textFill>
                  <w14:solidFill>
                    <w14:srgbClr w14:val="000000">
                      <w14:alpha w14:val="100000"/>
                    </w14:srgbClr>
                  </w14:solidFill>
                </w14:textFill>
              </w:rPr>
              <w:t xml:space="preserve">　</w:t>
            </w:r>
            <w:r w:rsidR="0066157F" w:rsidRPr="0066157F">
              <w:rPr>
                <w:color w:val="000000"/>
                <w:w w:val="15"/>
                <w:shd w:val="solid" w:color="000000" w:fill="000000"/>
                <w:fitText w:val="30" w:id="-894208762"/>
                <w14:textFill>
                  <w14:solidFill>
                    <w14:srgbClr w14:val="000000">
                      <w14:alpha w14:val="100000"/>
                    </w14:srgbClr>
                  </w14:solidFill>
                </w14:textFill>
              </w:rPr>
              <w:t>|</w:t>
            </w:r>
            <w:r w:rsidR="0066157F" w:rsidRPr="0066157F">
              <w:rPr>
                <w:rFonts w:hint="eastAsia"/>
                <w:color w:val="000000"/>
                <w:spacing w:val="-35"/>
                <w:w w:val="15"/>
                <w:shd w:val="solid" w:color="000000" w:fill="000000"/>
                <w:fitText w:val="30" w:id="-894208762"/>
                <w14:textFill>
                  <w14:solidFill>
                    <w14:srgbClr w14:val="000000">
                      <w14:alpha w14:val="100000"/>
                    </w14:srgbClr>
                  </w14:solidFill>
                </w14:textFill>
              </w:rPr>
              <w:t xml:space="preserve">　</w:t>
            </w:r>
          </w:p>
        </w:tc>
      </w:tr>
      <w:tr w:rsidR="004201F1" w:rsidRPr="00D12904" w14:paraId="3991D2F1" w14:textId="77777777" w:rsidTr="00EA7518">
        <w:trPr>
          <w:trHeight w:val="20"/>
        </w:trPr>
        <w:tc>
          <w:tcPr>
            <w:tcW w:w="705" w:type="pct"/>
            <w:shd w:val="clear" w:color="auto" w:fill="auto"/>
            <w:noWrap/>
            <w:vAlign w:val="center"/>
            <w:hideMark/>
          </w:tcPr>
          <w:p w14:paraId="20A2AC30" w14:textId="77777777" w:rsidR="004201F1" w:rsidRPr="00D12904" w:rsidRDefault="004201F1" w:rsidP="00DA33C9">
            <w:pPr>
              <w:pStyle w:val="Tabletext"/>
              <w:keepNext/>
              <w:keepLines/>
            </w:pPr>
            <w:r w:rsidRPr="00D12904">
              <w:t>35.5 to &lt; 45.5</w:t>
            </w:r>
          </w:p>
        </w:tc>
        <w:tc>
          <w:tcPr>
            <w:tcW w:w="434" w:type="pct"/>
            <w:shd w:val="clear" w:color="auto" w:fill="auto"/>
            <w:noWrap/>
            <w:vAlign w:val="center"/>
            <w:hideMark/>
          </w:tcPr>
          <w:p w14:paraId="1BB47479" w14:textId="77777777" w:rsidR="004201F1" w:rsidRPr="00D12904" w:rsidRDefault="004201F1" w:rsidP="00DA33C9">
            <w:pPr>
              <w:pStyle w:val="Tabletext"/>
              <w:keepNext/>
              <w:keepLines/>
              <w:jc w:val="center"/>
            </w:pPr>
            <w:r w:rsidRPr="00D12904">
              <w:t>1600</w:t>
            </w:r>
          </w:p>
        </w:tc>
        <w:tc>
          <w:tcPr>
            <w:tcW w:w="434" w:type="pct"/>
            <w:shd w:val="clear" w:color="auto" w:fill="auto"/>
            <w:noWrap/>
            <w:vAlign w:val="center"/>
            <w:hideMark/>
          </w:tcPr>
          <w:p w14:paraId="74E500EC" w14:textId="77777777" w:rsidR="004201F1" w:rsidRPr="00D12904" w:rsidRDefault="004201F1" w:rsidP="00DA33C9">
            <w:pPr>
              <w:pStyle w:val="Tabletext"/>
              <w:keepNext/>
              <w:keepLines/>
              <w:jc w:val="center"/>
            </w:pPr>
            <w:r w:rsidRPr="00D12904">
              <w:t>4800</w:t>
            </w:r>
          </w:p>
        </w:tc>
        <w:tc>
          <w:tcPr>
            <w:tcW w:w="472" w:type="pct"/>
            <w:shd w:val="clear" w:color="auto" w:fill="auto"/>
            <w:noWrap/>
            <w:hideMark/>
          </w:tcPr>
          <w:p w14:paraId="10615C11" w14:textId="77777777" w:rsidR="004201F1" w:rsidRPr="00D12904" w:rsidRDefault="004201F1" w:rsidP="00DA33C9">
            <w:pPr>
              <w:pStyle w:val="Tabletext"/>
              <w:keepNext/>
              <w:keepLines/>
              <w:jc w:val="center"/>
            </w:pPr>
            <w:r w:rsidRPr="00D12904">
              <w:t>-</w:t>
            </w:r>
          </w:p>
        </w:tc>
        <w:tc>
          <w:tcPr>
            <w:tcW w:w="473" w:type="pct"/>
            <w:shd w:val="clear" w:color="auto" w:fill="auto"/>
            <w:noWrap/>
            <w:vAlign w:val="center"/>
            <w:hideMark/>
          </w:tcPr>
          <w:p w14:paraId="0215B53F" w14:textId="77777777" w:rsidR="004201F1" w:rsidRPr="00D12904" w:rsidRDefault="004201F1" w:rsidP="00DA33C9">
            <w:pPr>
              <w:pStyle w:val="Tabletext"/>
              <w:keepNext/>
              <w:keepLines/>
              <w:jc w:val="center"/>
            </w:pPr>
            <w:r w:rsidRPr="00D12904">
              <w:t>4</w:t>
            </w:r>
          </w:p>
        </w:tc>
        <w:tc>
          <w:tcPr>
            <w:tcW w:w="550" w:type="pct"/>
            <w:shd w:val="clear" w:color="auto" w:fill="auto"/>
            <w:vAlign w:val="center"/>
          </w:tcPr>
          <w:p w14:paraId="15D6E6CA" w14:textId="38AA5E25" w:rsidR="004201F1" w:rsidRPr="00D12904" w:rsidRDefault="004201F1" w:rsidP="00DA33C9">
            <w:pPr>
              <w:pStyle w:val="Tabletext"/>
              <w:keepNext/>
              <w:keepLines/>
              <w:jc w:val="center"/>
            </w:pPr>
            <w:r w:rsidRPr="00D12904">
              <w:t>$</w:t>
            </w:r>
            <w:r w:rsidR="0066157F" w:rsidRPr="0066157F">
              <w:rPr>
                <w:rFonts w:hint="eastAsia"/>
                <w:color w:val="000000"/>
                <w:w w:val="31"/>
                <w:shd w:val="solid" w:color="000000" w:fill="000000"/>
                <w:fitText w:val="140" w:id="-894208761"/>
                <w14:textFill>
                  <w14:solidFill>
                    <w14:srgbClr w14:val="000000">
                      <w14:alpha w14:val="100000"/>
                    </w14:srgbClr>
                  </w14:solidFill>
                </w14:textFill>
              </w:rPr>
              <w:t xml:space="preserve">　</w:t>
            </w:r>
            <w:r w:rsidR="0066157F" w:rsidRPr="0066157F">
              <w:rPr>
                <w:color w:val="000000"/>
                <w:w w:val="31"/>
                <w:shd w:val="solid" w:color="000000" w:fill="000000"/>
                <w:fitText w:val="140" w:id="-894208761"/>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61"/>
                <w14:textFill>
                  <w14:solidFill>
                    <w14:srgbClr w14:val="000000">
                      <w14:alpha w14:val="100000"/>
                    </w14:srgbClr>
                  </w14:solidFill>
                </w14:textFill>
              </w:rPr>
              <w:t xml:space="preserve">　</w:t>
            </w:r>
          </w:p>
        </w:tc>
        <w:tc>
          <w:tcPr>
            <w:tcW w:w="630" w:type="pct"/>
            <w:shd w:val="clear" w:color="auto" w:fill="auto"/>
            <w:vAlign w:val="center"/>
          </w:tcPr>
          <w:p w14:paraId="70609000" w14:textId="20ED6E75" w:rsidR="004201F1" w:rsidRPr="00D12904" w:rsidRDefault="004201F1" w:rsidP="00DA33C9">
            <w:pPr>
              <w:pStyle w:val="Tabletext"/>
              <w:keepNext/>
              <w:keepLines/>
              <w:jc w:val="center"/>
            </w:pPr>
            <w:r w:rsidRPr="00D12904">
              <w:t>$</w:t>
            </w:r>
            <w:r w:rsidR="0066157F" w:rsidRPr="0066157F">
              <w:rPr>
                <w:rFonts w:hint="eastAsia"/>
                <w:color w:val="000000"/>
                <w:w w:val="18"/>
                <w:shd w:val="solid" w:color="000000" w:fill="000000"/>
                <w:fitText w:val="80" w:id="-894208760"/>
                <w14:textFill>
                  <w14:solidFill>
                    <w14:srgbClr w14:val="000000">
                      <w14:alpha w14:val="100000"/>
                    </w14:srgbClr>
                  </w14:solidFill>
                </w14:textFill>
              </w:rPr>
              <w:t xml:space="preserve">　</w:t>
            </w:r>
            <w:r w:rsidR="0066157F" w:rsidRPr="0066157F">
              <w:rPr>
                <w:color w:val="000000"/>
                <w:w w:val="18"/>
                <w:shd w:val="solid" w:color="000000" w:fill="000000"/>
                <w:fitText w:val="80" w:id="-894208760"/>
                <w14:textFill>
                  <w14:solidFill>
                    <w14:srgbClr w14:val="000000">
                      <w14:alpha w14:val="100000"/>
                    </w14:srgbClr>
                  </w14:solidFill>
                </w14:textFill>
              </w:rPr>
              <w:t>|</w:t>
            </w:r>
            <w:r w:rsidR="0066157F" w:rsidRPr="0066157F">
              <w:rPr>
                <w:rFonts w:hint="eastAsia"/>
                <w:color w:val="000000"/>
                <w:w w:val="18"/>
                <w:shd w:val="solid" w:color="000000" w:fill="000000"/>
                <w:fitText w:val="80" w:id="-894208760"/>
                <w14:textFill>
                  <w14:solidFill>
                    <w14:srgbClr w14:val="000000">
                      <w14:alpha w14:val="100000"/>
                    </w14:srgbClr>
                  </w14:solidFill>
                </w14:textFill>
              </w:rPr>
              <w:t xml:space="preserve">　</w:t>
            </w:r>
          </w:p>
        </w:tc>
        <w:tc>
          <w:tcPr>
            <w:tcW w:w="629" w:type="pct"/>
            <w:shd w:val="clear" w:color="auto" w:fill="auto"/>
            <w:noWrap/>
            <w:vAlign w:val="center"/>
          </w:tcPr>
          <w:p w14:paraId="43813ED2" w14:textId="00274C00" w:rsidR="004201F1" w:rsidRPr="00D12904" w:rsidRDefault="004201F1" w:rsidP="00DA33C9">
            <w:pPr>
              <w:pStyle w:val="Tabletext"/>
              <w:keepNext/>
              <w:keepLines/>
              <w:jc w:val="center"/>
            </w:pPr>
            <w:r w:rsidRPr="00D12904">
              <w:t>$</w:t>
            </w:r>
            <w:r w:rsidR="0066157F" w:rsidRPr="0066157F">
              <w:rPr>
                <w:rFonts w:hint="eastAsia"/>
                <w:color w:val="000000"/>
                <w:w w:val="15"/>
                <w:shd w:val="solid" w:color="000000" w:fill="000000"/>
                <w:fitText w:val="70" w:id="-894208759"/>
                <w14:textFill>
                  <w14:solidFill>
                    <w14:srgbClr w14:val="000000">
                      <w14:alpha w14:val="100000"/>
                    </w14:srgbClr>
                  </w14:solidFill>
                </w14:textFill>
              </w:rPr>
              <w:t xml:space="preserve">　</w:t>
            </w:r>
            <w:r w:rsidR="0066157F" w:rsidRPr="0066157F">
              <w:rPr>
                <w:color w:val="000000"/>
                <w:w w:val="15"/>
                <w:shd w:val="solid" w:color="000000" w:fill="000000"/>
                <w:fitText w:val="70" w:id="-894208759"/>
                <w14:textFill>
                  <w14:solidFill>
                    <w14:srgbClr w14:val="000000">
                      <w14:alpha w14:val="100000"/>
                    </w14:srgbClr>
                  </w14:solidFill>
                </w14:textFill>
              </w:rPr>
              <w:t>|</w:t>
            </w:r>
            <w:r w:rsidR="0066157F" w:rsidRPr="0066157F">
              <w:rPr>
                <w:rFonts w:hint="eastAsia"/>
                <w:color w:val="000000"/>
                <w:spacing w:val="4"/>
                <w:w w:val="15"/>
                <w:shd w:val="solid" w:color="000000" w:fill="000000"/>
                <w:fitText w:val="70" w:id="-894208759"/>
                <w14:textFill>
                  <w14:solidFill>
                    <w14:srgbClr w14:val="000000">
                      <w14:alpha w14:val="100000"/>
                    </w14:srgbClr>
                  </w14:solidFill>
                </w14:textFill>
              </w:rPr>
              <w:t xml:space="preserve">　</w:t>
            </w:r>
          </w:p>
        </w:tc>
        <w:tc>
          <w:tcPr>
            <w:tcW w:w="674" w:type="pct"/>
            <w:shd w:val="clear" w:color="auto" w:fill="auto"/>
            <w:noWrap/>
            <w:vAlign w:val="center"/>
          </w:tcPr>
          <w:p w14:paraId="5053CAA4" w14:textId="35FB7DD6" w:rsidR="004201F1" w:rsidRPr="00D12904" w:rsidRDefault="004201F1" w:rsidP="00DA33C9">
            <w:pPr>
              <w:pStyle w:val="Tabletext"/>
              <w:keepNext/>
              <w:keepLines/>
              <w:jc w:val="center"/>
            </w:pPr>
            <w:r w:rsidRPr="00D12904">
              <w:t>$</w:t>
            </w:r>
            <w:r w:rsidR="0066157F" w:rsidRPr="0066157F">
              <w:rPr>
                <w:rFonts w:hint="eastAsia"/>
                <w:color w:val="000000"/>
                <w:w w:val="15"/>
                <w:shd w:val="solid" w:color="000000" w:fill="000000"/>
                <w:fitText w:val="30" w:id="-894208758"/>
                <w14:textFill>
                  <w14:solidFill>
                    <w14:srgbClr w14:val="000000">
                      <w14:alpha w14:val="100000"/>
                    </w14:srgbClr>
                  </w14:solidFill>
                </w14:textFill>
              </w:rPr>
              <w:t xml:space="preserve">　</w:t>
            </w:r>
            <w:r w:rsidR="0066157F" w:rsidRPr="0066157F">
              <w:rPr>
                <w:color w:val="000000"/>
                <w:w w:val="15"/>
                <w:shd w:val="solid" w:color="000000" w:fill="000000"/>
                <w:fitText w:val="30" w:id="-894208758"/>
                <w14:textFill>
                  <w14:solidFill>
                    <w14:srgbClr w14:val="000000">
                      <w14:alpha w14:val="100000"/>
                    </w14:srgbClr>
                  </w14:solidFill>
                </w14:textFill>
              </w:rPr>
              <w:t>|</w:t>
            </w:r>
            <w:r w:rsidR="0066157F" w:rsidRPr="0066157F">
              <w:rPr>
                <w:rFonts w:hint="eastAsia"/>
                <w:color w:val="000000"/>
                <w:spacing w:val="-35"/>
                <w:w w:val="15"/>
                <w:shd w:val="solid" w:color="000000" w:fill="000000"/>
                <w:fitText w:val="30" w:id="-894208758"/>
                <w14:textFill>
                  <w14:solidFill>
                    <w14:srgbClr w14:val="000000">
                      <w14:alpha w14:val="100000"/>
                    </w14:srgbClr>
                  </w14:solidFill>
                </w14:textFill>
              </w:rPr>
              <w:t xml:space="preserve">　</w:t>
            </w:r>
          </w:p>
        </w:tc>
      </w:tr>
      <w:tr w:rsidR="004201F1" w:rsidRPr="00D12904" w14:paraId="4915CBD3" w14:textId="77777777" w:rsidTr="00EA7518">
        <w:trPr>
          <w:trHeight w:val="20"/>
        </w:trPr>
        <w:tc>
          <w:tcPr>
            <w:tcW w:w="705" w:type="pct"/>
            <w:shd w:val="clear" w:color="auto" w:fill="auto"/>
            <w:noWrap/>
            <w:vAlign w:val="center"/>
            <w:hideMark/>
          </w:tcPr>
          <w:p w14:paraId="2A562777" w14:textId="77777777" w:rsidR="004201F1" w:rsidRPr="00D12904" w:rsidRDefault="004201F1" w:rsidP="00DA33C9">
            <w:pPr>
              <w:pStyle w:val="Tabletext"/>
              <w:keepNext/>
              <w:keepLines/>
            </w:pPr>
            <w:r w:rsidRPr="00D12904">
              <w:t>45.5 to &lt; 55.5</w:t>
            </w:r>
          </w:p>
        </w:tc>
        <w:tc>
          <w:tcPr>
            <w:tcW w:w="434" w:type="pct"/>
            <w:shd w:val="clear" w:color="auto" w:fill="auto"/>
            <w:noWrap/>
            <w:vAlign w:val="center"/>
            <w:hideMark/>
          </w:tcPr>
          <w:p w14:paraId="4634D7BF" w14:textId="77777777" w:rsidR="004201F1" w:rsidRPr="00D12904" w:rsidRDefault="004201F1" w:rsidP="00DA33C9">
            <w:pPr>
              <w:pStyle w:val="Tabletext"/>
              <w:keepNext/>
              <w:keepLines/>
              <w:jc w:val="center"/>
            </w:pPr>
            <w:r w:rsidRPr="00D12904">
              <w:t>2000</w:t>
            </w:r>
          </w:p>
        </w:tc>
        <w:tc>
          <w:tcPr>
            <w:tcW w:w="434" w:type="pct"/>
            <w:shd w:val="clear" w:color="auto" w:fill="auto"/>
            <w:noWrap/>
            <w:vAlign w:val="center"/>
            <w:hideMark/>
          </w:tcPr>
          <w:p w14:paraId="74459A38" w14:textId="77777777" w:rsidR="004201F1" w:rsidRPr="00D12904" w:rsidRDefault="004201F1" w:rsidP="00DA33C9">
            <w:pPr>
              <w:pStyle w:val="Tabletext"/>
              <w:keepNext/>
              <w:keepLines/>
              <w:jc w:val="center"/>
            </w:pPr>
            <w:r w:rsidRPr="00D12904">
              <w:t>6000</w:t>
            </w:r>
          </w:p>
        </w:tc>
        <w:tc>
          <w:tcPr>
            <w:tcW w:w="472" w:type="pct"/>
            <w:shd w:val="clear" w:color="auto" w:fill="auto"/>
            <w:noWrap/>
            <w:hideMark/>
          </w:tcPr>
          <w:p w14:paraId="2D3A3C66" w14:textId="77777777" w:rsidR="004201F1" w:rsidRPr="00D12904" w:rsidRDefault="004201F1" w:rsidP="00DA33C9">
            <w:pPr>
              <w:pStyle w:val="Tabletext"/>
              <w:keepNext/>
              <w:keepLines/>
              <w:jc w:val="center"/>
            </w:pPr>
            <w:r w:rsidRPr="00D12904">
              <w:t>-</w:t>
            </w:r>
          </w:p>
        </w:tc>
        <w:tc>
          <w:tcPr>
            <w:tcW w:w="473" w:type="pct"/>
            <w:shd w:val="clear" w:color="auto" w:fill="auto"/>
            <w:noWrap/>
            <w:vAlign w:val="center"/>
            <w:hideMark/>
          </w:tcPr>
          <w:p w14:paraId="2E2BD7D1" w14:textId="77777777" w:rsidR="004201F1" w:rsidRPr="00D12904" w:rsidRDefault="004201F1" w:rsidP="00DA33C9">
            <w:pPr>
              <w:pStyle w:val="Tabletext"/>
              <w:keepNext/>
              <w:keepLines/>
              <w:jc w:val="center"/>
            </w:pPr>
            <w:r w:rsidRPr="00D12904">
              <w:t>5</w:t>
            </w:r>
          </w:p>
        </w:tc>
        <w:tc>
          <w:tcPr>
            <w:tcW w:w="550" w:type="pct"/>
            <w:shd w:val="clear" w:color="auto" w:fill="auto"/>
            <w:vAlign w:val="center"/>
          </w:tcPr>
          <w:p w14:paraId="630340B2" w14:textId="45BC13B0" w:rsidR="004201F1" w:rsidRPr="00D12904" w:rsidRDefault="004201F1" w:rsidP="00DA33C9">
            <w:pPr>
              <w:pStyle w:val="Tabletext"/>
              <w:keepNext/>
              <w:keepLines/>
              <w:jc w:val="center"/>
            </w:pPr>
            <w:r w:rsidRPr="00D12904">
              <w:t>$</w:t>
            </w:r>
            <w:r w:rsidR="0066157F" w:rsidRPr="0066157F">
              <w:rPr>
                <w:rFonts w:hint="eastAsia"/>
                <w:color w:val="000000"/>
                <w:w w:val="31"/>
                <w:shd w:val="solid" w:color="000000" w:fill="000000"/>
                <w:fitText w:val="140" w:id="-894208757"/>
                <w14:textFill>
                  <w14:solidFill>
                    <w14:srgbClr w14:val="000000">
                      <w14:alpha w14:val="100000"/>
                    </w14:srgbClr>
                  </w14:solidFill>
                </w14:textFill>
              </w:rPr>
              <w:t xml:space="preserve">　</w:t>
            </w:r>
            <w:r w:rsidR="0066157F" w:rsidRPr="0066157F">
              <w:rPr>
                <w:color w:val="000000"/>
                <w:w w:val="31"/>
                <w:shd w:val="solid" w:color="000000" w:fill="000000"/>
                <w:fitText w:val="140" w:id="-894208757"/>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57"/>
                <w14:textFill>
                  <w14:solidFill>
                    <w14:srgbClr w14:val="000000">
                      <w14:alpha w14:val="100000"/>
                    </w14:srgbClr>
                  </w14:solidFill>
                </w14:textFill>
              </w:rPr>
              <w:t xml:space="preserve">　</w:t>
            </w:r>
          </w:p>
        </w:tc>
        <w:tc>
          <w:tcPr>
            <w:tcW w:w="630" w:type="pct"/>
            <w:shd w:val="clear" w:color="auto" w:fill="auto"/>
            <w:vAlign w:val="center"/>
          </w:tcPr>
          <w:p w14:paraId="0ED5C95B" w14:textId="45839595" w:rsidR="004201F1" w:rsidRPr="00D12904" w:rsidRDefault="004201F1" w:rsidP="00DA33C9">
            <w:pPr>
              <w:pStyle w:val="Tabletext"/>
              <w:keepNext/>
              <w:keepLines/>
              <w:jc w:val="center"/>
            </w:pPr>
            <w:r w:rsidRPr="00D12904">
              <w:t>$</w:t>
            </w:r>
            <w:r w:rsidR="0066157F" w:rsidRPr="0066157F">
              <w:rPr>
                <w:rFonts w:hint="eastAsia"/>
                <w:color w:val="000000"/>
                <w:w w:val="18"/>
                <w:shd w:val="solid" w:color="000000" w:fill="000000"/>
                <w:fitText w:val="80" w:id="-894208756"/>
                <w14:textFill>
                  <w14:solidFill>
                    <w14:srgbClr w14:val="000000">
                      <w14:alpha w14:val="100000"/>
                    </w14:srgbClr>
                  </w14:solidFill>
                </w14:textFill>
              </w:rPr>
              <w:t xml:space="preserve">　</w:t>
            </w:r>
            <w:r w:rsidR="0066157F" w:rsidRPr="0066157F">
              <w:rPr>
                <w:color w:val="000000"/>
                <w:w w:val="18"/>
                <w:shd w:val="solid" w:color="000000" w:fill="000000"/>
                <w:fitText w:val="80" w:id="-894208756"/>
                <w14:textFill>
                  <w14:solidFill>
                    <w14:srgbClr w14:val="000000">
                      <w14:alpha w14:val="100000"/>
                    </w14:srgbClr>
                  </w14:solidFill>
                </w14:textFill>
              </w:rPr>
              <w:t>|</w:t>
            </w:r>
            <w:r w:rsidR="0066157F" w:rsidRPr="0066157F">
              <w:rPr>
                <w:rFonts w:hint="eastAsia"/>
                <w:color w:val="000000"/>
                <w:w w:val="18"/>
                <w:shd w:val="solid" w:color="000000" w:fill="000000"/>
                <w:fitText w:val="80" w:id="-894208756"/>
                <w14:textFill>
                  <w14:solidFill>
                    <w14:srgbClr w14:val="000000">
                      <w14:alpha w14:val="100000"/>
                    </w14:srgbClr>
                  </w14:solidFill>
                </w14:textFill>
              </w:rPr>
              <w:t xml:space="preserve">　</w:t>
            </w:r>
          </w:p>
        </w:tc>
        <w:tc>
          <w:tcPr>
            <w:tcW w:w="629" w:type="pct"/>
            <w:shd w:val="clear" w:color="auto" w:fill="auto"/>
            <w:noWrap/>
            <w:vAlign w:val="center"/>
          </w:tcPr>
          <w:p w14:paraId="3A9A4F9F" w14:textId="151CA40E" w:rsidR="004201F1" w:rsidRPr="00D12904" w:rsidRDefault="004201F1" w:rsidP="00DA33C9">
            <w:pPr>
              <w:pStyle w:val="Tabletext"/>
              <w:keepNext/>
              <w:keepLines/>
              <w:jc w:val="center"/>
            </w:pPr>
            <w:r w:rsidRPr="00D12904">
              <w:t>$</w:t>
            </w:r>
            <w:r w:rsidR="0066157F" w:rsidRPr="0066157F">
              <w:rPr>
                <w:rFonts w:hint="eastAsia"/>
                <w:color w:val="000000"/>
                <w:w w:val="15"/>
                <w:shd w:val="solid" w:color="000000" w:fill="000000"/>
                <w:fitText w:val="70" w:id="-894208755"/>
                <w14:textFill>
                  <w14:solidFill>
                    <w14:srgbClr w14:val="000000">
                      <w14:alpha w14:val="100000"/>
                    </w14:srgbClr>
                  </w14:solidFill>
                </w14:textFill>
              </w:rPr>
              <w:t xml:space="preserve">　</w:t>
            </w:r>
            <w:r w:rsidR="0066157F" w:rsidRPr="0066157F">
              <w:rPr>
                <w:color w:val="000000"/>
                <w:w w:val="15"/>
                <w:shd w:val="solid" w:color="000000" w:fill="000000"/>
                <w:fitText w:val="70" w:id="-894208755"/>
                <w14:textFill>
                  <w14:solidFill>
                    <w14:srgbClr w14:val="000000">
                      <w14:alpha w14:val="100000"/>
                    </w14:srgbClr>
                  </w14:solidFill>
                </w14:textFill>
              </w:rPr>
              <w:t>|</w:t>
            </w:r>
            <w:r w:rsidR="0066157F" w:rsidRPr="0066157F">
              <w:rPr>
                <w:rFonts w:hint="eastAsia"/>
                <w:color w:val="000000"/>
                <w:spacing w:val="4"/>
                <w:w w:val="15"/>
                <w:shd w:val="solid" w:color="000000" w:fill="000000"/>
                <w:fitText w:val="70" w:id="-894208755"/>
                <w14:textFill>
                  <w14:solidFill>
                    <w14:srgbClr w14:val="000000">
                      <w14:alpha w14:val="100000"/>
                    </w14:srgbClr>
                  </w14:solidFill>
                </w14:textFill>
              </w:rPr>
              <w:t xml:space="preserve">　</w:t>
            </w:r>
          </w:p>
        </w:tc>
        <w:tc>
          <w:tcPr>
            <w:tcW w:w="674" w:type="pct"/>
            <w:shd w:val="clear" w:color="auto" w:fill="auto"/>
            <w:noWrap/>
            <w:vAlign w:val="center"/>
          </w:tcPr>
          <w:p w14:paraId="4CED5D01" w14:textId="5E80B3AE" w:rsidR="004201F1" w:rsidRPr="00D12904" w:rsidRDefault="004201F1" w:rsidP="00DA33C9">
            <w:pPr>
              <w:pStyle w:val="Tabletext"/>
              <w:keepNext/>
              <w:keepLines/>
              <w:jc w:val="center"/>
            </w:pPr>
            <w:r w:rsidRPr="00D12904">
              <w:t>$</w:t>
            </w:r>
            <w:r w:rsidR="0066157F" w:rsidRPr="0066157F">
              <w:rPr>
                <w:rFonts w:hint="eastAsia"/>
                <w:color w:val="000000"/>
                <w:w w:val="15"/>
                <w:shd w:val="solid" w:color="000000" w:fill="000000"/>
                <w:fitText w:val="30" w:id="-894208754"/>
                <w14:textFill>
                  <w14:solidFill>
                    <w14:srgbClr w14:val="000000">
                      <w14:alpha w14:val="100000"/>
                    </w14:srgbClr>
                  </w14:solidFill>
                </w14:textFill>
              </w:rPr>
              <w:t xml:space="preserve">　</w:t>
            </w:r>
            <w:r w:rsidR="0066157F" w:rsidRPr="0066157F">
              <w:rPr>
                <w:color w:val="000000"/>
                <w:w w:val="15"/>
                <w:shd w:val="solid" w:color="000000" w:fill="000000"/>
                <w:fitText w:val="30" w:id="-894208754"/>
                <w14:textFill>
                  <w14:solidFill>
                    <w14:srgbClr w14:val="000000">
                      <w14:alpha w14:val="100000"/>
                    </w14:srgbClr>
                  </w14:solidFill>
                </w14:textFill>
              </w:rPr>
              <w:t>|</w:t>
            </w:r>
            <w:r w:rsidR="0066157F" w:rsidRPr="0066157F">
              <w:rPr>
                <w:rFonts w:hint="eastAsia"/>
                <w:color w:val="000000"/>
                <w:spacing w:val="-35"/>
                <w:w w:val="15"/>
                <w:shd w:val="solid" w:color="000000" w:fill="000000"/>
                <w:fitText w:val="30" w:id="-894208754"/>
                <w14:textFill>
                  <w14:solidFill>
                    <w14:srgbClr w14:val="000000">
                      <w14:alpha w14:val="100000"/>
                    </w14:srgbClr>
                  </w14:solidFill>
                </w14:textFill>
              </w:rPr>
              <w:t xml:space="preserve">　</w:t>
            </w:r>
          </w:p>
        </w:tc>
      </w:tr>
      <w:tr w:rsidR="004201F1" w:rsidRPr="00D12904" w14:paraId="112CE9B4" w14:textId="77777777" w:rsidTr="00EA7518">
        <w:trPr>
          <w:trHeight w:val="20"/>
        </w:trPr>
        <w:tc>
          <w:tcPr>
            <w:tcW w:w="705" w:type="pct"/>
            <w:shd w:val="clear" w:color="auto" w:fill="auto"/>
            <w:noWrap/>
            <w:vAlign w:val="center"/>
            <w:hideMark/>
          </w:tcPr>
          <w:p w14:paraId="64393D09" w14:textId="77777777" w:rsidR="004201F1" w:rsidRPr="00D12904" w:rsidRDefault="004201F1" w:rsidP="00DA33C9">
            <w:pPr>
              <w:pStyle w:val="Tabletext"/>
              <w:keepNext/>
              <w:keepLines/>
            </w:pPr>
            <w:r w:rsidRPr="00D12904">
              <w:t xml:space="preserve">≥ 55.5 </w:t>
            </w:r>
          </w:p>
        </w:tc>
        <w:tc>
          <w:tcPr>
            <w:tcW w:w="434" w:type="pct"/>
            <w:shd w:val="clear" w:color="auto" w:fill="auto"/>
            <w:noWrap/>
            <w:vAlign w:val="center"/>
            <w:hideMark/>
          </w:tcPr>
          <w:p w14:paraId="02E764E1" w14:textId="77777777" w:rsidR="004201F1" w:rsidRPr="00D12904" w:rsidRDefault="004201F1" w:rsidP="00DA33C9">
            <w:pPr>
              <w:pStyle w:val="Tabletext"/>
              <w:keepNext/>
              <w:keepLines/>
              <w:jc w:val="center"/>
            </w:pPr>
            <w:r w:rsidRPr="00D12904">
              <w:t>2400</w:t>
            </w:r>
          </w:p>
        </w:tc>
        <w:tc>
          <w:tcPr>
            <w:tcW w:w="434" w:type="pct"/>
            <w:shd w:val="clear" w:color="auto" w:fill="auto"/>
            <w:noWrap/>
            <w:vAlign w:val="center"/>
            <w:hideMark/>
          </w:tcPr>
          <w:p w14:paraId="0215C0B7" w14:textId="77777777" w:rsidR="004201F1" w:rsidRPr="00D12904" w:rsidRDefault="004201F1" w:rsidP="00DA33C9">
            <w:pPr>
              <w:pStyle w:val="Tabletext"/>
              <w:keepNext/>
              <w:keepLines/>
              <w:jc w:val="center"/>
            </w:pPr>
            <w:r w:rsidRPr="00D12904">
              <w:t>7200</w:t>
            </w:r>
          </w:p>
        </w:tc>
        <w:tc>
          <w:tcPr>
            <w:tcW w:w="472" w:type="pct"/>
            <w:shd w:val="clear" w:color="auto" w:fill="auto"/>
            <w:noWrap/>
            <w:hideMark/>
          </w:tcPr>
          <w:p w14:paraId="178EF012" w14:textId="77777777" w:rsidR="004201F1" w:rsidRPr="00D12904" w:rsidRDefault="004201F1" w:rsidP="00DA33C9">
            <w:pPr>
              <w:pStyle w:val="Tabletext"/>
              <w:keepNext/>
              <w:keepLines/>
              <w:jc w:val="center"/>
            </w:pPr>
            <w:r w:rsidRPr="00D12904">
              <w:t>-</w:t>
            </w:r>
          </w:p>
        </w:tc>
        <w:tc>
          <w:tcPr>
            <w:tcW w:w="473" w:type="pct"/>
            <w:shd w:val="clear" w:color="auto" w:fill="auto"/>
            <w:noWrap/>
            <w:vAlign w:val="center"/>
            <w:hideMark/>
          </w:tcPr>
          <w:p w14:paraId="619CA6DE" w14:textId="77777777" w:rsidR="004201F1" w:rsidRPr="00D12904" w:rsidRDefault="004201F1" w:rsidP="00DA33C9">
            <w:pPr>
              <w:pStyle w:val="Tabletext"/>
              <w:keepNext/>
              <w:keepLines/>
              <w:jc w:val="center"/>
            </w:pPr>
            <w:r w:rsidRPr="00D12904">
              <w:t>6</w:t>
            </w:r>
          </w:p>
        </w:tc>
        <w:tc>
          <w:tcPr>
            <w:tcW w:w="550" w:type="pct"/>
            <w:shd w:val="clear" w:color="auto" w:fill="auto"/>
            <w:vAlign w:val="center"/>
          </w:tcPr>
          <w:p w14:paraId="51BA7E0A" w14:textId="4CA35807" w:rsidR="004201F1" w:rsidRPr="00D12904" w:rsidRDefault="004201F1" w:rsidP="00DA33C9">
            <w:pPr>
              <w:pStyle w:val="Tabletext"/>
              <w:keepNext/>
              <w:keepLines/>
              <w:jc w:val="center"/>
            </w:pPr>
            <w:r w:rsidRPr="00D12904">
              <w:t>$</w:t>
            </w:r>
            <w:r w:rsidR="0066157F" w:rsidRPr="0066157F">
              <w:rPr>
                <w:rFonts w:hint="eastAsia"/>
                <w:color w:val="000000"/>
                <w:w w:val="31"/>
                <w:shd w:val="solid" w:color="000000" w:fill="000000"/>
                <w:fitText w:val="140" w:id="-894208753"/>
                <w14:textFill>
                  <w14:solidFill>
                    <w14:srgbClr w14:val="000000">
                      <w14:alpha w14:val="100000"/>
                    </w14:srgbClr>
                  </w14:solidFill>
                </w14:textFill>
              </w:rPr>
              <w:t xml:space="preserve">　</w:t>
            </w:r>
            <w:r w:rsidR="0066157F" w:rsidRPr="0066157F">
              <w:rPr>
                <w:color w:val="000000"/>
                <w:w w:val="31"/>
                <w:shd w:val="solid" w:color="000000" w:fill="000000"/>
                <w:fitText w:val="140" w:id="-894208753"/>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53"/>
                <w14:textFill>
                  <w14:solidFill>
                    <w14:srgbClr w14:val="000000">
                      <w14:alpha w14:val="100000"/>
                    </w14:srgbClr>
                  </w14:solidFill>
                </w14:textFill>
              </w:rPr>
              <w:t xml:space="preserve">　</w:t>
            </w:r>
          </w:p>
        </w:tc>
        <w:tc>
          <w:tcPr>
            <w:tcW w:w="630" w:type="pct"/>
            <w:shd w:val="clear" w:color="auto" w:fill="auto"/>
            <w:vAlign w:val="center"/>
          </w:tcPr>
          <w:p w14:paraId="7A8222C4" w14:textId="1EB0086F" w:rsidR="004201F1" w:rsidRPr="00D12904" w:rsidRDefault="004201F1" w:rsidP="00DA33C9">
            <w:pPr>
              <w:pStyle w:val="Tabletext"/>
              <w:keepNext/>
              <w:keepLines/>
              <w:jc w:val="center"/>
            </w:pPr>
            <w:r w:rsidRPr="00D12904">
              <w:t>$</w:t>
            </w:r>
            <w:r w:rsidR="0066157F" w:rsidRPr="0066157F">
              <w:rPr>
                <w:rFonts w:hint="eastAsia"/>
                <w:color w:val="000000"/>
                <w:w w:val="18"/>
                <w:shd w:val="solid" w:color="000000" w:fill="000000"/>
                <w:fitText w:val="80" w:id="-894208752"/>
                <w14:textFill>
                  <w14:solidFill>
                    <w14:srgbClr w14:val="000000">
                      <w14:alpha w14:val="100000"/>
                    </w14:srgbClr>
                  </w14:solidFill>
                </w14:textFill>
              </w:rPr>
              <w:t xml:space="preserve">　</w:t>
            </w:r>
            <w:r w:rsidR="0066157F" w:rsidRPr="0066157F">
              <w:rPr>
                <w:color w:val="000000"/>
                <w:w w:val="18"/>
                <w:shd w:val="solid" w:color="000000" w:fill="000000"/>
                <w:fitText w:val="80" w:id="-894208752"/>
                <w14:textFill>
                  <w14:solidFill>
                    <w14:srgbClr w14:val="000000">
                      <w14:alpha w14:val="100000"/>
                    </w14:srgbClr>
                  </w14:solidFill>
                </w14:textFill>
              </w:rPr>
              <w:t>|</w:t>
            </w:r>
            <w:r w:rsidR="0066157F" w:rsidRPr="0066157F">
              <w:rPr>
                <w:rFonts w:hint="eastAsia"/>
                <w:color w:val="000000"/>
                <w:w w:val="18"/>
                <w:shd w:val="solid" w:color="000000" w:fill="000000"/>
                <w:fitText w:val="80" w:id="-894208752"/>
                <w14:textFill>
                  <w14:solidFill>
                    <w14:srgbClr w14:val="000000">
                      <w14:alpha w14:val="100000"/>
                    </w14:srgbClr>
                  </w14:solidFill>
                </w14:textFill>
              </w:rPr>
              <w:t xml:space="preserve">　</w:t>
            </w:r>
          </w:p>
        </w:tc>
        <w:tc>
          <w:tcPr>
            <w:tcW w:w="629" w:type="pct"/>
            <w:shd w:val="clear" w:color="auto" w:fill="auto"/>
            <w:noWrap/>
            <w:vAlign w:val="center"/>
          </w:tcPr>
          <w:p w14:paraId="6D7CB0F0" w14:textId="7536068A" w:rsidR="004201F1" w:rsidRPr="00D12904" w:rsidRDefault="004201F1" w:rsidP="00DA33C9">
            <w:pPr>
              <w:pStyle w:val="Tabletext"/>
              <w:keepNext/>
              <w:keepLines/>
              <w:jc w:val="center"/>
            </w:pPr>
            <w:r w:rsidRPr="00D12904">
              <w:t>$</w:t>
            </w:r>
            <w:r w:rsidR="0066157F" w:rsidRPr="0066157F">
              <w:rPr>
                <w:rFonts w:hint="eastAsia"/>
                <w:color w:val="000000"/>
                <w:w w:val="15"/>
                <w:shd w:val="solid" w:color="000000" w:fill="000000"/>
                <w:fitText w:val="70" w:id="-894208768"/>
                <w14:textFill>
                  <w14:solidFill>
                    <w14:srgbClr w14:val="000000">
                      <w14:alpha w14:val="100000"/>
                    </w14:srgbClr>
                  </w14:solidFill>
                </w14:textFill>
              </w:rPr>
              <w:t xml:space="preserve">　</w:t>
            </w:r>
            <w:r w:rsidR="0066157F" w:rsidRPr="0066157F">
              <w:rPr>
                <w:color w:val="000000"/>
                <w:w w:val="15"/>
                <w:shd w:val="solid" w:color="000000" w:fill="000000"/>
                <w:fitText w:val="70" w:id="-894208768"/>
                <w14:textFill>
                  <w14:solidFill>
                    <w14:srgbClr w14:val="000000">
                      <w14:alpha w14:val="100000"/>
                    </w14:srgbClr>
                  </w14:solidFill>
                </w14:textFill>
              </w:rPr>
              <w:t>|</w:t>
            </w:r>
            <w:r w:rsidR="0066157F" w:rsidRPr="0066157F">
              <w:rPr>
                <w:rFonts w:hint="eastAsia"/>
                <w:color w:val="000000"/>
                <w:spacing w:val="4"/>
                <w:w w:val="15"/>
                <w:shd w:val="solid" w:color="000000" w:fill="000000"/>
                <w:fitText w:val="70" w:id="-894208768"/>
                <w14:textFill>
                  <w14:solidFill>
                    <w14:srgbClr w14:val="000000">
                      <w14:alpha w14:val="100000"/>
                    </w14:srgbClr>
                  </w14:solidFill>
                </w14:textFill>
              </w:rPr>
              <w:t xml:space="preserve">　</w:t>
            </w:r>
          </w:p>
        </w:tc>
        <w:tc>
          <w:tcPr>
            <w:tcW w:w="674" w:type="pct"/>
            <w:shd w:val="clear" w:color="auto" w:fill="auto"/>
            <w:noWrap/>
            <w:vAlign w:val="center"/>
          </w:tcPr>
          <w:p w14:paraId="639CCB37" w14:textId="4DDA5F46" w:rsidR="004201F1" w:rsidRPr="00D12904" w:rsidRDefault="004201F1" w:rsidP="00DA33C9">
            <w:pPr>
              <w:pStyle w:val="Tabletext"/>
              <w:keepNext/>
              <w:keepLines/>
              <w:jc w:val="center"/>
            </w:pPr>
            <w:r w:rsidRPr="00D12904">
              <w:t>$</w:t>
            </w:r>
            <w:r w:rsidR="0066157F" w:rsidRPr="0066157F">
              <w:rPr>
                <w:rFonts w:hint="eastAsia"/>
                <w:color w:val="000000"/>
                <w:w w:val="15"/>
                <w:shd w:val="solid" w:color="000000" w:fill="000000"/>
                <w:fitText w:val="30" w:id="-894208767"/>
                <w14:textFill>
                  <w14:solidFill>
                    <w14:srgbClr w14:val="000000">
                      <w14:alpha w14:val="100000"/>
                    </w14:srgbClr>
                  </w14:solidFill>
                </w14:textFill>
              </w:rPr>
              <w:t xml:space="preserve">　</w:t>
            </w:r>
            <w:r w:rsidR="0066157F" w:rsidRPr="0066157F">
              <w:rPr>
                <w:color w:val="000000"/>
                <w:w w:val="15"/>
                <w:shd w:val="solid" w:color="000000" w:fill="000000"/>
                <w:fitText w:val="30" w:id="-894208767"/>
                <w14:textFill>
                  <w14:solidFill>
                    <w14:srgbClr w14:val="000000">
                      <w14:alpha w14:val="100000"/>
                    </w14:srgbClr>
                  </w14:solidFill>
                </w14:textFill>
              </w:rPr>
              <w:t>|</w:t>
            </w:r>
            <w:r w:rsidR="0066157F" w:rsidRPr="0066157F">
              <w:rPr>
                <w:rFonts w:hint="eastAsia"/>
                <w:color w:val="000000"/>
                <w:spacing w:val="-35"/>
                <w:w w:val="15"/>
                <w:shd w:val="solid" w:color="000000" w:fill="000000"/>
                <w:fitText w:val="30" w:id="-894208767"/>
                <w14:textFill>
                  <w14:solidFill>
                    <w14:srgbClr w14:val="000000">
                      <w14:alpha w14:val="100000"/>
                    </w14:srgbClr>
                  </w14:solidFill>
                </w14:textFill>
              </w:rPr>
              <w:t xml:space="preserve">　</w:t>
            </w:r>
          </w:p>
        </w:tc>
      </w:tr>
    </w:tbl>
    <w:p w14:paraId="3A06490A" w14:textId="28361540" w:rsidR="004201F1" w:rsidRPr="00D12904" w:rsidRDefault="004201F1" w:rsidP="00FD4253">
      <w:pPr>
        <w:pStyle w:val="TableFigureFooter"/>
        <w:contextualSpacing w:val="0"/>
      </w:pPr>
      <w:r w:rsidRPr="00D12904">
        <w:t>Source: Table 3-41, p161 of the submission</w:t>
      </w:r>
    </w:p>
    <w:p w14:paraId="627C9D0E" w14:textId="72A4AD87" w:rsidR="002413C3" w:rsidRPr="00D12904" w:rsidRDefault="002413C3" w:rsidP="00D20FDE">
      <w:pPr>
        <w:pStyle w:val="3-BodyText"/>
      </w:pPr>
      <w:bookmarkStart w:id="91" w:name="_Ref164743437"/>
      <w:r w:rsidRPr="00D12904">
        <w:t xml:space="preserve">The submission informed </w:t>
      </w:r>
      <w:r w:rsidR="008E3130" w:rsidRPr="00D12904">
        <w:t xml:space="preserve">the </w:t>
      </w:r>
      <w:r w:rsidRPr="00D12904">
        <w:t xml:space="preserve">patient weight-for-age </w:t>
      </w:r>
      <w:r w:rsidR="00482DCC" w:rsidRPr="00D12904">
        <w:t xml:space="preserve">in the model </w:t>
      </w:r>
      <w:r w:rsidRPr="00D12904">
        <w:t xml:space="preserve">using the Centre for Disease Control and Prevention growth charts (2022) </w:t>
      </w:r>
      <w:r w:rsidR="008226E5" w:rsidRPr="00D12904">
        <w:t xml:space="preserve">for patients </w:t>
      </w:r>
      <w:r w:rsidRPr="00D12904">
        <w:t>up to 18 years old</w:t>
      </w:r>
      <w:r w:rsidR="007A66AC" w:rsidRPr="00D12904">
        <w:t xml:space="preserve"> and </w:t>
      </w:r>
      <w:r w:rsidRPr="00D12904">
        <w:t xml:space="preserve">Australian </w:t>
      </w:r>
      <w:r w:rsidR="00CA6436" w:rsidRPr="00D12904">
        <w:t>B</w:t>
      </w:r>
      <w:r w:rsidRPr="00D12904">
        <w:t xml:space="preserve">ureau of Statistics (2017-18) data for patients aged 18 and older. </w:t>
      </w:r>
      <w:r w:rsidR="008E3130" w:rsidRPr="00D12904">
        <w:t xml:space="preserve">The model assumed that </w:t>
      </w:r>
      <w:r w:rsidR="008E3130" w:rsidRPr="00D12904">
        <w:rPr>
          <w:rFonts w:cstheme="minorHAnsi"/>
        </w:rPr>
        <w:t>patients were in the 25</w:t>
      </w:r>
      <w:r w:rsidR="008E3130" w:rsidRPr="00D12904">
        <w:rPr>
          <w:rFonts w:cstheme="minorHAnsi"/>
          <w:vertAlign w:val="superscript"/>
        </w:rPr>
        <w:t>th</w:t>
      </w:r>
      <w:r w:rsidR="008E3130" w:rsidRPr="00D12904">
        <w:rPr>
          <w:rFonts w:cstheme="minorHAnsi"/>
        </w:rPr>
        <w:t xml:space="preserve"> percentile of weight in the year they initiate treatment, then in the 33</w:t>
      </w:r>
      <w:r w:rsidR="008E3130" w:rsidRPr="00D12904">
        <w:rPr>
          <w:rFonts w:cstheme="minorHAnsi"/>
          <w:vertAlign w:val="superscript"/>
        </w:rPr>
        <w:t>rd</w:t>
      </w:r>
      <w:r w:rsidR="008E3130" w:rsidRPr="00D12904">
        <w:rPr>
          <w:rFonts w:cstheme="minorHAnsi"/>
        </w:rPr>
        <w:t xml:space="preserve"> percentile in the second year, and then the 50</w:t>
      </w:r>
      <w:r w:rsidR="008E3130" w:rsidRPr="00D12904">
        <w:rPr>
          <w:rFonts w:cstheme="minorHAnsi"/>
          <w:vertAlign w:val="superscript"/>
        </w:rPr>
        <w:t>th</w:t>
      </w:r>
      <w:r w:rsidR="008E3130" w:rsidRPr="00D12904">
        <w:rPr>
          <w:rFonts w:cstheme="minorHAnsi"/>
        </w:rPr>
        <w:t xml:space="preserve"> percentile each year thereafter. The submission calculated the weighted average weight of males and females</w:t>
      </w:r>
      <w:r w:rsidR="00167EC2" w:rsidRPr="00D12904">
        <w:rPr>
          <w:rFonts w:cstheme="minorHAnsi"/>
        </w:rPr>
        <w:t xml:space="preserve"> (assuming 50% female)</w:t>
      </w:r>
      <w:r w:rsidR="008E3130" w:rsidRPr="00D12904">
        <w:rPr>
          <w:rFonts w:cstheme="minorHAnsi"/>
        </w:rPr>
        <w:t xml:space="preserve">. </w:t>
      </w:r>
      <w:r w:rsidRPr="00D12904">
        <w:t xml:space="preserve">The resulting </w:t>
      </w:r>
      <w:r w:rsidR="008E3130" w:rsidRPr="00D12904">
        <w:t xml:space="preserve">annual </w:t>
      </w:r>
      <w:r w:rsidRPr="00D12904">
        <w:t xml:space="preserve">costs used in the model are shown in </w:t>
      </w:r>
      <w:r w:rsidR="007A66AC" w:rsidRPr="00D12904">
        <w:fldChar w:fldCharType="begin"/>
      </w:r>
      <w:r w:rsidR="007A66AC" w:rsidRPr="00D12904">
        <w:instrText xml:space="preserve"> REF _Ref166748614 \h  \* MERGEFORMAT </w:instrText>
      </w:r>
      <w:r w:rsidR="007A66AC" w:rsidRPr="00D12904">
        <w:fldChar w:fldCharType="separate"/>
      </w:r>
      <w:r w:rsidR="008B4717" w:rsidRPr="00D12904">
        <w:t xml:space="preserve">Table </w:t>
      </w:r>
      <w:r w:rsidR="008B4717">
        <w:rPr>
          <w:noProof/>
        </w:rPr>
        <w:t>15</w:t>
      </w:r>
      <w:r w:rsidR="007A66AC" w:rsidRPr="00D12904">
        <w:fldChar w:fldCharType="end"/>
      </w:r>
      <w:r w:rsidRPr="00D12904">
        <w:t>.</w:t>
      </w:r>
      <w:r w:rsidR="00517DC0" w:rsidRPr="00D12904">
        <w:t xml:space="preserve"> </w:t>
      </w:r>
      <w:r w:rsidR="00D20FDE" w:rsidRPr="00D20FDE">
        <w:t>The PBAC noted the average cost of odevixibat per patient per year was high and varied considerably from approximately $</w:t>
      </w:r>
      <w:r w:rsidR="0066157F" w:rsidRPr="008B4717">
        <w:rPr>
          <w:color w:val="000000"/>
          <w:w w:val="15"/>
          <w:shd w:val="solid" w:color="000000" w:fill="000000"/>
          <w:fitText w:val="-20" w:id="-894208766"/>
          <w14:textFill>
            <w14:solidFill>
              <w14:srgbClr w14:val="000000">
                <w14:alpha w14:val="100000"/>
              </w14:srgbClr>
            </w14:solidFill>
          </w14:textFill>
        </w:rPr>
        <w:t xml:space="preserve">|  </w:t>
      </w:r>
      <w:r w:rsidR="0066157F" w:rsidRPr="008B4717">
        <w:rPr>
          <w:color w:val="000000"/>
          <w:spacing w:val="-69"/>
          <w:w w:val="15"/>
          <w:shd w:val="solid" w:color="000000" w:fill="000000"/>
          <w:fitText w:val="-20" w:id="-894208766"/>
          <w14:textFill>
            <w14:solidFill>
              <w14:srgbClr w14:val="000000">
                <w14:alpha w14:val="100000"/>
              </w14:srgbClr>
            </w14:solidFill>
          </w14:textFill>
        </w:rPr>
        <w:t>|</w:t>
      </w:r>
      <w:r w:rsidR="00D20FDE" w:rsidRPr="00D20FDE">
        <w:t xml:space="preserve"> to $</w:t>
      </w:r>
      <w:r w:rsidR="0066157F" w:rsidRPr="008B4717">
        <w:rPr>
          <w:color w:val="000000"/>
          <w:w w:val="15"/>
          <w:shd w:val="solid" w:color="000000" w:fill="000000"/>
          <w:fitText w:val="-20" w:id="-894208765"/>
          <w14:textFill>
            <w14:solidFill>
              <w14:srgbClr w14:val="000000">
                <w14:alpha w14:val="100000"/>
              </w14:srgbClr>
            </w14:solidFill>
          </w14:textFill>
        </w:rPr>
        <w:t xml:space="preserve">|  </w:t>
      </w:r>
      <w:r w:rsidR="0066157F" w:rsidRPr="008B4717">
        <w:rPr>
          <w:color w:val="000000"/>
          <w:spacing w:val="-69"/>
          <w:w w:val="15"/>
          <w:shd w:val="solid" w:color="000000" w:fill="000000"/>
          <w:fitText w:val="-20" w:id="-894208765"/>
          <w14:textFill>
            <w14:solidFill>
              <w14:srgbClr w14:val="000000">
                <w14:alpha w14:val="100000"/>
              </w14:srgbClr>
            </w14:solidFill>
          </w14:textFill>
        </w:rPr>
        <w:t>|</w:t>
      </w:r>
      <w:r w:rsidR="00D20FDE" w:rsidRPr="00D20FDE">
        <w:t xml:space="preserve">, depending on a patient’s weight and dose. </w:t>
      </w:r>
    </w:p>
    <w:p w14:paraId="38FA8CCD" w14:textId="1AE267A6" w:rsidR="007A66AC" w:rsidRPr="00D12904" w:rsidRDefault="007A66AC" w:rsidP="00FD4253">
      <w:pPr>
        <w:pStyle w:val="TableFigureHeading"/>
        <w:keepLines/>
      </w:pPr>
      <w:bookmarkStart w:id="92" w:name="_Ref166748614"/>
      <w:r w:rsidRPr="00D12904">
        <w:lastRenderedPageBreak/>
        <w:t xml:space="preserve">Table </w:t>
      </w:r>
      <w:r w:rsidR="00DF1200">
        <w:fldChar w:fldCharType="begin"/>
      </w:r>
      <w:r w:rsidR="00DF1200">
        <w:instrText xml:space="preserve"> SEQ Table \* ARABIC </w:instrText>
      </w:r>
      <w:r w:rsidR="00DF1200">
        <w:fldChar w:fldCharType="separate"/>
      </w:r>
      <w:r w:rsidR="008B4717">
        <w:rPr>
          <w:noProof/>
        </w:rPr>
        <w:t>15</w:t>
      </w:r>
      <w:r w:rsidR="00DF1200">
        <w:rPr>
          <w:noProof/>
        </w:rPr>
        <w:fldChar w:fldCharType="end"/>
      </w:r>
      <w:bookmarkEnd w:id="92"/>
      <w:r w:rsidRPr="00D12904">
        <w:t>: Mean weight by age and the corresponding annual cost of odevixibat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5: Mean weight by age and the corresponding annual cost of odevixibat"/>
      </w:tblPr>
      <w:tblGrid>
        <w:gridCol w:w="754"/>
        <w:gridCol w:w="1262"/>
        <w:gridCol w:w="1264"/>
        <w:gridCol w:w="1264"/>
        <w:gridCol w:w="1120"/>
        <w:gridCol w:w="1118"/>
        <w:gridCol w:w="1118"/>
        <w:gridCol w:w="1117"/>
      </w:tblGrid>
      <w:tr w:rsidR="008E3130" w:rsidRPr="00D12904" w14:paraId="45D0F620" w14:textId="77777777" w:rsidTr="008E3130">
        <w:trPr>
          <w:trHeight w:val="57"/>
        </w:trPr>
        <w:tc>
          <w:tcPr>
            <w:tcW w:w="390" w:type="pct"/>
            <w:vMerge w:val="restart"/>
            <w:vAlign w:val="center"/>
          </w:tcPr>
          <w:p w14:paraId="55D2815B" w14:textId="3F06E1FF" w:rsidR="008E3130" w:rsidRPr="00D12904" w:rsidRDefault="008E3130" w:rsidP="00FD4253">
            <w:pPr>
              <w:pStyle w:val="Tabletext"/>
              <w:keepNext/>
              <w:keepLines/>
              <w:jc w:val="center"/>
              <w:rPr>
                <w:b/>
                <w:bCs/>
              </w:rPr>
            </w:pPr>
            <w:r w:rsidRPr="00D12904">
              <w:rPr>
                <w:b/>
                <w:bCs/>
              </w:rPr>
              <w:t>Age</w:t>
            </w:r>
            <w:r w:rsidR="00E93B9E" w:rsidRPr="00D12904">
              <w:rPr>
                <w:b/>
                <w:bCs/>
              </w:rPr>
              <w:t xml:space="preserve"> (years)</w:t>
            </w:r>
          </w:p>
        </w:tc>
        <w:tc>
          <w:tcPr>
            <w:tcW w:w="2114" w:type="pct"/>
            <w:gridSpan w:val="3"/>
          </w:tcPr>
          <w:p w14:paraId="07B96909" w14:textId="77777777" w:rsidR="008E3130" w:rsidRPr="00D12904" w:rsidRDefault="008E3130" w:rsidP="00FD4253">
            <w:pPr>
              <w:pStyle w:val="Tabletext"/>
              <w:keepNext/>
              <w:keepLines/>
              <w:jc w:val="center"/>
              <w:rPr>
                <w:b/>
                <w:bCs/>
              </w:rPr>
            </w:pPr>
            <w:r w:rsidRPr="00D12904">
              <w:rPr>
                <w:b/>
                <w:bCs/>
              </w:rPr>
              <w:t>Weight</w:t>
            </w:r>
          </w:p>
        </w:tc>
        <w:tc>
          <w:tcPr>
            <w:tcW w:w="1873" w:type="pct"/>
            <w:gridSpan w:val="3"/>
          </w:tcPr>
          <w:p w14:paraId="6EFF441A" w14:textId="77777777" w:rsidR="008E3130" w:rsidRPr="00D12904" w:rsidRDefault="008E3130" w:rsidP="00FD4253">
            <w:pPr>
              <w:pStyle w:val="Tabletext"/>
              <w:keepNext/>
              <w:keepLines/>
              <w:jc w:val="center"/>
              <w:rPr>
                <w:b/>
                <w:bCs/>
              </w:rPr>
            </w:pPr>
            <w:r w:rsidRPr="00D12904">
              <w:rPr>
                <w:b/>
                <w:bCs/>
              </w:rPr>
              <w:t>Daily cost</w:t>
            </w:r>
          </w:p>
        </w:tc>
        <w:tc>
          <w:tcPr>
            <w:tcW w:w="623" w:type="pct"/>
            <w:vMerge w:val="restart"/>
          </w:tcPr>
          <w:p w14:paraId="51E47E5F" w14:textId="77777777" w:rsidR="008E3130" w:rsidRPr="00D12904" w:rsidRDefault="008E3130" w:rsidP="00FD4253">
            <w:pPr>
              <w:pStyle w:val="Tabletext"/>
              <w:keepNext/>
              <w:keepLines/>
              <w:jc w:val="center"/>
              <w:rPr>
                <w:b/>
                <w:bCs/>
              </w:rPr>
            </w:pPr>
            <w:r w:rsidRPr="00D12904">
              <w:rPr>
                <w:b/>
                <w:bCs/>
              </w:rPr>
              <w:t>Annual cost</w:t>
            </w:r>
          </w:p>
        </w:tc>
      </w:tr>
      <w:tr w:rsidR="008E3130" w:rsidRPr="00D12904" w14:paraId="37BCE052" w14:textId="77777777" w:rsidTr="00A56FC6">
        <w:trPr>
          <w:trHeight w:val="57"/>
        </w:trPr>
        <w:tc>
          <w:tcPr>
            <w:tcW w:w="390" w:type="pct"/>
            <w:vMerge/>
          </w:tcPr>
          <w:p w14:paraId="7C7F0DE0" w14:textId="77777777" w:rsidR="008E3130" w:rsidRPr="00D12904" w:rsidRDefault="008E3130" w:rsidP="00FD4253">
            <w:pPr>
              <w:pStyle w:val="Tabletext"/>
              <w:keepNext/>
              <w:keepLines/>
              <w:jc w:val="center"/>
              <w:rPr>
                <w:b/>
                <w:bCs/>
              </w:rPr>
            </w:pPr>
          </w:p>
        </w:tc>
        <w:tc>
          <w:tcPr>
            <w:tcW w:w="704" w:type="pct"/>
          </w:tcPr>
          <w:p w14:paraId="31444BED" w14:textId="77777777" w:rsidR="008E3130" w:rsidRPr="00D12904" w:rsidRDefault="008E3130" w:rsidP="00FD4253">
            <w:pPr>
              <w:pStyle w:val="Tabletext"/>
              <w:keepNext/>
              <w:keepLines/>
              <w:jc w:val="center"/>
              <w:rPr>
                <w:b/>
                <w:bCs/>
              </w:rPr>
            </w:pPr>
            <w:r w:rsidRPr="00D12904">
              <w:rPr>
                <w:b/>
                <w:bCs/>
              </w:rPr>
              <w:t>Male (kg)</w:t>
            </w:r>
          </w:p>
        </w:tc>
        <w:tc>
          <w:tcPr>
            <w:tcW w:w="705" w:type="pct"/>
          </w:tcPr>
          <w:p w14:paraId="24219F30" w14:textId="77777777" w:rsidR="008E3130" w:rsidRPr="00D12904" w:rsidRDefault="008E3130" w:rsidP="00FD4253">
            <w:pPr>
              <w:pStyle w:val="Tabletext"/>
              <w:keepNext/>
              <w:keepLines/>
              <w:jc w:val="center"/>
              <w:rPr>
                <w:b/>
                <w:bCs/>
              </w:rPr>
            </w:pPr>
            <w:r w:rsidRPr="00D12904">
              <w:rPr>
                <w:b/>
                <w:bCs/>
              </w:rPr>
              <w:t>Female (kg)</w:t>
            </w:r>
          </w:p>
        </w:tc>
        <w:tc>
          <w:tcPr>
            <w:tcW w:w="705" w:type="pct"/>
          </w:tcPr>
          <w:p w14:paraId="38E4B0FB" w14:textId="706F8183" w:rsidR="008E3130" w:rsidRPr="00D12904" w:rsidRDefault="008E3130" w:rsidP="00FD4253">
            <w:pPr>
              <w:pStyle w:val="Tabletext"/>
              <w:keepNext/>
              <w:keepLines/>
              <w:jc w:val="center"/>
              <w:rPr>
                <w:b/>
                <w:bCs/>
                <w:vertAlign w:val="superscript"/>
              </w:rPr>
            </w:pPr>
            <w:r w:rsidRPr="00D12904">
              <w:rPr>
                <w:b/>
                <w:bCs/>
              </w:rPr>
              <w:t>Average</w:t>
            </w:r>
            <w:r w:rsidR="0021777D" w:rsidRPr="00D12904">
              <w:rPr>
                <w:b/>
                <w:bCs/>
              </w:rPr>
              <w:t xml:space="preserve"> </w:t>
            </w:r>
            <w:r w:rsidR="0021777D" w:rsidRPr="00D12904">
              <w:rPr>
                <w:b/>
                <w:bCs/>
                <w:vertAlign w:val="superscript"/>
              </w:rPr>
              <w:t>a</w:t>
            </w:r>
          </w:p>
        </w:tc>
        <w:tc>
          <w:tcPr>
            <w:tcW w:w="625" w:type="pct"/>
          </w:tcPr>
          <w:p w14:paraId="38665E08" w14:textId="77777777" w:rsidR="008E3130" w:rsidRPr="00D12904" w:rsidRDefault="008E3130" w:rsidP="00FD4253">
            <w:pPr>
              <w:pStyle w:val="Tabletext"/>
              <w:keepNext/>
              <w:keepLines/>
              <w:jc w:val="center"/>
              <w:rPr>
                <w:b/>
                <w:bCs/>
              </w:rPr>
            </w:pPr>
            <w:r w:rsidRPr="00D12904">
              <w:rPr>
                <w:b/>
                <w:bCs/>
              </w:rPr>
              <w:t>Low dose</w:t>
            </w:r>
          </w:p>
        </w:tc>
        <w:tc>
          <w:tcPr>
            <w:tcW w:w="624" w:type="pct"/>
          </w:tcPr>
          <w:p w14:paraId="4A32325F" w14:textId="77777777" w:rsidR="008E3130" w:rsidRPr="00D12904" w:rsidRDefault="008E3130" w:rsidP="00FD4253">
            <w:pPr>
              <w:pStyle w:val="Tabletext"/>
              <w:keepNext/>
              <w:keepLines/>
              <w:jc w:val="center"/>
              <w:rPr>
                <w:b/>
                <w:bCs/>
              </w:rPr>
            </w:pPr>
            <w:r w:rsidRPr="00D12904">
              <w:rPr>
                <w:b/>
                <w:bCs/>
              </w:rPr>
              <w:t>High dose</w:t>
            </w:r>
          </w:p>
        </w:tc>
        <w:tc>
          <w:tcPr>
            <w:tcW w:w="624" w:type="pct"/>
          </w:tcPr>
          <w:p w14:paraId="02C33BB6" w14:textId="740FEA2F" w:rsidR="008E3130" w:rsidRPr="00D12904" w:rsidRDefault="008E3130" w:rsidP="00FD4253">
            <w:pPr>
              <w:pStyle w:val="Tabletext"/>
              <w:keepNext/>
              <w:keepLines/>
              <w:jc w:val="center"/>
              <w:rPr>
                <w:b/>
                <w:bCs/>
                <w:vertAlign w:val="superscript"/>
              </w:rPr>
            </w:pPr>
            <w:r w:rsidRPr="00D12904">
              <w:rPr>
                <w:b/>
                <w:bCs/>
              </w:rPr>
              <w:t xml:space="preserve">Average </w:t>
            </w:r>
            <w:r w:rsidR="0021777D" w:rsidRPr="00D12904">
              <w:rPr>
                <w:b/>
                <w:bCs/>
                <w:vertAlign w:val="superscript"/>
              </w:rPr>
              <w:t>b</w:t>
            </w:r>
          </w:p>
        </w:tc>
        <w:tc>
          <w:tcPr>
            <w:tcW w:w="623" w:type="pct"/>
            <w:vMerge/>
          </w:tcPr>
          <w:p w14:paraId="16D65663" w14:textId="77777777" w:rsidR="008E3130" w:rsidRPr="00D12904" w:rsidRDefault="008E3130" w:rsidP="00FD4253">
            <w:pPr>
              <w:pStyle w:val="Tabletext"/>
              <w:keepNext/>
              <w:keepLines/>
              <w:jc w:val="center"/>
              <w:rPr>
                <w:b/>
                <w:bCs/>
              </w:rPr>
            </w:pPr>
          </w:p>
        </w:tc>
      </w:tr>
      <w:tr w:rsidR="008E3130" w:rsidRPr="00D12904" w14:paraId="3EDDDBDD" w14:textId="77777777" w:rsidTr="00A56FC6">
        <w:trPr>
          <w:trHeight w:val="57"/>
        </w:trPr>
        <w:tc>
          <w:tcPr>
            <w:tcW w:w="390" w:type="pct"/>
          </w:tcPr>
          <w:p w14:paraId="63F677CA" w14:textId="77777777" w:rsidR="008E3130" w:rsidRPr="00D12904" w:rsidRDefault="008E3130" w:rsidP="00FD4253">
            <w:pPr>
              <w:pStyle w:val="Tabletext"/>
              <w:keepNext/>
              <w:keepLines/>
              <w:jc w:val="center"/>
            </w:pPr>
            <w:r w:rsidRPr="00D12904">
              <w:t>4</w:t>
            </w:r>
          </w:p>
        </w:tc>
        <w:tc>
          <w:tcPr>
            <w:tcW w:w="704" w:type="pct"/>
          </w:tcPr>
          <w:p w14:paraId="015E5D99" w14:textId="77777777" w:rsidR="008E3130" w:rsidRPr="00D12904" w:rsidRDefault="008E3130" w:rsidP="00FD4253">
            <w:pPr>
              <w:pStyle w:val="Tabletext"/>
              <w:keepNext/>
              <w:keepLines/>
              <w:jc w:val="center"/>
            </w:pPr>
            <w:r w:rsidRPr="00D12904">
              <w:t>15.02</w:t>
            </w:r>
          </w:p>
        </w:tc>
        <w:tc>
          <w:tcPr>
            <w:tcW w:w="705" w:type="pct"/>
          </w:tcPr>
          <w:p w14:paraId="1C396890" w14:textId="77777777" w:rsidR="008E3130" w:rsidRPr="00D12904" w:rsidRDefault="008E3130" w:rsidP="00FD4253">
            <w:pPr>
              <w:pStyle w:val="Tabletext"/>
              <w:keepNext/>
              <w:keepLines/>
              <w:jc w:val="center"/>
            </w:pPr>
            <w:r w:rsidRPr="00D12904">
              <w:t>14.52</w:t>
            </w:r>
          </w:p>
        </w:tc>
        <w:tc>
          <w:tcPr>
            <w:tcW w:w="705" w:type="pct"/>
          </w:tcPr>
          <w:p w14:paraId="616D15B5" w14:textId="77777777" w:rsidR="008E3130" w:rsidRPr="00D12904" w:rsidRDefault="008E3130" w:rsidP="00FD4253">
            <w:pPr>
              <w:pStyle w:val="Tabletext"/>
              <w:keepNext/>
              <w:keepLines/>
              <w:jc w:val="center"/>
            </w:pPr>
            <w:r w:rsidRPr="00D12904">
              <w:t>14.77</w:t>
            </w:r>
          </w:p>
        </w:tc>
        <w:tc>
          <w:tcPr>
            <w:tcW w:w="625" w:type="pct"/>
          </w:tcPr>
          <w:p w14:paraId="30E6AB57" w14:textId="4DB7FDA4"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764"/>
                <w14:textFill>
                  <w14:solidFill>
                    <w14:srgbClr w14:val="000000">
                      <w14:alpha w14:val="100000"/>
                    </w14:srgbClr>
                  </w14:solidFill>
                </w14:textFill>
              </w:rPr>
              <w:t xml:space="preserve">　</w:t>
            </w:r>
            <w:r w:rsidR="0066157F" w:rsidRPr="0066157F">
              <w:rPr>
                <w:color w:val="000000"/>
                <w:w w:val="31"/>
                <w:shd w:val="solid" w:color="000000" w:fill="000000"/>
                <w:fitText w:val="140" w:id="-894208764"/>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64"/>
                <w14:textFill>
                  <w14:solidFill>
                    <w14:srgbClr w14:val="000000">
                      <w14:alpha w14:val="100000"/>
                    </w14:srgbClr>
                  </w14:solidFill>
                </w14:textFill>
              </w:rPr>
              <w:t xml:space="preserve">　</w:t>
            </w:r>
          </w:p>
        </w:tc>
        <w:tc>
          <w:tcPr>
            <w:tcW w:w="624" w:type="pct"/>
          </w:tcPr>
          <w:p w14:paraId="1C47FE07" w14:textId="2C896090"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763"/>
                <w14:textFill>
                  <w14:solidFill>
                    <w14:srgbClr w14:val="000000">
                      <w14:alpha w14:val="100000"/>
                    </w14:srgbClr>
                  </w14:solidFill>
                </w14:textFill>
              </w:rPr>
              <w:t xml:space="preserve">　</w:t>
            </w:r>
            <w:r w:rsidR="0066157F" w:rsidRPr="0066157F">
              <w:rPr>
                <w:color w:val="000000"/>
                <w:w w:val="31"/>
                <w:shd w:val="solid" w:color="000000" w:fill="000000"/>
                <w:fitText w:val="140" w:id="-894208763"/>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63"/>
                <w14:textFill>
                  <w14:solidFill>
                    <w14:srgbClr w14:val="000000">
                      <w14:alpha w14:val="100000"/>
                    </w14:srgbClr>
                  </w14:solidFill>
                </w14:textFill>
              </w:rPr>
              <w:t xml:space="preserve">　</w:t>
            </w:r>
          </w:p>
        </w:tc>
        <w:tc>
          <w:tcPr>
            <w:tcW w:w="624" w:type="pct"/>
          </w:tcPr>
          <w:p w14:paraId="10E908B8" w14:textId="5F145A11"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762"/>
                <w14:textFill>
                  <w14:solidFill>
                    <w14:srgbClr w14:val="000000">
                      <w14:alpha w14:val="100000"/>
                    </w14:srgbClr>
                  </w14:solidFill>
                </w14:textFill>
              </w:rPr>
              <w:t xml:space="preserve">　</w:t>
            </w:r>
            <w:r w:rsidR="0066157F" w:rsidRPr="0066157F">
              <w:rPr>
                <w:color w:val="000000"/>
                <w:w w:val="31"/>
                <w:shd w:val="solid" w:color="000000" w:fill="000000"/>
                <w:fitText w:val="140" w:id="-894208762"/>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62"/>
                <w14:textFill>
                  <w14:solidFill>
                    <w14:srgbClr w14:val="000000">
                      <w14:alpha w14:val="100000"/>
                    </w14:srgbClr>
                  </w14:solidFill>
                </w14:textFill>
              </w:rPr>
              <w:t xml:space="preserve">　</w:t>
            </w:r>
          </w:p>
        </w:tc>
        <w:tc>
          <w:tcPr>
            <w:tcW w:w="623" w:type="pct"/>
          </w:tcPr>
          <w:p w14:paraId="57003AD5" w14:textId="024C2120" w:rsidR="008E3130" w:rsidRPr="00D12904" w:rsidRDefault="008E3130" w:rsidP="00FD4253">
            <w:pPr>
              <w:pStyle w:val="Tabletext"/>
              <w:keepNext/>
              <w:keepLines/>
              <w:jc w:val="center"/>
            </w:pPr>
            <w:r w:rsidRPr="00D12904">
              <w:t>$</w:t>
            </w:r>
            <w:r w:rsidR="0066157F" w:rsidRPr="0066157F">
              <w:rPr>
                <w:rFonts w:hint="eastAsia"/>
                <w:color w:val="000000"/>
                <w:w w:val="29"/>
                <w:shd w:val="solid" w:color="000000" w:fill="000000"/>
                <w:fitText w:val="130" w:id="-894208761"/>
                <w14:textFill>
                  <w14:solidFill>
                    <w14:srgbClr w14:val="000000">
                      <w14:alpha w14:val="100000"/>
                    </w14:srgbClr>
                  </w14:solidFill>
                </w14:textFill>
              </w:rPr>
              <w:t xml:space="preserve">　</w:t>
            </w:r>
            <w:r w:rsidR="0066157F" w:rsidRPr="0066157F">
              <w:rPr>
                <w:color w:val="000000"/>
                <w:w w:val="29"/>
                <w:shd w:val="solid" w:color="000000" w:fill="000000"/>
                <w:fitText w:val="130" w:id="-894208761"/>
                <w14:textFill>
                  <w14:solidFill>
                    <w14:srgbClr w14:val="000000">
                      <w14:alpha w14:val="100000"/>
                    </w14:srgbClr>
                  </w14:solidFill>
                </w14:textFill>
              </w:rPr>
              <w:t>|</w:t>
            </w:r>
            <w:r w:rsidR="0066157F" w:rsidRPr="0066157F">
              <w:rPr>
                <w:rFonts w:hint="eastAsia"/>
                <w:color w:val="000000"/>
                <w:spacing w:val="2"/>
                <w:w w:val="29"/>
                <w:shd w:val="solid" w:color="000000" w:fill="000000"/>
                <w:fitText w:val="130" w:id="-894208761"/>
                <w14:textFill>
                  <w14:solidFill>
                    <w14:srgbClr w14:val="000000">
                      <w14:alpha w14:val="100000"/>
                    </w14:srgbClr>
                  </w14:solidFill>
                </w14:textFill>
              </w:rPr>
              <w:t xml:space="preserve">　</w:t>
            </w:r>
          </w:p>
        </w:tc>
      </w:tr>
      <w:tr w:rsidR="008E3130" w:rsidRPr="00D12904" w14:paraId="68DD307E" w14:textId="77777777" w:rsidTr="00A56FC6">
        <w:trPr>
          <w:trHeight w:val="57"/>
        </w:trPr>
        <w:tc>
          <w:tcPr>
            <w:tcW w:w="390" w:type="pct"/>
          </w:tcPr>
          <w:p w14:paraId="604888FF" w14:textId="77777777" w:rsidR="008E3130" w:rsidRPr="00D12904" w:rsidRDefault="008E3130" w:rsidP="00FD4253">
            <w:pPr>
              <w:pStyle w:val="Tabletext"/>
              <w:keepNext/>
              <w:keepLines/>
              <w:jc w:val="center"/>
            </w:pPr>
            <w:r w:rsidRPr="00D12904">
              <w:t>5</w:t>
            </w:r>
          </w:p>
        </w:tc>
        <w:tc>
          <w:tcPr>
            <w:tcW w:w="704" w:type="pct"/>
          </w:tcPr>
          <w:p w14:paraId="59BC8510" w14:textId="77777777" w:rsidR="008E3130" w:rsidRPr="00D12904" w:rsidRDefault="008E3130" w:rsidP="00FD4253">
            <w:pPr>
              <w:pStyle w:val="Tabletext"/>
              <w:keepNext/>
              <w:keepLines/>
              <w:jc w:val="center"/>
            </w:pPr>
            <w:r w:rsidRPr="00D12904">
              <w:t>17.92</w:t>
            </w:r>
          </w:p>
        </w:tc>
        <w:tc>
          <w:tcPr>
            <w:tcW w:w="705" w:type="pct"/>
          </w:tcPr>
          <w:p w14:paraId="30499C44" w14:textId="77777777" w:rsidR="008E3130" w:rsidRPr="00D12904" w:rsidRDefault="008E3130" w:rsidP="00FD4253">
            <w:pPr>
              <w:pStyle w:val="Tabletext"/>
              <w:keepNext/>
              <w:keepLines/>
              <w:jc w:val="center"/>
            </w:pPr>
            <w:r w:rsidRPr="00D12904">
              <w:t>17.44</w:t>
            </w:r>
          </w:p>
        </w:tc>
        <w:tc>
          <w:tcPr>
            <w:tcW w:w="705" w:type="pct"/>
          </w:tcPr>
          <w:p w14:paraId="12FCB44C" w14:textId="77777777" w:rsidR="008E3130" w:rsidRPr="00D12904" w:rsidRDefault="008E3130" w:rsidP="00FD4253">
            <w:pPr>
              <w:pStyle w:val="Tabletext"/>
              <w:keepNext/>
              <w:keepLines/>
              <w:jc w:val="center"/>
            </w:pPr>
            <w:r w:rsidRPr="00D12904">
              <w:t>17.68</w:t>
            </w:r>
          </w:p>
        </w:tc>
        <w:tc>
          <w:tcPr>
            <w:tcW w:w="625" w:type="pct"/>
          </w:tcPr>
          <w:p w14:paraId="039D880D" w14:textId="09E3BF94"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760"/>
                <w14:textFill>
                  <w14:solidFill>
                    <w14:srgbClr w14:val="000000">
                      <w14:alpha w14:val="100000"/>
                    </w14:srgbClr>
                  </w14:solidFill>
                </w14:textFill>
              </w:rPr>
              <w:t xml:space="preserve">　</w:t>
            </w:r>
            <w:r w:rsidR="0066157F" w:rsidRPr="0066157F">
              <w:rPr>
                <w:color w:val="000000"/>
                <w:w w:val="31"/>
                <w:shd w:val="solid" w:color="000000" w:fill="000000"/>
                <w:fitText w:val="140" w:id="-894208760"/>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60"/>
                <w14:textFill>
                  <w14:solidFill>
                    <w14:srgbClr w14:val="000000">
                      <w14:alpha w14:val="100000"/>
                    </w14:srgbClr>
                  </w14:solidFill>
                </w14:textFill>
              </w:rPr>
              <w:t xml:space="preserve">　</w:t>
            </w:r>
          </w:p>
        </w:tc>
        <w:tc>
          <w:tcPr>
            <w:tcW w:w="624" w:type="pct"/>
          </w:tcPr>
          <w:p w14:paraId="4D79164A" w14:textId="7484E9E1"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759"/>
                <w14:textFill>
                  <w14:solidFill>
                    <w14:srgbClr w14:val="000000">
                      <w14:alpha w14:val="100000"/>
                    </w14:srgbClr>
                  </w14:solidFill>
                </w14:textFill>
              </w:rPr>
              <w:t xml:space="preserve">　</w:t>
            </w:r>
            <w:r w:rsidR="0066157F" w:rsidRPr="0066157F">
              <w:rPr>
                <w:color w:val="000000"/>
                <w:w w:val="31"/>
                <w:shd w:val="solid" w:color="000000" w:fill="000000"/>
                <w:fitText w:val="140" w:id="-894208759"/>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59"/>
                <w14:textFill>
                  <w14:solidFill>
                    <w14:srgbClr w14:val="000000">
                      <w14:alpha w14:val="100000"/>
                    </w14:srgbClr>
                  </w14:solidFill>
                </w14:textFill>
              </w:rPr>
              <w:t xml:space="preserve">　</w:t>
            </w:r>
          </w:p>
        </w:tc>
        <w:tc>
          <w:tcPr>
            <w:tcW w:w="624" w:type="pct"/>
          </w:tcPr>
          <w:p w14:paraId="3958FE3C" w14:textId="56856ECA"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758"/>
                <w14:textFill>
                  <w14:solidFill>
                    <w14:srgbClr w14:val="000000">
                      <w14:alpha w14:val="100000"/>
                    </w14:srgbClr>
                  </w14:solidFill>
                </w14:textFill>
              </w:rPr>
              <w:t xml:space="preserve">　</w:t>
            </w:r>
            <w:r w:rsidR="0066157F" w:rsidRPr="0066157F">
              <w:rPr>
                <w:color w:val="000000"/>
                <w:w w:val="31"/>
                <w:shd w:val="solid" w:color="000000" w:fill="000000"/>
                <w:fitText w:val="140" w:id="-894208758"/>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58"/>
                <w14:textFill>
                  <w14:solidFill>
                    <w14:srgbClr w14:val="000000">
                      <w14:alpha w14:val="100000"/>
                    </w14:srgbClr>
                  </w14:solidFill>
                </w14:textFill>
              </w:rPr>
              <w:t xml:space="preserve">　</w:t>
            </w:r>
          </w:p>
        </w:tc>
        <w:tc>
          <w:tcPr>
            <w:tcW w:w="623" w:type="pct"/>
          </w:tcPr>
          <w:p w14:paraId="261E061C" w14:textId="123B12EA" w:rsidR="008E3130" w:rsidRPr="00D12904" w:rsidRDefault="008E3130" w:rsidP="00FD4253">
            <w:pPr>
              <w:pStyle w:val="Tabletext"/>
              <w:keepNext/>
              <w:keepLines/>
              <w:jc w:val="center"/>
            </w:pPr>
            <w:r w:rsidRPr="00D12904">
              <w:t>$</w:t>
            </w:r>
            <w:r w:rsidR="0066157F" w:rsidRPr="0066157F">
              <w:rPr>
                <w:rFonts w:hint="eastAsia"/>
                <w:color w:val="000000"/>
                <w:w w:val="29"/>
                <w:shd w:val="solid" w:color="000000" w:fill="000000"/>
                <w:fitText w:val="130" w:id="-894208757"/>
                <w14:textFill>
                  <w14:solidFill>
                    <w14:srgbClr w14:val="000000">
                      <w14:alpha w14:val="100000"/>
                    </w14:srgbClr>
                  </w14:solidFill>
                </w14:textFill>
              </w:rPr>
              <w:t xml:space="preserve">　</w:t>
            </w:r>
            <w:r w:rsidR="0066157F" w:rsidRPr="0066157F">
              <w:rPr>
                <w:color w:val="000000"/>
                <w:w w:val="29"/>
                <w:shd w:val="solid" w:color="000000" w:fill="000000"/>
                <w:fitText w:val="130" w:id="-894208757"/>
                <w14:textFill>
                  <w14:solidFill>
                    <w14:srgbClr w14:val="000000">
                      <w14:alpha w14:val="100000"/>
                    </w14:srgbClr>
                  </w14:solidFill>
                </w14:textFill>
              </w:rPr>
              <w:t>|</w:t>
            </w:r>
            <w:r w:rsidR="0066157F" w:rsidRPr="0066157F">
              <w:rPr>
                <w:rFonts w:hint="eastAsia"/>
                <w:color w:val="000000"/>
                <w:spacing w:val="2"/>
                <w:w w:val="29"/>
                <w:shd w:val="solid" w:color="000000" w:fill="000000"/>
                <w:fitText w:val="130" w:id="-894208757"/>
                <w14:textFill>
                  <w14:solidFill>
                    <w14:srgbClr w14:val="000000">
                      <w14:alpha w14:val="100000"/>
                    </w14:srgbClr>
                  </w14:solidFill>
                </w14:textFill>
              </w:rPr>
              <w:t xml:space="preserve">　</w:t>
            </w:r>
          </w:p>
        </w:tc>
      </w:tr>
      <w:tr w:rsidR="008E3130" w:rsidRPr="00D12904" w14:paraId="2138500B" w14:textId="77777777" w:rsidTr="00A56FC6">
        <w:trPr>
          <w:trHeight w:val="57"/>
        </w:trPr>
        <w:tc>
          <w:tcPr>
            <w:tcW w:w="390" w:type="pct"/>
          </w:tcPr>
          <w:p w14:paraId="089A4731" w14:textId="77777777" w:rsidR="008E3130" w:rsidRPr="00D12904" w:rsidRDefault="008E3130" w:rsidP="00FD4253">
            <w:pPr>
              <w:pStyle w:val="Tabletext"/>
              <w:keepNext/>
              <w:keepLines/>
              <w:jc w:val="center"/>
            </w:pPr>
            <w:r w:rsidRPr="00D12904">
              <w:t>6</w:t>
            </w:r>
          </w:p>
        </w:tc>
        <w:tc>
          <w:tcPr>
            <w:tcW w:w="704" w:type="pct"/>
          </w:tcPr>
          <w:p w14:paraId="21A9C81E" w14:textId="77777777" w:rsidR="008E3130" w:rsidRPr="00D12904" w:rsidRDefault="008E3130" w:rsidP="00FD4253">
            <w:pPr>
              <w:pStyle w:val="Tabletext"/>
              <w:keepNext/>
              <w:keepLines/>
              <w:jc w:val="center"/>
            </w:pPr>
            <w:r w:rsidRPr="00D12904">
              <w:t>20.68</w:t>
            </w:r>
          </w:p>
        </w:tc>
        <w:tc>
          <w:tcPr>
            <w:tcW w:w="705" w:type="pct"/>
          </w:tcPr>
          <w:p w14:paraId="096EEBE9" w14:textId="77777777" w:rsidR="008E3130" w:rsidRPr="00D12904" w:rsidRDefault="008E3130" w:rsidP="00FD4253">
            <w:pPr>
              <w:pStyle w:val="Tabletext"/>
              <w:keepNext/>
              <w:keepLines/>
              <w:jc w:val="center"/>
            </w:pPr>
            <w:r w:rsidRPr="00D12904">
              <w:t>20.24</w:t>
            </w:r>
          </w:p>
        </w:tc>
        <w:tc>
          <w:tcPr>
            <w:tcW w:w="705" w:type="pct"/>
          </w:tcPr>
          <w:p w14:paraId="7F5D0848" w14:textId="77777777" w:rsidR="008E3130" w:rsidRPr="00D12904" w:rsidRDefault="008E3130" w:rsidP="00FD4253">
            <w:pPr>
              <w:pStyle w:val="Tabletext"/>
              <w:keepNext/>
              <w:keepLines/>
              <w:jc w:val="center"/>
            </w:pPr>
            <w:r w:rsidRPr="00D12904">
              <w:t>20.46</w:t>
            </w:r>
          </w:p>
        </w:tc>
        <w:tc>
          <w:tcPr>
            <w:tcW w:w="625" w:type="pct"/>
          </w:tcPr>
          <w:p w14:paraId="2F13ACAA" w14:textId="4C30A18F"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756"/>
                <w14:textFill>
                  <w14:solidFill>
                    <w14:srgbClr w14:val="000000">
                      <w14:alpha w14:val="100000"/>
                    </w14:srgbClr>
                  </w14:solidFill>
                </w14:textFill>
              </w:rPr>
              <w:t xml:space="preserve">　</w:t>
            </w:r>
            <w:r w:rsidR="0066157F" w:rsidRPr="0066157F">
              <w:rPr>
                <w:color w:val="000000"/>
                <w:w w:val="31"/>
                <w:shd w:val="solid" w:color="000000" w:fill="000000"/>
                <w:fitText w:val="140" w:id="-894208756"/>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56"/>
                <w14:textFill>
                  <w14:solidFill>
                    <w14:srgbClr w14:val="000000">
                      <w14:alpha w14:val="100000"/>
                    </w14:srgbClr>
                  </w14:solidFill>
                </w14:textFill>
              </w:rPr>
              <w:t xml:space="preserve">　</w:t>
            </w:r>
          </w:p>
        </w:tc>
        <w:tc>
          <w:tcPr>
            <w:tcW w:w="624" w:type="pct"/>
          </w:tcPr>
          <w:p w14:paraId="20D3CF00" w14:textId="32417348"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755"/>
                <w14:textFill>
                  <w14:solidFill>
                    <w14:srgbClr w14:val="000000">
                      <w14:alpha w14:val="100000"/>
                    </w14:srgbClr>
                  </w14:solidFill>
                </w14:textFill>
              </w:rPr>
              <w:t xml:space="preserve">　</w:t>
            </w:r>
            <w:r w:rsidR="0066157F" w:rsidRPr="0066157F">
              <w:rPr>
                <w:color w:val="000000"/>
                <w:w w:val="31"/>
                <w:shd w:val="solid" w:color="000000" w:fill="000000"/>
                <w:fitText w:val="140" w:id="-894208755"/>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55"/>
                <w14:textFill>
                  <w14:solidFill>
                    <w14:srgbClr w14:val="000000">
                      <w14:alpha w14:val="100000"/>
                    </w14:srgbClr>
                  </w14:solidFill>
                </w14:textFill>
              </w:rPr>
              <w:t xml:space="preserve">　</w:t>
            </w:r>
          </w:p>
        </w:tc>
        <w:tc>
          <w:tcPr>
            <w:tcW w:w="624" w:type="pct"/>
          </w:tcPr>
          <w:p w14:paraId="78B8F349" w14:textId="414F8898"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754"/>
                <w14:textFill>
                  <w14:solidFill>
                    <w14:srgbClr w14:val="000000">
                      <w14:alpha w14:val="100000"/>
                    </w14:srgbClr>
                  </w14:solidFill>
                </w14:textFill>
              </w:rPr>
              <w:t xml:space="preserve">　</w:t>
            </w:r>
            <w:r w:rsidR="0066157F" w:rsidRPr="0066157F">
              <w:rPr>
                <w:color w:val="000000"/>
                <w:w w:val="31"/>
                <w:shd w:val="solid" w:color="000000" w:fill="000000"/>
                <w:fitText w:val="140" w:id="-894208754"/>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54"/>
                <w14:textFill>
                  <w14:solidFill>
                    <w14:srgbClr w14:val="000000">
                      <w14:alpha w14:val="100000"/>
                    </w14:srgbClr>
                  </w14:solidFill>
                </w14:textFill>
              </w:rPr>
              <w:t xml:space="preserve">　</w:t>
            </w:r>
          </w:p>
        </w:tc>
        <w:tc>
          <w:tcPr>
            <w:tcW w:w="623" w:type="pct"/>
          </w:tcPr>
          <w:p w14:paraId="6A5A31E0" w14:textId="30DF87A2" w:rsidR="008E3130" w:rsidRPr="00D12904" w:rsidRDefault="008E3130" w:rsidP="00FD4253">
            <w:pPr>
              <w:pStyle w:val="Tabletext"/>
              <w:keepNext/>
              <w:keepLines/>
              <w:jc w:val="center"/>
            </w:pPr>
            <w:r w:rsidRPr="00D12904">
              <w:t>$</w:t>
            </w:r>
            <w:r w:rsidR="0066157F" w:rsidRPr="0066157F">
              <w:rPr>
                <w:rFonts w:hint="eastAsia"/>
                <w:color w:val="000000"/>
                <w:w w:val="29"/>
                <w:shd w:val="solid" w:color="000000" w:fill="000000"/>
                <w:fitText w:val="130" w:id="-894208753"/>
                <w14:textFill>
                  <w14:solidFill>
                    <w14:srgbClr w14:val="000000">
                      <w14:alpha w14:val="100000"/>
                    </w14:srgbClr>
                  </w14:solidFill>
                </w14:textFill>
              </w:rPr>
              <w:t xml:space="preserve">　</w:t>
            </w:r>
            <w:r w:rsidR="0066157F" w:rsidRPr="0066157F">
              <w:rPr>
                <w:color w:val="000000"/>
                <w:w w:val="29"/>
                <w:shd w:val="solid" w:color="000000" w:fill="000000"/>
                <w:fitText w:val="130" w:id="-894208753"/>
                <w14:textFill>
                  <w14:solidFill>
                    <w14:srgbClr w14:val="000000">
                      <w14:alpha w14:val="100000"/>
                    </w14:srgbClr>
                  </w14:solidFill>
                </w14:textFill>
              </w:rPr>
              <w:t>|</w:t>
            </w:r>
            <w:r w:rsidR="0066157F" w:rsidRPr="0066157F">
              <w:rPr>
                <w:rFonts w:hint="eastAsia"/>
                <w:color w:val="000000"/>
                <w:spacing w:val="2"/>
                <w:w w:val="29"/>
                <w:shd w:val="solid" w:color="000000" w:fill="000000"/>
                <w:fitText w:val="130" w:id="-894208753"/>
                <w14:textFill>
                  <w14:solidFill>
                    <w14:srgbClr w14:val="000000">
                      <w14:alpha w14:val="100000"/>
                    </w14:srgbClr>
                  </w14:solidFill>
                </w14:textFill>
              </w:rPr>
              <w:t xml:space="preserve">　</w:t>
            </w:r>
          </w:p>
        </w:tc>
      </w:tr>
      <w:tr w:rsidR="008E3130" w:rsidRPr="00D12904" w14:paraId="39D66CD3" w14:textId="77777777" w:rsidTr="00A56FC6">
        <w:trPr>
          <w:trHeight w:val="57"/>
        </w:trPr>
        <w:tc>
          <w:tcPr>
            <w:tcW w:w="390" w:type="pct"/>
          </w:tcPr>
          <w:p w14:paraId="08637E88" w14:textId="77777777" w:rsidR="008E3130" w:rsidRPr="00D12904" w:rsidRDefault="008E3130" w:rsidP="00FD4253">
            <w:pPr>
              <w:pStyle w:val="Tabletext"/>
              <w:keepNext/>
              <w:keepLines/>
              <w:jc w:val="center"/>
            </w:pPr>
            <w:r w:rsidRPr="00D12904">
              <w:t>7</w:t>
            </w:r>
          </w:p>
        </w:tc>
        <w:tc>
          <w:tcPr>
            <w:tcW w:w="704" w:type="pct"/>
          </w:tcPr>
          <w:p w14:paraId="6BF9D449" w14:textId="77777777" w:rsidR="008E3130" w:rsidRPr="00D12904" w:rsidRDefault="008E3130" w:rsidP="00FD4253">
            <w:pPr>
              <w:pStyle w:val="Tabletext"/>
              <w:keepNext/>
              <w:keepLines/>
              <w:jc w:val="center"/>
            </w:pPr>
            <w:r w:rsidRPr="00D12904">
              <w:t>23.07</w:t>
            </w:r>
          </w:p>
        </w:tc>
        <w:tc>
          <w:tcPr>
            <w:tcW w:w="705" w:type="pct"/>
          </w:tcPr>
          <w:p w14:paraId="6A51ED27" w14:textId="77777777" w:rsidR="008E3130" w:rsidRPr="00D12904" w:rsidRDefault="008E3130" w:rsidP="00FD4253">
            <w:pPr>
              <w:pStyle w:val="Tabletext"/>
              <w:keepNext/>
              <w:keepLines/>
              <w:jc w:val="center"/>
            </w:pPr>
            <w:r w:rsidRPr="00D12904">
              <w:t>22.76</w:t>
            </w:r>
          </w:p>
        </w:tc>
        <w:tc>
          <w:tcPr>
            <w:tcW w:w="705" w:type="pct"/>
          </w:tcPr>
          <w:p w14:paraId="6403DC17" w14:textId="77777777" w:rsidR="008E3130" w:rsidRPr="00D12904" w:rsidRDefault="008E3130" w:rsidP="00FD4253">
            <w:pPr>
              <w:pStyle w:val="Tabletext"/>
              <w:keepNext/>
              <w:keepLines/>
              <w:jc w:val="center"/>
            </w:pPr>
            <w:r w:rsidRPr="00D12904">
              <w:t>22.91</w:t>
            </w:r>
          </w:p>
        </w:tc>
        <w:tc>
          <w:tcPr>
            <w:tcW w:w="625" w:type="pct"/>
          </w:tcPr>
          <w:p w14:paraId="031F3FEB" w14:textId="2598E334"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752"/>
                <w14:textFill>
                  <w14:solidFill>
                    <w14:srgbClr w14:val="000000">
                      <w14:alpha w14:val="100000"/>
                    </w14:srgbClr>
                  </w14:solidFill>
                </w14:textFill>
              </w:rPr>
              <w:t xml:space="preserve">　</w:t>
            </w:r>
            <w:r w:rsidR="0066157F" w:rsidRPr="0066157F">
              <w:rPr>
                <w:color w:val="000000"/>
                <w:w w:val="31"/>
                <w:shd w:val="solid" w:color="000000" w:fill="000000"/>
                <w:fitText w:val="140" w:id="-894208752"/>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52"/>
                <w14:textFill>
                  <w14:solidFill>
                    <w14:srgbClr w14:val="000000">
                      <w14:alpha w14:val="100000"/>
                    </w14:srgbClr>
                  </w14:solidFill>
                </w14:textFill>
              </w:rPr>
              <w:t xml:space="preserve">　</w:t>
            </w:r>
          </w:p>
        </w:tc>
        <w:tc>
          <w:tcPr>
            <w:tcW w:w="624" w:type="pct"/>
          </w:tcPr>
          <w:p w14:paraId="60E3BA83" w14:textId="1945D4E3"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768"/>
                <w14:textFill>
                  <w14:solidFill>
                    <w14:srgbClr w14:val="000000">
                      <w14:alpha w14:val="100000"/>
                    </w14:srgbClr>
                  </w14:solidFill>
                </w14:textFill>
              </w:rPr>
              <w:t xml:space="preserve">　</w:t>
            </w:r>
            <w:r w:rsidR="0066157F" w:rsidRPr="0066157F">
              <w:rPr>
                <w:color w:val="000000"/>
                <w:w w:val="31"/>
                <w:shd w:val="solid" w:color="000000" w:fill="000000"/>
                <w:fitText w:val="140" w:id="-894208768"/>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68"/>
                <w14:textFill>
                  <w14:solidFill>
                    <w14:srgbClr w14:val="000000">
                      <w14:alpha w14:val="100000"/>
                    </w14:srgbClr>
                  </w14:solidFill>
                </w14:textFill>
              </w:rPr>
              <w:t xml:space="preserve">　</w:t>
            </w:r>
          </w:p>
        </w:tc>
        <w:tc>
          <w:tcPr>
            <w:tcW w:w="624" w:type="pct"/>
          </w:tcPr>
          <w:p w14:paraId="1B7730E0" w14:textId="21D1A99F"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767"/>
                <w14:textFill>
                  <w14:solidFill>
                    <w14:srgbClr w14:val="000000">
                      <w14:alpha w14:val="100000"/>
                    </w14:srgbClr>
                  </w14:solidFill>
                </w14:textFill>
              </w:rPr>
              <w:t xml:space="preserve">　</w:t>
            </w:r>
            <w:r w:rsidR="0066157F" w:rsidRPr="0066157F">
              <w:rPr>
                <w:color w:val="000000"/>
                <w:w w:val="31"/>
                <w:shd w:val="solid" w:color="000000" w:fill="000000"/>
                <w:fitText w:val="140" w:id="-894208767"/>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67"/>
                <w14:textFill>
                  <w14:solidFill>
                    <w14:srgbClr w14:val="000000">
                      <w14:alpha w14:val="100000"/>
                    </w14:srgbClr>
                  </w14:solidFill>
                </w14:textFill>
              </w:rPr>
              <w:t xml:space="preserve">　</w:t>
            </w:r>
          </w:p>
        </w:tc>
        <w:tc>
          <w:tcPr>
            <w:tcW w:w="623" w:type="pct"/>
          </w:tcPr>
          <w:p w14:paraId="469AC077" w14:textId="4D3445ED" w:rsidR="008E3130" w:rsidRPr="00D12904" w:rsidRDefault="008E3130" w:rsidP="00FD4253">
            <w:pPr>
              <w:pStyle w:val="Tabletext"/>
              <w:keepNext/>
              <w:keepLines/>
              <w:jc w:val="center"/>
            </w:pPr>
            <w:r w:rsidRPr="00D12904">
              <w:t>$</w:t>
            </w:r>
            <w:r w:rsidR="0066157F" w:rsidRPr="0066157F">
              <w:rPr>
                <w:rFonts w:hint="eastAsia"/>
                <w:color w:val="000000"/>
                <w:w w:val="29"/>
                <w:shd w:val="solid" w:color="000000" w:fill="000000"/>
                <w:fitText w:val="130" w:id="-894208766"/>
                <w14:textFill>
                  <w14:solidFill>
                    <w14:srgbClr w14:val="000000">
                      <w14:alpha w14:val="100000"/>
                    </w14:srgbClr>
                  </w14:solidFill>
                </w14:textFill>
              </w:rPr>
              <w:t xml:space="preserve">　</w:t>
            </w:r>
            <w:r w:rsidR="0066157F" w:rsidRPr="0066157F">
              <w:rPr>
                <w:color w:val="000000"/>
                <w:w w:val="29"/>
                <w:shd w:val="solid" w:color="000000" w:fill="000000"/>
                <w:fitText w:val="130" w:id="-894208766"/>
                <w14:textFill>
                  <w14:solidFill>
                    <w14:srgbClr w14:val="000000">
                      <w14:alpha w14:val="100000"/>
                    </w14:srgbClr>
                  </w14:solidFill>
                </w14:textFill>
              </w:rPr>
              <w:t>|</w:t>
            </w:r>
            <w:r w:rsidR="0066157F" w:rsidRPr="0066157F">
              <w:rPr>
                <w:rFonts w:hint="eastAsia"/>
                <w:color w:val="000000"/>
                <w:spacing w:val="2"/>
                <w:w w:val="29"/>
                <w:shd w:val="solid" w:color="000000" w:fill="000000"/>
                <w:fitText w:val="130" w:id="-894208766"/>
                <w14:textFill>
                  <w14:solidFill>
                    <w14:srgbClr w14:val="000000">
                      <w14:alpha w14:val="100000"/>
                    </w14:srgbClr>
                  </w14:solidFill>
                </w14:textFill>
              </w:rPr>
              <w:t xml:space="preserve">　</w:t>
            </w:r>
          </w:p>
        </w:tc>
      </w:tr>
      <w:tr w:rsidR="008E3130" w:rsidRPr="00D12904" w14:paraId="2AEC094D" w14:textId="77777777" w:rsidTr="00A56FC6">
        <w:trPr>
          <w:trHeight w:val="57"/>
        </w:trPr>
        <w:tc>
          <w:tcPr>
            <w:tcW w:w="390" w:type="pct"/>
          </w:tcPr>
          <w:p w14:paraId="72199B17" w14:textId="77777777" w:rsidR="008E3130" w:rsidRPr="00D12904" w:rsidRDefault="008E3130" w:rsidP="00FD4253">
            <w:pPr>
              <w:pStyle w:val="Tabletext"/>
              <w:keepNext/>
              <w:keepLines/>
              <w:jc w:val="center"/>
            </w:pPr>
            <w:r w:rsidRPr="00D12904">
              <w:t>8</w:t>
            </w:r>
          </w:p>
        </w:tc>
        <w:tc>
          <w:tcPr>
            <w:tcW w:w="704" w:type="pct"/>
          </w:tcPr>
          <w:p w14:paraId="5B5FA349" w14:textId="77777777" w:rsidR="008E3130" w:rsidRPr="00D12904" w:rsidRDefault="008E3130" w:rsidP="00FD4253">
            <w:pPr>
              <w:pStyle w:val="Tabletext"/>
              <w:keepNext/>
              <w:keepLines/>
              <w:jc w:val="center"/>
            </w:pPr>
            <w:r w:rsidRPr="00D12904">
              <w:t>25.64</w:t>
            </w:r>
          </w:p>
        </w:tc>
        <w:tc>
          <w:tcPr>
            <w:tcW w:w="705" w:type="pct"/>
          </w:tcPr>
          <w:p w14:paraId="7F0810F1" w14:textId="77777777" w:rsidR="008E3130" w:rsidRPr="00D12904" w:rsidRDefault="008E3130" w:rsidP="00FD4253">
            <w:pPr>
              <w:pStyle w:val="Tabletext"/>
              <w:keepNext/>
              <w:keepLines/>
              <w:jc w:val="center"/>
            </w:pPr>
            <w:r w:rsidRPr="00D12904">
              <w:t>25.63</w:t>
            </w:r>
          </w:p>
        </w:tc>
        <w:tc>
          <w:tcPr>
            <w:tcW w:w="705" w:type="pct"/>
          </w:tcPr>
          <w:p w14:paraId="737EDD31" w14:textId="77777777" w:rsidR="008E3130" w:rsidRPr="00D12904" w:rsidRDefault="008E3130" w:rsidP="00FD4253">
            <w:pPr>
              <w:pStyle w:val="Tabletext"/>
              <w:keepNext/>
              <w:keepLines/>
              <w:jc w:val="center"/>
            </w:pPr>
            <w:r w:rsidRPr="00D12904">
              <w:t>25.63</w:t>
            </w:r>
          </w:p>
        </w:tc>
        <w:tc>
          <w:tcPr>
            <w:tcW w:w="625" w:type="pct"/>
          </w:tcPr>
          <w:p w14:paraId="64F89384" w14:textId="56167FB5"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765"/>
                <w14:textFill>
                  <w14:solidFill>
                    <w14:srgbClr w14:val="000000">
                      <w14:alpha w14:val="100000"/>
                    </w14:srgbClr>
                  </w14:solidFill>
                </w14:textFill>
              </w:rPr>
              <w:t xml:space="preserve">　</w:t>
            </w:r>
            <w:r w:rsidR="0066157F" w:rsidRPr="0066157F">
              <w:rPr>
                <w:color w:val="000000"/>
                <w:w w:val="31"/>
                <w:shd w:val="solid" w:color="000000" w:fill="000000"/>
                <w:fitText w:val="140" w:id="-894208765"/>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65"/>
                <w14:textFill>
                  <w14:solidFill>
                    <w14:srgbClr w14:val="000000">
                      <w14:alpha w14:val="100000"/>
                    </w14:srgbClr>
                  </w14:solidFill>
                </w14:textFill>
              </w:rPr>
              <w:t xml:space="preserve">　</w:t>
            </w:r>
          </w:p>
        </w:tc>
        <w:tc>
          <w:tcPr>
            <w:tcW w:w="624" w:type="pct"/>
          </w:tcPr>
          <w:p w14:paraId="2F400C64" w14:textId="03CFEA32"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764"/>
                <w14:textFill>
                  <w14:solidFill>
                    <w14:srgbClr w14:val="000000">
                      <w14:alpha w14:val="100000"/>
                    </w14:srgbClr>
                  </w14:solidFill>
                </w14:textFill>
              </w:rPr>
              <w:t xml:space="preserve">　</w:t>
            </w:r>
            <w:r w:rsidR="0066157F" w:rsidRPr="0066157F">
              <w:rPr>
                <w:color w:val="000000"/>
                <w:w w:val="31"/>
                <w:shd w:val="solid" w:color="000000" w:fill="000000"/>
                <w:fitText w:val="140" w:id="-894208764"/>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64"/>
                <w14:textFill>
                  <w14:solidFill>
                    <w14:srgbClr w14:val="000000">
                      <w14:alpha w14:val="100000"/>
                    </w14:srgbClr>
                  </w14:solidFill>
                </w14:textFill>
              </w:rPr>
              <w:t xml:space="preserve">　</w:t>
            </w:r>
          </w:p>
        </w:tc>
        <w:tc>
          <w:tcPr>
            <w:tcW w:w="624" w:type="pct"/>
          </w:tcPr>
          <w:p w14:paraId="47281F36" w14:textId="71548F61"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763"/>
                <w14:textFill>
                  <w14:solidFill>
                    <w14:srgbClr w14:val="000000">
                      <w14:alpha w14:val="100000"/>
                    </w14:srgbClr>
                  </w14:solidFill>
                </w14:textFill>
              </w:rPr>
              <w:t xml:space="preserve">　</w:t>
            </w:r>
            <w:r w:rsidR="0066157F" w:rsidRPr="0066157F">
              <w:rPr>
                <w:color w:val="000000"/>
                <w:w w:val="31"/>
                <w:shd w:val="solid" w:color="000000" w:fill="000000"/>
                <w:fitText w:val="140" w:id="-894208763"/>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63"/>
                <w14:textFill>
                  <w14:solidFill>
                    <w14:srgbClr w14:val="000000">
                      <w14:alpha w14:val="100000"/>
                    </w14:srgbClr>
                  </w14:solidFill>
                </w14:textFill>
              </w:rPr>
              <w:t xml:space="preserve">　</w:t>
            </w:r>
          </w:p>
        </w:tc>
        <w:tc>
          <w:tcPr>
            <w:tcW w:w="623" w:type="pct"/>
          </w:tcPr>
          <w:p w14:paraId="69422E03" w14:textId="7906CF5D" w:rsidR="008E3130" w:rsidRPr="00D12904" w:rsidRDefault="008E3130" w:rsidP="00FD4253">
            <w:pPr>
              <w:pStyle w:val="Tabletext"/>
              <w:keepNext/>
              <w:keepLines/>
              <w:jc w:val="center"/>
            </w:pPr>
            <w:r w:rsidRPr="00D12904">
              <w:t>$</w:t>
            </w:r>
            <w:r w:rsidR="0066157F" w:rsidRPr="0066157F">
              <w:rPr>
                <w:rFonts w:hint="eastAsia"/>
                <w:color w:val="000000"/>
                <w:w w:val="29"/>
                <w:shd w:val="solid" w:color="000000" w:fill="000000"/>
                <w:fitText w:val="130" w:id="-894208762"/>
                <w14:textFill>
                  <w14:solidFill>
                    <w14:srgbClr w14:val="000000">
                      <w14:alpha w14:val="100000"/>
                    </w14:srgbClr>
                  </w14:solidFill>
                </w14:textFill>
              </w:rPr>
              <w:t xml:space="preserve">　</w:t>
            </w:r>
            <w:r w:rsidR="0066157F" w:rsidRPr="0066157F">
              <w:rPr>
                <w:color w:val="000000"/>
                <w:w w:val="29"/>
                <w:shd w:val="solid" w:color="000000" w:fill="000000"/>
                <w:fitText w:val="130" w:id="-894208762"/>
                <w14:textFill>
                  <w14:solidFill>
                    <w14:srgbClr w14:val="000000">
                      <w14:alpha w14:val="100000"/>
                    </w14:srgbClr>
                  </w14:solidFill>
                </w14:textFill>
              </w:rPr>
              <w:t>|</w:t>
            </w:r>
            <w:r w:rsidR="0066157F" w:rsidRPr="0066157F">
              <w:rPr>
                <w:rFonts w:hint="eastAsia"/>
                <w:color w:val="000000"/>
                <w:spacing w:val="2"/>
                <w:w w:val="29"/>
                <w:shd w:val="solid" w:color="000000" w:fill="000000"/>
                <w:fitText w:val="130" w:id="-894208762"/>
                <w14:textFill>
                  <w14:solidFill>
                    <w14:srgbClr w14:val="000000">
                      <w14:alpha w14:val="100000"/>
                    </w14:srgbClr>
                  </w14:solidFill>
                </w14:textFill>
              </w:rPr>
              <w:t xml:space="preserve">　</w:t>
            </w:r>
          </w:p>
        </w:tc>
      </w:tr>
      <w:tr w:rsidR="008E3130" w:rsidRPr="00D12904" w14:paraId="011A4781" w14:textId="77777777" w:rsidTr="00A56FC6">
        <w:trPr>
          <w:trHeight w:val="57"/>
        </w:trPr>
        <w:tc>
          <w:tcPr>
            <w:tcW w:w="390" w:type="pct"/>
          </w:tcPr>
          <w:p w14:paraId="3C2D8B24" w14:textId="77777777" w:rsidR="008E3130" w:rsidRPr="00D12904" w:rsidRDefault="008E3130" w:rsidP="00FD4253">
            <w:pPr>
              <w:pStyle w:val="Tabletext"/>
              <w:keepNext/>
              <w:keepLines/>
              <w:jc w:val="center"/>
            </w:pPr>
            <w:r w:rsidRPr="00D12904">
              <w:t>9</w:t>
            </w:r>
          </w:p>
        </w:tc>
        <w:tc>
          <w:tcPr>
            <w:tcW w:w="704" w:type="pct"/>
          </w:tcPr>
          <w:p w14:paraId="3A3FB873" w14:textId="77777777" w:rsidR="008E3130" w:rsidRPr="00D12904" w:rsidRDefault="008E3130" w:rsidP="00FD4253">
            <w:pPr>
              <w:pStyle w:val="Tabletext"/>
              <w:keepNext/>
              <w:keepLines/>
              <w:jc w:val="center"/>
            </w:pPr>
            <w:r w:rsidRPr="00D12904">
              <w:t>28.55</w:t>
            </w:r>
          </w:p>
        </w:tc>
        <w:tc>
          <w:tcPr>
            <w:tcW w:w="705" w:type="pct"/>
          </w:tcPr>
          <w:p w14:paraId="3993DB7C" w14:textId="77777777" w:rsidR="008E3130" w:rsidRPr="00D12904" w:rsidRDefault="008E3130" w:rsidP="00FD4253">
            <w:pPr>
              <w:pStyle w:val="Tabletext"/>
              <w:keepNext/>
              <w:keepLines/>
              <w:jc w:val="center"/>
            </w:pPr>
            <w:r w:rsidRPr="00D12904">
              <w:t>28.99</w:t>
            </w:r>
          </w:p>
        </w:tc>
        <w:tc>
          <w:tcPr>
            <w:tcW w:w="705" w:type="pct"/>
          </w:tcPr>
          <w:p w14:paraId="7857F75D" w14:textId="77777777" w:rsidR="008E3130" w:rsidRPr="00D12904" w:rsidRDefault="008E3130" w:rsidP="00FD4253">
            <w:pPr>
              <w:pStyle w:val="Tabletext"/>
              <w:keepNext/>
              <w:keepLines/>
              <w:jc w:val="center"/>
            </w:pPr>
            <w:r w:rsidRPr="00D12904">
              <w:t>28.77</w:t>
            </w:r>
          </w:p>
        </w:tc>
        <w:tc>
          <w:tcPr>
            <w:tcW w:w="625" w:type="pct"/>
          </w:tcPr>
          <w:p w14:paraId="61B9AA63" w14:textId="7D524C4C"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761"/>
                <w14:textFill>
                  <w14:solidFill>
                    <w14:srgbClr w14:val="000000">
                      <w14:alpha w14:val="100000"/>
                    </w14:srgbClr>
                  </w14:solidFill>
                </w14:textFill>
              </w:rPr>
              <w:t xml:space="preserve">　</w:t>
            </w:r>
            <w:r w:rsidR="0066157F" w:rsidRPr="0066157F">
              <w:rPr>
                <w:color w:val="000000"/>
                <w:w w:val="31"/>
                <w:shd w:val="solid" w:color="000000" w:fill="000000"/>
                <w:fitText w:val="140" w:id="-894208761"/>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61"/>
                <w14:textFill>
                  <w14:solidFill>
                    <w14:srgbClr w14:val="000000">
                      <w14:alpha w14:val="100000"/>
                    </w14:srgbClr>
                  </w14:solidFill>
                </w14:textFill>
              </w:rPr>
              <w:t xml:space="preserve">　</w:t>
            </w:r>
          </w:p>
        </w:tc>
        <w:tc>
          <w:tcPr>
            <w:tcW w:w="624" w:type="pct"/>
          </w:tcPr>
          <w:p w14:paraId="2ACA7EB1" w14:textId="791BFD65"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760"/>
                <w14:textFill>
                  <w14:solidFill>
                    <w14:srgbClr w14:val="000000">
                      <w14:alpha w14:val="100000"/>
                    </w14:srgbClr>
                  </w14:solidFill>
                </w14:textFill>
              </w:rPr>
              <w:t xml:space="preserve">　</w:t>
            </w:r>
            <w:r w:rsidR="0066157F" w:rsidRPr="0066157F">
              <w:rPr>
                <w:color w:val="000000"/>
                <w:w w:val="31"/>
                <w:shd w:val="solid" w:color="000000" w:fill="000000"/>
                <w:fitText w:val="140" w:id="-894208760"/>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60"/>
                <w14:textFill>
                  <w14:solidFill>
                    <w14:srgbClr w14:val="000000">
                      <w14:alpha w14:val="100000"/>
                    </w14:srgbClr>
                  </w14:solidFill>
                </w14:textFill>
              </w:rPr>
              <w:t xml:space="preserve">　</w:t>
            </w:r>
          </w:p>
        </w:tc>
        <w:tc>
          <w:tcPr>
            <w:tcW w:w="624" w:type="pct"/>
          </w:tcPr>
          <w:p w14:paraId="356B2744" w14:textId="40840673"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759"/>
                <w14:textFill>
                  <w14:solidFill>
                    <w14:srgbClr w14:val="000000">
                      <w14:alpha w14:val="100000"/>
                    </w14:srgbClr>
                  </w14:solidFill>
                </w14:textFill>
              </w:rPr>
              <w:t xml:space="preserve">　</w:t>
            </w:r>
            <w:r w:rsidR="0066157F" w:rsidRPr="0066157F">
              <w:rPr>
                <w:color w:val="000000"/>
                <w:w w:val="31"/>
                <w:shd w:val="solid" w:color="000000" w:fill="000000"/>
                <w:fitText w:val="140" w:id="-894208759"/>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59"/>
                <w14:textFill>
                  <w14:solidFill>
                    <w14:srgbClr w14:val="000000">
                      <w14:alpha w14:val="100000"/>
                    </w14:srgbClr>
                  </w14:solidFill>
                </w14:textFill>
              </w:rPr>
              <w:t xml:space="preserve">　</w:t>
            </w:r>
          </w:p>
        </w:tc>
        <w:tc>
          <w:tcPr>
            <w:tcW w:w="623" w:type="pct"/>
          </w:tcPr>
          <w:p w14:paraId="6ACE22CF" w14:textId="2C6EE221" w:rsidR="008E3130" w:rsidRPr="00D12904" w:rsidRDefault="008E3130" w:rsidP="00FD4253">
            <w:pPr>
              <w:pStyle w:val="Tabletext"/>
              <w:keepNext/>
              <w:keepLines/>
              <w:jc w:val="center"/>
            </w:pPr>
            <w:r w:rsidRPr="00D12904">
              <w:t>$</w:t>
            </w:r>
            <w:r w:rsidR="0066157F" w:rsidRPr="0066157F">
              <w:rPr>
                <w:rFonts w:hint="eastAsia"/>
                <w:color w:val="000000"/>
                <w:w w:val="29"/>
                <w:shd w:val="solid" w:color="000000" w:fill="000000"/>
                <w:fitText w:val="130" w:id="-894208758"/>
                <w14:textFill>
                  <w14:solidFill>
                    <w14:srgbClr w14:val="000000">
                      <w14:alpha w14:val="100000"/>
                    </w14:srgbClr>
                  </w14:solidFill>
                </w14:textFill>
              </w:rPr>
              <w:t xml:space="preserve">　</w:t>
            </w:r>
            <w:r w:rsidR="0066157F" w:rsidRPr="0066157F">
              <w:rPr>
                <w:color w:val="000000"/>
                <w:w w:val="29"/>
                <w:shd w:val="solid" w:color="000000" w:fill="000000"/>
                <w:fitText w:val="130" w:id="-894208758"/>
                <w14:textFill>
                  <w14:solidFill>
                    <w14:srgbClr w14:val="000000">
                      <w14:alpha w14:val="100000"/>
                    </w14:srgbClr>
                  </w14:solidFill>
                </w14:textFill>
              </w:rPr>
              <w:t>|</w:t>
            </w:r>
            <w:r w:rsidR="0066157F" w:rsidRPr="0066157F">
              <w:rPr>
                <w:rFonts w:hint="eastAsia"/>
                <w:color w:val="000000"/>
                <w:spacing w:val="2"/>
                <w:w w:val="29"/>
                <w:shd w:val="solid" w:color="000000" w:fill="000000"/>
                <w:fitText w:val="130" w:id="-894208758"/>
                <w14:textFill>
                  <w14:solidFill>
                    <w14:srgbClr w14:val="000000">
                      <w14:alpha w14:val="100000"/>
                    </w14:srgbClr>
                  </w14:solidFill>
                </w14:textFill>
              </w:rPr>
              <w:t xml:space="preserve">　</w:t>
            </w:r>
          </w:p>
        </w:tc>
      </w:tr>
      <w:tr w:rsidR="008E3130" w:rsidRPr="00D12904" w14:paraId="55E70DA6" w14:textId="77777777" w:rsidTr="00A56FC6">
        <w:trPr>
          <w:trHeight w:val="57"/>
        </w:trPr>
        <w:tc>
          <w:tcPr>
            <w:tcW w:w="390" w:type="pct"/>
          </w:tcPr>
          <w:p w14:paraId="6835CD58" w14:textId="77777777" w:rsidR="008E3130" w:rsidRPr="00D12904" w:rsidRDefault="008E3130" w:rsidP="00FD4253">
            <w:pPr>
              <w:pStyle w:val="Tabletext"/>
              <w:keepNext/>
              <w:keepLines/>
              <w:jc w:val="center"/>
            </w:pPr>
            <w:r w:rsidRPr="00D12904">
              <w:t>10</w:t>
            </w:r>
          </w:p>
        </w:tc>
        <w:tc>
          <w:tcPr>
            <w:tcW w:w="704" w:type="pct"/>
          </w:tcPr>
          <w:p w14:paraId="73138C9F" w14:textId="77777777" w:rsidR="008E3130" w:rsidRPr="00D12904" w:rsidRDefault="008E3130" w:rsidP="00FD4253">
            <w:pPr>
              <w:pStyle w:val="Tabletext"/>
              <w:keepNext/>
              <w:keepLines/>
              <w:jc w:val="center"/>
            </w:pPr>
            <w:r w:rsidRPr="00D12904">
              <w:t>31.94</w:t>
            </w:r>
          </w:p>
        </w:tc>
        <w:tc>
          <w:tcPr>
            <w:tcW w:w="705" w:type="pct"/>
          </w:tcPr>
          <w:p w14:paraId="5006AB65" w14:textId="77777777" w:rsidR="008E3130" w:rsidRPr="00D12904" w:rsidRDefault="008E3130" w:rsidP="00FD4253">
            <w:pPr>
              <w:pStyle w:val="Tabletext"/>
              <w:keepNext/>
              <w:keepLines/>
              <w:jc w:val="center"/>
            </w:pPr>
            <w:r w:rsidRPr="00D12904">
              <w:t>32.89</w:t>
            </w:r>
          </w:p>
        </w:tc>
        <w:tc>
          <w:tcPr>
            <w:tcW w:w="705" w:type="pct"/>
          </w:tcPr>
          <w:p w14:paraId="2AEA1071" w14:textId="77777777" w:rsidR="008E3130" w:rsidRPr="00D12904" w:rsidRDefault="008E3130" w:rsidP="00FD4253">
            <w:pPr>
              <w:pStyle w:val="Tabletext"/>
              <w:keepNext/>
              <w:keepLines/>
              <w:jc w:val="center"/>
            </w:pPr>
            <w:r w:rsidRPr="00D12904">
              <w:t>32.41</w:t>
            </w:r>
          </w:p>
        </w:tc>
        <w:tc>
          <w:tcPr>
            <w:tcW w:w="625" w:type="pct"/>
          </w:tcPr>
          <w:p w14:paraId="70859537" w14:textId="2E8CC83C"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757"/>
                <w14:textFill>
                  <w14:solidFill>
                    <w14:srgbClr w14:val="000000">
                      <w14:alpha w14:val="100000"/>
                    </w14:srgbClr>
                  </w14:solidFill>
                </w14:textFill>
              </w:rPr>
              <w:t xml:space="preserve">　</w:t>
            </w:r>
            <w:r w:rsidR="0066157F" w:rsidRPr="0066157F">
              <w:rPr>
                <w:color w:val="000000"/>
                <w:w w:val="31"/>
                <w:shd w:val="solid" w:color="000000" w:fill="000000"/>
                <w:fitText w:val="140" w:id="-894208757"/>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57"/>
                <w14:textFill>
                  <w14:solidFill>
                    <w14:srgbClr w14:val="000000">
                      <w14:alpha w14:val="100000"/>
                    </w14:srgbClr>
                  </w14:solidFill>
                </w14:textFill>
              </w:rPr>
              <w:t xml:space="preserve">　</w:t>
            </w:r>
          </w:p>
        </w:tc>
        <w:tc>
          <w:tcPr>
            <w:tcW w:w="624" w:type="pct"/>
          </w:tcPr>
          <w:p w14:paraId="4FBA5AD6" w14:textId="137CCA27"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756"/>
                <w14:textFill>
                  <w14:solidFill>
                    <w14:srgbClr w14:val="000000">
                      <w14:alpha w14:val="100000"/>
                    </w14:srgbClr>
                  </w14:solidFill>
                </w14:textFill>
              </w:rPr>
              <w:t xml:space="preserve">　</w:t>
            </w:r>
            <w:r w:rsidR="0066157F" w:rsidRPr="0066157F">
              <w:rPr>
                <w:color w:val="000000"/>
                <w:w w:val="31"/>
                <w:shd w:val="solid" w:color="000000" w:fill="000000"/>
                <w:fitText w:val="140" w:id="-894208756"/>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56"/>
                <w14:textFill>
                  <w14:solidFill>
                    <w14:srgbClr w14:val="000000">
                      <w14:alpha w14:val="100000"/>
                    </w14:srgbClr>
                  </w14:solidFill>
                </w14:textFill>
              </w:rPr>
              <w:t xml:space="preserve">　</w:t>
            </w:r>
          </w:p>
        </w:tc>
        <w:tc>
          <w:tcPr>
            <w:tcW w:w="624" w:type="pct"/>
          </w:tcPr>
          <w:p w14:paraId="3B3BA753" w14:textId="1013247D"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755"/>
                <w14:textFill>
                  <w14:solidFill>
                    <w14:srgbClr w14:val="000000">
                      <w14:alpha w14:val="100000"/>
                    </w14:srgbClr>
                  </w14:solidFill>
                </w14:textFill>
              </w:rPr>
              <w:t xml:space="preserve">　</w:t>
            </w:r>
            <w:r w:rsidR="0066157F" w:rsidRPr="0066157F">
              <w:rPr>
                <w:color w:val="000000"/>
                <w:w w:val="31"/>
                <w:shd w:val="solid" w:color="000000" w:fill="000000"/>
                <w:fitText w:val="140" w:id="-894208755"/>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55"/>
                <w14:textFill>
                  <w14:solidFill>
                    <w14:srgbClr w14:val="000000">
                      <w14:alpha w14:val="100000"/>
                    </w14:srgbClr>
                  </w14:solidFill>
                </w14:textFill>
              </w:rPr>
              <w:t xml:space="preserve">　</w:t>
            </w:r>
          </w:p>
        </w:tc>
        <w:tc>
          <w:tcPr>
            <w:tcW w:w="623" w:type="pct"/>
          </w:tcPr>
          <w:p w14:paraId="7A8EDDFC" w14:textId="5E46803E" w:rsidR="008E3130" w:rsidRPr="00D12904" w:rsidRDefault="008E3130" w:rsidP="00FD4253">
            <w:pPr>
              <w:pStyle w:val="Tabletext"/>
              <w:keepNext/>
              <w:keepLines/>
              <w:jc w:val="center"/>
            </w:pPr>
            <w:r w:rsidRPr="00D12904">
              <w:t>$</w:t>
            </w:r>
            <w:r w:rsidR="0066157F" w:rsidRPr="0066157F">
              <w:rPr>
                <w:rFonts w:hint="eastAsia"/>
                <w:color w:val="000000"/>
                <w:w w:val="29"/>
                <w:shd w:val="solid" w:color="000000" w:fill="000000"/>
                <w:fitText w:val="130" w:id="-894208754"/>
                <w14:textFill>
                  <w14:solidFill>
                    <w14:srgbClr w14:val="000000">
                      <w14:alpha w14:val="100000"/>
                    </w14:srgbClr>
                  </w14:solidFill>
                </w14:textFill>
              </w:rPr>
              <w:t xml:space="preserve">　</w:t>
            </w:r>
            <w:r w:rsidR="0066157F" w:rsidRPr="0066157F">
              <w:rPr>
                <w:color w:val="000000"/>
                <w:w w:val="29"/>
                <w:shd w:val="solid" w:color="000000" w:fill="000000"/>
                <w:fitText w:val="130" w:id="-894208754"/>
                <w14:textFill>
                  <w14:solidFill>
                    <w14:srgbClr w14:val="000000">
                      <w14:alpha w14:val="100000"/>
                    </w14:srgbClr>
                  </w14:solidFill>
                </w14:textFill>
              </w:rPr>
              <w:t>|</w:t>
            </w:r>
            <w:r w:rsidR="0066157F" w:rsidRPr="0066157F">
              <w:rPr>
                <w:rFonts w:hint="eastAsia"/>
                <w:color w:val="000000"/>
                <w:spacing w:val="2"/>
                <w:w w:val="29"/>
                <w:shd w:val="solid" w:color="000000" w:fill="000000"/>
                <w:fitText w:val="130" w:id="-894208754"/>
                <w14:textFill>
                  <w14:solidFill>
                    <w14:srgbClr w14:val="000000">
                      <w14:alpha w14:val="100000"/>
                    </w14:srgbClr>
                  </w14:solidFill>
                </w14:textFill>
              </w:rPr>
              <w:t xml:space="preserve">　</w:t>
            </w:r>
          </w:p>
        </w:tc>
      </w:tr>
      <w:tr w:rsidR="008E3130" w:rsidRPr="00D12904" w14:paraId="30DD065D" w14:textId="77777777" w:rsidTr="00A56FC6">
        <w:trPr>
          <w:trHeight w:val="57"/>
        </w:trPr>
        <w:tc>
          <w:tcPr>
            <w:tcW w:w="390" w:type="pct"/>
          </w:tcPr>
          <w:p w14:paraId="1C0371F3" w14:textId="77777777" w:rsidR="008E3130" w:rsidRPr="00D12904" w:rsidRDefault="008E3130" w:rsidP="00FD4253">
            <w:pPr>
              <w:pStyle w:val="Tabletext"/>
              <w:keepNext/>
              <w:keepLines/>
              <w:jc w:val="center"/>
            </w:pPr>
            <w:r w:rsidRPr="00D12904">
              <w:t>11</w:t>
            </w:r>
          </w:p>
        </w:tc>
        <w:tc>
          <w:tcPr>
            <w:tcW w:w="704" w:type="pct"/>
          </w:tcPr>
          <w:p w14:paraId="4B37262F" w14:textId="77777777" w:rsidR="008E3130" w:rsidRPr="00D12904" w:rsidRDefault="008E3130" w:rsidP="00FD4253">
            <w:pPr>
              <w:pStyle w:val="Tabletext"/>
              <w:keepNext/>
              <w:keepLines/>
              <w:jc w:val="center"/>
            </w:pPr>
            <w:r w:rsidRPr="00D12904">
              <w:t>35.89</w:t>
            </w:r>
          </w:p>
        </w:tc>
        <w:tc>
          <w:tcPr>
            <w:tcW w:w="705" w:type="pct"/>
          </w:tcPr>
          <w:p w14:paraId="1DC0A7AD" w14:textId="77777777" w:rsidR="008E3130" w:rsidRPr="00D12904" w:rsidRDefault="008E3130" w:rsidP="00FD4253">
            <w:pPr>
              <w:pStyle w:val="Tabletext"/>
              <w:keepNext/>
              <w:keepLines/>
              <w:jc w:val="center"/>
            </w:pPr>
            <w:r w:rsidRPr="00D12904">
              <w:t>37.21</w:t>
            </w:r>
          </w:p>
        </w:tc>
        <w:tc>
          <w:tcPr>
            <w:tcW w:w="705" w:type="pct"/>
          </w:tcPr>
          <w:p w14:paraId="02ED6015" w14:textId="77777777" w:rsidR="008E3130" w:rsidRPr="00D12904" w:rsidRDefault="008E3130" w:rsidP="00FD4253">
            <w:pPr>
              <w:pStyle w:val="Tabletext"/>
              <w:keepNext/>
              <w:keepLines/>
              <w:jc w:val="center"/>
            </w:pPr>
            <w:r w:rsidRPr="00D12904">
              <w:t>36.55</w:t>
            </w:r>
          </w:p>
        </w:tc>
        <w:tc>
          <w:tcPr>
            <w:tcW w:w="625" w:type="pct"/>
          </w:tcPr>
          <w:p w14:paraId="678BBD00" w14:textId="22D63DE4"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753"/>
                <w14:textFill>
                  <w14:solidFill>
                    <w14:srgbClr w14:val="000000">
                      <w14:alpha w14:val="100000"/>
                    </w14:srgbClr>
                  </w14:solidFill>
                </w14:textFill>
              </w:rPr>
              <w:t xml:space="preserve">　</w:t>
            </w:r>
            <w:r w:rsidR="0066157F" w:rsidRPr="0066157F">
              <w:rPr>
                <w:color w:val="000000"/>
                <w:w w:val="31"/>
                <w:shd w:val="solid" w:color="000000" w:fill="000000"/>
                <w:fitText w:val="140" w:id="-894208753"/>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53"/>
                <w14:textFill>
                  <w14:solidFill>
                    <w14:srgbClr w14:val="000000">
                      <w14:alpha w14:val="100000"/>
                    </w14:srgbClr>
                  </w14:solidFill>
                </w14:textFill>
              </w:rPr>
              <w:t xml:space="preserve">　</w:t>
            </w:r>
          </w:p>
        </w:tc>
        <w:tc>
          <w:tcPr>
            <w:tcW w:w="624" w:type="pct"/>
          </w:tcPr>
          <w:p w14:paraId="76DE8BC1" w14:textId="2D129F75"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752"/>
                <w14:textFill>
                  <w14:solidFill>
                    <w14:srgbClr w14:val="000000">
                      <w14:alpha w14:val="100000"/>
                    </w14:srgbClr>
                  </w14:solidFill>
                </w14:textFill>
              </w:rPr>
              <w:t xml:space="preserve">　</w:t>
            </w:r>
            <w:r w:rsidR="0066157F" w:rsidRPr="0066157F">
              <w:rPr>
                <w:color w:val="000000"/>
                <w:w w:val="31"/>
                <w:shd w:val="solid" w:color="000000" w:fill="000000"/>
                <w:fitText w:val="140" w:id="-894208752"/>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52"/>
                <w14:textFill>
                  <w14:solidFill>
                    <w14:srgbClr w14:val="000000">
                      <w14:alpha w14:val="100000"/>
                    </w14:srgbClr>
                  </w14:solidFill>
                </w14:textFill>
              </w:rPr>
              <w:t xml:space="preserve">　</w:t>
            </w:r>
          </w:p>
        </w:tc>
        <w:tc>
          <w:tcPr>
            <w:tcW w:w="624" w:type="pct"/>
          </w:tcPr>
          <w:p w14:paraId="52A46B64" w14:textId="142C65B1"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768"/>
                <w14:textFill>
                  <w14:solidFill>
                    <w14:srgbClr w14:val="000000">
                      <w14:alpha w14:val="100000"/>
                    </w14:srgbClr>
                  </w14:solidFill>
                </w14:textFill>
              </w:rPr>
              <w:t xml:space="preserve">　</w:t>
            </w:r>
            <w:r w:rsidR="0066157F" w:rsidRPr="0066157F">
              <w:rPr>
                <w:color w:val="000000"/>
                <w:w w:val="31"/>
                <w:shd w:val="solid" w:color="000000" w:fill="000000"/>
                <w:fitText w:val="140" w:id="-894208768"/>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68"/>
                <w14:textFill>
                  <w14:solidFill>
                    <w14:srgbClr w14:val="000000">
                      <w14:alpha w14:val="100000"/>
                    </w14:srgbClr>
                  </w14:solidFill>
                </w14:textFill>
              </w:rPr>
              <w:t xml:space="preserve">　</w:t>
            </w:r>
          </w:p>
        </w:tc>
        <w:tc>
          <w:tcPr>
            <w:tcW w:w="623" w:type="pct"/>
          </w:tcPr>
          <w:p w14:paraId="08B8B3F9" w14:textId="32C4AF81" w:rsidR="008E3130" w:rsidRPr="00D12904" w:rsidRDefault="008E3130" w:rsidP="00FD4253">
            <w:pPr>
              <w:pStyle w:val="Tabletext"/>
              <w:keepNext/>
              <w:keepLines/>
              <w:jc w:val="center"/>
            </w:pPr>
            <w:r w:rsidRPr="00D12904">
              <w:t>$</w:t>
            </w:r>
            <w:r w:rsidR="0066157F" w:rsidRPr="0066157F">
              <w:rPr>
                <w:rFonts w:hint="eastAsia"/>
                <w:color w:val="000000"/>
                <w:w w:val="29"/>
                <w:shd w:val="solid" w:color="000000" w:fill="000000"/>
                <w:fitText w:val="130" w:id="-894208767"/>
                <w14:textFill>
                  <w14:solidFill>
                    <w14:srgbClr w14:val="000000">
                      <w14:alpha w14:val="100000"/>
                    </w14:srgbClr>
                  </w14:solidFill>
                </w14:textFill>
              </w:rPr>
              <w:t xml:space="preserve">　</w:t>
            </w:r>
            <w:r w:rsidR="0066157F" w:rsidRPr="0066157F">
              <w:rPr>
                <w:color w:val="000000"/>
                <w:w w:val="29"/>
                <w:shd w:val="solid" w:color="000000" w:fill="000000"/>
                <w:fitText w:val="130" w:id="-894208767"/>
                <w14:textFill>
                  <w14:solidFill>
                    <w14:srgbClr w14:val="000000">
                      <w14:alpha w14:val="100000"/>
                    </w14:srgbClr>
                  </w14:solidFill>
                </w14:textFill>
              </w:rPr>
              <w:t>|</w:t>
            </w:r>
            <w:r w:rsidR="0066157F" w:rsidRPr="0066157F">
              <w:rPr>
                <w:rFonts w:hint="eastAsia"/>
                <w:color w:val="000000"/>
                <w:spacing w:val="2"/>
                <w:w w:val="29"/>
                <w:shd w:val="solid" w:color="000000" w:fill="000000"/>
                <w:fitText w:val="130" w:id="-894208767"/>
                <w14:textFill>
                  <w14:solidFill>
                    <w14:srgbClr w14:val="000000">
                      <w14:alpha w14:val="100000"/>
                    </w14:srgbClr>
                  </w14:solidFill>
                </w14:textFill>
              </w:rPr>
              <w:t xml:space="preserve">　</w:t>
            </w:r>
          </w:p>
        </w:tc>
      </w:tr>
      <w:tr w:rsidR="008E3130" w:rsidRPr="00D12904" w14:paraId="68161D5B" w14:textId="77777777" w:rsidTr="00A56FC6">
        <w:trPr>
          <w:trHeight w:val="57"/>
        </w:trPr>
        <w:tc>
          <w:tcPr>
            <w:tcW w:w="390" w:type="pct"/>
          </w:tcPr>
          <w:p w14:paraId="2A49EC63" w14:textId="77777777" w:rsidR="008E3130" w:rsidRPr="00D12904" w:rsidRDefault="008E3130" w:rsidP="00FD4253">
            <w:pPr>
              <w:pStyle w:val="Tabletext"/>
              <w:keepNext/>
              <w:keepLines/>
              <w:jc w:val="center"/>
            </w:pPr>
            <w:r w:rsidRPr="00D12904">
              <w:t>12</w:t>
            </w:r>
          </w:p>
        </w:tc>
        <w:tc>
          <w:tcPr>
            <w:tcW w:w="704" w:type="pct"/>
          </w:tcPr>
          <w:p w14:paraId="70FE5A31" w14:textId="77777777" w:rsidR="008E3130" w:rsidRPr="00D12904" w:rsidRDefault="008E3130" w:rsidP="00FD4253">
            <w:pPr>
              <w:pStyle w:val="Tabletext"/>
              <w:keepNext/>
              <w:keepLines/>
              <w:jc w:val="center"/>
            </w:pPr>
            <w:r w:rsidRPr="00D12904">
              <w:t>40.47</w:t>
            </w:r>
          </w:p>
        </w:tc>
        <w:tc>
          <w:tcPr>
            <w:tcW w:w="705" w:type="pct"/>
          </w:tcPr>
          <w:p w14:paraId="68D70DE6" w14:textId="77777777" w:rsidR="008E3130" w:rsidRPr="00D12904" w:rsidRDefault="008E3130" w:rsidP="00FD4253">
            <w:pPr>
              <w:pStyle w:val="Tabletext"/>
              <w:keepNext/>
              <w:keepLines/>
              <w:jc w:val="center"/>
            </w:pPr>
            <w:r w:rsidRPr="00D12904">
              <w:t>41.65</w:t>
            </w:r>
          </w:p>
        </w:tc>
        <w:tc>
          <w:tcPr>
            <w:tcW w:w="705" w:type="pct"/>
          </w:tcPr>
          <w:p w14:paraId="1D3D1363" w14:textId="77777777" w:rsidR="008E3130" w:rsidRPr="00D12904" w:rsidRDefault="008E3130" w:rsidP="00FD4253">
            <w:pPr>
              <w:pStyle w:val="Tabletext"/>
              <w:keepNext/>
              <w:keepLines/>
              <w:jc w:val="center"/>
            </w:pPr>
            <w:r w:rsidRPr="00D12904">
              <w:t>41.06</w:t>
            </w:r>
          </w:p>
        </w:tc>
        <w:tc>
          <w:tcPr>
            <w:tcW w:w="625" w:type="pct"/>
          </w:tcPr>
          <w:p w14:paraId="4B1D86D8" w14:textId="500F1DB0"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766"/>
                <w14:textFill>
                  <w14:solidFill>
                    <w14:srgbClr w14:val="000000">
                      <w14:alpha w14:val="100000"/>
                    </w14:srgbClr>
                  </w14:solidFill>
                </w14:textFill>
              </w:rPr>
              <w:t xml:space="preserve">　</w:t>
            </w:r>
            <w:r w:rsidR="0066157F" w:rsidRPr="0066157F">
              <w:rPr>
                <w:color w:val="000000"/>
                <w:w w:val="31"/>
                <w:shd w:val="solid" w:color="000000" w:fill="000000"/>
                <w:fitText w:val="140" w:id="-894208766"/>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66"/>
                <w14:textFill>
                  <w14:solidFill>
                    <w14:srgbClr w14:val="000000">
                      <w14:alpha w14:val="100000"/>
                    </w14:srgbClr>
                  </w14:solidFill>
                </w14:textFill>
              </w:rPr>
              <w:t xml:space="preserve">　</w:t>
            </w:r>
          </w:p>
        </w:tc>
        <w:tc>
          <w:tcPr>
            <w:tcW w:w="624" w:type="pct"/>
          </w:tcPr>
          <w:p w14:paraId="46CAEA0E" w14:textId="40501D07"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765"/>
                <w14:textFill>
                  <w14:solidFill>
                    <w14:srgbClr w14:val="000000">
                      <w14:alpha w14:val="100000"/>
                    </w14:srgbClr>
                  </w14:solidFill>
                </w14:textFill>
              </w:rPr>
              <w:t xml:space="preserve">　</w:t>
            </w:r>
            <w:r w:rsidR="0066157F" w:rsidRPr="0066157F">
              <w:rPr>
                <w:color w:val="000000"/>
                <w:w w:val="31"/>
                <w:shd w:val="solid" w:color="000000" w:fill="000000"/>
                <w:fitText w:val="140" w:id="-894208765"/>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65"/>
                <w14:textFill>
                  <w14:solidFill>
                    <w14:srgbClr w14:val="000000">
                      <w14:alpha w14:val="100000"/>
                    </w14:srgbClr>
                  </w14:solidFill>
                </w14:textFill>
              </w:rPr>
              <w:t xml:space="preserve">　</w:t>
            </w:r>
          </w:p>
        </w:tc>
        <w:tc>
          <w:tcPr>
            <w:tcW w:w="624" w:type="pct"/>
          </w:tcPr>
          <w:p w14:paraId="7181EFE7" w14:textId="039D4688"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764"/>
                <w14:textFill>
                  <w14:solidFill>
                    <w14:srgbClr w14:val="000000">
                      <w14:alpha w14:val="100000"/>
                    </w14:srgbClr>
                  </w14:solidFill>
                </w14:textFill>
              </w:rPr>
              <w:t xml:space="preserve">　</w:t>
            </w:r>
            <w:r w:rsidR="0066157F" w:rsidRPr="0066157F">
              <w:rPr>
                <w:color w:val="000000"/>
                <w:w w:val="31"/>
                <w:shd w:val="solid" w:color="000000" w:fill="000000"/>
                <w:fitText w:val="140" w:id="-894208764"/>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64"/>
                <w14:textFill>
                  <w14:solidFill>
                    <w14:srgbClr w14:val="000000">
                      <w14:alpha w14:val="100000"/>
                    </w14:srgbClr>
                  </w14:solidFill>
                </w14:textFill>
              </w:rPr>
              <w:t xml:space="preserve">　</w:t>
            </w:r>
          </w:p>
        </w:tc>
        <w:tc>
          <w:tcPr>
            <w:tcW w:w="623" w:type="pct"/>
          </w:tcPr>
          <w:p w14:paraId="20DD6270" w14:textId="3401C88F" w:rsidR="008E3130" w:rsidRPr="00D12904" w:rsidRDefault="008E3130" w:rsidP="00FD4253">
            <w:pPr>
              <w:pStyle w:val="Tabletext"/>
              <w:keepNext/>
              <w:keepLines/>
              <w:jc w:val="center"/>
            </w:pPr>
            <w:r w:rsidRPr="00D12904">
              <w:t>$</w:t>
            </w:r>
            <w:r w:rsidR="0066157F" w:rsidRPr="0066157F">
              <w:rPr>
                <w:rFonts w:hint="eastAsia"/>
                <w:color w:val="000000"/>
                <w:w w:val="29"/>
                <w:shd w:val="solid" w:color="000000" w:fill="000000"/>
                <w:fitText w:val="130" w:id="-894208763"/>
                <w14:textFill>
                  <w14:solidFill>
                    <w14:srgbClr w14:val="000000">
                      <w14:alpha w14:val="100000"/>
                    </w14:srgbClr>
                  </w14:solidFill>
                </w14:textFill>
              </w:rPr>
              <w:t xml:space="preserve">　</w:t>
            </w:r>
            <w:r w:rsidR="0066157F" w:rsidRPr="0066157F">
              <w:rPr>
                <w:color w:val="000000"/>
                <w:w w:val="29"/>
                <w:shd w:val="solid" w:color="000000" w:fill="000000"/>
                <w:fitText w:val="130" w:id="-894208763"/>
                <w14:textFill>
                  <w14:solidFill>
                    <w14:srgbClr w14:val="000000">
                      <w14:alpha w14:val="100000"/>
                    </w14:srgbClr>
                  </w14:solidFill>
                </w14:textFill>
              </w:rPr>
              <w:t>|</w:t>
            </w:r>
            <w:r w:rsidR="0066157F" w:rsidRPr="0066157F">
              <w:rPr>
                <w:rFonts w:hint="eastAsia"/>
                <w:color w:val="000000"/>
                <w:spacing w:val="2"/>
                <w:w w:val="29"/>
                <w:shd w:val="solid" w:color="000000" w:fill="000000"/>
                <w:fitText w:val="130" w:id="-894208763"/>
                <w14:textFill>
                  <w14:solidFill>
                    <w14:srgbClr w14:val="000000">
                      <w14:alpha w14:val="100000"/>
                    </w14:srgbClr>
                  </w14:solidFill>
                </w14:textFill>
              </w:rPr>
              <w:t xml:space="preserve">　</w:t>
            </w:r>
          </w:p>
        </w:tc>
      </w:tr>
      <w:tr w:rsidR="008E3130" w:rsidRPr="00D12904" w14:paraId="7DCAC4D2" w14:textId="77777777" w:rsidTr="00A56FC6">
        <w:trPr>
          <w:trHeight w:val="57"/>
        </w:trPr>
        <w:tc>
          <w:tcPr>
            <w:tcW w:w="390" w:type="pct"/>
          </w:tcPr>
          <w:p w14:paraId="33710E84" w14:textId="77777777" w:rsidR="008E3130" w:rsidRPr="00D12904" w:rsidRDefault="008E3130" w:rsidP="00FD4253">
            <w:pPr>
              <w:pStyle w:val="Tabletext"/>
              <w:keepNext/>
              <w:keepLines/>
              <w:jc w:val="center"/>
            </w:pPr>
            <w:r w:rsidRPr="00D12904">
              <w:t>13</w:t>
            </w:r>
          </w:p>
        </w:tc>
        <w:tc>
          <w:tcPr>
            <w:tcW w:w="704" w:type="pct"/>
          </w:tcPr>
          <w:p w14:paraId="1346AB5B" w14:textId="77777777" w:rsidR="008E3130" w:rsidRPr="00D12904" w:rsidRDefault="008E3130" w:rsidP="00FD4253">
            <w:pPr>
              <w:pStyle w:val="Tabletext"/>
              <w:keepNext/>
              <w:keepLines/>
              <w:jc w:val="center"/>
            </w:pPr>
            <w:r w:rsidRPr="00D12904">
              <w:t>45.59</w:t>
            </w:r>
          </w:p>
        </w:tc>
        <w:tc>
          <w:tcPr>
            <w:tcW w:w="705" w:type="pct"/>
          </w:tcPr>
          <w:p w14:paraId="19288DE4" w14:textId="77777777" w:rsidR="008E3130" w:rsidRPr="00D12904" w:rsidRDefault="008E3130" w:rsidP="00FD4253">
            <w:pPr>
              <w:pStyle w:val="Tabletext"/>
              <w:keepNext/>
              <w:keepLines/>
              <w:jc w:val="center"/>
            </w:pPr>
            <w:r w:rsidRPr="00D12904">
              <w:t>45.82</w:t>
            </w:r>
          </w:p>
        </w:tc>
        <w:tc>
          <w:tcPr>
            <w:tcW w:w="705" w:type="pct"/>
          </w:tcPr>
          <w:p w14:paraId="43D81069" w14:textId="77777777" w:rsidR="008E3130" w:rsidRPr="00D12904" w:rsidRDefault="008E3130" w:rsidP="00FD4253">
            <w:pPr>
              <w:pStyle w:val="Tabletext"/>
              <w:keepNext/>
              <w:keepLines/>
              <w:jc w:val="center"/>
            </w:pPr>
            <w:r w:rsidRPr="00D12904">
              <w:t>45.71</w:t>
            </w:r>
          </w:p>
        </w:tc>
        <w:tc>
          <w:tcPr>
            <w:tcW w:w="625" w:type="pct"/>
          </w:tcPr>
          <w:p w14:paraId="52FA68E8" w14:textId="143E1970"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762"/>
                <w14:textFill>
                  <w14:solidFill>
                    <w14:srgbClr w14:val="000000">
                      <w14:alpha w14:val="100000"/>
                    </w14:srgbClr>
                  </w14:solidFill>
                </w14:textFill>
              </w:rPr>
              <w:t xml:space="preserve">　</w:t>
            </w:r>
            <w:r w:rsidR="0066157F" w:rsidRPr="0066157F">
              <w:rPr>
                <w:color w:val="000000"/>
                <w:w w:val="31"/>
                <w:shd w:val="solid" w:color="000000" w:fill="000000"/>
                <w:fitText w:val="140" w:id="-894208762"/>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62"/>
                <w14:textFill>
                  <w14:solidFill>
                    <w14:srgbClr w14:val="000000">
                      <w14:alpha w14:val="100000"/>
                    </w14:srgbClr>
                  </w14:solidFill>
                </w14:textFill>
              </w:rPr>
              <w:t xml:space="preserve">　</w:t>
            </w:r>
          </w:p>
        </w:tc>
        <w:tc>
          <w:tcPr>
            <w:tcW w:w="624" w:type="pct"/>
          </w:tcPr>
          <w:p w14:paraId="6B97612C" w14:textId="427EAC9F"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761"/>
                <w14:textFill>
                  <w14:solidFill>
                    <w14:srgbClr w14:val="000000">
                      <w14:alpha w14:val="100000"/>
                    </w14:srgbClr>
                  </w14:solidFill>
                </w14:textFill>
              </w:rPr>
              <w:t xml:space="preserve">　</w:t>
            </w:r>
            <w:r w:rsidR="0066157F" w:rsidRPr="0066157F">
              <w:rPr>
                <w:color w:val="000000"/>
                <w:w w:val="31"/>
                <w:shd w:val="solid" w:color="000000" w:fill="000000"/>
                <w:fitText w:val="140" w:id="-894208761"/>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61"/>
                <w14:textFill>
                  <w14:solidFill>
                    <w14:srgbClr w14:val="000000">
                      <w14:alpha w14:val="100000"/>
                    </w14:srgbClr>
                  </w14:solidFill>
                </w14:textFill>
              </w:rPr>
              <w:t xml:space="preserve">　</w:t>
            </w:r>
          </w:p>
        </w:tc>
        <w:tc>
          <w:tcPr>
            <w:tcW w:w="624" w:type="pct"/>
          </w:tcPr>
          <w:p w14:paraId="2977CD79" w14:textId="033DD6DE"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760"/>
                <w14:textFill>
                  <w14:solidFill>
                    <w14:srgbClr w14:val="000000">
                      <w14:alpha w14:val="100000"/>
                    </w14:srgbClr>
                  </w14:solidFill>
                </w14:textFill>
              </w:rPr>
              <w:t xml:space="preserve">　</w:t>
            </w:r>
            <w:r w:rsidR="0066157F" w:rsidRPr="0066157F">
              <w:rPr>
                <w:color w:val="000000"/>
                <w:w w:val="31"/>
                <w:shd w:val="solid" w:color="000000" w:fill="000000"/>
                <w:fitText w:val="140" w:id="-894208760"/>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760"/>
                <w14:textFill>
                  <w14:solidFill>
                    <w14:srgbClr w14:val="000000">
                      <w14:alpha w14:val="100000"/>
                    </w14:srgbClr>
                  </w14:solidFill>
                </w14:textFill>
              </w:rPr>
              <w:t xml:space="preserve">　</w:t>
            </w:r>
          </w:p>
        </w:tc>
        <w:tc>
          <w:tcPr>
            <w:tcW w:w="623" w:type="pct"/>
          </w:tcPr>
          <w:p w14:paraId="7412516D" w14:textId="16C61F97" w:rsidR="008E3130" w:rsidRPr="00D12904" w:rsidRDefault="008E3130" w:rsidP="00FD4253">
            <w:pPr>
              <w:pStyle w:val="Tabletext"/>
              <w:keepNext/>
              <w:keepLines/>
              <w:jc w:val="center"/>
            </w:pPr>
            <w:r w:rsidRPr="00D12904">
              <w:t>$</w:t>
            </w:r>
            <w:r w:rsidR="0066157F" w:rsidRPr="0066157F">
              <w:rPr>
                <w:rFonts w:hint="eastAsia"/>
                <w:color w:val="000000"/>
                <w:w w:val="29"/>
                <w:shd w:val="solid" w:color="000000" w:fill="000000"/>
                <w:fitText w:val="130" w:id="-894208759"/>
                <w14:textFill>
                  <w14:solidFill>
                    <w14:srgbClr w14:val="000000">
                      <w14:alpha w14:val="100000"/>
                    </w14:srgbClr>
                  </w14:solidFill>
                </w14:textFill>
              </w:rPr>
              <w:t xml:space="preserve">　</w:t>
            </w:r>
            <w:r w:rsidR="0066157F" w:rsidRPr="0066157F">
              <w:rPr>
                <w:color w:val="000000"/>
                <w:w w:val="29"/>
                <w:shd w:val="solid" w:color="000000" w:fill="000000"/>
                <w:fitText w:val="130" w:id="-894208759"/>
                <w14:textFill>
                  <w14:solidFill>
                    <w14:srgbClr w14:val="000000">
                      <w14:alpha w14:val="100000"/>
                    </w14:srgbClr>
                  </w14:solidFill>
                </w14:textFill>
              </w:rPr>
              <w:t>|</w:t>
            </w:r>
            <w:r w:rsidR="0066157F" w:rsidRPr="0066157F">
              <w:rPr>
                <w:rFonts w:hint="eastAsia"/>
                <w:color w:val="000000"/>
                <w:spacing w:val="2"/>
                <w:w w:val="29"/>
                <w:shd w:val="solid" w:color="000000" w:fill="000000"/>
                <w:fitText w:val="130" w:id="-894208759"/>
                <w14:textFill>
                  <w14:solidFill>
                    <w14:srgbClr w14:val="000000">
                      <w14:alpha w14:val="100000"/>
                    </w14:srgbClr>
                  </w14:solidFill>
                </w14:textFill>
              </w:rPr>
              <w:t xml:space="preserve">　</w:t>
            </w:r>
          </w:p>
        </w:tc>
      </w:tr>
      <w:tr w:rsidR="008E3130" w:rsidRPr="00D12904" w14:paraId="5F503420" w14:textId="77777777" w:rsidTr="00A56FC6">
        <w:trPr>
          <w:trHeight w:val="57"/>
        </w:trPr>
        <w:tc>
          <w:tcPr>
            <w:tcW w:w="390" w:type="pct"/>
          </w:tcPr>
          <w:p w14:paraId="66EDA0CD" w14:textId="77777777" w:rsidR="008E3130" w:rsidRPr="00D12904" w:rsidRDefault="008E3130" w:rsidP="00FD4253">
            <w:pPr>
              <w:pStyle w:val="Tabletext"/>
              <w:keepNext/>
              <w:keepLines/>
              <w:jc w:val="center"/>
            </w:pPr>
            <w:r w:rsidRPr="00D12904">
              <w:t>14</w:t>
            </w:r>
          </w:p>
        </w:tc>
        <w:tc>
          <w:tcPr>
            <w:tcW w:w="704" w:type="pct"/>
          </w:tcPr>
          <w:p w14:paraId="453EC3B2" w14:textId="77777777" w:rsidR="008E3130" w:rsidRPr="00D12904" w:rsidRDefault="008E3130" w:rsidP="00FD4253">
            <w:pPr>
              <w:pStyle w:val="Tabletext"/>
              <w:keepNext/>
              <w:keepLines/>
              <w:jc w:val="center"/>
            </w:pPr>
            <w:r w:rsidRPr="00D12904">
              <w:t>51.00</w:t>
            </w:r>
          </w:p>
        </w:tc>
        <w:tc>
          <w:tcPr>
            <w:tcW w:w="705" w:type="pct"/>
          </w:tcPr>
          <w:p w14:paraId="13E65ABC" w14:textId="77777777" w:rsidR="008E3130" w:rsidRPr="00D12904" w:rsidRDefault="008E3130" w:rsidP="00FD4253">
            <w:pPr>
              <w:pStyle w:val="Tabletext"/>
              <w:keepNext/>
              <w:keepLines/>
              <w:jc w:val="center"/>
            </w:pPr>
            <w:r w:rsidRPr="00D12904">
              <w:t>49.36</w:t>
            </w:r>
          </w:p>
        </w:tc>
        <w:tc>
          <w:tcPr>
            <w:tcW w:w="705" w:type="pct"/>
          </w:tcPr>
          <w:p w14:paraId="07339453" w14:textId="77777777" w:rsidR="008E3130" w:rsidRPr="00D12904" w:rsidRDefault="008E3130" w:rsidP="00FD4253">
            <w:pPr>
              <w:pStyle w:val="Tabletext"/>
              <w:keepNext/>
              <w:keepLines/>
              <w:jc w:val="center"/>
            </w:pPr>
            <w:r w:rsidRPr="00D12904">
              <w:t>50.18</w:t>
            </w:r>
          </w:p>
        </w:tc>
        <w:tc>
          <w:tcPr>
            <w:tcW w:w="625" w:type="pct"/>
          </w:tcPr>
          <w:p w14:paraId="60CDE634" w14:textId="0E4BD74A"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512"/>
                <w14:textFill>
                  <w14:solidFill>
                    <w14:srgbClr w14:val="000000">
                      <w14:alpha w14:val="100000"/>
                    </w14:srgbClr>
                  </w14:solidFill>
                </w14:textFill>
              </w:rPr>
              <w:t xml:space="preserve">　</w:t>
            </w:r>
            <w:r w:rsidR="0066157F" w:rsidRPr="0066157F">
              <w:rPr>
                <w:color w:val="000000"/>
                <w:w w:val="31"/>
                <w:shd w:val="solid" w:color="000000" w:fill="000000"/>
                <w:fitText w:val="140" w:id="-894208512"/>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512"/>
                <w14:textFill>
                  <w14:solidFill>
                    <w14:srgbClr w14:val="000000">
                      <w14:alpha w14:val="100000"/>
                    </w14:srgbClr>
                  </w14:solidFill>
                </w14:textFill>
              </w:rPr>
              <w:t xml:space="preserve">　</w:t>
            </w:r>
          </w:p>
        </w:tc>
        <w:tc>
          <w:tcPr>
            <w:tcW w:w="624" w:type="pct"/>
          </w:tcPr>
          <w:p w14:paraId="56053F9E" w14:textId="310DBA94"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511"/>
                <w14:textFill>
                  <w14:solidFill>
                    <w14:srgbClr w14:val="000000">
                      <w14:alpha w14:val="100000"/>
                    </w14:srgbClr>
                  </w14:solidFill>
                </w14:textFill>
              </w:rPr>
              <w:t xml:space="preserve">　</w:t>
            </w:r>
            <w:r w:rsidR="0066157F" w:rsidRPr="0066157F">
              <w:rPr>
                <w:color w:val="000000"/>
                <w:w w:val="31"/>
                <w:shd w:val="solid" w:color="000000" w:fill="000000"/>
                <w:fitText w:val="140" w:id="-894208511"/>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511"/>
                <w14:textFill>
                  <w14:solidFill>
                    <w14:srgbClr w14:val="000000">
                      <w14:alpha w14:val="100000"/>
                    </w14:srgbClr>
                  </w14:solidFill>
                </w14:textFill>
              </w:rPr>
              <w:t xml:space="preserve">　</w:t>
            </w:r>
          </w:p>
        </w:tc>
        <w:tc>
          <w:tcPr>
            <w:tcW w:w="624" w:type="pct"/>
          </w:tcPr>
          <w:p w14:paraId="22666B5D" w14:textId="0042EACD"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510"/>
                <w14:textFill>
                  <w14:solidFill>
                    <w14:srgbClr w14:val="000000">
                      <w14:alpha w14:val="100000"/>
                    </w14:srgbClr>
                  </w14:solidFill>
                </w14:textFill>
              </w:rPr>
              <w:t xml:space="preserve">　</w:t>
            </w:r>
            <w:r w:rsidR="0066157F" w:rsidRPr="0066157F">
              <w:rPr>
                <w:color w:val="000000"/>
                <w:w w:val="31"/>
                <w:shd w:val="solid" w:color="000000" w:fill="000000"/>
                <w:fitText w:val="140" w:id="-894208510"/>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510"/>
                <w14:textFill>
                  <w14:solidFill>
                    <w14:srgbClr w14:val="000000">
                      <w14:alpha w14:val="100000"/>
                    </w14:srgbClr>
                  </w14:solidFill>
                </w14:textFill>
              </w:rPr>
              <w:t xml:space="preserve">　</w:t>
            </w:r>
          </w:p>
        </w:tc>
        <w:tc>
          <w:tcPr>
            <w:tcW w:w="623" w:type="pct"/>
          </w:tcPr>
          <w:p w14:paraId="4E3195E4" w14:textId="7D55A051" w:rsidR="008E3130" w:rsidRPr="00D12904" w:rsidRDefault="008E3130" w:rsidP="00FD4253">
            <w:pPr>
              <w:pStyle w:val="Tabletext"/>
              <w:keepNext/>
              <w:keepLines/>
              <w:jc w:val="center"/>
            </w:pPr>
            <w:r w:rsidRPr="00D12904">
              <w:t>$</w:t>
            </w:r>
            <w:r w:rsidR="0066157F" w:rsidRPr="0066157F">
              <w:rPr>
                <w:rFonts w:hint="eastAsia"/>
                <w:color w:val="000000"/>
                <w:w w:val="29"/>
                <w:shd w:val="solid" w:color="000000" w:fill="000000"/>
                <w:fitText w:val="130" w:id="-894208509"/>
                <w14:textFill>
                  <w14:solidFill>
                    <w14:srgbClr w14:val="000000">
                      <w14:alpha w14:val="100000"/>
                    </w14:srgbClr>
                  </w14:solidFill>
                </w14:textFill>
              </w:rPr>
              <w:t xml:space="preserve">　</w:t>
            </w:r>
            <w:r w:rsidR="0066157F" w:rsidRPr="0066157F">
              <w:rPr>
                <w:color w:val="000000"/>
                <w:w w:val="29"/>
                <w:shd w:val="solid" w:color="000000" w:fill="000000"/>
                <w:fitText w:val="130" w:id="-894208509"/>
                <w14:textFill>
                  <w14:solidFill>
                    <w14:srgbClr w14:val="000000">
                      <w14:alpha w14:val="100000"/>
                    </w14:srgbClr>
                  </w14:solidFill>
                </w14:textFill>
              </w:rPr>
              <w:t>|</w:t>
            </w:r>
            <w:r w:rsidR="0066157F" w:rsidRPr="0066157F">
              <w:rPr>
                <w:rFonts w:hint="eastAsia"/>
                <w:color w:val="000000"/>
                <w:spacing w:val="2"/>
                <w:w w:val="29"/>
                <w:shd w:val="solid" w:color="000000" w:fill="000000"/>
                <w:fitText w:val="130" w:id="-894208509"/>
                <w14:textFill>
                  <w14:solidFill>
                    <w14:srgbClr w14:val="000000">
                      <w14:alpha w14:val="100000"/>
                    </w14:srgbClr>
                  </w14:solidFill>
                </w14:textFill>
              </w:rPr>
              <w:t xml:space="preserve">　</w:t>
            </w:r>
          </w:p>
        </w:tc>
      </w:tr>
      <w:tr w:rsidR="008E3130" w:rsidRPr="00D12904" w14:paraId="1152ABD6" w14:textId="77777777" w:rsidTr="00A56FC6">
        <w:trPr>
          <w:trHeight w:val="57"/>
        </w:trPr>
        <w:tc>
          <w:tcPr>
            <w:tcW w:w="390" w:type="pct"/>
          </w:tcPr>
          <w:p w14:paraId="22ECA9D6" w14:textId="77777777" w:rsidR="008E3130" w:rsidRPr="00D12904" w:rsidRDefault="008E3130" w:rsidP="00FD4253">
            <w:pPr>
              <w:pStyle w:val="Tabletext"/>
              <w:keepNext/>
              <w:keepLines/>
              <w:jc w:val="center"/>
            </w:pPr>
            <w:r w:rsidRPr="00D12904">
              <w:t>15</w:t>
            </w:r>
          </w:p>
        </w:tc>
        <w:tc>
          <w:tcPr>
            <w:tcW w:w="704" w:type="pct"/>
          </w:tcPr>
          <w:p w14:paraId="6C3C3408" w14:textId="77777777" w:rsidR="008E3130" w:rsidRPr="00D12904" w:rsidRDefault="008E3130" w:rsidP="00FD4253">
            <w:pPr>
              <w:pStyle w:val="Tabletext"/>
              <w:keepNext/>
              <w:keepLines/>
              <w:jc w:val="center"/>
            </w:pPr>
            <w:r w:rsidRPr="00D12904">
              <w:t>56.28</w:t>
            </w:r>
          </w:p>
        </w:tc>
        <w:tc>
          <w:tcPr>
            <w:tcW w:w="705" w:type="pct"/>
          </w:tcPr>
          <w:p w14:paraId="5CA50713" w14:textId="77777777" w:rsidR="008E3130" w:rsidRPr="00D12904" w:rsidRDefault="008E3130" w:rsidP="00FD4253">
            <w:pPr>
              <w:pStyle w:val="Tabletext"/>
              <w:keepNext/>
              <w:keepLines/>
              <w:jc w:val="center"/>
            </w:pPr>
            <w:r w:rsidRPr="00D12904">
              <w:t>52.04</w:t>
            </w:r>
          </w:p>
        </w:tc>
        <w:tc>
          <w:tcPr>
            <w:tcW w:w="705" w:type="pct"/>
          </w:tcPr>
          <w:p w14:paraId="420D3A98" w14:textId="77777777" w:rsidR="008E3130" w:rsidRPr="00D12904" w:rsidRDefault="008E3130" w:rsidP="00FD4253">
            <w:pPr>
              <w:pStyle w:val="Tabletext"/>
              <w:keepNext/>
              <w:keepLines/>
              <w:jc w:val="center"/>
            </w:pPr>
            <w:r w:rsidRPr="00D12904">
              <w:t>54.16</w:t>
            </w:r>
          </w:p>
        </w:tc>
        <w:tc>
          <w:tcPr>
            <w:tcW w:w="625" w:type="pct"/>
          </w:tcPr>
          <w:p w14:paraId="108DB921" w14:textId="236CC3D7"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508"/>
                <w14:textFill>
                  <w14:solidFill>
                    <w14:srgbClr w14:val="000000">
                      <w14:alpha w14:val="100000"/>
                    </w14:srgbClr>
                  </w14:solidFill>
                </w14:textFill>
              </w:rPr>
              <w:t xml:space="preserve">　</w:t>
            </w:r>
            <w:r w:rsidR="0066157F" w:rsidRPr="0066157F">
              <w:rPr>
                <w:color w:val="000000"/>
                <w:w w:val="31"/>
                <w:shd w:val="solid" w:color="000000" w:fill="000000"/>
                <w:fitText w:val="140" w:id="-894208508"/>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508"/>
                <w14:textFill>
                  <w14:solidFill>
                    <w14:srgbClr w14:val="000000">
                      <w14:alpha w14:val="100000"/>
                    </w14:srgbClr>
                  </w14:solidFill>
                </w14:textFill>
              </w:rPr>
              <w:t xml:space="preserve">　</w:t>
            </w:r>
          </w:p>
        </w:tc>
        <w:tc>
          <w:tcPr>
            <w:tcW w:w="624" w:type="pct"/>
          </w:tcPr>
          <w:p w14:paraId="2803EDA6" w14:textId="5BCC642D"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507"/>
                <w14:textFill>
                  <w14:solidFill>
                    <w14:srgbClr w14:val="000000">
                      <w14:alpha w14:val="100000"/>
                    </w14:srgbClr>
                  </w14:solidFill>
                </w14:textFill>
              </w:rPr>
              <w:t xml:space="preserve">　</w:t>
            </w:r>
            <w:r w:rsidR="0066157F" w:rsidRPr="0066157F">
              <w:rPr>
                <w:color w:val="000000"/>
                <w:w w:val="31"/>
                <w:shd w:val="solid" w:color="000000" w:fill="000000"/>
                <w:fitText w:val="140" w:id="-894208507"/>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507"/>
                <w14:textFill>
                  <w14:solidFill>
                    <w14:srgbClr w14:val="000000">
                      <w14:alpha w14:val="100000"/>
                    </w14:srgbClr>
                  </w14:solidFill>
                </w14:textFill>
              </w:rPr>
              <w:t xml:space="preserve">　</w:t>
            </w:r>
          </w:p>
        </w:tc>
        <w:tc>
          <w:tcPr>
            <w:tcW w:w="624" w:type="pct"/>
          </w:tcPr>
          <w:p w14:paraId="39C0B7CC" w14:textId="426E8544"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506"/>
                <w14:textFill>
                  <w14:solidFill>
                    <w14:srgbClr w14:val="000000">
                      <w14:alpha w14:val="100000"/>
                    </w14:srgbClr>
                  </w14:solidFill>
                </w14:textFill>
              </w:rPr>
              <w:t xml:space="preserve">　</w:t>
            </w:r>
            <w:r w:rsidR="0066157F" w:rsidRPr="0066157F">
              <w:rPr>
                <w:color w:val="000000"/>
                <w:w w:val="31"/>
                <w:shd w:val="solid" w:color="000000" w:fill="000000"/>
                <w:fitText w:val="140" w:id="-894208506"/>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506"/>
                <w14:textFill>
                  <w14:solidFill>
                    <w14:srgbClr w14:val="000000">
                      <w14:alpha w14:val="100000"/>
                    </w14:srgbClr>
                  </w14:solidFill>
                </w14:textFill>
              </w:rPr>
              <w:t xml:space="preserve">　</w:t>
            </w:r>
          </w:p>
        </w:tc>
        <w:tc>
          <w:tcPr>
            <w:tcW w:w="623" w:type="pct"/>
          </w:tcPr>
          <w:p w14:paraId="3157D352" w14:textId="360F956C" w:rsidR="008E3130" w:rsidRPr="00D12904" w:rsidRDefault="008E3130" w:rsidP="00FD4253">
            <w:pPr>
              <w:pStyle w:val="Tabletext"/>
              <w:keepNext/>
              <w:keepLines/>
              <w:jc w:val="center"/>
            </w:pPr>
            <w:r w:rsidRPr="00D12904">
              <w:t>$</w:t>
            </w:r>
            <w:r w:rsidR="0066157F" w:rsidRPr="0066157F">
              <w:rPr>
                <w:rFonts w:hint="eastAsia"/>
                <w:color w:val="000000"/>
                <w:w w:val="29"/>
                <w:shd w:val="solid" w:color="000000" w:fill="000000"/>
                <w:fitText w:val="130" w:id="-894208505"/>
                <w14:textFill>
                  <w14:solidFill>
                    <w14:srgbClr w14:val="000000">
                      <w14:alpha w14:val="100000"/>
                    </w14:srgbClr>
                  </w14:solidFill>
                </w14:textFill>
              </w:rPr>
              <w:t xml:space="preserve">　</w:t>
            </w:r>
            <w:r w:rsidR="0066157F" w:rsidRPr="0066157F">
              <w:rPr>
                <w:color w:val="000000"/>
                <w:w w:val="29"/>
                <w:shd w:val="solid" w:color="000000" w:fill="000000"/>
                <w:fitText w:val="130" w:id="-894208505"/>
                <w14:textFill>
                  <w14:solidFill>
                    <w14:srgbClr w14:val="000000">
                      <w14:alpha w14:val="100000"/>
                    </w14:srgbClr>
                  </w14:solidFill>
                </w14:textFill>
              </w:rPr>
              <w:t>|</w:t>
            </w:r>
            <w:r w:rsidR="0066157F" w:rsidRPr="0066157F">
              <w:rPr>
                <w:rFonts w:hint="eastAsia"/>
                <w:color w:val="000000"/>
                <w:spacing w:val="2"/>
                <w:w w:val="29"/>
                <w:shd w:val="solid" w:color="000000" w:fill="000000"/>
                <w:fitText w:val="130" w:id="-894208505"/>
                <w14:textFill>
                  <w14:solidFill>
                    <w14:srgbClr w14:val="000000">
                      <w14:alpha w14:val="100000"/>
                    </w14:srgbClr>
                  </w14:solidFill>
                </w14:textFill>
              </w:rPr>
              <w:t xml:space="preserve">　</w:t>
            </w:r>
          </w:p>
        </w:tc>
      </w:tr>
      <w:tr w:rsidR="008E3130" w:rsidRPr="00D12904" w14:paraId="40A495E5" w14:textId="77777777" w:rsidTr="00A56FC6">
        <w:trPr>
          <w:trHeight w:val="57"/>
        </w:trPr>
        <w:tc>
          <w:tcPr>
            <w:tcW w:w="390" w:type="pct"/>
          </w:tcPr>
          <w:p w14:paraId="2B96E951" w14:textId="77777777" w:rsidR="008E3130" w:rsidRPr="00D12904" w:rsidRDefault="008E3130" w:rsidP="00FD4253">
            <w:pPr>
              <w:pStyle w:val="Tabletext"/>
              <w:keepNext/>
              <w:keepLines/>
              <w:jc w:val="center"/>
            </w:pPr>
            <w:r w:rsidRPr="00D12904">
              <w:t>16</w:t>
            </w:r>
          </w:p>
        </w:tc>
        <w:tc>
          <w:tcPr>
            <w:tcW w:w="704" w:type="pct"/>
          </w:tcPr>
          <w:p w14:paraId="57818138" w14:textId="77777777" w:rsidR="008E3130" w:rsidRPr="00D12904" w:rsidRDefault="008E3130" w:rsidP="00FD4253">
            <w:pPr>
              <w:pStyle w:val="Tabletext"/>
              <w:keepNext/>
              <w:keepLines/>
              <w:jc w:val="center"/>
            </w:pPr>
            <w:r w:rsidRPr="00D12904">
              <w:t>60.92</w:t>
            </w:r>
          </w:p>
        </w:tc>
        <w:tc>
          <w:tcPr>
            <w:tcW w:w="705" w:type="pct"/>
          </w:tcPr>
          <w:p w14:paraId="1E473569" w14:textId="77777777" w:rsidR="008E3130" w:rsidRPr="00D12904" w:rsidRDefault="008E3130" w:rsidP="00FD4253">
            <w:pPr>
              <w:pStyle w:val="Tabletext"/>
              <w:keepNext/>
              <w:keepLines/>
              <w:jc w:val="center"/>
            </w:pPr>
            <w:r w:rsidRPr="00D12904">
              <w:t>53.88</w:t>
            </w:r>
          </w:p>
        </w:tc>
        <w:tc>
          <w:tcPr>
            <w:tcW w:w="705" w:type="pct"/>
          </w:tcPr>
          <w:p w14:paraId="2CD8BE7C" w14:textId="77777777" w:rsidR="008E3130" w:rsidRPr="00D12904" w:rsidRDefault="008E3130" w:rsidP="00FD4253">
            <w:pPr>
              <w:pStyle w:val="Tabletext"/>
              <w:keepNext/>
              <w:keepLines/>
              <w:jc w:val="center"/>
            </w:pPr>
            <w:r w:rsidRPr="00D12904">
              <w:t>57.40</w:t>
            </w:r>
          </w:p>
        </w:tc>
        <w:tc>
          <w:tcPr>
            <w:tcW w:w="625" w:type="pct"/>
          </w:tcPr>
          <w:p w14:paraId="12105D83" w14:textId="14F42B80"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504"/>
                <w14:textFill>
                  <w14:solidFill>
                    <w14:srgbClr w14:val="000000">
                      <w14:alpha w14:val="100000"/>
                    </w14:srgbClr>
                  </w14:solidFill>
                </w14:textFill>
              </w:rPr>
              <w:t xml:space="preserve">　</w:t>
            </w:r>
            <w:r w:rsidR="0066157F" w:rsidRPr="0066157F">
              <w:rPr>
                <w:color w:val="000000"/>
                <w:w w:val="31"/>
                <w:shd w:val="solid" w:color="000000" w:fill="000000"/>
                <w:fitText w:val="140" w:id="-894208504"/>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504"/>
                <w14:textFill>
                  <w14:solidFill>
                    <w14:srgbClr w14:val="000000">
                      <w14:alpha w14:val="100000"/>
                    </w14:srgbClr>
                  </w14:solidFill>
                </w14:textFill>
              </w:rPr>
              <w:t xml:space="preserve">　</w:t>
            </w:r>
          </w:p>
        </w:tc>
        <w:tc>
          <w:tcPr>
            <w:tcW w:w="624" w:type="pct"/>
          </w:tcPr>
          <w:p w14:paraId="18E0227D" w14:textId="074D03B7"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503"/>
                <w14:textFill>
                  <w14:solidFill>
                    <w14:srgbClr w14:val="000000">
                      <w14:alpha w14:val="100000"/>
                    </w14:srgbClr>
                  </w14:solidFill>
                </w14:textFill>
              </w:rPr>
              <w:t xml:space="preserve">　</w:t>
            </w:r>
            <w:r w:rsidR="0066157F" w:rsidRPr="0066157F">
              <w:rPr>
                <w:color w:val="000000"/>
                <w:w w:val="31"/>
                <w:shd w:val="solid" w:color="000000" w:fill="000000"/>
                <w:fitText w:val="140" w:id="-894208503"/>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503"/>
                <w14:textFill>
                  <w14:solidFill>
                    <w14:srgbClr w14:val="000000">
                      <w14:alpha w14:val="100000"/>
                    </w14:srgbClr>
                  </w14:solidFill>
                </w14:textFill>
              </w:rPr>
              <w:t xml:space="preserve">　</w:t>
            </w:r>
          </w:p>
        </w:tc>
        <w:tc>
          <w:tcPr>
            <w:tcW w:w="624" w:type="pct"/>
          </w:tcPr>
          <w:p w14:paraId="6997DC37" w14:textId="4B57C138"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502"/>
                <w14:textFill>
                  <w14:solidFill>
                    <w14:srgbClr w14:val="000000">
                      <w14:alpha w14:val="100000"/>
                    </w14:srgbClr>
                  </w14:solidFill>
                </w14:textFill>
              </w:rPr>
              <w:t xml:space="preserve">　</w:t>
            </w:r>
            <w:r w:rsidR="0066157F" w:rsidRPr="0066157F">
              <w:rPr>
                <w:color w:val="000000"/>
                <w:w w:val="31"/>
                <w:shd w:val="solid" w:color="000000" w:fill="000000"/>
                <w:fitText w:val="140" w:id="-894208502"/>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502"/>
                <w14:textFill>
                  <w14:solidFill>
                    <w14:srgbClr w14:val="000000">
                      <w14:alpha w14:val="100000"/>
                    </w14:srgbClr>
                  </w14:solidFill>
                </w14:textFill>
              </w:rPr>
              <w:t xml:space="preserve">　</w:t>
            </w:r>
          </w:p>
        </w:tc>
        <w:tc>
          <w:tcPr>
            <w:tcW w:w="623" w:type="pct"/>
          </w:tcPr>
          <w:p w14:paraId="01E81CC6" w14:textId="1C208033" w:rsidR="008E3130" w:rsidRPr="00D12904" w:rsidRDefault="008E3130" w:rsidP="00FD4253">
            <w:pPr>
              <w:pStyle w:val="Tabletext"/>
              <w:keepNext/>
              <w:keepLines/>
              <w:jc w:val="center"/>
            </w:pPr>
            <w:r w:rsidRPr="00D12904">
              <w:t>$</w:t>
            </w:r>
            <w:r w:rsidR="0066157F" w:rsidRPr="0066157F">
              <w:rPr>
                <w:rFonts w:hint="eastAsia"/>
                <w:color w:val="000000"/>
                <w:w w:val="29"/>
                <w:shd w:val="solid" w:color="000000" w:fill="000000"/>
                <w:fitText w:val="130" w:id="-894208501"/>
                <w14:textFill>
                  <w14:solidFill>
                    <w14:srgbClr w14:val="000000">
                      <w14:alpha w14:val="100000"/>
                    </w14:srgbClr>
                  </w14:solidFill>
                </w14:textFill>
              </w:rPr>
              <w:t xml:space="preserve">　</w:t>
            </w:r>
            <w:r w:rsidR="0066157F" w:rsidRPr="0066157F">
              <w:rPr>
                <w:color w:val="000000"/>
                <w:w w:val="29"/>
                <w:shd w:val="solid" w:color="000000" w:fill="000000"/>
                <w:fitText w:val="130" w:id="-894208501"/>
                <w14:textFill>
                  <w14:solidFill>
                    <w14:srgbClr w14:val="000000">
                      <w14:alpha w14:val="100000"/>
                    </w14:srgbClr>
                  </w14:solidFill>
                </w14:textFill>
              </w:rPr>
              <w:t>|</w:t>
            </w:r>
            <w:r w:rsidR="0066157F" w:rsidRPr="0066157F">
              <w:rPr>
                <w:rFonts w:hint="eastAsia"/>
                <w:color w:val="000000"/>
                <w:spacing w:val="2"/>
                <w:w w:val="29"/>
                <w:shd w:val="solid" w:color="000000" w:fill="000000"/>
                <w:fitText w:val="130" w:id="-894208501"/>
                <w14:textFill>
                  <w14:solidFill>
                    <w14:srgbClr w14:val="000000">
                      <w14:alpha w14:val="100000"/>
                    </w14:srgbClr>
                  </w14:solidFill>
                </w14:textFill>
              </w:rPr>
              <w:t xml:space="preserve">　</w:t>
            </w:r>
          </w:p>
        </w:tc>
      </w:tr>
      <w:tr w:rsidR="008E3130" w:rsidRPr="00D12904" w14:paraId="0D1A9B51" w14:textId="77777777" w:rsidTr="00A56FC6">
        <w:trPr>
          <w:trHeight w:val="57"/>
        </w:trPr>
        <w:tc>
          <w:tcPr>
            <w:tcW w:w="390" w:type="pct"/>
          </w:tcPr>
          <w:p w14:paraId="0517545B" w14:textId="77777777" w:rsidR="008E3130" w:rsidRPr="00D12904" w:rsidRDefault="008E3130" w:rsidP="00FD4253">
            <w:pPr>
              <w:pStyle w:val="Tabletext"/>
              <w:keepNext/>
              <w:keepLines/>
              <w:jc w:val="center"/>
            </w:pPr>
            <w:r w:rsidRPr="00D12904">
              <w:t>17</w:t>
            </w:r>
          </w:p>
        </w:tc>
        <w:tc>
          <w:tcPr>
            <w:tcW w:w="704" w:type="pct"/>
          </w:tcPr>
          <w:p w14:paraId="6B0BC939" w14:textId="77777777" w:rsidR="008E3130" w:rsidRPr="00D12904" w:rsidRDefault="008E3130" w:rsidP="00FD4253">
            <w:pPr>
              <w:pStyle w:val="Tabletext"/>
              <w:keepNext/>
              <w:keepLines/>
              <w:jc w:val="center"/>
            </w:pPr>
            <w:r w:rsidRPr="00D12904">
              <w:t>64.57</w:t>
            </w:r>
          </w:p>
        </w:tc>
        <w:tc>
          <w:tcPr>
            <w:tcW w:w="705" w:type="pct"/>
          </w:tcPr>
          <w:p w14:paraId="3E338951" w14:textId="77777777" w:rsidR="008E3130" w:rsidRPr="00D12904" w:rsidRDefault="008E3130" w:rsidP="00FD4253">
            <w:pPr>
              <w:pStyle w:val="Tabletext"/>
              <w:keepNext/>
              <w:keepLines/>
              <w:jc w:val="center"/>
            </w:pPr>
            <w:r w:rsidRPr="00D12904">
              <w:t>55.14</w:t>
            </w:r>
          </w:p>
        </w:tc>
        <w:tc>
          <w:tcPr>
            <w:tcW w:w="705" w:type="pct"/>
          </w:tcPr>
          <w:p w14:paraId="5A27BAC5" w14:textId="77777777" w:rsidR="008E3130" w:rsidRPr="00D12904" w:rsidRDefault="008E3130" w:rsidP="00FD4253">
            <w:pPr>
              <w:pStyle w:val="Tabletext"/>
              <w:keepNext/>
              <w:keepLines/>
              <w:jc w:val="center"/>
            </w:pPr>
            <w:r w:rsidRPr="00D12904">
              <w:t>59.85</w:t>
            </w:r>
          </w:p>
        </w:tc>
        <w:tc>
          <w:tcPr>
            <w:tcW w:w="625" w:type="pct"/>
          </w:tcPr>
          <w:p w14:paraId="4135094F" w14:textId="29E14ED4"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500"/>
                <w14:textFill>
                  <w14:solidFill>
                    <w14:srgbClr w14:val="000000">
                      <w14:alpha w14:val="100000"/>
                    </w14:srgbClr>
                  </w14:solidFill>
                </w14:textFill>
              </w:rPr>
              <w:t xml:space="preserve">　</w:t>
            </w:r>
            <w:r w:rsidR="0066157F" w:rsidRPr="0066157F">
              <w:rPr>
                <w:color w:val="000000"/>
                <w:w w:val="31"/>
                <w:shd w:val="solid" w:color="000000" w:fill="000000"/>
                <w:fitText w:val="140" w:id="-894208500"/>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500"/>
                <w14:textFill>
                  <w14:solidFill>
                    <w14:srgbClr w14:val="000000">
                      <w14:alpha w14:val="100000"/>
                    </w14:srgbClr>
                  </w14:solidFill>
                </w14:textFill>
              </w:rPr>
              <w:t xml:space="preserve">　</w:t>
            </w:r>
          </w:p>
        </w:tc>
        <w:tc>
          <w:tcPr>
            <w:tcW w:w="624" w:type="pct"/>
          </w:tcPr>
          <w:p w14:paraId="2AB2EB33" w14:textId="4D31CE53"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499"/>
                <w14:textFill>
                  <w14:solidFill>
                    <w14:srgbClr w14:val="000000">
                      <w14:alpha w14:val="100000"/>
                    </w14:srgbClr>
                  </w14:solidFill>
                </w14:textFill>
              </w:rPr>
              <w:t xml:space="preserve">　</w:t>
            </w:r>
            <w:r w:rsidR="0066157F" w:rsidRPr="0066157F">
              <w:rPr>
                <w:color w:val="000000"/>
                <w:w w:val="31"/>
                <w:shd w:val="solid" w:color="000000" w:fill="000000"/>
                <w:fitText w:val="140" w:id="-894208499"/>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499"/>
                <w14:textFill>
                  <w14:solidFill>
                    <w14:srgbClr w14:val="000000">
                      <w14:alpha w14:val="100000"/>
                    </w14:srgbClr>
                  </w14:solidFill>
                </w14:textFill>
              </w:rPr>
              <w:t xml:space="preserve">　</w:t>
            </w:r>
          </w:p>
        </w:tc>
        <w:tc>
          <w:tcPr>
            <w:tcW w:w="624" w:type="pct"/>
          </w:tcPr>
          <w:p w14:paraId="2CF5D2A7" w14:textId="77BC2FDA"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498"/>
                <w14:textFill>
                  <w14:solidFill>
                    <w14:srgbClr w14:val="000000">
                      <w14:alpha w14:val="100000"/>
                    </w14:srgbClr>
                  </w14:solidFill>
                </w14:textFill>
              </w:rPr>
              <w:t xml:space="preserve">　</w:t>
            </w:r>
            <w:r w:rsidR="0066157F" w:rsidRPr="0066157F">
              <w:rPr>
                <w:color w:val="000000"/>
                <w:w w:val="31"/>
                <w:shd w:val="solid" w:color="000000" w:fill="000000"/>
                <w:fitText w:val="140" w:id="-894208498"/>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498"/>
                <w14:textFill>
                  <w14:solidFill>
                    <w14:srgbClr w14:val="000000">
                      <w14:alpha w14:val="100000"/>
                    </w14:srgbClr>
                  </w14:solidFill>
                </w14:textFill>
              </w:rPr>
              <w:t xml:space="preserve">　</w:t>
            </w:r>
          </w:p>
        </w:tc>
        <w:tc>
          <w:tcPr>
            <w:tcW w:w="623" w:type="pct"/>
          </w:tcPr>
          <w:p w14:paraId="6D9F2350" w14:textId="4A079A13" w:rsidR="008E3130" w:rsidRPr="00D12904" w:rsidRDefault="008E3130" w:rsidP="00FD4253">
            <w:pPr>
              <w:pStyle w:val="Tabletext"/>
              <w:keepNext/>
              <w:keepLines/>
              <w:jc w:val="center"/>
            </w:pPr>
            <w:r w:rsidRPr="00D12904">
              <w:t>$</w:t>
            </w:r>
            <w:r w:rsidR="0066157F" w:rsidRPr="0066157F">
              <w:rPr>
                <w:rFonts w:hint="eastAsia"/>
                <w:color w:val="000000"/>
                <w:w w:val="29"/>
                <w:shd w:val="solid" w:color="000000" w:fill="000000"/>
                <w:fitText w:val="130" w:id="-894208497"/>
                <w14:textFill>
                  <w14:solidFill>
                    <w14:srgbClr w14:val="000000">
                      <w14:alpha w14:val="100000"/>
                    </w14:srgbClr>
                  </w14:solidFill>
                </w14:textFill>
              </w:rPr>
              <w:t xml:space="preserve">　</w:t>
            </w:r>
            <w:r w:rsidR="0066157F" w:rsidRPr="0066157F">
              <w:rPr>
                <w:color w:val="000000"/>
                <w:w w:val="29"/>
                <w:shd w:val="solid" w:color="000000" w:fill="000000"/>
                <w:fitText w:val="130" w:id="-894208497"/>
                <w14:textFill>
                  <w14:solidFill>
                    <w14:srgbClr w14:val="000000">
                      <w14:alpha w14:val="100000"/>
                    </w14:srgbClr>
                  </w14:solidFill>
                </w14:textFill>
              </w:rPr>
              <w:t>|</w:t>
            </w:r>
            <w:r w:rsidR="0066157F" w:rsidRPr="0066157F">
              <w:rPr>
                <w:rFonts w:hint="eastAsia"/>
                <w:color w:val="000000"/>
                <w:spacing w:val="2"/>
                <w:w w:val="29"/>
                <w:shd w:val="solid" w:color="000000" w:fill="000000"/>
                <w:fitText w:val="130" w:id="-894208497"/>
                <w14:textFill>
                  <w14:solidFill>
                    <w14:srgbClr w14:val="000000">
                      <w14:alpha w14:val="100000"/>
                    </w14:srgbClr>
                  </w14:solidFill>
                </w14:textFill>
              </w:rPr>
              <w:t xml:space="preserve">　</w:t>
            </w:r>
          </w:p>
        </w:tc>
      </w:tr>
      <w:tr w:rsidR="008E3130" w:rsidRPr="00D12904" w14:paraId="10F06B09" w14:textId="77777777" w:rsidTr="00A56FC6">
        <w:trPr>
          <w:trHeight w:val="57"/>
        </w:trPr>
        <w:tc>
          <w:tcPr>
            <w:tcW w:w="390" w:type="pct"/>
          </w:tcPr>
          <w:p w14:paraId="50C53197" w14:textId="77777777" w:rsidR="008E3130" w:rsidRPr="00D12904" w:rsidRDefault="008E3130" w:rsidP="00FD4253">
            <w:pPr>
              <w:pStyle w:val="Tabletext"/>
              <w:keepNext/>
              <w:keepLines/>
              <w:jc w:val="center"/>
            </w:pPr>
            <w:r w:rsidRPr="00D12904">
              <w:t>18</w:t>
            </w:r>
          </w:p>
        </w:tc>
        <w:tc>
          <w:tcPr>
            <w:tcW w:w="704" w:type="pct"/>
          </w:tcPr>
          <w:p w14:paraId="380C4C6A" w14:textId="77777777" w:rsidR="008E3130" w:rsidRPr="00D12904" w:rsidRDefault="008E3130" w:rsidP="00FD4253">
            <w:pPr>
              <w:pStyle w:val="Tabletext"/>
              <w:keepNext/>
              <w:keepLines/>
              <w:jc w:val="center"/>
            </w:pPr>
            <w:r w:rsidRPr="00D12904">
              <w:t>67.20</w:t>
            </w:r>
          </w:p>
        </w:tc>
        <w:tc>
          <w:tcPr>
            <w:tcW w:w="705" w:type="pct"/>
          </w:tcPr>
          <w:p w14:paraId="4ADC6130" w14:textId="77777777" w:rsidR="008E3130" w:rsidRPr="00D12904" w:rsidRDefault="008E3130" w:rsidP="00FD4253">
            <w:pPr>
              <w:pStyle w:val="Tabletext"/>
              <w:keepNext/>
              <w:keepLines/>
              <w:jc w:val="center"/>
            </w:pPr>
            <w:r w:rsidRPr="00D12904">
              <w:t>56.19</w:t>
            </w:r>
          </w:p>
        </w:tc>
        <w:tc>
          <w:tcPr>
            <w:tcW w:w="705" w:type="pct"/>
          </w:tcPr>
          <w:p w14:paraId="038950BF" w14:textId="77777777" w:rsidR="008E3130" w:rsidRPr="00D12904" w:rsidRDefault="008E3130" w:rsidP="00FD4253">
            <w:pPr>
              <w:pStyle w:val="Tabletext"/>
              <w:keepNext/>
              <w:keepLines/>
              <w:jc w:val="center"/>
            </w:pPr>
            <w:r w:rsidRPr="00D12904">
              <w:t>61.69</w:t>
            </w:r>
          </w:p>
        </w:tc>
        <w:tc>
          <w:tcPr>
            <w:tcW w:w="625" w:type="pct"/>
          </w:tcPr>
          <w:p w14:paraId="45EB6EDA" w14:textId="2BFA9438"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496"/>
                <w14:textFill>
                  <w14:solidFill>
                    <w14:srgbClr w14:val="000000">
                      <w14:alpha w14:val="100000"/>
                    </w14:srgbClr>
                  </w14:solidFill>
                </w14:textFill>
              </w:rPr>
              <w:t xml:space="preserve">　</w:t>
            </w:r>
            <w:r w:rsidR="0066157F" w:rsidRPr="0066157F">
              <w:rPr>
                <w:color w:val="000000"/>
                <w:w w:val="31"/>
                <w:shd w:val="solid" w:color="000000" w:fill="000000"/>
                <w:fitText w:val="140" w:id="-894208496"/>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496"/>
                <w14:textFill>
                  <w14:solidFill>
                    <w14:srgbClr w14:val="000000">
                      <w14:alpha w14:val="100000"/>
                    </w14:srgbClr>
                  </w14:solidFill>
                </w14:textFill>
              </w:rPr>
              <w:t xml:space="preserve">　</w:t>
            </w:r>
          </w:p>
        </w:tc>
        <w:tc>
          <w:tcPr>
            <w:tcW w:w="624" w:type="pct"/>
          </w:tcPr>
          <w:p w14:paraId="74087543" w14:textId="133384E0"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512"/>
                <w14:textFill>
                  <w14:solidFill>
                    <w14:srgbClr w14:val="000000">
                      <w14:alpha w14:val="100000"/>
                    </w14:srgbClr>
                  </w14:solidFill>
                </w14:textFill>
              </w:rPr>
              <w:t xml:space="preserve">　</w:t>
            </w:r>
            <w:r w:rsidR="0066157F" w:rsidRPr="0066157F">
              <w:rPr>
                <w:color w:val="000000"/>
                <w:w w:val="31"/>
                <w:shd w:val="solid" w:color="000000" w:fill="000000"/>
                <w:fitText w:val="140" w:id="-894208512"/>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512"/>
                <w14:textFill>
                  <w14:solidFill>
                    <w14:srgbClr w14:val="000000">
                      <w14:alpha w14:val="100000"/>
                    </w14:srgbClr>
                  </w14:solidFill>
                </w14:textFill>
              </w:rPr>
              <w:t xml:space="preserve">　</w:t>
            </w:r>
          </w:p>
        </w:tc>
        <w:tc>
          <w:tcPr>
            <w:tcW w:w="624" w:type="pct"/>
          </w:tcPr>
          <w:p w14:paraId="038783E7" w14:textId="71094AD0"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511"/>
                <w14:textFill>
                  <w14:solidFill>
                    <w14:srgbClr w14:val="000000">
                      <w14:alpha w14:val="100000"/>
                    </w14:srgbClr>
                  </w14:solidFill>
                </w14:textFill>
              </w:rPr>
              <w:t xml:space="preserve">　</w:t>
            </w:r>
            <w:r w:rsidR="0066157F" w:rsidRPr="0066157F">
              <w:rPr>
                <w:color w:val="000000"/>
                <w:w w:val="31"/>
                <w:shd w:val="solid" w:color="000000" w:fill="000000"/>
                <w:fitText w:val="140" w:id="-894208511"/>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511"/>
                <w14:textFill>
                  <w14:solidFill>
                    <w14:srgbClr w14:val="000000">
                      <w14:alpha w14:val="100000"/>
                    </w14:srgbClr>
                  </w14:solidFill>
                </w14:textFill>
              </w:rPr>
              <w:t xml:space="preserve">　</w:t>
            </w:r>
          </w:p>
        </w:tc>
        <w:tc>
          <w:tcPr>
            <w:tcW w:w="623" w:type="pct"/>
          </w:tcPr>
          <w:p w14:paraId="00DBF270" w14:textId="1D098204" w:rsidR="008E3130" w:rsidRPr="00D12904" w:rsidRDefault="008E3130" w:rsidP="00FD4253">
            <w:pPr>
              <w:pStyle w:val="Tabletext"/>
              <w:keepNext/>
              <w:keepLines/>
              <w:jc w:val="center"/>
            </w:pPr>
            <w:r w:rsidRPr="00D12904">
              <w:t>$</w:t>
            </w:r>
            <w:r w:rsidR="0066157F" w:rsidRPr="0066157F">
              <w:rPr>
                <w:rFonts w:hint="eastAsia"/>
                <w:color w:val="000000"/>
                <w:w w:val="29"/>
                <w:shd w:val="solid" w:color="000000" w:fill="000000"/>
                <w:fitText w:val="130" w:id="-894208510"/>
                <w14:textFill>
                  <w14:solidFill>
                    <w14:srgbClr w14:val="000000">
                      <w14:alpha w14:val="100000"/>
                    </w14:srgbClr>
                  </w14:solidFill>
                </w14:textFill>
              </w:rPr>
              <w:t xml:space="preserve">　</w:t>
            </w:r>
            <w:r w:rsidR="0066157F" w:rsidRPr="0066157F">
              <w:rPr>
                <w:color w:val="000000"/>
                <w:w w:val="29"/>
                <w:shd w:val="solid" w:color="000000" w:fill="000000"/>
                <w:fitText w:val="130" w:id="-894208510"/>
                <w14:textFill>
                  <w14:solidFill>
                    <w14:srgbClr w14:val="000000">
                      <w14:alpha w14:val="100000"/>
                    </w14:srgbClr>
                  </w14:solidFill>
                </w14:textFill>
              </w:rPr>
              <w:t>|</w:t>
            </w:r>
            <w:r w:rsidR="0066157F" w:rsidRPr="0066157F">
              <w:rPr>
                <w:rFonts w:hint="eastAsia"/>
                <w:color w:val="000000"/>
                <w:spacing w:val="2"/>
                <w:w w:val="29"/>
                <w:shd w:val="solid" w:color="000000" w:fill="000000"/>
                <w:fitText w:val="130" w:id="-894208510"/>
                <w14:textFill>
                  <w14:solidFill>
                    <w14:srgbClr w14:val="000000">
                      <w14:alpha w14:val="100000"/>
                    </w14:srgbClr>
                  </w14:solidFill>
                </w14:textFill>
              </w:rPr>
              <w:t xml:space="preserve">　</w:t>
            </w:r>
          </w:p>
        </w:tc>
      </w:tr>
      <w:tr w:rsidR="008E3130" w:rsidRPr="00D12904" w14:paraId="27B6A1DC" w14:textId="77777777" w:rsidTr="00A56FC6">
        <w:trPr>
          <w:trHeight w:val="57"/>
        </w:trPr>
        <w:tc>
          <w:tcPr>
            <w:tcW w:w="390" w:type="pct"/>
          </w:tcPr>
          <w:p w14:paraId="72470286" w14:textId="77777777" w:rsidR="008E3130" w:rsidRPr="00D12904" w:rsidRDefault="008E3130" w:rsidP="00FD4253">
            <w:pPr>
              <w:pStyle w:val="Tabletext"/>
              <w:keepNext/>
              <w:keepLines/>
              <w:jc w:val="center"/>
            </w:pPr>
            <w:r w:rsidRPr="00D12904">
              <w:t>25</w:t>
            </w:r>
          </w:p>
        </w:tc>
        <w:tc>
          <w:tcPr>
            <w:tcW w:w="704" w:type="pct"/>
          </w:tcPr>
          <w:p w14:paraId="2938B43F" w14:textId="77777777" w:rsidR="008E3130" w:rsidRPr="00D12904" w:rsidRDefault="008E3130" w:rsidP="00FD4253">
            <w:pPr>
              <w:pStyle w:val="Tabletext"/>
              <w:keepNext/>
              <w:keepLines/>
              <w:jc w:val="center"/>
            </w:pPr>
            <w:r w:rsidRPr="00D12904">
              <w:t>77.40</w:t>
            </w:r>
          </w:p>
        </w:tc>
        <w:tc>
          <w:tcPr>
            <w:tcW w:w="705" w:type="pct"/>
          </w:tcPr>
          <w:p w14:paraId="7F67A3C8" w14:textId="77777777" w:rsidR="008E3130" w:rsidRPr="00D12904" w:rsidRDefault="008E3130" w:rsidP="00FD4253">
            <w:pPr>
              <w:pStyle w:val="Tabletext"/>
              <w:keepNext/>
              <w:keepLines/>
              <w:jc w:val="center"/>
            </w:pPr>
            <w:r w:rsidRPr="00D12904">
              <w:t>63.00</w:t>
            </w:r>
          </w:p>
        </w:tc>
        <w:tc>
          <w:tcPr>
            <w:tcW w:w="705" w:type="pct"/>
          </w:tcPr>
          <w:p w14:paraId="46033A20" w14:textId="77777777" w:rsidR="008E3130" w:rsidRPr="00D12904" w:rsidRDefault="008E3130" w:rsidP="00FD4253">
            <w:pPr>
              <w:pStyle w:val="Tabletext"/>
              <w:keepNext/>
              <w:keepLines/>
              <w:jc w:val="center"/>
            </w:pPr>
            <w:r w:rsidRPr="00D12904">
              <w:t>70.20</w:t>
            </w:r>
          </w:p>
        </w:tc>
        <w:tc>
          <w:tcPr>
            <w:tcW w:w="625" w:type="pct"/>
          </w:tcPr>
          <w:p w14:paraId="04D9AAE1" w14:textId="5B2C17B4"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509"/>
                <w14:textFill>
                  <w14:solidFill>
                    <w14:srgbClr w14:val="000000">
                      <w14:alpha w14:val="100000"/>
                    </w14:srgbClr>
                  </w14:solidFill>
                </w14:textFill>
              </w:rPr>
              <w:t xml:space="preserve">　</w:t>
            </w:r>
            <w:r w:rsidR="0066157F" w:rsidRPr="0066157F">
              <w:rPr>
                <w:color w:val="000000"/>
                <w:w w:val="31"/>
                <w:shd w:val="solid" w:color="000000" w:fill="000000"/>
                <w:fitText w:val="140" w:id="-894208509"/>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509"/>
                <w14:textFill>
                  <w14:solidFill>
                    <w14:srgbClr w14:val="000000">
                      <w14:alpha w14:val="100000"/>
                    </w14:srgbClr>
                  </w14:solidFill>
                </w14:textFill>
              </w:rPr>
              <w:t xml:space="preserve">　</w:t>
            </w:r>
          </w:p>
        </w:tc>
        <w:tc>
          <w:tcPr>
            <w:tcW w:w="624" w:type="pct"/>
          </w:tcPr>
          <w:p w14:paraId="2D7D37A1" w14:textId="50EF8443"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508"/>
                <w14:textFill>
                  <w14:solidFill>
                    <w14:srgbClr w14:val="000000">
                      <w14:alpha w14:val="100000"/>
                    </w14:srgbClr>
                  </w14:solidFill>
                </w14:textFill>
              </w:rPr>
              <w:t xml:space="preserve">　</w:t>
            </w:r>
            <w:r w:rsidR="0066157F" w:rsidRPr="0066157F">
              <w:rPr>
                <w:color w:val="000000"/>
                <w:w w:val="31"/>
                <w:shd w:val="solid" w:color="000000" w:fill="000000"/>
                <w:fitText w:val="140" w:id="-894208508"/>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508"/>
                <w14:textFill>
                  <w14:solidFill>
                    <w14:srgbClr w14:val="000000">
                      <w14:alpha w14:val="100000"/>
                    </w14:srgbClr>
                  </w14:solidFill>
                </w14:textFill>
              </w:rPr>
              <w:t xml:space="preserve">　</w:t>
            </w:r>
          </w:p>
        </w:tc>
        <w:tc>
          <w:tcPr>
            <w:tcW w:w="624" w:type="pct"/>
          </w:tcPr>
          <w:p w14:paraId="37CBF6AD" w14:textId="4627FFB7"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507"/>
                <w14:textFill>
                  <w14:solidFill>
                    <w14:srgbClr w14:val="000000">
                      <w14:alpha w14:val="100000"/>
                    </w14:srgbClr>
                  </w14:solidFill>
                </w14:textFill>
              </w:rPr>
              <w:t xml:space="preserve">　</w:t>
            </w:r>
            <w:r w:rsidR="0066157F" w:rsidRPr="0066157F">
              <w:rPr>
                <w:color w:val="000000"/>
                <w:w w:val="31"/>
                <w:shd w:val="solid" w:color="000000" w:fill="000000"/>
                <w:fitText w:val="140" w:id="-894208507"/>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507"/>
                <w14:textFill>
                  <w14:solidFill>
                    <w14:srgbClr w14:val="000000">
                      <w14:alpha w14:val="100000"/>
                    </w14:srgbClr>
                  </w14:solidFill>
                </w14:textFill>
              </w:rPr>
              <w:t xml:space="preserve">　</w:t>
            </w:r>
          </w:p>
        </w:tc>
        <w:tc>
          <w:tcPr>
            <w:tcW w:w="623" w:type="pct"/>
          </w:tcPr>
          <w:p w14:paraId="26C326DD" w14:textId="0655C8FC" w:rsidR="008E3130" w:rsidRPr="00D12904" w:rsidRDefault="008E3130" w:rsidP="00FD4253">
            <w:pPr>
              <w:pStyle w:val="Tabletext"/>
              <w:keepNext/>
              <w:keepLines/>
              <w:jc w:val="center"/>
            </w:pPr>
            <w:r w:rsidRPr="00D12904">
              <w:t>$</w:t>
            </w:r>
            <w:r w:rsidR="0066157F" w:rsidRPr="0066157F">
              <w:rPr>
                <w:rFonts w:hint="eastAsia"/>
                <w:color w:val="000000"/>
                <w:w w:val="29"/>
                <w:shd w:val="solid" w:color="000000" w:fill="000000"/>
                <w:fitText w:val="130" w:id="-894208506"/>
                <w14:textFill>
                  <w14:solidFill>
                    <w14:srgbClr w14:val="000000">
                      <w14:alpha w14:val="100000"/>
                    </w14:srgbClr>
                  </w14:solidFill>
                </w14:textFill>
              </w:rPr>
              <w:t xml:space="preserve">　</w:t>
            </w:r>
            <w:r w:rsidR="0066157F" w:rsidRPr="0066157F">
              <w:rPr>
                <w:color w:val="000000"/>
                <w:w w:val="29"/>
                <w:shd w:val="solid" w:color="000000" w:fill="000000"/>
                <w:fitText w:val="130" w:id="-894208506"/>
                <w14:textFill>
                  <w14:solidFill>
                    <w14:srgbClr w14:val="000000">
                      <w14:alpha w14:val="100000"/>
                    </w14:srgbClr>
                  </w14:solidFill>
                </w14:textFill>
              </w:rPr>
              <w:t>|</w:t>
            </w:r>
            <w:r w:rsidR="0066157F" w:rsidRPr="0066157F">
              <w:rPr>
                <w:rFonts w:hint="eastAsia"/>
                <w:color w:val="000000"/>
                <w:spacing w:val="2"/>
                <w:w w:val="29"/>
                <w:shd w:val="solid" w:color="000000" w:fill="000000"/>
                <w:fitText w:val="130" w:id="-894208506"/>
                <w14:textFill>
                  <w14:solidFill>
                    <w14:srgbClr w14:val="000000">
                      <w14:alpha w14:val="100000"/>
                    </w14:srgbClr>
                  </w14:solidFill>
                </w14:textFill>
              </w:rPr>
              <w:t xml:space="preserve">　</w:t>
            </w:r>
          </w:p>
        </w:tc>
      </w:tr>
      <w:tr w:rsidR="008E3130" w:rsidRPr="00D12904" w14:paraId="0E725393" w14:textId="77777777" w:rsidTr="00A56FC6">
        <w:trPr>
          <w:trHeight w:val="57"/>
        </w:trPr>
        <w:tc>
          <w:tcPr>
            <w:tcW w:w="390" w:type="pct"/>
          </w:tcPr>
          <w:p w14:paraId="246C49E4" w14:textId="77777777" w:rsidR="008E3130" w:rsidRPr="00D12904" w:rsidRDefault="008E3130" w:rsidP="00FD4253">
            <w:pPr>
              <w:pStyle w:val="Tabletext"/>
              <w:keepNext/>
              <w:keepLines/>
              <w:jc w:val="center"/>
            </w:pPr>
            <w:r w:rsidRPr="00D12904">
              <w:t>35</w:t>
            </w:r>
          </w:p>
        </w:tc>
        <w:tc>
          <w:tcPr>
            <w:tcW w:w="704" w:type="pct"/>
          </w:tcPr>
          <w:p w14:paraId="695B88EA" w14:textId="77777777" w:rsidR="008E3130" w:rsidRPr="00D12904" w:rsidRDefault="008E3130" w:rsidP="00FD4253">
            <w:pPr>
              <w:pStyle w:val="Tabletext"/>
              <w:keepNext/>
              <w:keepLines/>
              <w:jc w:val="center"/>
            </w:pPr>
            <w:r w:rsidRPr="00D12904">
              <w:t>83.00</w:t>
            </w:r>
          </w:p>
        </w:tc>
        <w:tc>
          <w:tcPr>
            <w:tcW w:w="705" w:type="pct"/>
          </w:tcPr>
          <w:p w14:paraId="77A07815" w14:textId="77777777" w:rsidR="008E3130" w:rsidRPr="00D12904" w:rsidRDefault="008E3130" w:rsidP="00FD4253">
            <w:pPr>
              <w:pStyle w:val="Tabletext"/>
              <w:keepNext/>
              <w:keepLines/>
              <w:jc w:val="center"/>
            </w:pPr>
            <w:r w:rsidRPr="00D12904">
              <w:t>66.00</w:t>
            </w:r>
          </w:p>
        </w:tc>
        <w:tc>
          <w:tcPr>
            <w:tcW w:w="705" w:type="pct"/>
          </w:tcPr>
          <w:p w14:paraId="622BC03A" w14:textId="77777777" w:rsidR="008E3130" w:rsidRPr="00D12904" w:rsidRDefault="008E3130" w:rsidP="00FD4253">
            <w:pPr>
              <w:pStyle w:val="Tabletext"/>
              <w:keepNext/>
              <w:keepLines/>
              <w:jc w:val="center"/>
            </w:pPr>
            <w:r w:rsidRPr="00D12904">
              <w:t>74.50</w:t>
            </w:r>
          </w:p>
        </w:tc>
        <w:tc>
          <w:tcPr>
            <w:tcW w:w="625" w:type="pct"/>
          </w:tcPr>
          <w:p w14:paraId="437A61FD" w14:textId="27106165"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505"/>
                <w14:textFill>
                  <w14:solidFill>
                    <w14:srgbClr w14:val="000000">
                      <w14:alpha w14:val="100000"/>
                    </w14:srgbClr>
                  </w14:solidFill>
                </w14:textFill>
              </w:rPr>
              <w:t xml:space="preserve">　</w:t>
            </w:r>
            <w:r w:rsidR="0066157F" w:rsidRPr="0066157F">
              <w:rPr>
                <w:color w:val="000000"/>
                <w:w w:val="31"/>
                <w:shd w:val="solid" w:color="000000" w:fill="000000"/>
                <w:fitText w:val="140" w:id="-894208505"/>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505"/>
                <w14:textFill>
                  <w14:solidFill>
                    <w14:srgbClr w14:val="000000">
                      <w14:alpha w14:val="100000"/>
                    </w14:srgbClr>
                  </w14:solidFill>
                </w14:textFill>
              </w:rPr>
              <w:t xml:space="preserve">　</w:t>
            </w:r>
          </w:p>
        </w:tc>
        <w:tc>
          <w:tcPr>
            <w:tcW w:w="624" w:type="pct"/>
          </w:tcPr>
          <w:p w14:paraId="490DF67C" w14:textId="4F7D1A79"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504"/>
                <w14:textFill>
                  <w14:solidFill>
                    <w14:srgbClr w14:val="000000">
                      <w14:alpha w14:val="100000"/>
                    </w14:srgbClr>
                  </w14:solidFill>
                </w14:textFill>
              </w:rPr>
              <w:t xml:space="preserve">　</w:t>
            </w:r>
            <w:r w:rsidR="0066157F" w:rsidRPr="0066157F">
              <w:rPr>
                <w:color w:val="000000"/>
                <w:w w:val="31"/>
                <w:shd w:val="solid" w:color="000000" w:fill="000000"/>
                <w:fitText w:val="140" w:id="-894208504"/>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504"/>
                <w14:textFill>
                  <w14:solidFill>
                    <w14:srgbClr w14:val="000000">
                      <w14:alpha w14:val="100000"/>
                    </w14:srgbClr>
                  </w14:solidFill>
                </w14:textFill>
              </w:rPr>
              <w:t xml:space="preserve">　</w:t>
            </w:r>
          </w:p>
        </w:tc>
        <w:tc>
          <w:tcPr>
            <w:tcW w:w="624" w:type="pct"/>
          </w:tcPr>
          <w:p w14:paraId="37B5C924" w14:textId="20EA03F8"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503"/>
                <w14:textFill>
                  <w14:solidFill>
                    <w14:srgbClr w14:val="000000">
                      <w14:alpha w14:val="100000"/>
                    </w14:srgbClr>
                  </w14:solidFill>
                </w14:textFill>
              </w:rPr>
              <w:t xml:space="preserve">　</w:t>
            </w:r>
            <w:r w:rsidR="0066157F" w:rsidRPr="0066157F">
              <w:rPr>
                <w:color w:val="000000"/>
                <w:w w:val="31"/>
                <w:shd w:val="solid" w:color="000000" w:fill="000000"/>
                <w:fitText w:val="140" w:id="-894208503"/>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503"/>
                <w14:textFill>
                  <w14:solidFill>
                    <w14:srgbClr w14:val="000000">
                      <w14:alpha w14:val="100000"/>
                    </w14:srgbClr>
                  </w14:solidFill>
                </w14:textFill>
              </w:rPr>
              <w:t xml:space="preserve">　</w:t>
            </w:r>
          </w:p>
        </w:tc>
        <w:tc>
          <w:tcPr>
            <w:tcW w:w="623" w:type="pct"/>
          </w:tcPr>
          <w:p w14:paraId="53F2389A" w14:textId="11AE6B22" w:rsidR="008E3130" w:rsidRPr="00D12904" w:rsidRDefault="008E3130" w:rsidP="00FD4253">
            <w:pPr>
              <w:pStyle w:val="Tabletext"/>
              <w:keepNext/>
              <w:keepLines/>
              <w:jc w:val="center"/>
            </w:pPr>
            <w:r w:rsidRPr="00D12904">
              <w:t>$</w:t>
            </w:r>
            <w:r w:rsidR="0066157F" w:rsidRPr="0066157F">
              <w:rPr>
                <w:rFonts w:hint="eastAsia"/>
                <w:color w:val="000000"/>
                <w:w w:val="29"/>
                <w:shd w:val="solid" w:color="000000" w:fill="000000"/>
                <w:fitText w:val="130" w:id="-894208502"/>
                <w14:textFill>
                  <w14:solidFill>
                    <w14:srgbClr w14:val="000000">
                      <w14:alpha w14:val="100000"/>
                    </w14:srgbClr>
                  </w14:solidFill>
                </w14:textFill>
              </w:rPr>
              <w:t xml:space="preserve">　</w:t>
            </w:r>
            <w:r w:rsidR="0066157F" w:rsidRPr="0066157F">
              <w:rPr>
                <w:color w:val="000000"/>
                <w:w w:val="29"/>
                <w:shd w:val="solid" w:color="000000" w:fill="000000"/>
                <w:fitText w:val="130" w:id="-894208502"/>
                <w14:textFill>
                  <w14:solidFill>
                    <w14:srgbClr w14:val="000000">
                      <w14:alpha w14:val="100000"/>
                    </w14:srgbClr>
                  </w14:solidFill>
                </w14:textFill>
              </w:rPr>
              <w:t>|</w:t>
            </w:r>
            <w:r w:rsidR="0066157F" w:rsidRPr="0066157F">
              <w:rPr>
                <w:rFonts w:hint="eastAsia"/>
                <w:color w:val="000000"/>
                <w:spacing w:val="2"/>
                <w:w w:val="29"/>
                <w:shd w:val="solid" w:color="000000" w:fill="000000"/>
                <w:fitText w:val="130" w:id="-894208502"/>
                <w14:textFill>
                  <w14:solidFill>
                    <w14:srgbClr w14:val="000000">
                      <w14:alpha w14:val="100000"/>
                    </w14:srgbClr>
                  </w14:solidFill>
                </w14:textFill>
              </w:rPr>
              <w:t xml:space="preserve">　</w:t>
            </w:r>
          </w:p>
        </w:tc>
      </w:tr>
      <w:tr w:rsidR="008E3130" w:rsidRPr="00D12904" w14:paraId="72B7B74B" w14:textId="77777777" w:rsidTr="00A56FC6">
        <w:trPr>
          <w:trHeight w:val="57"/>
        </w:trPr>
        <w:tc>
          <w:tcPr>
            <w:tcW w:w="390" w:type="pct"/>
          </w:tcPr>
          <w:p w14:paraId="52FCE9E5" w14:textId="77777777" w:rsidR="008E3130" w:rsidRPr="00D12904" w:rsidRDefault="008E3130" w:rsidP="00FD4253">
            <w:pPr>
              <w:pStyle w:val="Tabletext"/>
              <w:keepNext/>
              <w:keepLines/>
              <w:jc w:val="center"/>
            </w:pPr>
            <w:r w:rsidRPr="00D12904">
              <w:t>45</w:t>
            </w:r>
          </w:p>
        </w:tc>
        <w:tc>
          <w:tcPr>
            <w:tcW w:w="704" w:type="pct"/>
          </w:tcPr>
          <w:p w14:paraId="4BA5D892" w14:textId="77777777" w:rsidR="008E3130" w:rsidRPr="00D12904" w:rsidRDefault="008E3130" w:rsidP="00FD4253">
            <w:pPr>
              <w:pStyle w:val="Tabletext"/>
              <w:keepNext/>
              <w:keepLines/>
              <w:jc w:val="center"/>
            </w:pPr>
            <w:r w:rsidRPr="00D12904">
              <w:t>86.20</w:t>
            </w:r>
          </w:p>
        </w:tc>
        <w:tc>
          <w:tcPr>
            <w:tcW w:w="705" w:type="pct"/>
          </w:tcPr>
          <w:p w14:paraId="347245D6" w14:textId="77777777" w:rsidR="008E3130" w:rsidRPr="00D12904" w:rsidRDefault="008E3130" w:rsidP="00FD4253">
            <w:pPr>
              <w:pStyle w:val="Tabletext"/>
              <w:keepNext/>
              <w:keepLines/>
              <w:jc w:val="center"/>
            </w:pPr>
            <w:r w:rsidRPr="00D12904">
              <w:t>68.50</w:t>
            </w:r>
          </w:p>
        </w:tc>
        <w:tc>
          <w:tcPr>
            <w:tcW w:w="705" w:type="pct"/>
          </w:tcPr>
          <w:p w14:paraId="1EEDF2B1" w14:textId="77777777" w:rsidR="008E3130" w:rsidRPr="00D12904" w:rsidRDefault="008E3130" w:rsidP="00FD4253">
            <w:pPr>
              <w:pStyle w:val="Tabletext"/>
              <w:keepNext/>
              <w:keepLines/>
              <w:jc w:val="center"/>
            </w:pPr>
            <w:r w:rsidRPr="00D12904">
              <w:t>77.35</w:t>
            </w:r>
          </w:p>
        </w:tc>
        <w:tc>
          <w:tcPr>
            <w:tcW w:w="625" w:type="pct"/>
          </w:tcPr>
          <w:p w14:paraId="298442E0" w14:textId="73D26568"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501"/>
                <w14:textFill>
                  <w14:solidFill>
                    <w14:srgbClr w14:val="000000">
                      <w14:alpha w14:val="100000"/>
                    </w14:srgbClr>
                  </w14:solidFill>
                </w14:textFill>
              </w:rPr>
              <w:t xml:space="preserve">　</w:t>
            </w:r>
            <w:r w:rsidR="0066157F" w:rsidRPr="0066157F">
              <w:rPr>
                <w:color w:val="000000"/>
                <w:w w:val="31"/>
                <w:shd w:val="solid" w:color="000000" w:fill="000000"/>
                <w:fitText w:val="140" w:id="-894208501"/>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501"/>
                <w14:textFill>
                  <w14:solidFill>
                    <w14:srgbClr w14:val="000000">
                      <w14:alpha w14:val="100000"/>
                    </w14:srgbClr>
                  </w14:solidFill>
                </w14:textFill>
              </w:rPr>
              <w:t xml:space="preserve">　</w:t>
            </w:r>
          </w:p>
        </w:tc>
        <w:tc>
          <w:tcPr>
            <w:tcW w:w="624" w:type="pct"/>
          </w:tcPr>
          <w:p w14:paraId="5206454B" w14:textId="0E633E13"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500"/>
                <w14:textFill>
                  <w14:solidFill>
                    <w14:srgbClr w14:val="000000">
                      <w14:alpha w14:val="100000"/>
                    </w14:srgbClr>
                  </w14:solidFill>
                </w14:textFill>
              </w:rPr>
              <w:t xml:space="preserve">　</w:t>
            </w:r>
            <w:r w:rsidR="0066157F" w:rsidRPr="0066157F">
              <w:rPr>
                <w:color w:val="000000"/>
                <w:w w:val="31"/>
                <w:shd w:val="solid" w:color="000000" w:fill="000000"/>
                <w:fitText w:val="140" w:id="-894208500"/>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500"/>
                <w14:textFill>
                  <w14:solidFill>
                    <w14:srgbClr w14:val="000000">
                      <w14:alpha w14:val="100000"/>
                    </w14:srgbClr>
                  </w14:solidFill>
                </w14:textFill>
              </w:rPr>
              <w:t xml:space="preserve">　</w:t>
            </w:r>
          </w:p>
        </w:tc>
        <w:tc>
          <w:tcPr>
            <w:tcW w:w="624" w:type="pct"/>
          </w:tcPr>
          <w:p w14:paraId="559D37BE" w14:textId="2C4FFE5E"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499"/>
                <w14:textFill>
                  <w14:solidFill>
                    <w14:srgbClr w14:val="000000">
                      <w14:alpha w14:val="100000"/>
                    </w14:srgbClr>
                  </w14:solidFill>
                </w14:textFill>
              </w:rPr>
              <w:t xml:space="preserve">　</w:t>
            </w:r>
            <w:r w:rsidR="0066157F" w:rsidRPr="0066157F">
              <w:rPr>
                <w:color w:val="000000"/>
                <w:w w:val="31"/>
                <w:shd w:val="solid" w:color="000000" w:fill="000000"/>
                <w:fitText w:val="140" w:id="-894208499"/>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499"/>
                <w14:textFill>
                  <w14:solidFill>
                    <w14:srgbClr w14:val="000000">
                      <w14:alpha w14:val="100000"/>
                    </w14:srgbClr>
                  </w14:solidFill>
                </w14:textFill>
              </w:rPr>
              <w:t xml:space="preserve">　</w:t>
            </w:r>
          </w:p>
        </w:tc>
        <w:tc>
          <w:tcPr>
            <w:tcW w:w="623" w:type="pct"/>
          </w:tcPr>
          <w:p w14:paraId="0B706AA3" w14:textId="5BA28421" w:rsidR="008E3130" w:rsidRPr="00D12904" w:rsidRDefault="008E3130" w:rsidP="00FD4253">
            <w:pPr>
              <w:pStyle w:val="Tabletext"/>
              <w:keepNext/>
              <w:keepLines/>
              <w:jc w:val="center"/>
            </w:pPr>
            <w:r w:rsidRPr="00D12904">
              <w:t>$</w:t>
            </w:r>
            <w:r w:rsidR="0066157F" w:rsidRPr="0066157F">
              <w:rPr>
                <w:rFonts w:hint="eastAsia"/>
                <w:color w:val="000000"/>
                <w:w w:val="29"/>
                <w:shd w:val="solid" w:color="000000" w:fill="000000"/>
                <w:fitText w:val="130" w:id="-894208498"/>
                <w14:textFill>
                  <w14:solidFill>
                    <w14:srgbClr w14:val="000000">
                      <w14:alpha w14:val="100000"/>
                    </w14:srgbClr>
                  </w14:solidFill>
                </w14:textFill>
              </w:rPr>
              <w:t xml:space="preserve">　</w:t>
            </w:r>
            <w:r w:rsidR="0066157F" w:rsidRPr="0066157F">
              <w:rPr>
                <w:color w:val="000000"/>
                <w:w w:val="29"/>
                <w:shd w:val="solid" w:color="000000" w:fill="000000"/>
                <w:fitText w:val="130" w:id="-894208498"/>
                <w14:textFill>
                  <w14:solidFill>
                    <w14:srgbClr w14:val="000000">
                      <w14:alpha w14:val="100000"/>
                    </w14:srgbClr>
                  </w14:solidFill>
                </w14:textFill>
              </w:rPr>
              <w:t>|</w:t>
            </w:r>
            <w:r w:rsidR="0066157F" w:rsidRPr="0066157F">
              <w:rPr>
                <w:rFonts w:hint="eastAsia"/>
                <w:color w:val="000000"/>
                <w:spacing w:val="2"/>
                <w:w w:val="29"/>
                <w:shd w:val="solid" w:color="000000" w:fill="000000"/>
                <w:fitText w:val="130" w:id="-894208498"/>
                <w14:textFill>
                  <w14:solidFill>
                    <w14:srgbClr w14:val="000000">
                      <w14:alpha w14:val="100000"/>
                    </w14:srgbClr>
                  </w14:solidFill>
                </w14:textFill>
              </w:rPr>
              <w:t xml:space="preserve">　</w:t>
            </w:r>
          </w:p>
        </w:tc>
      </w:tr>
      <w:tr w:rsidR="008E3130" w:rsidRPr="00D12904" w14:paraId="7FD65868" w14:textId="77777777" w:rsidTr="00A56FC6">
        <w:trPr>
          <w:trHeight w:val="57"/>
        </w:trPr>
        <w:tc>
          <w:tcPr>
            <w:tcW w:w="390" w:type="pct"/>
          </w:tcPr>
          <w:p w14:paraId="0CFFAE69" w14:textId="77777777" w:rsidR="008E3130" w:rsidRPr="00D12904" w:rsidRDefault="008E3130" w:rsidP="00FD4253">
            <w:pPr>
              <w:pStyle w:val="Tabletext"/>
              <w:keepNext/>
              <w:keepLines/>
              <w:jc w:val="center"/>
            </w:pPr>
            <w:r w:rsidRPr="00D12904">
              <w:t>55</w:t>
            </w:r>
          </w:p>
        </w:tc>
        <w:tc>
          <w:tcPr>
            <w:tcW w:w="704" w:type="pct"/>
          </w:tcPr>
          <w:p w14:paraId="47D2B6DB" w14:textId="77777777" w:rsidR="008E3130" w:rsidRPr="00D12904" w:rsidRDefault="008E3130" w:rsidP="00FD4253">
            <w:pPr>
              <w:pStyle w:val="Tabletext"/>
              <w:keepNext/>
              <w:keepLines/>
              <w:jc w:val="center"/>
            </w:pPr>
            <w:r w:rsidRPr="00D12904">
              <w:t>88.70</w:t>
            </w:r>
          </w:p>
        </w:tc>
        <w:tc>
          <w:tcPr>
            <w:tcW w:w="705" w:type="pct"/>
          </w:tcPr>
          <w:p w14:paraId="79BDB8AF" w14:textId="77777777" w:rsidR="008E3130" w:rsidRPr="00D12904" w:rsidRDefault="008E3130" w:rsidP="00FD4253">
            <w:pPr>
              <w:pStyle w:val="Tabletext"/>
              <w:keepNext/>
              <w:keepLines/>
              <w:jc w:val="center"/>
            </w:pPr>
            <w:r w:rsidRPr="00D12904">
              <w:t>72.30</w:t>
            </w:r>
          </w:p>
        </w:tc>
        <w:tc>
          <w:tcPr>
            <w:tcW w:w="705" w:type="pct"/>
          </w:tcPr>
          <w:p w14:paraId="7E631C90" w14:textId="77777777" w:rsidR="008E3130" w:rsidRPr="00D12904" w:rsidRDefault="008E3130" w:rsidP="00FD4253">
            <w:pPr>
              <w:pStyle w:val="Tabletext"/>
              <w:keepNext/>
              <w:keepLines/>
              <w:jc w:val="center"/>
            </w:pPr>
            <w:r w:rsidRPr="00D12904">
              <w:t>80.50</w:t>
            </w:r>
          </w:p>
        </w:tc>
        <w:tc>
          <w:tcPr>
            <w:tcW w:w="625" w:type="pct"/>
          </w:tcPr>
          <w:p w14:paraId="3B4BBE6B" w14:textId="7D8892B8"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497"/>
                <w14:textFill>
                  <w14:solidFill>
                    <w14:srgbClr w14:val="000000">
                      <w14:alpha w14:val="100000"/>
                    </w14:srgbClr>
                  </w14:solidFill>
                </w14:textFill>
              </w:rPr>
              <w:t xml:space="preserve">　</w:t>
            </w:r>
            <w:r w:rsidR="0066157F" w:rsidRPr="0066157F">
              <w:rPr>
                <w:color w:val="000000"/>
                <w:w w:val="31"/>
                <w:shd w:val="solid" w:color="000000" w:fill="000000"/>
                <w:fitText w:val="140" w:id="-894208497"/>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497"/>
                <w14:textFill>
                  <w14:solidFill>
                    <w14:srgbClr w14:val="000000">
                      <w14:alpha w14:val="100000"/>
                    </w14:srgbClr>
                  </w14:solidFill>
                </w14:textFill>
              </w:rPr>
              <w:t xml:space="preserve">　</w:t>
            </w:r>
          </w:p>
        </w:tc>
        <w:tc>
          <w:tcPr>
            <w:tcW w:w="624" w:type="pct"/>
          </w:tcPr>
          <w:p w14:paraId="63D4DD52" w14:textId="4E780663"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496"/>
                <w14:textFill>
                  <w14:solidFill>
                    <w14:srgbClr w14:val="000000">
                      <w14:alpha w14:val="100000"/>
                    </w14:srgbClr>
                  </w14:solidFill>
                </w14:textFill>
              </w:rPr>
              <w:t xml:space="preserve">　</w:t>
            </w:r>
            <w:r w:rsidR="0066157F" w:rsidRPr="0066157F">
              <w:rPr>
                <w:color w:val="000000"/>
                <w:w w:val="31"/>
                <w:shd w:val="solid" w:color="000000" w:fill="000000"/>
                <w:fitText w:val="140" w:id="-894208496"/>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496"/>
                <w14:textFill>
                  <w14:solidFill>
                    <w14:srgbClr w14:val="000000">
                      <w14:alpha w14:val="100000"/>
                    </w14:srgbClr>
                  </w14:solidFill>
                </w14:textFill>
              </w:rPr>
              <w:t xml:space="preserve">　</w:t>
            </w:r>
          </w:p>
        </w:tc>
        <w:tc>
          <w:tcPr>
            <w:tcW w:w="624" w:type="pct"/>
          </w:tcPr>
          <w:p w14:paraId="783B7372" w14:textId="444D215F"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512"/>
                <w14:textFill>
                  <w14:solidFill>
                    <w14:srgbClr w14:val="000000">
                      <w14:alpha w14:val="100000"/>
                    </w14:srgbClr>
                  </w14:solidFill>
                </w14:textFill>
              </w:rPr>
              <w:t xml:space="preserve">　</w:t>
            </w:r>
            <w:r w:rsidR="0066157F" w:rsidRPr="0066157F">
              <w:rPr>
                <w:color w:val="000000"/>
                <w:w w:val="31"/>
                <w:shd w:val="solid" w:color="000000" w:fill="000000"/>
                <w:fitText w:val="140" w:id="-894208512"/>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512"/>
                <w14:textFill>
                  <w14:solidFill>
                    <w14:srgbClr w14:val="000000">
                      <w14:alpha w14:val="100000"/>
                    </w14:srgbClr>
                  </w14:solidFill>
                </w14:textFill>
              </w:rPr>
              <w:t xml:space="preserve">　</w:t>
            </w:r>
          </w:p>
        </w:tc>
        <w:tc>
          <w:tcPr>
            <w:tcW w:w="623" w:type="pct"/>
          </w:tcPr>
          <w:p w14:paraId="1BC8C265" w14:textId="2A2F0754" w:rsidR="008E3130" w:rsidRPr="00D12904" w:rsidRDefault="008E3130" w:rsidP="00FD4253">
            <w:pPr>
              <w:pStyle w:val="Tabletext"/>
              <w:keepNext/>
              <w:keepLines/>
              <w:jc w:val="center"/>
            </w:pPr>
            <w:r w:rsidRPr="00D12904">
              <w:t>$</w:t>
            </w:r>
            <w:r w:rsidR="0066157F" w:rsidRPr="0066157F">
              <w:rPr>
                <w:rFonts w:hint="eastAsia"/>
                <w:color w:val="000000"/>
                <w:w w:val="29"/>
                <w:shd w:val="solid" w:color="000000" w:fill="000000"/>
                <w:fitText w:val="130" w:id="-894208511"/>
                <w14:textFill>
                  <w14:solidFill>
                    <w14:srgbClr w14:val="000000">
                      <w14:alpha w14:val="100000"/>
                    </w14:srgbClr>
                  </w14:solidFill>
                </w14:textFill>
              </w:rPr>
              <w:t xml:space="preserve">　</w:t>
            </w:r>
            <w:r w:rsidR="0066157F" w:rsidRPr="0066157F">
              <w:rPr>
                <w:color w:val="000000"/>
                <w:w w:val="29"/>
                <w:shd w:val="solid" w:color="000000" w:fill="000000"/>
                <w:fitText w:val="130" w:id="-894208511"/>
                <w14:textFill>
                  <w14:solidFill>
                    <w14:srgbClr w14:val="000000">
                      <w14:alpha w14:val="100000"/>
                    </w14:srgbClr>
                  </w14:solidFill>
                </w14:textFill>
              </w:rPr>
              <w:t>|</w:t>
            </w:r>
            <w:r w:rsidR="0066157F" w:rsidRPr="0066157F">
              <w:rPr>
                <w:rFonts w:hint="eastAsia"/>
                <w:color w:val="000000"/>
                <w:spacing w:val="2"/>
                <w:w w:val="29"/>
                <w:shd w:val="solid" w:color="000000" w:fill="000000"/>
                <w:fitText w:val="130" w:id="-894208511"/>
                <w14:textFill>
                  <w14:solidFill>
                    <w14:srgbClr w14:val="000000">
                      <w14:alpha w14:val="100000"/>
                    </w14:srgbClr>
                  </w14:solidFill>
                </w14:textFill>
              </w:rPr>
              <w:t xml:space="preserve">　</w:t>
            </w:r>
          </w:p>
        </w:tc>
      </w:tr>
      <w:tr w:rsidR="008E3130" w:rsidRPr="00D12904" w14:paraId="77B463C7" w14:textId="77777777" w:rsidTr="00A56FC6">
        <w:trPr>
          <w:trHeight w:val="57"/>
        </w:trPr>
        <w:tc>
          <w:tcPr>
            <w:tcW w:w="390" w:type="pct"/>
          </w:tcPr>
          <w:p w14:paraId="5D0A8511" w14:textId="77777777" w:rsidR="008E3130" w:rsidRPr="00D12904" w:rsidRDefault="008E3130" w:rsidP="00FD4253">
            <w:pPr>
              <w:pStyle w:val="Tabletext"/>
              <w:keepNext/>
              <w:keepLines/>
              <w:jc w:val="center"/>
            </w:pPr>
            <w:r w:rsidRPr="00D12904">
              <w:t>65</w:t>
            </w:r>
          </w:p>
        </w:tc>
        <w:tc>
          <w:tcPr>
            <w:tcW w:w="704" w:type="pct"/>
          </w:tcPr>
          <w:p w14:paraId="779FBD9B" w14:textId="77777777" w:rsidR="008E3130" w:rsidRPr="00D12904" w:rsidRDefault="008E3130" w:rsidP="00FD4253">
            <w:pPr>
              <w:pStyle w:val="Tabletext"/>
              <w:keepNext/>
              <w:keepLines/>
              <w:jc w:val="center"/>
            </w:pPr>
            <w:r w:rsidRPr="00D12904">
              <w:t>87.20</w:t>
            </w:r>
          </w:p>
        </w:tc>
        <w:tc>
          <w:tcPr>
            <w:tcW w:w="705" w:type="pct"/>
          </w:tcPr>
          <w:p w14:paraId="4639DABF" w14:textId="77777777" w:rsidR="008E3130" w:rsidRPr="00D12904" w:rsidRDefault="008E3130" w:rsidP="00FD4253">
            <w:pPr>
              <w:pStyle w:val="Tabletext"/>
              <w:keepNext/>
              <w:keepLines/>
              <w:jc w:val="center"/>
            </w:pPr>
            <w:r w:rsidRPr="00D12904">
              <w:t>70.20</w:t>
            </w:r>
          </w:p>
        </w:tc>
        <w:tc>
          <w:tcPr>
            <w:tcW w:w="705" w:type="pct"/>
          </w:tcPr>
          <w:p w14:paraId="3489998B" w14:textId="77777777" w:rsidR="008E3130" w:rsidRPr="00D12904" w:rsidRDefault="008E3130" w:rsidP="00FD4253">
            <w:pPr>
              <w:pStyle w:val="Tabletext"/>
              <w:keepNext/>
              <w:keepLines/>
              <w:jc w:val="center"/>
            </w:pPr>
            <w:r w:rsidRPr="00D12904">
              <w:t>78.70</w:t>
            </w:r>
          </w:p>
        </w:tc>
        <w:tc>
          <w:tcPr>
            <w:tcW w:w="625" w:type="pct"/>
          </w:tcPr>
          <w:p w14:paraId="1DD44044" w14:textId="01301490"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510"/>
                <w14:textFill>
                  <w14:solidFill>
                    <w14:srgbClr w14:val="000000">
                      <w14:alpha w14:val="100000"/>
                    </w14:srgbClr>
                  </w14:solidFill>
                </w14:textFill>
              </w:rPr>
              <w:t xml:space="preserve">　</w:t>
            </w:r>
            <w:r w:rsidR="0066157F" w:rsidRPr="0066157F">
              <w:rPr>
                <w:color w:val="000000"/>
                <w:w w:val="31"/>
                <w:shd w:val="solid" w:color="000000" w:fill="000000"/>
                <w:fitText w:val="140" w:id="-894208510"/>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510"/>
                <w14:textFill>
                  <w14:solidFill>
                    <w14:srgbClr w14:val="000000">
                      <w14:alpha w14:val="100000"/>
                    </w14:srgbClr>
                  </w14:solidFill>
                </w14:textFill>
              </w:rPr>
              <w:t xml:space="preserve">　</w:t>
            </w:r>
          </w:p>
        </w:tc>
        <w:tc>
          <w:tcPr>
            <w:tcW w:w="624" w:type="pct"/>
          </w:tcPr>
          <w:p w14:paraId="72B23137" w14:textId="63905B06"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509"/>
                <w14:textFill>
                  <w14:solidFill>
                    <w14:srgbClr w14:val="000000">
                      <w14:alpha w14:val="100000"/>
                    </w14:srgbClr>
                  </w14:solidFill>
                </w14:textFill>
              </w:rPr>
              <w:t xml:space="preserve">　</w:t>
            </w:r>
            <w:r w:rsidR="0066157F" w:rsidRPr="0066157F">
              <w:rPr>
                <w:color w:val="000000"/>
                <w:w w:val="31"/>
                <w:shd w:val="solid" w:color="000000" w:fill="000000"/>
                <w:fitText w:val="140" w:id="-894208509"/>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509"/>
                <w14:textFill>
                  <w14:solidFill>
                    <w14:srgbClr w14:val="000000">
                      <w14:alpha w14:val="100000"/>
                    </w14:srgbClr>
                  </w14:solidFill>
                </w14:textFill>
              </w:rPr>
              <w:t xml:space="preserve">　</w:t>
            </w:r>
          </w:p>
        </w:tc>
        <w:tc>
          <w:tcPr>
            <w:tcW w:w="624" w:type="pct"/>
          </w:tcPr>
          <w:p w14:paraId="3916F3E1" w14:textId="0E65DF22"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508"/>
                <w14:textFill>
                  <w14:solidFill>
                    <w14:srgbClr w14:val="000000">
                      <w14:alpha w14:val="100000"/>
                    </w14:srgbClr>
                  </w14:solidFill>
                </w14:textFill>
              </w:rPr>
              <w:t xml:space="preserve">　</w:t>
            </w:r>
            <w:r w:rsidR="0066157F" w:rsidRPr="0066157F">
              <w:rPr>
                <w:color w:val="000000"/>
                <w:w w:val="31"/>
                <w:shd w:val="solid" w:color="000000" w:fill="000000"/>
                <w:fitText w:val="140" w:id="-894208508"/>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508"/>
                <w14:textFill>
                  <w14:solidFill>
                    <w14:srgbClr w14:val="000000">
                      <w14:alpha w14:val="100000"/>
                    </w14:srgbClr>
                  </w14:solidFill>
                </w14:textFill>
              </w:rPr>
              <w:t xml:space="preserve">　</w:t>
            </w:r>
          </w:p>
        </w:tc>
        <w:tc>
          <w:tcPr>
            <w:tcW w:w="623" w:type="pct"/>
          </w:tcPr>
          <w:p w14:paraId="4096E3F7" w14:textId="09F7B844" w:rsidR="008E3130" w:rsidRPr="00D12904" w:rsidRDefault="008E3130" w:rsidP="00FD4253">
            <w:pPr>
              <w:pStyle w:val="Tabletext"/>
              <w:keepNext/>
              <w:keepLines/>
              <w:jc w:val="center"/>
            </w:pPr>
            <w:r w:rsidRPr="00D12904">
              <w:t>$</w:t>
            </w:r>
            <w:r w:rsidR="0066157F" w:rsidRPr="0066157F">
              <w:rPr>
                <w:rFonts w:hint="eastAsia"/>
                <w:color w:val="000000"/>
                <w:w w:val="29"/>
                <w:shd w:val="solid" w:color="000000" w:fill="000000"/>
                <w:fitText w:val="130" w:id="-894208507"/>
                <w14:textFill>
                  <w14:solidFill>
                    <w14:srgbClr w14:val="000000">
                      <w14:alpha w14:val="100000"/>
                    </w14:srgbClr>
                  </w14:solidFill>
                </w14:textFill>
              </w:rPr>
              <w:t xml:space="preserve">　</w:t>
            </w:r>
            <w:r w:rsidR="0066157F" w:rsidRPr="0066157F">
              <w:rPr>
                <w:color w:val="000000"/>
                <w:w w:val="29"/>
                <w:shd w:val="solid" w:color="000000" w:fill="000000"/>
                <w:fitText w:val="130" w:id="-894208507"/>
                <w14:textFill>
                  <w14:solidFill>
                    <w14:srgbClr w14:val="000000">
                      <w14:alpha w14:val="100000"/>
                    </w14:srgbClr>
                  </w14:solidFill>
                </w14:textFill>
              </w:rPr>
              <w:t>|</w:t>
            </w:r>
            <w:r w:rsidR="0066157F" w:rsidRPr="0066157F">
              <w:rPr>
                <w:rFonts w:hint="eastAsia"/>
                <w:color w:val="000000"/>
                <w:spacing w:val="2"/>
                <w:w w:val="29"/>
                <w:shd w:val="solid" w:color="000000" w:fill="000000"/>
                <w:fitText w:val="130" w:id="-894208507"/>
                <w14:textFill>
                  <w14:solidFill>
                    <w14:srgbClr w14:val="000000">
                      <w14:alpha w14:val="100000"/>
                    </w14:srgbClr>
                  </w14:solidFill>
                </w14:textFill>
              </w:rPr>
              <w:t xml:space="preserve">　</w:t>
            </w:r>
          </w:p>
        </w:tc>
      </w:tr>
      <w:tr w:rsidR="008E3130" w:rsidRPr="00D12904" w14:paraId="7F832165" w14:textId="77777777" w:rsidTr="00A56FC6">
        <w:trPr>
          <w:trHeight w:val="57"/>
        </w:trPr>
        <w:tc>
          <w:tcPr>
            <w:tcW w:w="390" w:type="pct"/>
          </w:tcPr>
          <w:p w14:paraId="5E64BC75" w14:textId="77777777" w:rsidR="008E3130" w:rsidRPr="00D12904" w:rsidRDefault="008E3130" w:rsidP="00FD4253">
            <w:pPr>
              <w:pStyle w:val="Tabletext"/>
              <w:keepNext/>
              <w:keepLines/>
              <w:jc w:val="center"/>
            </w:pPr>
            <w:r w:rsidRPr="00D12904">
              <w:t>75</w:t>
            </w:r>
          </w:p>
        </w:tc>
        <w:tc>
          <w:tcPr>
            <w:tcW w:w="704" w:type="pct"/>
          </w:tcPr>
          <w:p w14:paraId="599EB563" w14:textId="77777777" w:rsidR="008E3130" w:rsidRPr="00D12904" w:rsidRDefault="008E3130" w:rsidP="00FD4253">
            <w:pPr>
              <w:pStyle w:val="Tabletext"/>
              <w:keepNext/>
              <w:keepLines/>
              <w:jc w:val="center"/>
            </w:pPr>
            <w:r w:rsidRPr="00D12904">
              <w:t>82.60</w:t>
            </w:r>
          </w:p>
        </w:tc>
        <w:tc>
          <w:tcPr>
            <w:tcW w:w="705" w:type="pct"/>
          </w:tcPr>
          <w:p w14:paraId="38A16B7C" w14:textId="77777777" w:rsidR="008E3130" w:rsidRPr="00D12904" w:rsidRDefault="008E3130" w:rsidP="00FD4253">
            <w:pPr>
              <w:pStyle w:val="Tabletext"/>
              <w:keepNext/>
              <w:keepLines/>
              <w:jc w:val="center"/>
            </w:pPr>
            <w:r w:rsidRPr="00D12904">
              <w:t>69.40</w:t>
            </w:r>
          </w:p>
        </w:tc>
        <w:tc>
          <w:tcPr>
            <w:tcW w:w="705" w:type="pct"/>
          </w:tcPr>
          <w:p w14:paraId="23A549B1" w14:textId="77777777" w:rsidR="008E3130" w:rsidRPr="00D12904" w:rsidRDefault="008E3130" w:rsidP="00FD4253">
            <w:pPr>
              <w:pStyle w:val="Tabletext"/>
              <w:keepNext/>
              <w:keepLines/>
              <w:jc w:val="center"/>
            </w:pPr>
            <w:r w:rsidRPr="00D12904">
              <w:t>76.00</w:t>
            </w:r>
          </w:p>
        </w:tc>
        <w:tc>
          <w:tcPr>
            <w:tcW w:w="625" w:type="pct"/>
          </w:tcPr>
          <w:p w14:paraId="1708D662" w14:textId="7533F53C"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506"/>
                <w14:textFill>
                  <w14:solidFill>
                    <w14:srgbClr w14:val="000000">
                      <w14:alpha w14:val="100000"/>
                    </w14:srgbClr>
                  </w14:solidFill>
                </w14:textFill>
              </w:rPr>
              <w:t xml:space="preserve">　</w:t>
            </w:r>
            <w:r w:rsidR="0066157F" w:rsidRPr="0066157F">
              <w:rPr>
                <w:color w:val="000000"/>
                <w:w w:val="31"/>
                <w:shd w:val="solid" w:color="000000" w:fill="000000"/>
                <w:fitText w:val="140" w:id="-894208506"/>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506"/>
                <w14:textFill>
                  <w14:solidFill>
                    <w14:srgbClr w14:val="000000">
                      <w14:alpha w14:val="100000"/>
                    </w14:srgbClr>
                  </w14:solidFill>
                </w14:textFill>
              </w:rPr>
              <w:t xml:space="preserve">　</w:t>
            </w:r>
          </w:p>
        </w:tc>
        <w:tc>
          <w:tcPr>
            <w:tcW w:w="624" w:type="pct"/>
          </w:tcPr>
          <w:p w14:paraId="4915213A" w14:textId="381C7153"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505"/>
                <w14:textFill>
                  <w14:solidFill>
                    <w14:srgbClr w14:val="000000">
                      <w14:alpha w14:val="100000"/>
                    </w14:srgbClr>
                  </w14:solidFill>
                </w14:textFill>
              </w:rPr>
              <w:t xml:space="preserve">　</w:t>
            </w:r>
            <w:r w:rsidR="0066157F" w:rsidRPr="0066157F">
              <w:rPr>
                <w:color w:val="000000"/>
                <w:w w:val="31"/>
                <w:shd w:val="solid" w:color="000000" w:fill="000000"/>
                <w:fitText w:val="140" w:id="-894208505"/>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505"/>
                <w14:textFill>
                  <w14:solidFill>
                    <w14:srgbClr w14:val="000000">
                      <w14:alpha w14:val="100000"/>
                    </w14:srgbClr>
                  </w14:solidFill>
                </w14:textFill>
              </w:rPr>
              <w:t xml:space="preserve">　</w:t>
            </w:r>
          </w:p>
        </w:tc>
        <w:tc>
          <w:tcPr>
            <w:tcW w:w="624" w:type="pct"/>
          </w:tcPr>
          <w:p w14:paraId="4AA88DAE" w14:textId="11219A74" w:rsidR="008E3130" w:rsidRPr="00D12904" w:rsidRDefault="008E3130" w:rsidP="00FD4253">
            <w:pPr>
              <w:pStyle w:val="Tabletext"/>
              <w:keepNext/>
              <w:keepLines/>
              <w:jc w:val="center"/>
            </w:pPr>
            <w:r w:rsidRPr="00D12904">
              <w:t>$</w:t>
            </w:r>
            <w:r w:rsidR="0066157F" w:rsidRPr="0066157F">
              <w:rPr>
                <w:rFonts w:hint="eastAsia"/>
                <w:color w:val="000000"/>
                <w:w w:val="31"/>
                <w:shd w:val="solid" w:color="000000" w:fill="000000"/>
                <w:fitText w:val="140" w:id="-894208504"/>
                <w14:textFill>
                  <w14:solidFill>
                    <w14:srgbClr w14:val="000000">
                      <w14:alpha w14:val="100000"/>
                    </w14:srgbClr>
                  </w14:solidFill>
                </w14:textFill>
              </w:rPr>
              <w:t xml:space="preserve">　</w:t>
            </w:r>
            <w:r w:rsidR="0066157F" w:rsidRPr="0066157F">
              <w:rPr>
                <w:color w:val="000000"/>
                <w:w w:val="31"/>
                <w:shd w:val="solid" w:color="000000" w:fill="000000"/>
                <w:fitText w:val="140" w:id="-894208504"/>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504"/>
                <w14:textFill>
                  <w14:solidFill>
                    <w14:srgbClr w14:val="000000">
                      <w14:alpha w14:val="100000"/>
                    </w14:srgbClr>
                  </w14:solidFill>
                </w14:textFill>
              </w:rPr>
              <w:t xml:space="preserve">　</w:t>
            </w:r>
          </w:p>
        </w:tc>
        <w:tc>
          <w:tcPr>
            <w:tcW w:w="623" w:type="pct"/>
          </w:tcPr>
          <w:p w14:paraId="3F501D5C" w14:textId="73CC80AB" w:rsidR="008E3130" w:rsidRPr="00D12904" w:rsidRDefault="008E3130" w:rsidP="00FD4253">
            <w:pPr>
              <w:pStyle w:val="Tabletext"/>
              <w:keepNext/>
              <w:keepLines/>
              <w:jc w:val="center"/>
            </w:pPr>
            <w:r w:rsidRPr="00D12904">
              <w:t>$</w:t>
            </w:r>
            <w:r w:rsidR="0066157F" w:rsidRPr="0066157F">
              <w:rPr>
                <w:rFonts w:hint="eastAsia"/>
                <w:color w:val="000000"/>
                <w:w w:val="29"/>
                <w:shd w:val="solid" w:color="000000" w:fill="000000"/>
                <w:fitText w:val="130" w:id="-894208503"/>
                <w14:textFill>
                  <w14:solidFill>
                    <w14:srgbClr w14:val="000000">
                      <w14:alpha w14:val="100000"/>
                    </w14:srgbClr>
                  </w14:solidFill>
                </w14:textFill>
              </w:rPr>
              <w:t xml:space="preserve">　</w:t>
            </w:r>
            <w:r w:rsidR="0066157F" w:rsidRPr="0066157F">
              <w:rPr>
                <w:color w:val="000000"/>
                <w:w w:val="29"/>
                <w:shd w:val="solid" w:color="000000" w:fill="000000"/>
                <w:fitText w:val="130" w:id="-894208503"/>
                <w14:textFill>
                  <w14:solidFill>
                    <w14:srgbClr w14:val="000000">
                      <w14:alpha w14:val="100000"/>
                    </w14:srgbClr>
                  </w14:solidFill>
                </w14:textFill>
              </w:rPr>
              <w:t>|</w:t>
            </w:r>
            <w:r w:rsidR="0066157F" w:rsidRPr="0066157F">
              <w:rPr>
                <w:rFonts w:hint="eastAsia"/>
                <w:color w:val="000000"/>
                <w:spacing w:val="2"/>
                <w:w w:val="29"/>
                <w:shd w:val="solid" w:color="000000" w:fill="000000"/>
                <w:fitText w:val="130" w:id="-894208503"/>
                <w14:textFill>
                  <w14:solidFill>
                    <w14:srgbClr w14:val="000000">
                      <w14:alpha w14:val="100000"/>
                    </w14:srgbClr>
                  </w14:solidFill>
                </w14:textFill>
              </w:rPr>
              <w:t xml:space="preserve">　</w:t>
            </w:r>
          </w:p>
        </w:tc>
      </w:tr>
    </w:tbl>
    <w:p w14:paraId="5555B3B9" w14:textId="0CED4EA3" w:rsidR="007A66AC" w:rsidRPr="00D12904" w:rsidRDefault="007A66AC" w:rsidP="00FD4253">
      <w:pPr>
        <w:pStyle w:val="TableFigureFooter"/>
        <w:keepNext/>
        <w:keepLines/>
      </w:pPr>
      <w:r w:rsidRPr="00D12904">
        <w:t xml:space="preserve">Source: ‘General population’ worksheet from the economic model </w:t>
      </w:r>
    </w:p>
    <w:p w14:paraId="20E64E90" w14:textId="3D9F6C44" w:rsidR="0021777D" w:rsidRPr="00D12904" w:rsidRDefault="0021777D" w:rsidP="00FD4253">
      <w:pPr>
        <w:pStyle w:val="TableFigureFooter"/>
        <w:keepNext/>
        <w:keepLines/>
      </w:pPr>
      <w:r w:rsidRPr="00D12904">
        <w:rPr>
          <w:vertAlign w:val="superscript"/>
        </w:rPr>
        <w:t xml:space="preserve">a </w:t>
      </w:r>
      <w:r w:rsidRPr="00D12904">
        <w:t>Average weight based on 50% females</w:t>
      </w:r>
    </w:p>
    <w:p w14:paraId="20E674A7" w14:textId="27C62A17" w:rsidR="007D4706" w:rsidRPr="00D12904" w:rsidRDefault="0021777D" w:rsidP="007A66AC">
      <w:pPr>
        <w:pStyle w:val="TableFigureFooter"/>
      </w:pPr>
      <w:r w:rsidRPr="00D12904">
        <w:rPr>
          <w:vertAlign w:val="superscript"/>
        </w:rPr>
        <w:t>b</w:t>
      </w:r>
      <w:r w:rsidR="008E3130" w:rsidRPr="00D12904">
        <w:rPr>
          <w:vertAlign w:val="superscript"/>
        </w:rPr>
        <w:t xml:space="preserve"> </w:t>
      </w:r>
      <w:r w:rsidR="007A66AC" w:rsidRPr="00D12904">
        <w:t xml:space="preserve">Average </w:t>
      </w:r>
      <w:r w:rsidRPr="00D12904">
        <w:t xml:space="preserve">dose </w:t>
      </w:r>
      <w:r w:rsidR="007A66AC" w:rsidRPr="00D12904">
        <w:t xml:space="preserve">based on the assumption that 30.15% of patients received high dose odevixibat </w:t>
      </w:r>
    </w:p>
    <w:p w14:paraId="3D5B8C41" w14:textId="6AD9AD39" w:rsidR="00E5561C" w:rsidRPr="00D12904" w:rsidRDefault="00E5561C" w:rsidP="0041666D">
      <w:pPr>
        <w:pStyle w:val="3-BodyText"/>
      </w:pPr>
      <w:bookmarkStart w:id="93" w:name="_Ref166834330"/>
      <w:r w:rsidRPr="00D12904">
        <w:t>In the base case, the proportion of patients on high dose odevixibat (30.15%) was informed by the proportion of responders on 40 mcg/kg</w:t>
      </w:r>
      <w:r w:rsidR="00D604BD" w:rsidRPr="00D12904">
        <w:t>/day</w:t>
      </w:r>
      <w:r w:rsidRPr="00D12904">
        <w:t xml:space="preserve"> from PEDFIC 1 (43.5%) and the proportion of responders in OvEC (62.28%)</w:t>
      </w:r>
      <w:r w:rsidR="00E2670D" w:rsidRPr="00D12904">
        <w:t>,</w:t>
      </w:r>
      <w:r w:rsidRPr="00D12904">
        <w:t xml:space="preserve"> after adjusting for the patients who responded after up-titrating to 120 mcg/kg</w:t>
      </w:r>
      <w:r w:rsidR="00D604BD" w:rsidRPr="00D12904">
        <w:t>/day</w:t>
      </w:r>
      <w:r w:rsidRPr="00D12904">
        <w:t xml:space="preserve"> given non-response to 40</w:t>
      </w:r>
      <w:r w:rsidR="00FD4253">
        <w:t> </w:t>
      </w:r>
      <w:r w:rsidRPr="00D12904">
        <w:t>mcg/kg</w:t>
      </w:r>
      <w:r w:rsidR="0007759C" w:rsidRPr="00D12904">
        <w:t>/day</w:t>
      </w:r>
      <w:r w:rsidRPr="00D12904">
        <w:t xml:space="preserve"> (25%).</w:t>
      </w:r>
      <w:r w:rsidRPr="00D12904">
        <w:rPr>
          <w:rStyle w:val="FootnoteReference"/>
        </w:rPr>
        <w:footnoteReference w:id="17"/>
      </w:r>
      <w:r w:rsidRPr="00D12904">
        <w:t xml:space="preserve"> </w:t>
      </w:r>
      <w:r w:rsidR="00897C49" w:rsidRPr="00D12904">
        <w:t>U</w:t>
      </w:r>
      <w:r w:rsidRPr="00D12904">
        <w:t xml:space="preserve">sing response inputs from PEDFIC 1 and </w:t>
      </w:r>
      <w:r w:rsidR="0007759C" w:rsidRPr="00D12904">
        <w:t xml:space="preserve">PEDFIC </w:t>
      </w:r>
      <w:r w:rsidRPr="00D12904">
        <w:t xml:space="preserve">2 (57.63%) would </w:t>
      </w:r>
      <w:r w:rsidR="000C3DBE" w:rsidRPr="00D12904">
        <w:t xml:space="preserve">have </w:t>
      </w:r>
      <w:r w:rsidRPr="00D12904">
        <w:t>be</w:t>
      </w:r>
      <w:r w:rsidR="000C3DBE" w:rsidRPr="00D12904">
        <w:t>en</w:t>
      </w:r>
      <w:r w:rsidRPr="00D12904">
        <w:t xml:space="preserve"> more appropriate</w:t>
      </w:r>
      <w:r w:rsidR="00897C49" w:rsidRPr="00D12904">
        <w:t xml:space="preserve"> to avoid potential double counting</w:t>
      </w:r>
      <w:r w:rsidRPr="00D12904">
        <w:t xml:space="preserve">. The proportion of patients on high dose odevixibat based solely on PEDFIC 1 and </w:t>
      </w:r>
      <w:r w:rsidR="00097D8F" w:rsidRPr="00D12904">
        <w:t xml:space="preserve">PEDFIC </w:t>
      </w:r>
      <w:r w:rsidRPr="00D12904">
        <w:t xml:space="preserve">2 </w:t>
      </w:r>
      <w:r w:rsidR="006F1C91" w:rsidRPr="00D12904">
        <w:t xml:space="preserve">was </w:t>
      </w:r>
      <w:r w:rsidRPr="00D12904">
        <w:t xml:space="preserve">24.5% and </w:t>
      </w:r>
      <w:r w:rsidR="006F1C91" w:rsidRPr="00D12904">
        <w:t xml:space="preserve">was </w:t>
      </w:r>
      <w:r w:rsidRPr="00D12904">
        <w:t xml:space="preserve">also consistent with the </w:t>
      </w:r>
      <w:r w:rsidR="006F1C91" w:rsidRPr="00D12904">
        <w:t xml:space="preserve">inputs used for the </w:t>
      </w:r>
      <w:r w:rsidRPr="00D12904">
        <w:t>financial estimates.</w:t>
      </w:r>
      <w:r w:rsidRPr="00D12904">
        <w:rPr>
          <w:rStyle w:val="FootnoteReference"/>
        </w:rPr>
        <w:footnoteReference w:id="18"/>
      </w:r>
      <w:r w:rsidRPr="00D12904">
        <w:t xml:space="preserve"> </w:t>
      </w:r>
      <w:r w:rsidR="00F54AFA" w:rsidRPr="00D12904">
        <w:t xml:space="preserve">As the proportion of patients on high dose odevixibat was dependent on the response rate of up-titrators (which could not be verified), this estimate </w:t>
      </w:r>
      <w:r w:rsidR="008E6381" w:rsidRPr="00D12904">
        <w:t>was highly uncertain</w:t>
      </w:r>
      <w:r w:rsidR="00F54AFA" w:rsidRPr="00D12904">
        <w:t xml:space="preserve">. </w:t>
      </w:r>
      <w:r w:rsidRPr="00D12904">
        <w:t xml:space="preserve">Assuming no patients underwent dose escalation led to a 47% reduction in the ICER. </w:t>
      </w:r>
      <w:bookmarkEnd w:id="91"/>
      <w:bookmarkEnd w:id="93"/>
    </w:p>
    <w:p w14:paraId="7C207C4A" w14:textId="478CA3A9" w:rsidR="00E5561C" w:rsidRPr="00D33C2C" w:rsidRDefault="00E5561C" w:rsidP="00E5561C">
      <w:pPr>
        <w:pStyle w:val="3-BodyText"/>
        <w:rPr>
          <w:i/>
          <w:iCs/>
        </w:rPr>
      </w:pPr>
      <w:r w:rsidRPr="00D33C2C">
        <w:t xml:space="preserve">The key drivers of the model are presented in </w:t>
      </w:r>
      <w:r w:rsidRPr="00D33C2C">
        <w:fldChar w:fldCharType="begin"/>
      </w:r>
      <w:r w:rsidRPr="00D33C2C">
        <w:instrText xml:space="preserve"> REF _Ref164663526 \h </w:instrText>
      </w:r>
      <w:r w:rsidRPr="00D33C2C">
        <w:fldChar w:fldCharType="separate"/>
      </w:r>
      <w:r w:rsidR="008B4717" w:rsidRPr="00D33C2C">
        <w:t xml:space="preserve">Table </w:t>
      </w:r>
      <w:r w:rsidR="008B4717">
        <w:rPr>
          <w:noProof/>
        </w:rPr>
        <w:t>16</w:t>
      </w:r>
      <w:r w:rsidRPr="00D33C2C">
        <w:fldChar w:fldCharType="end"/>
      </w:r>
      <w:r w:rsidRPr="00D33C2C">
        <w:t xml:space="preserve">. </w:t>
      </w:r>
    </w:p>
    <w:p w14:paraId="054D2B8E" w14:textId="58704FB2" w:rsidR="00E5561C" w:rsidRPr="00D33C2C" w:rsidRDefault="00E5561C" w:rsidP="00035438">
      <w:pPr>
        <w:pStyle w:val="TableFigureHeading"/>
        <w:keepLines/>
        <w:rPr>
          <w:rStyle w:val="CommentReference"/>
          <w:b/>
          <w:szCs w:val="24"/>
        </w:rPr>
      </w:pPr>
      <w:bookmarkStart w:id="94" w:name="_Ref164663526"/>
      <w:r w:rsidRPr="00D33C2C">
        <w:lastRenderedPageBreak/>
        <w:t xml:space="preserve">Table </w:t>
      </w:r>
      <w:r w:rsidR="00DF1200">
        <w:fldChar w:fldCharType="begin"/>
      </w:r>
      <w:r w:rsidR="00DF1200">
        <w:instrText xml:space="preserve"> SEQ Table \* ARABIC </w:instrText>
      </w:r>
      <w:r w:rsidR="00DF1200">
        <w:fldChar w:fldCharType="separate"/>
      </w:r>
      <w:r w:rsidR="008B4717">
        <w:rPr>
          <w:noProof/>
        </w:rPr>
        <w:t>16</w:t>
      </w:r>
      <w:r w:rsidR="00DF1200">
        <w:rPr>
          <w:noProof/>
        </w:rPr>
        <w:fldChar w:fldCharType="end"/>
      </w:r>
      <w:bookmarkEnd w:id="94"/>
      <w:r w:rsidRPr="00D33C2C">
        <w:rPr>
          <w:rStyle w:val="CommentReference"/>
          <w:b/>
          <w:szCs w:val="24"/>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6: Key drivers of the model"/>
      </w:tblPr>
      <w:tblGrid>
        <w:gridCol w:w="1129"/>
        <w:gridCol w:w="4112"/>
        <w:gridCol w:w="3776"/>
      </w:tblGrid>
      <w:tr w:rsidR="00E5561C" w:rsidRPr="00D33C2C" w14:paraId="2C2DF495" w14:textId="77777777" w:rsidTr="00035438">
        <w:trPr>
          <w:tblHeader/>
        </w:trPr>
        <w:tc>
          <w:tcPr>
            <w:tcW w:w="626" w:type="pct"/>
            <w:shd w:val="clear" w:color="auto" w:fill="auto"/>
            <w:vAlign w:val="center"/>
          </w:tcPr>
          <w:p w14:paraId="7C8CA60C" w14:textId="77777777" w:rsidR="00E5561C" w:rsidRPr="00446A51" w:rsidRDefault="00E5561C" w:rsidP="00035438">
            <w:pPr>
              <w:pStyle w:val="In-tableHeading"/>
              <w:keepLines/>
              <w:rPr>
                <w:lang w:val="en-AU"/>
              </w:rPr>
            </w:pPr>
            <w:r w:rsidRPr="00446A51">
              <w:rPr>
                <w:lang w:val="en-AU"/>
              </w:rPr>
              <w:t>Description</w:t>
            </w:r>
          </w:p>
        </w:tc>
        <w:tc>
          <w:tcPr>
            <w:tcW w:w="2280" w:type="pct"/>
            <w:shd w:val="clear" w:color="auto" w:fill="auto"/>
            <w:vAlign w:val="center"/>
          </w:tcPr>
          <w:p w14:paraId="3ACB14CB" w14:textId="77777777" w:rsidR="00E5561C" w:rsidRPr="00446A51" w:rsidRDefault="00E5561C" w:rsidP="00035438">
            <w:pPr>
              <w:pStyle w:val="In-tableHeading"/>
              <w:keepLines/>
              <w:jc w:val="center"/>
              <w:rPr>
                <w:lang w:val="en-AU"/>
              </w:rPr>
            </w:pPr>
            <w:r w:rsidRPr="00446A51">
              <w:rPr>
                <w:lang w:val="en-AU"/>
              </w:rPr>
              <w:t>Method/Value</w:t>
            </w:r>
          </w:p>
        </w:tc>
        <w:tc>
          <w:tcPr>
            <w:tcW w:w="2094" w:type="pct"/>
            <w:shd w:val="clear" w:color="auto" w:fill="auto"/>
            <w:vAlign w:val="center"/>
          </w:tcPr>
          <w:p w14:paraId="1BE98218" w14:textId="77777777" w:rsidR="00E5561C" w:rsidRPr="00446A51" w:rsidRDefault="00E5561C" w:rsidP="00035438">
            <w:pPr>
              <w:pStyle w:val="In-tableHeading"/>
              <w:keepLines/>
              <w:jc w:val="center"/>
              <w:rPr>
                <w:lang w:val="en-AU"/>
              </w:rPr>
            </w:pPr>
            <w:r w:rsidRPr="00446A51">
              <w:rPr>
                <w:lang w:val="en-AU"/>
              </w:rPr>
              <w:t>Impact</w:t>
            </w:r>
          </w:p>
          <w:p w14:paraId="68309E18" w14:textId="4FDA56FC" w:rsidR="00E5561C" w:rsidRPr="00446A51" w:rsidRDefault="00E5561C" w:rsidP="00035438">
            <w:pPr>
              <w:pStyle w:val="In-tableHeading"/>
              <w:keepLines/>
              <w:jc w:val="center"/>
              <w:rPr>
                <w:lang w:val="en-AU"/>
              </w:rPr>
            </w:pPr>
            <w:r w:rsidRPr="00446A51">
              <w:rPr>
                <w:lang w:val="en-AU"/>
              </w:rPr>
              <w:t>Base case: $</w:t>
            </w:r>
            <w:r w:rsidR="0066157F" w:rsidRPr="0066157F">
              <w:rPr>
                <w:color w:val="000000"/>
                <w:shd w:val="solid" w:color="000000" w:fill="000000"/>
                <w:lang w:val="en-AU"/>
                <w14:textFill>
                  <w14:solidFill>
                    <w14:srgbClr w14:val="000000">
                      <w14:alpha w14:val="100000"/>
                    </w14:srgbClr>
                  </w14:solidFill>
                </w14:textFill>
              </w:rPr>
              <w:t>|</w:t>
            </w:r>
            <w:r w:rsidR="0058076A" w:rsidRPr="0000454F">
              <w:rPr>
                <w:vertAlign w:val="superscript"/>
                <w:lang w:val="en-AU"/>
              </w:rPr>
              <w:t>1</w:t>
            </w:r>
            <w:r w:rsidR="0000454F">
              <w:rPr>
                <w:lang w:val="en-AU"/>
              </w:rPr>
              <w:t>/</w:t>
            </w:r>
            <w:r w:rsidRPr="0000454F">
              <w:rPr>
                <w:lang w:val="en-AU"/>
              </w:rPr>
              <w:t>QALY</w:t>
            </w:r>
            <w:r w:rsidRPr="00446A51">
              <w:rPr>
                <w:lang w:val="en-AU"/>
              </w:rPr>
              <w:t xml:space="preserve"> </w:t>
            </w:r>
          </w:p>
        </w:tc>
      </w:tr>
      <w:tr w:rsidR="00E5561C" w:rsidRPr="00D33C2C" w14:paraId="4AB5203D" w14:textId="77777777" w:rsidTr="00517DC0">
        <w:tc>
          <w:tcPr>
            <w:tcW w:w="626" w:type="pct"/>
            <w:shd w:val="clear" w:color="auto" w:fill="auto"/>
          </w:tcPr>
          <w:p w14:paraId="67AC749B" w14:textId="5162D07E" w:rsidR="00E5561C" w:rsidRPr="00446A51" w:rsidRDefault="00E5561C" w:rsidP="00517DC0">
            <w:pPr>
              <w:pStyle w:val="TableText0"/>
              <w:keepLines/>
            </w:pPr>
            <w:r w:rsidRPr="00446A51">
              <w:t>Assum</w:t>
            </w:r>
            <w:r w:rsidR="00E2670D" w:rsidRPr="00446A51">
              <w:t xml:space="preserve">ption that patients in the </w:t>
            </w:r>
            <w:r w:rsidRPr="00446A51">
              <w:t>odevixibat arm do not undergo PEBD</w:t>
            </w:r>
          </w:p>
        </w:tc>
        <w:tc>
          <w:tcPr>
            <w:tcW w:w="2280" w:type="pct"/>
            <w:shd w:val="clear" w:color="auto" w:fill="auto"/>
          </w:tcPr>
          <w:p w14:paraId="5E024F73" w14:textId="40E7AAB9" w:rsidR="00E5561C" w:rsidRPr="00446A51" w:rsidRDefault="00E5561C" w:rsidP="00517DC0">
            <w:pPr>
              <w:pStyle w:val="TableText0"/>
              <w:keepLines/>
            </w:pPr>
            <w:r w:rsidRPr="00446A51">
              <w:t>The model assumed that odevixibat patients do not undergo PEBD after losing response</w:t>
            </w:r>
            <w:r w:rsidR="00E2670D" w:rsidRPr="00446A51">
              <w:t>. O</w:t>
            </w:r>
            <w:r w:rsidRPr="00446A51">
              <w:t xml:space="preserve">nly the </w:t>
            </w:r>
            <w:r w:rsidR="00E2670D" w:rsidRPr="00446A51">
              <w:t xml:space="preserve">patients in the </w:t>
            </w:r>
            <w:r w:rsidRPr="00446A51">
              <w:t xml:space="preserve">SOC arm </w:t>
            </w:r>
            <w:r w:rsidR="00E2670D" w:rsidRPr="00446A51">
              <w:t xml:space="preserve">transitioned </w:t>
            </w:r>
            <w:r w:rsidRPr="00446A51">
              <w:t xml:space="preserve">to </w:t>
            </w:r>
            <w:r w:rsidR="00E2670D" w:rsidRPr="00446A51">
              <w:t xml:space="preserve">the </w:t>
            </w:r>
            <w:r w:rsidRPr="00446A51">
              <w:t>PEBD states. As such, odevixibat patients occupied the ‘no PEBD, no response’ state for an extended period of time</w:t>
            </w:r>
            <w:r w:rsidR="005078A1" w:rsidRPr="00446A51">
              <w:t xml:space="preserve">. The ‘no PEBD, no response’ state </w:t>
            </w:r>
            <w:r w:rsidRPr="00446A51">
              <w:t xml:space="preserve">had a higher utility compared to </w:t>
            </w:r>
            <w:r w:rsidR="005078A1" w:rsidRPr="00446A51">
              <w:t xml:space="preserve">the </w:t>
            </w:r>
            <w:r w:rsidRPr="00446A51">
              <w:t>PEBD states</w:t>
            </w:r>
            <w:r w:rsidR="00E2670D" w:rsidRPr="00446A51">
              <w:t xml:space="preserve">. In addition, patients in the ‘no PEBD, no response’ state </w:t>
            </w:r>
            <w:r w:rsidRPr="00446A51">
              <w:t xml:space="preserve">no longer accrued costs of </w:t>
            </w:r>
            <w:r w:rsidR="005078A1" w:rsidRPr="00446A51">
              <w:t xml:space="preserve">ongoing </w:t>
            </w:r>
            <w:r w:rsidRPr="00446A51">
              <w:t xml:space="preserve">treatment. </w:t>
            </w:r>
          </w:p>
        </w:tc>
        <w:tc>
          <w:tcPr>
            <w:tcW w:w="2094" w:type="pct"/>
            <w:shd w:val="clear" w:color="auto" w:fill="auto"/>
          </w:tcPr>
          <w:p w14:paraId="19AED342" w14:textId="61735A19" w:rsidR="00E5561C" w:rsidRPr="00446A51" w:rsidRDefault="00E5561C" w:rsidP="00517DC0">
            <w:pPr>
              <w:pStyle w:val="TableText0"/>
              <w:keepLines/>
            </w:pPr>
            <w:r w:rsidRPr="00446A51">
              <w:t xml:space="preserve">High, </w:t>
            </w:r>
            <w:r w:rsidR="00375AF6" w:rsidRPr="00446A51">
              <w:t xml:space="preserve">favoured </w:t>
            </w:r>
            <w:r w:rsidRPr="00446A51">
              <w:t>odevixibat</w:t>
            </w:r>
            <w:r w:rsidR="00E2670D" w:rsidRPr="00446A51">
              <w:t>.</w:t>
            </w:r>
          </w:p>
          <w:p w14:paraId="62EB54B4" w14:textId="3B24B755" w:rsidR="00E5561C" w:rsidRPr="00446A51" w:rsidRDefault="00E5561C" w:rsidP="00517DC0">
            <w:pPr>
              <w:pStyle w:val="TableText0"/>
              <w:keepLines/>
            </w:pPr>
            <w:r w:rsidRPr="00446A51">
              <w:t xml:space="preserve">Assuming </w:t>
            </w:r>
            <w:r w:rsidR="00E2670D" w:rsidRPr="00446A51">
              <w:t xml:space="preserve">patients in the </w:t>
            </w:r>
            <w:r w:rsidRPr="00446A51">
              <w:t xml:space="preserve">odevixibat arm </w:t>
            </w:r>
            <w:r w:rsidR="00E2670D" w:rsidRPr="00446A51">
              <w:t xml:space="preserve">can </w:t>
            </w:r>
            <w:r w:rsidRPr="00446A51">
              <w:t>undergo PEBD increased the ICER by 36% ($</w:t>
            </w:r>
            <w:r w:rsidR="0066157F" w:rsidRPr="0066157F">
              <w:rPr>
                <w:color w:val="000000"/>
                <w:spacing w:val="49"/>
                <w:shd w:val="solid" w:color="000000" w:fill="000000"/>
                <w:fitText w:val="320" w:id="-894208502"/>
                <w14:textFill>
                  <w14:solidFill>
                    <w14:srgbClr w14:val="000000">
                      <w14:alpha w14:val="100000"/>
                    </w14:srgbClr>
                  </w14:solidFill>
                </w14:textFill>
              </w:rPr>
              <w:t>|||</w:t>
            </w:r>
            <w:r w:rsidR="0066157F" w:rsidRPr="0066157F">
              <w:rPr>
                <w:color w:val="000000"/>
                <w:spacing w:val="3"/>
                <w:shd w:val="solid" w:color="000000" w:fill="000000"/>
                <w:fitText w:val="320" w:id="-894208502"/>
                <w14:textFill>
                  <w14:solidFill>
                    <w14:srgbClr w14:val="000000">
                      <w14:alpha w14:val="100000"/>
                    </w14:srgbClr>
                  </w14:solidFill>
                </w14:textFill>
              </w:rPr>
              <w:t>|</w:t>
            </w:r>
            <w:r w:rsidR="007A4ED4">
              <w:rPr>
                <w:vertAlign w:val="superscript"/>
              </w:rPr>
              <w:t>1</w:t>
            </w:r>
            <w:r w:rsidRPr="00446A51">
              <w:t>/QALY).</w:t>
            </w:r>
          </w:p>
          <w:p w14:paraId="791D7366" w14:textId="77777777" w:rsidR="00E5561C" w:rsidRPr="00446A51" w:rsidRDefault="00E5561C" w:rsidP="00517DC0">
            <w:pPr>
              <w:pStyle w:val="TableText0"/>
              <w:keepLines/>
            </w:pPr>
          </w:p>
          <w:p w14:paraId="79E1137A" w14:textId="0D4D5F28" w:rsidR="00E5561C" w:rsidRPr="00446A51" w:rsidRDefault="00E5561C" w:rsidP="00517DC0">
            <w:pPr>
              <w:pStyle w:val="TableText0"/>
              <w:keepLines/>
            </w:pPr>
            <w:r w:rsidRPr="00446A51">
              <w:t>Assuming a 100% discontinuation rate for the odevixibat arm (i.e., null treatment effect) decreased the ICER by 95% ($</w:t>
            </w:r>
            <w:r w:rsidR="0066157F" w:rsidRPr="0066157F">
              <w:rPr>
                <w:color w:val="000000"/>
                <w:spacing w:val="53"/>
                <w:shd w:val="solid" w:color="000000" w:fill="000000"/>
                <w:fitText w:val="330" w:id="-894208501"/>
                <w14:textFill>
                  <w14:solidFill>
                    <w14:srgbClr w14:val="000000">
                      <w14:alpha w14:val="100000"/>
                    </w14:srgbClr>
                  </w14:solidFill>
                </w14:textFill>
              </w:rPr>
              <w:t>|||</w:t>
            </w:r>
            <w:r w:rsidR="0066157F" w:rsidRPr="0066157F">
              <w:rPr>
                <w:color w:val="000000"/>
                <w:spacing w:val="1"/>
                <w:shd w:val="solid" w:color="000000" w:fill="000000"/>
                <w:fitText w:val="330" w:id="-894208501"/>
                <w14:textFill>
                  <w14:solidFill>
                    <w14:srgbClr w14:val="000000">
                      <w14:alpha w14:val="100000"/>
                    </w14:srgbClr>
                  </w14:solidFill>
                </w14:textFill>
              </w:rPr>
              <w:t>|</w:t>
            </w:r>
            <w:r w:rsidR="007A4ED4">
              <w:rPr>
                <w:vertAlign w:val="superscript"/>
              </w:rPr>
              <w:t>2</w:t>
            </w:r>
            <w:r w:rsidRPr="00446A51">
              <w:t>/QALY)</w:t>
            </w:r>
            <w:r w:rsidR="00E2670D" w:rsidRPr="00446A51">
              <w:t xml:space="preserve">. Although this analysis </w:t>
            </w:r>
            <w:r w:rsidRPr="00446A51">
              <w:t>was not plausible</w:t>
            </w:r>
            <w:r w:rsidR="00E2670D" w:rsidRPr="00446A51">
              <w:t xml:space="preserve">, it </w:t>
            </w:r>
            <w:r w:rsidRPr="00446A51">
              <w:t xml:space="preserve">further highlights the bias of this assumption. </w:t>
            </w:r>
          </w:p>
        </w:tc>
      </w:tr>
      <w:tr w:rsidR="00E5561C" w:rsidRPr="00D33C2C" w14:paraId="66D73168" w14:textId="77777777" w:rsidTr="00517DC0">
        <w:tc>
          <w:tcPr>
            <w:tcW w:w="626" w:type="pct"/>
            <w:shd w:val="clear" w:color="auto" w:fill="auto"/>
          </w:tcPr>
          <w:p w14:paraId="5529C87F" w14:textId="0FB58401" w:rsidR="00E5561C" w:rsidRPr="00446A51" w:rsidRDefault="00AA7BD6" w:rsidP="00517DC0">
            <w:pPr>
              <w:pStyle w:val="TableText0"/>
              <w:keepLines/>
            </w:pPr>
            <w:r w:rsidRPr="00446A51">
              <w:t>Odevixibat</w:t>
            </w:r>
            <w:r w:rsidR="00E5561C" w:rsidRPr="00446A51">
              <w:t xml:space="preserve"> drug acquisition costs</w:t>
            </w:r>
          </w:p>
        </w:tc>
        <w:tc>
          <w:tcPr>
            <w:tcW w:w="2280" w:type="pct"/>
            <w:shd w:val="clear" w:color="auto" w:fill="auto"/>
          </w:tcPr>
          <w:p w14:paraId="3EFDA314" w14:textId="0C775FF7" w:rsidR="00E5561C" w:rsidRPr="00446A51" w:rsidRDefault="00E5561C" w:rsidP="00517DC0">
            <w:pPr>
              <w:pStyle w:val="TableText0"/>
              <w:keepLines/>
            </w:pPr>
            <w:r w:rsidRPr="00446A51">
              <w:t>The proportion of patients receiving high dose odevixibat (120 mcg/kg</w:t>
            </w:r>
            <w:r w:rsidR="00203390" w:rsidRPr="00446A51">
              <w:t>/day</w:t>
            </w:r>
            <w:r w:rsidRPr="00446A51">
              <w:t>) had a high impact on total costs. The model assumed 30.15% of patients were receiving the high dose which was based on the response of patients who up-titrated</w:t>
            </w:r>
            <w:r w:rsidR="00620839" w:rsidRPr="00446A51">
              <w:t xml:space="preserve"> to 120 mcg/kg</w:t>
            </w:r>
            <w:r w:rsidR="00203390" w:rsidRPr="00446A51">
              <w:t>/day</w:t>
            </w:r>
            <w:r w:rsidRPr="00446A51">
              <w:t>.</w:t>
            </w:r>
            <w:r w:rsidR="0036301B" w:rsidRPr="00446A51">
              <w:t xml:space="preserve"> </w:t>
            </w:r>
          </w:p>
        </w:tc>
        <w:tc>
          <w:tcPr>
            <w:tcW w:w="2094" w:type="pct"/>
            <w:shd w:val="clear" w:color="auto" w:fill="auto"/>
          </w:tcPr>
          <w:p w14:paraId="2366022C" w14:textId="3B0AD7FD" w:rsidR="00E5561C" w:rsidRPr="00446A51" w:rsidRDefault="00E5561C" w:rsidP="00517DC0">
            <w:pPr>
              <w:pStyle w:val="TableText0"/>
              <w:keepLines/>
            </w:pPr>
            <w:r w:rsidRPr="00446A51">
              <w:t>High</w:t>
            </w:r>
            <w:r w:rsidR="00E2670D" w:rsidRPr="00446A51">
              <w:t>.</w:t>
            </w:r>
          </w:p>
          <w:p w14:paraId="0F44AFDA" w14:textId="631CAC01" w:rsidR="00E5561C" w:rsidRPr="00446A51" w:rsidRDefault="00E5561C" w:rsidP="00517DC0">
            <w:pPr>
              <w:pStyle w:val="TableText0"/>
              <w:keepLines/>
            </w:pPr>
            <w:r w:rsidRPr="00446A51">
              <w:t xml:space="preserve">Assuming </w:t>
            </w:r>
            <w:r w:rsidR="0004730A" w:rsidRPr="00446A51">
              <w:t xml:space="preserve">patients </w:t>
            </w:r>
            <w:r w:rsidR="008F7CCF" w:rsidRPr="00446A51">
              <w:t xml:space="preserve">only received the </w:t>
            </w:r>
            <w:r w:rsidR="007A4ED4" w:rsidRPr="00446A51">
              <w:t>40</w:t>
            </w:r>
            <w:r w:rsidR="007A4ED4">
              <w:t> </w:t>
            </w:r>
            <w:r w:rsidR="008F7CCF" w:rsidRPr="00446A51">
              <w:t xml:space="preserve">mcg/kg/day dose (i.e., </w:t>
            </w:r>
            <w:r w:rsidRPr="00446A51">
              <w:t xml:space="preserve">no dose </w:t>
            </w:r>
            <w:r w:rsidR="00FA331F" w:rsidRPr="00446A51">
              <w:t>escalation</w:t>
            </w:r>
            <w:r w:rsidR="008F7CCF" w:rsidRPr="00446A51">
              <w:t>)</w:t>
            </w:r>
            <w:r w:rsidRPr="00446A51">
              <w:t xml:space="preserve"> decreased the ICER by 4</w:t>
            </w:r>
            <w:r w:rsidR="00AB109F">
              <w:t>7</w:t>
            </w:r>
            <w:r w:rsidRPr="00446A51">
              <w:t>% ($</w:t>
            </w:r>
            <w:r w:rsidR="0066157F" w:rsidRPr="0066157F">
              <w:rPr>
                <w:color w:val="000000"/>
                <w:spacing w:val="53"/>
                <w:shd w:val="solid" w:color="000000" w:fill="000000"/>
                <w:fitText w:val="330" w:id="-894208500"/>
                <w14:textFill>
                  <w14:solidFill>
                    <w14:srgbClr w14:val="000000">
                      <w14:alpha w14:val="100000"/>
                    </w14:srgbClr>
                  </w14:solidFill>
                </w14:textFill>
              </w:rPr>
              <w:t>|||</w:t>
            </w:r>
            <w:r w:rsidR="0066157F" w:rsidRPr="0066157F">
              <w:rPr>
                <w:color w:val="000000"/>
                <w:spacing w:val="1"/>
                <w:shd w:val="solid" w:color="000000" w:fill="000000"/>
                <w:fitText w:val="330" w:id="-894208500"/>
                <w14:textFill>
                  <w14:solidFill>
                    <w14:srgbClr w14:val="000000">
                      <w14:alpha w14:val="100000"/>
                    </w14:srgbClr>
                  </w14:solidFill>
                </w14:textFill>
              </w:rPr>
              <w:t>|</w:t>
            </w:r>
            <w:r w:rsidR="007A4ED4">
              <w:rPr>
                <w:vertAlign w:val="superscript"/>
              </w:rPr>
              <w:t>3</w:t>
            </w:r>
            <w:r w:rsidRPr="00446A51">
              <w:t xml:space="preserve">/QALY) </w:t>
            </w:r>
          </w:p>
          <w:p w14:paraId="70648D92" w14:textId="77777777" w:rsidR="00013321" w:rsidRPr="00446A51" w:rsidRDefault="00013321" w:rsidP="00517DC0">
            <w:pPr>
              <w:pStyle w:val="TableText0"/>
              <w:keepLines/>
            </w:pPr>
          </w:p>
          <w:p w14:paraId="1B6E058A" w14:textId="6B0666E6" w:rsidR="00013321" w:rsidRPr="00446A51" w:rsidRDefault="00013321" w:rsidP="00517DC0">
            <w:pPr>
              <w:pStyle w:val="TableText0"/>
              <w:keepLines/>
            </w:pPr>
            <w:r w:rsidRPr="00446A51">
              <w:t xml:space="preserve">Assuming flat </w:t>
            </w:r>
            <w:r w:rsidR="005869D0" w:rsidRPr="00446A51">
              <w:t xml:space="preserve">cost for odevixibat (i.e., cost of </w:t>
            </w:r>
            <w:r w:rsidR="007A4ED4" w:rsidRPr="00446A51">
              <w:t>120</w:t>
            </w:r>
            <w:r w:rsidR="007A4ED4">
              <w:t> </w:t>
            </w:r>
            <w:r w:rsidR="005869D0" w:rsidRPr="00446A51">
              <w:t>mcg/kg/day equal to the 40 mcg/kg/day dose) decreased the ICER by 38% ($</w:t>
            </w:r>
            <w:r w:rsidR="0066157F" w:rsidRPr="0066157F">
              <w:rPr>
                <w:color w:val="000000"/>
                <w:spacing w:val="53"/>
                <w:shd w:val="solid" w:color="000000" w:fill="000000"/>
                <w:fitText w:val="330" w:id="-894208499"/>
                <w14:textFill>
                  <w14:solidFill>
                    <w14:srgbClr w14:val="000000">
                      <w14:alpha w14:val="100000"/>
                    </w14:srgbClr>
                  </w14:solidFill>
                </w14:textFill>
              </w:rPr>
              <w:t>|||</w:t>
            </w:r>
            <w:r w:rsidR="0066157F" w:rsidRPr="0066157F">
              <w:rPr>
                <w:color w:val="000000"/>
                <w:spacing w:val="1"/>
                <w:shd w:val="solid" w:color="000000" w:fill="000000"/>
                <w:fitText w:val="330" w:id="-894208499"/>
                <w14:textFill>
                  <w14:solidFill>
                    <w14:srgbClr w14:val="000000">
                      <w14:alpha w14:val="100000"/>
                    </w14:srgbClr>
                  </w14:solidFill>
                </w14:textFill>
              </w:rPr>
              <w:t>|</w:t>
            </w:r>
            <w:r w:rsidR="0000454F">
              <w:rPr>
                <w:vertAlign w:val="superscript"/>
              </w:rPr>
              <w:t>4</w:t>
            </w:r>
            <w:r w:rsidR="005869D0" w:rsidRPr="00446A51">
              <w:t>/QALY)</w:t>
            </w:r>
          </w:p>
        </w:tc>
      </w:tr>
      <w:tr w:rsidR="008E6381" w:rsidRPr="00D33C2C" w14:paraId="2B1ECF8B" w14:textId="77777777" w:rsidTr="00517DC0">
        <w:tc>
          <w:tcPr>
            <w:tcW w:w="626" w:type="pct"/>
            <w:shd w:val="clear" w:color="auto" w:fill="auto"/>
          </w:tcPr>
          <w:p w14:paraId="63333691" w14:textId="77777777" w:rsidR="008E6381" w:rsidRPr="00446A51" w:rsidRDefault="008E6381" w:rsidP="00517DC0">
            <w:pPr>
              <w:pStyle w:val="TableText0"/>
              <w:keepLines/>
            </w:pPr>
            <w:r w:rsidRPr="00446A51">
              <w:t xml:space="preserve">Utilities values for ‘no PEBD’ and ‘PEBD’ health states </w:t>
            </w:r>
          </w:p>
        </w:tc>
        <w:tc>
          <w:tcPr>
            <w:tcW w:w="2280" w:type="pct"/>
            <w:shd w:val="clear" w:color="auto" w:fill="auto"/>
          </w:tcPr>
          <w:p w14:paraId="3EC13E5B" w14:textId="7B780BE2" w:rsidR="008E6381" w:rsidRPr="00446A51" w:rsidRDefault="008E6381" w:rsidP="00517DC0">
            <w:pPr>
              <w:pStyle w:val="TableText0"/>
              <w:keepLines/>
            </w:pPr>
            <w:r w:rsidRPr="00446A51">
              <w:t>The utility values were potentially overestimated and biased toward health states that odevixibat patients would occupy. The utility values were more favourable in the ‘no PEBD, response’ and ‘no PEBD, no response’ state and less favourable in the ‘PEBD, response’ and ‘PEBD, no response’ states (</w:t>
            </w:r>
            <w:r w:rsidRPr="00446A51">
              <w:fldChar w:fldCharType="begin"/>
            </w:r>
            <w:r w:rsidRPr="00446A51">
              <w:instrText xml:space="preserve"> REF _Ref164662549 \h  \* MERGEFORMAT </w:instrText>
            </w:r>
            <w:r w:rsidRPr="00446A51">
              <w:fldChar w:fldCharType="separate"/>
            </w:r>
            <w:r w:rsidR="008B4717" w:rsidRPr="00D33C2C">
              <w:t xml:space="preserve">Table </w:t>
            </w:r>
            <w:r w:rsidR="008B4717">
              <w:rPr>
                <w:noProof/>
              </w:rPr>
              <w:t>13</w:t>
            </w:r>
            <w:r w:rsidRPr="00446A51">
              <w:fldChar w:fldCharType="end"/>
            </w:r>
            <w:r w:rsidRPr="00446A51">
              <w:t xml:space="preserve">). </w:t>
            </w:r>
          </w:p>
        </w:tc>
        <w:tc>
          <w:tcPr>
            <w:tcW w:w="2094" w:type="pct"/>
            <w:shd w:val="clear" w:color="auto" w:fill="auto"/>
          </w:tcPr>
          <w:p w14:paraId="1681EF32" w14:textId="77777777" w:rsidR="008E6381" w:rsidRPr="00446A51" w:rsidRDefault="008E6381" w:rsidP="00517DC0">
            <w:pPr>
              <w:pStyle w:val="TableText0"/>
              <w:keepLines/>
            </w:pPr>
            <w:r>
              <w:t>Moderate,</w:t>
            </w:r>
            <w:r w:rsidRPr="00446A51">
              <w:t xml:space="preserve"> favoured odevixibat.</w:t>
            </w:r>
          </w:p>
          <w:p w14:paraId="11C2053E" w14:textId="77777777" w:rsidR="008E6381" w:rsidRPr="00446A51" w:rsidRDefault="008E6381" w:rsidP="00517DC0">
            <w:pPr>
              <w:pStyle w:val="TableText0"/>
              <w:keepLines/>
            </w:pPr>
          </w:p>
          <w:p w14:paraId="6025F46C" w14:textId="66B72A0D" w:rsidR="008E6381" w:rsidRPr="00446A51" w:rsidRDefault="008E6381" w:rsidP="00517DC0">
            <w:pPr>
              <w:pStyle w:val="TableText0"/>
              <w:keepLines/>
            </w:pPr>
            <w:r>
              <w:t xml:space="preserve">Assuming the ‘PEBD, response’ utility equals that in the ‘no PEBD, </w:t>
            </w:r>
            <w:r w:rsidR="001825BF">
              <w:t xml:space="preserve">no </w:t>
            </w:r>
            <w:r>
              <w:t>response’</w:t>
            </w:r>
            <w:r w:rsidR="00BA1A02">
              <w:t xml:space="preserve"> </w:t>
            </w:r>
            <w:r>
              <w:t>increases the ICER by 9% ($</w:t>
            </w:r>
            <w:r w:rsidR="0066157F" w:rsidRPr="0066157F">
              <w:rPr>
                <w:color w:val="000000"/>
                <w:spacing w:val="49"/>
                <w:shd w:val="solid" w:color="000000" w:fill="000000"/>
                <w:fitText w:val="320" w:id="-894208498"/>
                <w14:textFill>
                  <w14:solidFill>
                    <w14:srgbClr w14:val="000000">
                      <w14:alpha w14:val="100000"/>
                    </w14:srgbClr>
                  </w14:solidFill>
                </w14:textFill>
              </w:rPr>
              <w:t>|||</w:t>
            </w:r>
            <w:r w:rsidR="0066157F" w:rsidRPr="0066157F">
              <w:rPr>
                <w:color w:val="000000"/>
                <w:spacing w:val="3"/>
                <w:shd w:val="solid" w:color="000000" w:fill="000000"/>
                <w:fitText w:val="320" w:id="-894208498"/>
                <w14:textFill>
                  <w14:solidFill>
                    <w14:srgbClr w14:val="000000">
                      <w14:alpha w14:val="100000"/>
                    </w14:srgbClr>
                  </w14:solidFill>
                </w14:textFill>
              </w:rPr>
              <w:t>|</w:t>
            </w:r>
            <w:r w:rsidR="0000454F">
              <w:rPr>
                <w:vertAlign w:val="superscript"/>
              </w:rPr>
              <w:t>1</w:t>
            </w:r>
            <w:r>
              <w:t xml:space="preserve">/QALY). </w:t>
            </w:r>
          </w:p>
        </w:tc>
      </w:tr>
    </w:tbl>
    <w:p w14:paraId="688F5E69" w14:textId="77777777" w:rsidR="00E5561C" w:rsidRPr="00D33C2C" w:rsidRDefault="00E5561C" w:rsidP="00035438">
      <w:pPr>
        <w:pStyle w:val="TableFigureFooter"/>
        <w:keepNext/>
        <w:keepLines/>
      </w:pPr>
      <w:r w:rsidRPr="00D33C2C">
        <w:t>Source: various sensitivity analyses from the economic model</w:t>
      </w:r>
    </w:p>
    <w:p w14:paraId="28CC4247" w14:textId="54DB1C9D" w:rsidR="005D5492" w:rsidRDefault="00DE7B08" w:rsidP="004B01E3">
      <w:pPr>
        <w:pStyle w:val="TableFigureFooter"/>
        <w:keepNext/>
        <w:keepLines/>
        <w:spacing w:after="0"/>
      </w:pPr>
      <w:r>
        <w:t xml:space="preserve">ICER = incremental cost-effectiveness ratio; </w:t>
      </w:r>
      <w:r w:rsidR="00E5561C" w:rsidRPr="00D33C2C">
        <w:t xml:space="preserve">PEBD = partial external biliary diversion; </w:t>
      </w:r>
      <w:r w:rsidRPr="00D33C2C">
        <w:t>QALYs = quality adjusted life years</w:t>
      </w:r>
      <w:r>
        <w:t xml:space="preserve">; </w:t>
      </w:r>
      <w:r w:rsidR="00E5561C" w:rsidRPr="00D33C2C">
        <w:t>SOC = standard of care</w:t>
      </w:r>
      <w:r w:rsidR="00341260">
        <w:t>.</w:t>
      </w:r>
      <w:r w:rsidR="00E5561C" w:rsidRPr="00D33C2C">
        <w:t xml:space="preserve"> </w:t>
      </w:r>
      <w:r w:rsidR="005D5492" w:rsidRPr="00D33C2C">
        <w:t xml:space="preserve">The </w:t>
      </w:r>
      <w:r w:rsidR="003535F7" w:rsidRPr="00D33C2C">
        <w:t xml:space="preserve">results of the economic evaluation </w:t>
      </w:r>
      <w:r w:rsidR="00E2670D">
        <w:t>are</w:t>
      </w:r>
      <w:r w:rsidR="00E2670D" w:rsidRPr="00D33C2C">
        <w:t xml:space="preserve"> </w:t>
      </w:r>
      <w:r w:rsidR="003535F7" w:rsidRPr="00D33C2C">
        <w:t xml:space="preserve">presented in </w:t>
      </w:r>
      <w:r w:rsidR="003535F7" w:rsidRPr="00D33C2C">
        <w:fldChar w:fldCharType="begin"/>
      </w:r>
      <w:r w:rsidR="003535F7" w:rsidRPr="00D33C2C">
        <w:instrText xml:space="preserve"> REF _Ref164742605 \h </w:instrText>
      </w:r>
      <w:r w:rsidR="003535F7" w:rsidRPr="00D33C2C">
        <w:fldChar w:fldCharType="separate"/>
      </w:r>
      <w:r w:rsidR="008B4717" w:rsidRPr="00C62C67">
        <w:t xml:space="preserve">Table </w:t>
      </w:r>
      <w:r w:rsidR="008B4717">
        <w:rPr>
          <w:noProof/>
        </w:rPr>
        <w:t>17</w:t>
      </w:r>
      <w:r w:rsidR="003535F7" w:rsidRPr="00D33C2C">
        <w:fldChar w:fldCharType="end"/>
      </w:r>
      <w:r w:rsidR="00E2670D">
        <w:t>. T</w:t>
      </w:r>
      <w:r w:rsidR="003535F7" w:rsidRPr="00D33C2C">
        <w:t xml:space="preserve">he </w:t>
      </w:r>
      <w:r w:rsidR="005D5492" w:rsidRPr="00D33C2C">
        <w:t xml:space="preserve">disaggregated costs and outcomes are presented in </w:t>
      </w:r>
      <w:r w:rsidR="005D5492" w:rsidRPr="00D33C2C">
        <w:fldChar w:fldCharType="begin"/>
      </w:r>
      <w:r w:rsidR="005D5492" w:rsidRPr="00D33C2C">
        <w:instrText xml:space="preserve"> REF _Ref164687977 \h </w:instrText>
      </w:r>
      <w:r w:rsidR="005D5492" w:rsidRPr="00D33C2C">
        <w:fldChar w:fldCharType="separate"/>
      </w:r>
      <w:r w:rsidR="008B4717" w:rsidRPr="00D33C2C">
        <w:t xml:space="preserve">Table </w:t>
      </w:r>
      <w:r w:rsidR="008B4717">
        <w:rPr>
          <w:noProof/>
        </w:rPr>
        <w:t>18</w:t>
      </w:r>
      <w:r w:rsidR="005D5492" w:rsidRPr="00D33C2C">
        <w:fldChar w:fldCharType="end"/>
      </w:r>
      <w:r w:rsidR="005D5492" w:rsidRPr="00D33C2C">
        <w:t xml:space="preserve">. </w:t>
      </w:r>
    </w:p>
    <w:p w14:paraId="2097E947" w14:textId="77777777" w:rsidR="00F05B71" w:rsidRPr="009A6D58" w:rsidRDefault="00F05B71" w:rsidP="004B01E3">
      <w:pPr>
        <w:keepNext/>
        <w:keepLines/>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EDD1CDC" w14:textId="71FD4B26" w:rsidR="00F05B71" w:rsidRPr="009A6D58" w:rsidRDefault="00F05B71" w:rsidP="004B01E3">
      <w:pPr>
        <w:keepNext/>
        <w:keepLines/>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6C0573" w:rsidRPr="006C0573">
        <w:rPr>
          <w:rFonts w:ascii="Arial Narrow" w:hAnsi="Arial Narrow"/>
          <w:i/>
          <w:sz w:val="18"/>
          <w:szCs w:val="18"/>
        </w:rPr>
        <w:t>&gt; $1,055,000</w:t>
      </w:r>
    </w:p>
    <w:p w14:paraId="03A91C7C" w14:textId="499A933E" w:rsidR="00F05B71" w:rsidRPr="009A6D58" w:rsidRDefault="00F05B71" w:rsidP="004B01E3">
      <w:pPr>
        <w:keepNext/>
        <w:keepLines/>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1F5A70" w:rsidRPr="001F5A70">
        <w:rPr>
          <w:rFonts w:ascii="Arial Narrow" w:hAnsi="Arial Narrow"/>
          <w:i/>
          <w:sz w:val="18"/>
          <w:szCs w:val="18"/>
        </w:rPr>
        <w:t>$55,000 to &lt; $75,000</w:t>
      </w:r>
    </w:p>
    <w:p w14:paraId="542C1BC1" w14:textId="3482500F" w:rsidR="00F05B71" w:rsidRPr="00F05B71" w:rsidRDefault="00F05B71" w:rsidP="000D62BF">
      <w:pPr>
        <w:spacing w:after="120"/>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0D62BF" w:rsidRPr="000D62BF">
        <w:rPr>
          <w:rFonts w:ascii="Arial Narrow" w:hAnsi="Arial Narrow"/>
          <w:i/>
          <w:sz w:val="18"/>
          <w:szCs w:val="18"/>
        </w:rPr>
        <w:t>$655,000 to &lt; $755,000</w:t>
      </w:r>
      <w:r>
        <w:rPr>
          <w:rFonts w:ascii="Arial Narrow" w:hAnsi="Arial Narrow"/>
          <w:i/>
          <w:sz w:val="18"/>
          <w:szCs w:val="18"/>
          <w:vertAlign w:val="superscript"/>
        </w:rPr>
        <w:t>4</w:t>
      </w:r>
      <w:r>
        <w:rPr>
          <w:rFonts w:ascii="Arial Narrow" w:hAnsi="Arial Narrow"/>
          <w:i/>
          <w:sz w:val="18"/>
          <w:szCs w:val="18"/>
        </w:rPr>
        <w:t xml:space="preserve"> </w:t>
      </w:r>
      <w:r w:rsidR="004B01E3" w:rsidRPr="004B01E3">
        <w:rPr>
          <w:rFonts w:ascii="Arial Narrow" w:hAnsi="Arial Narrow"/>
          <w:i/>
          <w:sz w:val="18"/>
          <w:szCs w:val="18"/>
        </w:rPr>
        <w:t>$755,000 to &lt; $855,000</w:t>
      </w:r>
    </w:p>
    <w:p w14:paraId="49BA1567" w14:textId="6EED8B96" w:rsidR="00E5561C" w:rsidRPr="00C62C67" w:rsidRDefault="00E5561C" w:rsidP="004B01E3">
      <w:pPr>
        <w:pStyle w:val="TableFigureHeading"/>
        <w:keepLines/>
      </w:pPr>
      <w:bookmarkStart w:id="95" w:name="_Ref164742605"/>
      <w:r w:rsidRPr="00C62C67">
        <w:t xml:space="preserve">Table </w:t>
      </w:r>
      <w:r w:rsidR="00DF1200" w:rsidRPr="00C62C67">
        <w:fldChar w:fldCharType="begin"/>
      </w:r>
      <w:r w:rsidR="00DF1200" w:rsidRPr="00C62C67">
        <w:instrText xml:space="preserve"> SEQ Table \* ARABIC </w:instrText>
      </w:r>
      <w:r w:rsidR="00DF1200" w:rsidRPr="00C62C67">
        <w:fldChar w:fldCharType="separate"/>
      </w:r>
      <w:r w:rsidR="008B4717">
        <w:rPr>
          <w:noProof/>
        </w:rPr>
        <w:t>17</w:t>
      </w:r>
      <w:r w:rsidR="00DF1200" w:rsidRPr="00C62C67">
        <w:rPr>
          <w:noProof/>
        </w:rPr>
        <w:fldChar w:fldCharType="end"/>
      </w:r>
      <w:bookmarkEnd w:id="95"/>
      <w:r w:rsidRPr="00C62C67">
        <w:rPr>
          <w:rStyle w:val="CommentReference"/>
          <w:b/>
          <w:szCs w:val="24"/>
        </w:rPr>
        <w:t>: Results of the economic evaluation (discounted)</w:t>
      </w:r>
    </w:p>
    <w:tbl>
      <w:tblPr>
        <w:tblW w:w="5018"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7: Results of the economic evaluation (discounted)"/>
      </w:tblPr>
      <w:tblGrid>
        <w:gridCol w:w="2793"/>
        <w:gridCol w:w="2450"/>
        <w:gridCol w:w="2298"/>
        <w:gridCol w:w="1508"/>
      </w:tblGrid>
      <w:tr w:rsidR="00E5561C" w:rsidRPr="00C62C67" w14:paraId="27F55424" w14:textId="77777777" w:rsidTr="009A7786">
        <w:trPr>
          <w:trHeight w:val="362"/>
          <w:tblHeader/>
        </w:trPr>
        <w:tc>
          <w:tcPr>
            <w:tcW w:w="1543" w:type="pct"/>
            <w:vAlign w:val="center"/>
          </w:tcPr>
          <w:p w14:paraId="02D3EE28" w14:textId="77777777" w:rsidR="00E5561C" w:rsidRPr="00C62C67" w:rsidRDefault="00E5561C" w:rsidP="004B01E3">
            <w:pPr>
              <w:pStyle w:val="In-tableHeading"/>
              <w:keepLines/>
              <w:rPr>
                <w:lang w:val="en-AU"/>
              </w:rPr>
            </w:pPr>
            <w:r w:rsidRPr="00C62C67">
              <w:rPr>
                <w:lang w:val="en-AU"/>
              </w:rPr>
              <w:t>Component</w:t>
            </w:r>
          </w:p>
        </w:tc>
        <w:tc>
          <w:tcPr>
            <w:tcW w:w="1354" w:type="pct"/>
            <w:vAlign w:val="center"/>
          </w:tcPr>
          <w:p w14:paraId="176430ED" w14:textId="77932CB1" w:rsidR="00E5561C" w:rsidRPr="00C62C67" w:rsidRDefault="0004730A" w:rsidP="004B01E3">
            <w:pPr>
              <w:pStyle w:val="In-tableHeading"/>
              <w:keepLines/>
              <w:jc w:val="center"/>
              <w:rPr>
                <w:lang w:val="en-AU"/>
              </w:rPr>
            </w:pPr>
            <w:r w:rsidRPr="00C62C67">
              <w:rPr>
                <w:lang w:val="en-AU"/>
              </w:rPr>
              <w:t xml:space="preserve">Odevixibat </w:t>
            </w:r>
          </w:p>
        </w:tc>
        <w:tc>
          <w:tcPr>
            <w:tcW w:w="1270" w:type="pct"/>
            <w:vAlign w:val="center"/>
          </w:tcPr>
          <w:p w14:paraId="79B5B702" w14:textId="3275371D" w:rsidR="00E5561C" w:rsidRPr="00C62C67" w:rsidRDefault="0004730A" w:rsidP="004B01E3">
            <w:pPr>
              <w:pStyle w:val="In-tableHeading"/>
              <w:keepLines/>
              <w:jc w:val="center"/>
              <w:rPr>
                <w:lang w:val="en-AU"/>
              </w:rPr>
            </w:pPr>
            <w:r w:rsidRPr="00C62C67">
              <w:rPr>
                <w:lang w:val="en-AU"/>
              </w:rPr>
              <w:t xml:space="preserve">SOC </w:t>
            </w:r>
          </w:p>
        </w:tc>
        <w:tc>
          <w:tcPr>
            <w:tcW w:w="833" w:type="pct"/>
            <w:vAlign w:val="center"/>
          </w:tcPr>
          <w:p w14:paraId="4B3AC070" w14:textId="77777777" w:rsidR="00E5561C" w:rsidRPr="00C62C67" w:rsidRDefault="00E5561C" w:rsidP="004B01E3">
            <w:pPr>
              <w:pStyle w:val="In-tableHeading"/>
              <w:keepLines/>
              <w:jc w:val="center"/>
              <w:rPr>
                <w:lang w:val="en-AU"/>
              </w:rPr>
            </w:pPr>
            <w:r w:rsidRPr="00C62C67">
              <w:rPr>
                <w:lang w:val="en-AU"/>
              </w:rPr>
              <w:t>Increment</w:t>
            </w:r>
          </w:p>
        </w:tc>
      </w:tr>
      <w:tr w:rsidR="009A7786" w:rsidRPr="00C62C67" w14:paraId="01F321F4" w14:textId="77777777" w:rsidTr="009A7786">
        <w:tc>
          <w:tcPr>
            <w:tcW w:w="1543" w:type="pct"/>
            <w:vAlign w:val="center"/>
          </w:tcPr>
          <w:p w14:paraId="09A9BF8D" w14:textId="77777777" w:rsidR="009A7786" w:rsidRPr="00C62C67" w:rsidRDefault="009A7786" w:rsidP="004B01E3">
            <w:pPr>
              <w:pStyle w:val="TableText0"/>
              <w:keepLines/>
              <w:rPr>
                <w:rFonts w:ascii="Times" w:hAnsi="Times"/>
              </w:rPr>
            </w:pPr>
            <w:r w:rsidRPr="00C62C67">
              <w:t>Costs</w:t>
            </w:r>
          </w:p>
        </w:tc>
        <w:tc>
          <w:tcPr>
            <w:tcW w:w="1354" w:type="pct"/>
          </w:tcPr>
          <w:p w14:paraId="502628DD" w14:textId="093FC6FD" w:rsidR="009A7786" w:rsidRPr="00C62C67" w:rsidRDefault="009A7786" w:rsidP="004B01E3">
            <w:pPr>
              <w:pStyle w:val="TableText0"/>
              <w:keepLines/>
              <w:jc w:val="center"/>
              <w:rPr>
                <w:rFonts w:ascii="Times" w:hAnsi="Times"/>
              </w:rPr>
            </w:pPr>
            <w:r w:rsidRPr="00C62C67">
              <w:t>$</w:t>
            </w:r>
            <w:r w:rsidR="0066157F" w:rsidRPr="0066157F">
              <w:rPr>
                <w:color w:val="000000"/>
                <w:shd w:val="solid" w:color="000000" w:fill="000000"/>
                <w14:textFill>
                  <w14:solidFill>
                    <w14:srgbClr w14:val="000000">
                      <w14:alpha w14:val="100000"/>
                    </w14:srgbClr>
                  </w14:solidFill>
                </w14:textFill>
              </w:rPr>
              <w:t>|</w:t>
            </w:r>
          </w:p>
        </w:tc>
        <w:tc>
          <w:tcPr>
            <w:tcW w:w="1270" w:type="pct"/>
          </w:tcPr>
          <w:p w14:paraId="62FA794E" w14:textId="2D9D76BB" w:rsidR="009A7786" w:rsidRPr="00C62C67" w:rsidRDefault="009A7786" w:rsidP="004B01E3">
            <w:pPr>
              <w:pStyle w:val="TableText0"/>
              <w:keepLines/>
              <w:jc w:val="center"/>
              <w:rPr>
                <w:rFonts w:ascii="Times" w:hAnsi="Times"/>
              </w:rPr>
            </w:pPr>
            <w:r w:rsidRPr="00C62C67">
              <w:t>$219,662</w:t>
            </w:r>
          </w:p>
        </w:tc>
        <w:tc>
          <w:tcPr>
            <w:tcW w:w="833" w:type="pct"/>
          </w:tcPr>
          <w:p w14:paraId="3E0C8911" w14:textId="39E70A80" w:rsidR="009A7786" w:rsidRPr="00C62C67" w:rsidRDefault="009A7786" w:rsidP="004B01E3">
            <w:pPr>
              <w:pStyle w:val="TableText0"/>
              <w:keepLines/>
              <w:jc w:val="center"/>
              <w:rPr>
                <w:rFonts w:ascii="Times" w:hAnsi="Times"/>
              </w:rPr>
            </w:pPr>
            <w:r w:rsidRPr="00C62C67">
              <w:t>$</w:t>
            </w:r>
            <w:r w:rsidR="0066157F" w:rsidRPr="0066157F">
              <w:rPr>
                <w:color w:val="000000"/>
                <w:shd w:val="solid" w:color="000000" w:fill="000000"/>
                <w14:textFill>
                  <w14:solidFill>
                    <w14:srgbClr w14:val="000000">
                      <w14:alpha w14:val="100000"/>
                    </w14:srgbClr>
                  </w14:solidFill>
                </w14:textFill>
              </w:rPr>
              <w:t>|</w:t>
            </w:r>
          </w:p>
        </w:tc>
      </w:tr>
      <w:tr w:rsidR="009A7786" w:rsidRPr="00C62C67" w14:paraId="05EAD448" w14:textId="77777777" w:rsidTr="009A7786">
        <w:tc>
          <w:tcPr>
            <w:tcW w:w="1543" w:type="pct"/>
            <w:vAlign w:val="center"/>
          </w:tcPr>
          <w:p w14:paraId="676A39C5" w14:textId="77777777" w:rsidR="009A7786" w:rsidRPr="00C62C67" w:rsidRDefault="009A7786" w:rsidP="004B01E3">
            <w:pPr>
              <w:pStyle w:val="TableText0"/>
              <w:keepLines/>
            </w:pPr>
            <w:r w:rsidRPr="00C62C67">
              <w:t>LYG</w:t>
            </w:r>
          </w:p>
        </w:tc>
        <w:tc>
          <w:tcPr>
            <w:tcW w:w="1354" w:type="pct"/>
          </w:tcPr>
          <w:p w14:paraId="71373A3E" w14:textId="0CE0AF04" w:rsidR="009A7786" w:rsidRPr="00C62C67" w:rsidRDefault="009A7786" w:rsidP="004B01E3">
            <w:pPr>
              <w:pStyle w:val="TableText0"/>
              <w:keepLines/>
              <w:jc w:val="center"/>
            </w:pPr>
            <w:r w:rsidRPr="00C62C67">
              <w:t xml:space="preserve">18.22 </w:t>
            </w:r>
          </w:p>
        </w:tc>
        <w:tc>
          <w:tcPr>
            <w:tcW w:w="1270" w:type="pct"/>
          </w:tcPr>
          <w:p w14:paraId="6EC26125" w14:textId="07BBCD0D" w:rsidR="009A7786" w:rsidRPr="00C62C67" w:rsidRDefault="009A7786" w:rsidP="004B01E3">
            <w:pPr>
              <w:pStyle w:val="TableText0"/>
              <w:keepLines/>
              <w:jc w:val="center"/>
            </w:pPr>
            <w:r w:rsidRPr="00C62C67">
              <w:t>16.69</w:t>
            </w:r>
          </w:p>
        </w:tc>
        <w:tc>
          <w:tcPr>
            <w:tcW w:w="833" w:type="pct"/>
          </w:tcPr>
          <w:p w14:paraId="3215B5C3" w14:textId="77777777" w:rsidR="009A7786" w:rsidRPr="00C62C67" w:rsidRDefault="009A7786" w:rsidP="004B01E3">
            <w:pPr>
              <w:pStyle w:val="TableText0"/>
              <w:keepLines/>
              <w:jc w:val="center"/>
            </w:pPr>
            <w:r w:rsidRPr="00C62C67">
              <w:t>1.53</w:t>
            </w:r>
          </w:p>
        </w:tc>
      </w:tr>
      <w:tr w:rsidR="009A7786" w:rsidRPr="00C62C67" w14:paraId="1CABCC58" w14:textId="77777777" w:rsidTr="009A7786">
        <w:tc>
          <w:tcPr>
            <w:tcW w:w="1543" w:type="pct"/>
            <w:vAlign w:val="center"/>
          </w:tcPr>
          <w:p w14:paraId="1CDE8ADA" w14:textId="77777777" w:rsidR="009A7786" w:rsidRPr="00C62C67" w:rsidRDefault="009A7786" w:rsidP="004B01E3">
            <w:pPr>
              <w:pStyle w:val="TableText0"/>
              <w:keepLines/>
              <w:rPr>
                <w:rFonts w:ascii="Times" w:hAnsi="Times"/>
              </w:rPr>
            </w:pPr>
            <w:r w:rsidRPr="00C62C67">
              <w:t>QALYs</w:t>
            </w:r>
          </w:p>
        </w:tc>
        <w:tc>
          <w:tcPr>
            <w:tcW w:w="1354" w:type="pct"/>
          </w:tcPr>
          <w:p w14:paraId="2081859E" w14:textId="76EF3EDF" w:rsidR="009A7786" w:rsidRPr="00C62C67" w:rsidRDefault="009A7786" w:rsidP="004B01E3">
            <w:pPr>
              <w:pStyle w:val="TableText0"/>
              <w:keepLines/>
              <w:jc w:val="center"/>
              <w:rPr>
                <w:rFonts w:ascii="Times" w:hAnsi="Times"/>
              </w:rPr>
            </w:pPr>
            <w:r w:rsidRPr="00C62C67">
              <w:t xml:space="preserve">15.14 </w:t>
            </w:r>
          </w:p>
        </w:tc>
        <w:tc>
          <w:tcPr>
            <w:tcW w:w="1270" w:type="pct"/>
          </w:tcPr>
          <w:p w14:paraId="23EFCF9F" w14:textId="534BE886" w:rsidR="009A7786" w:rsidRPr="00C62C67" w:rsidRDefault="009A7786" w:rsidP="004B01E3">
            <w:pPr>
              <w:pStyle w:val="TableText0"/>
              <w:keepLines/>
              <w:jc w:val="center"/>
              <w:rPr>
                <w:rFonts w:ascii="Times" w:hAnsi="Times"/>
              </w:rPr>
            </w:pPr>
            <w:r w:rsidRPr="00C62C67">
              <w:t xml:space="preserve">12.41 </w:t>
            </w:r>
          </w:p>
        </w:tc>
        <w:tc>
          <w:tcPr>
            <w:tcW w:w="833" w:type="pct"/>
          </w:tcPr>
          <w:p w14:paraId="41FCDCB4" w14:textId="77777777" w:rsidR="009A7786" w:rsidRPr="00C62C67" w:rsidRDefault="009A7786" w:rsidP="004B01E3">
            <w:pPr>
              <w:pStyle w:val="TableText0"/>
              <w:keepLines/>
              <w:jc w:val="center"/>
            </w:pPr>
            <w:r w:rsidRPr="00C62C67">
              <w:t>2.73</w:t>
            </w:r>
          </w:p>
        </w:tc>
      </w:tr>
      <w:tr w:rsidR="009A7786" w:rsidRPr="00C62C67" w14:paraId="35B9E33D" w14:textId="77777777" w:rsidTr="009A7786">
        <w:tc>
          <w:tcPr>
            <w:tcW w:w="4167" w:type="pct"/>
            <w:gridSpan w:val="3"/>
            <w:vAlign w:val="center"/>
          </w:tcPr>
          <w:p w14:paraId="05CB157A" w14:textId="77777777" w:rsidR="009A7786" w:rsidRPr="00C62C67" w:rsidRDefault="009A7786" w:rsidP="004B01E3">
            <w:pPr>
              <w:pStyle w:val="TableText0"/>
              <w:keepLines/>
              <w:rPr>
                <w:rFonts w:ascii="Times" w:hAnsi="Times"/>
                <w:bCs w:val="0"/>
              </w:rPr>
            </w:pPr>
            <w:r w:rsidRPr="00C62C67">
              <w:rPr>
                <w:bCs w:val="0"/>
              </w:rPr>
              <w:t>Incremental cost/extra LY gained</w:t>
            </w:r>
          </w:p>
        </w:tc>
        <w:tc>
          <w:tcPr>
            <w:tcW w:w="833" w:type="pct"/>
            <w:vAlign w:val="center"/>
          </w:tcPr>
          <w:p w14:paraId="5B03A410" w14:textId="5D50AD8A" w:rsidR="009A7786" w:rsidRPr="00C62C67" w:rsidRDefault="009A7786" w:rsidP="004B01E3">
            <w:pPr>
              <w:pStyle w:val="TableText0"/>
              <w:keepLines/>
              <w:jc w:val="center"/>
              <w:rPr>
                <w:rFonts w:ascii="Times" w:hAnsi="Times"/>
                <w:bCs w:val="0"/>
                <w:vertAlign w:val="superscript"/>
              </w:rPr>
            </w:pPr>
            <w:r w:rsidRPr="00C62C67">
              <w:rPr>
                <w:bCs w:val="0"/>
              </w:rPr>
              <w:t>$</w:t>
            </w:r>
            <w:r w:rsidR="0066157F" w:rsidRPr="0066157F">
              <w:rPr>
                <w:bCs w:val="0"/>
                <w:color w:val="000000"/>
                <w:shd w:val="solid" w:color="000000" w:fill="000000"/>
                <w14:textFill>
                  <w14:solidFill>
                    <w14:srgbClr w14:val="000000">
                      <w14:alpha w14:val="100000"/>
                    </w14:srgbClr>
                  </w14:solidFill>
                </w14:textFill>
              </w:rPr>
              <w:t>|</w:t>
            </w:r>
            <w:r w:rsidR="004B01E3" w:rsidRPr="00C62C67">
              <w:rPr>
                <w:bCs w:val="0"/>
                <w:vertAlign w:val="superscript"/>
              </w:rPr>
              <w:t>1</w:t>
            </w:r>
          </w:p>
        </w:tc>
      </w:tr>
      <w:tr w:rsidR="009A7786" w:rsidRPr="00C62C67" w14:paraId="04CF000B" w14:textId="77777777" w:rsidTr="009A7786">
        <w:tc>
          <w:tcPr>
            <w:tcW w:w="4167" w:type="pct"/>
            <w:gridSpan w:val="3"/>
            <w:vAlign w:val="center"/>
          </w:tcPr>
          <w:p w14:paraId="374F6471" w14:textId="77777777" w:rsidR="009A7786" w:rsidRPr="00C62C67" w:rsidRDefault="009A7786" w:rsidP="004B01E3">
            <w:pPr>
              <w:pStyle w:val="TableText0"/>
              <w:keepLines/>
              <w:rPr>
                <w:b/>
              </w:rPr>
            </w:pPr>
            <w:r w:rsidRPr="00C62C67">
              <w:rPr>
                <w:b/>
              </w:rPr>
              <w:t>Incremental cost/extra QALY gained</w:t>
            </w:r>
          </w:p>
        </w:tc>
        <w:tc>
          <w:tcPr>
            <w:tcW w:w="833" w:type="pct"/>
            <w:vAlign w:val="center"/>
          </w:tcPr>
          <w:p w14:paraId="7BCD0F40" w14:textId="68FD3F83" w:rsidR="009A7786" w:rsidRPr="00C62C67" w:rsidRDefault="009A7786" w:rsidP="004B01E3">
            <w:pPr>
              <w:pStyle w:val="TableText0"/>
              <w:keepLines/>
              <w:jc w:val="center"/>
              <w:rPr>
                <w:b/>
                <w:bCs w:val="0"/>
                <w:vertAlign w:val="superscript"/>
              </w:rPr>
            </w:pPr>
            <w:r w:rsidRPr="00C62C67">
              <w:rPr>
                <w:b/>
                <w:bCs w:val="0"/>
              </w:rPr>
              <w:t>$</w:t>
            </w:r>
            <w:r w:rsidR="0066157F" w:rsidRPr="0066157F">
              <w:rPr>
                <w:b/>
                <w:bCs w:val="0"/>
                <w:color w:val="000000"/>
                <w:shd w:val="solid" w:color="000000" w:fill="000000"/>
                <w14:textFill>
                  <w14:solidFill>
                    <w14:srgbClr w14:val="000000">
                      <w14:alpha w14:val="100000"/>
                    </w14:srgbClr>
                  </w14:solidFill>
                </w14:textFill>
              </w:rPr>
              <w:t>|</w:t>
            </w:r>
            <w:r w:rsidR="004B01E3" w:rsidRPr="00C62C67">
              <w:rPr>
                <w:b/>
                <w:bCs w:val="0"/>
                <w:vertAlign w:val="superscript"/>
              </w:rPr>
              <w:t>1</w:t>
            </w:r>
          </w:p>
        </w:tc>
      </w:tr>
    </w:tbl>
    <w:p w14:paraId="144147CB" w14:textId="77777777" w:rsidR="00E5561C" w:rsidRPr="00C62C67" w:rsidRDefault="00E5561C" w:rsidP="004B01E3">
      <w:pPr>
        <w:pStyle w:val="TableFigureFooter"/>
        <w:keepNext/>
        <w:keepLines/>
      </w:pPr>
      <w:r w:rsidRPr="00C62C67">
        <w:t>Source: Tables 3-55 and 3-56, p169 of the submission</w:t>
      </w:r>
    </w:p>
    <w:p w14:paraId="276BE727" w14:textId="77777777" w:rsidR="00E5561C" w:rsidRDefault="00E5561C" w:rsidP="004B01E3">
      <w:pPr>
        <w:pStyle w:val="TableFigureFooter"/>
        <w:keepNext/>
        <w:keepLines/>
        <w:spacing w:after="0"/>
        <w:rPr>
          <w:rFonts w:eastAsia="Calibri"/>
          <w:szCs w:val="20"/>
        </w:rPr>
      </w:pPr>
      <w:r w:rsidRPr="00C62C67">
        <w:t>LYG = life years gained; QALY = quality adjusted life year; SOC = standard of care</w:t>
      </w:r>
      <w:r w:rsidRPr="00C62C67">
        <w:rPr>
          <w:rFonts w:eastAsia="Calibri"/>
          <w:szCs w:val="20"/>
        </w:rPr>
        <w:t>.</w:t>
      </w:r>
    </w:p>
    <w:p w14:paraId="74FA6895" w14:textId="77777777" w:rsidR="004B01E3" w:rsidRPr="009A6D58" w:rsidRDefault="004B01E3" w:rsidP="004B01E3">
      <w:pPr>
        <w:keepNext/>
        <w:keepLines/>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4D02036" w14:textId="1DA6647D" w:rsidR="004B01E3" w:rsidRPr="004B01E3" w:rsidRDefault="004B01E3" w:rsidP="004B01E3">
      <w:pPr>
        <w:spacing w:after="120"/>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6C0573">
        <w:rPr>
          <w:rFonts w:ascii="Arial Narrow" w:hAnsi="Arial Narrow"/>
          <w:i/>
          <w:sz w:val="18"/>
          <w:szCs w:val="18"/>
        </w:rPr>
        <w:t>&gt; $1,055,000</w:t>
      </w:r>
    </w:p>
    <w:p w14:paraId="3F8B3B23" w14:textId="583AC37E" w:rsidR="005C643F" w:rsidRPr="00D33C2C" w:rsidRDefault="001F649F" w:rsidP="003535F7">
      <w:pPr>
        <w:pStyle w:val="TableFigureHeading"/>
        <w:keepLines/>
        <w:rPr>
          <w:rStyle w:val="CommentReference"/>
          <w:b/>
          <w:szCs w:val="24"/>
        </w:rPr>
      </w:pPr>
      <w:bookmarkStart w:id="96" w:name="_Ref164687977"/>
      <w:r w:rsidRPr="00D33C2C">
        <w:lastRenderedPageBreak/>
        <w:t xml:space="preserve">Table </w:t>
      </w:r>
      <w:r w:rsidR="00DF1200">
        <w:fldChar w:fldCharType="begin"/>
      </w:r>
      <w:r w:rsidR="00DF1200">
        <w:instrText xml:space="preserve"> SEQ Table \* ARABIC </w:instrText>
      </w:r>
      <w:r w:rsidR="00DF1200">
        <w:fldChar w:fldCharType="separate"/>
      </w:r>
      <w:r w:rsidR="008B4717">
        <w:rPr>
          <w:noProof/>
        </w:rPr>
        <w:t>18</w:t>
      </w:r>
      <w:r w:rsidR="00DF1200">
        <w:rPr>
          <w:noProof/>
        </w:rPr>
        <w:fldChar w:fldCharType="end"/>
      </w:r>
      <w:bookmarkEnd w:id="96"/>
      <w:r w:rsidRPr="00D33C2C">
        <w:t xml:space="preserve">: </w:t>
      </w:r>
      <w:r w:rsidR="005C643F" w:rsidRPr="00D33C2C">
        <w:rPr>
          <w:rStyle w:val="CommentReference"/>
          <w:b/>
          <w:szCs w:val="24"/>
        </w:rPr>
        <w:t>Disaggregated costs, QALYs (discounted) and LYG (undiscounted) included in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8: Disaggregated costs, QALYs (discounted) and LYG (undiscounted) included in the economic evaluation"/>
      </w:tblPr>
      <w:tblGrid>
        <w:gridCol w:w="2682"/>
        <w:gridCol w:w="999"/>
        <w:gridCol w:w="1267"/>
        <w:gridCol w:w="1201"/>
        <w:gridCol w:w="1278"/>
        <w:gridCol w:w="1590"/>
      </w:tblGrid>
      <w:tr w:rsidR="005C643F" w:rsidRPr="00D33C2C" w14:paraId="266D3CE7" w14:textId="77777777" w:rsidTr="007460E2">
        <w:trPr>
          <w:trHeight w:val="57"/>
        </w:trPr>
        <w:tc>
          <w:tcPr>
            <w:tcW w:w="2682" w:type="dxa"/>
            <w:shd w:val="clear" w:color="auto" w:fill="auto"/>
            <w:noWrap/>
            <w:vAlign w:val="center"/>
            <w:hideMark/>
          </w:tcPr>
          <w:p w14:paraId="5B689317" w14:textId="754A9116" w:rsidR="005C643F" w:rsidRPr="00D33C2C" w:rsidRDefault="005C643F" w:rsidP="003535F7">
            <w:pPr>
              <w:pStyle w:val="Tabletext"/>
              <w:keepNext/>
              <w:keepLines/>
              <w:rPr>
                <w:b/>
                <w:bCs/>
              </w:rPr>
            </w:pPr>
            <w:r w:rsidRPr="00D33C2C">
              <w:rPr>
                <w:b/>
                <w:bCs/>
              </w:rPr>
              <w:t>LYG (undiscounted)</w:t>
            </w:r>
          </w:p>
        </w:tc>
        <w:tc>
          <w:tcPr>
            <w:tcW w:w="999" w:type="dxa"/>
            <w:shd w:val="clear" w:color="auto" w:fill="auto"/>
            <w:noWrap/>
            <w:vAlign w:val="center"/>
            <w:hideMark/>
          </w:tcPr>
          <w:p w14:paraId="55DFD057" w14:textId="77777777" w:rsidR="005C643F" w:rsidRPr="00D33C2C" w:rsidRDefault="005C643F" w:rsidP="003535F7">
            <w:pPr>
              <w:pStyle w:val="Tabletext"/>
              <w:keepNext/>
              <w:keepLines/>
              <w:jc w:val="center"/>
              <w:rPr>
                <w:b/>
                <w:bCs/>
              </w:rPr>
            </w:pPr>
            <w:r w:rsidRPr="00D33C2C">
              <w:rPr>
                <w:b/>
                <w:bCs/>
              </w:rPr>
              <w:t>SoC</w:t>
            </w:r>
          </w:p>
        </w:tc>
        <w:tc>
          <w:tcPr>
            <w:tcW w:w="1267" w:type="dxa"/>
            <w:shd w:val="clear" w:color="auto" w:fill="auto"/>
            <w:noWrap/>
            <w:vAlign w:val="center"/>
            <w:hideMark/>
          </w:tcPr>
          <w:p w14:paraId="06488488" w14:textId="77777777" w:rsidR="005C643F" w:rsidRPr="00D33C2C" w:rsidRDefault="005C643F" w:rsidP="003535F7">
            <w:pPr>
              <w:pStyle w:val="Tabletext"/>
              <w:keepNext/>
              <w:keepLines/>
              <w:jc w:val="center"/>
              <w:rPr>
                <w:b/>
                <w:bCs/>
              </w:rPr>
            </w:pPr>
            <w:r w:rsidRPr="00D33C2C">
              <w:rPr>
                <w:b/>
                <w:bCs/>
              </w:rPr>
              <w:t>Odevixibat</w:t>
            </w:r>
          </w:p>
        </w:tc>
        <w:tc>
          <w:tcPr>
            <w:tcW w:w="1201" w:type="dxa"/>
            <w:shd w:val="clear" w:color="auto" w:fill="auto"/>
            <w:noWrap/>
            <w:vAlign w:val="center"/>
            <w:hideMark/>
          </w:tcPr>
          <w:p w14:paraId="2711109A" w14:textId="77777777" w:rsidR="005C643F" w:rsidRPr="00D33C2C" w:rsidRDefault="005C643F" w:rsidP="003535F7">
            <w:pPr>
              <w:pStyle w:val="Tabletext"/>
              <w:keepNext/>
              <w:keepLines/>
              <w:jc w:val="center"/>
              <w:rPr>
                <w:b/>
                <w:bCs/>
              </w:rPr>
            </w:pPr>
            <w:r w:rsidRPr="00D33C2C">
              <w:rPr>
                <w:b/>
                <w:bCs/>
              </w:rPr>
              <w:t>Incremental</w:t>
            </w:r>
          </w:p>
        </w:tc>
        <w:tc>
          <w:tcPr>
            <w:tcW w:w="1278" w:type="dxa"/>
            <w:shd w:val="clear" w:color="auto" w:fill="auto"/>
            <w:noWrap/>
            <w:vAlign w:val="center"/>
            <w:hideMark/>
          </w:tcPr>
          <w:p w14:paraId="54B6AA74" w14:textId="77777777" w:rsidR="005C643F" w:rsidRPr="00D33C2C" w:rsidRDefault="005C643F" w:rsidP="003535F7">
            <w:pPr>
              <w:pStyle w:val="Tabletext"/>
              <w:keepNext/>
              <w:keepLines/>
              <w:jc w:val="center"/>
              <w:rPr>
                <w:b/>
                <w:bCs/>
              </w:rPr>
            </w:pPr>
            <w:r w:rsidRPr="00D33C2C">
              <w:rPr>
                <w:b/>
                <w:bCs/>
              </w:rPr>
              <w:t>Absolute increment</w:t>
            </w:r>
          </w:p>
        </w:tc>
        <w:tc>
          <w:tcPr>
            <w:tcW w:w="1590" w:type="dxa"/>
            <w:shd w:val="clear" w:color="auto" w:fill="auto"/>
            <w:noWrap/>
            <w:vAlign w:val="center"/>
            <w:hideMark/>
          </w:tcPr>
          <w:p w14:paraId="7EB5FB0E" w14:textId="77777777" w:rsidR="005C643F" w:rsidRPr="00D33C2C" w:rsidRDefault="005C643F" w:rsidP="003535F7">
            <w:pPr>
              <w:pStyle w:val="Tabletext"/>
              <w:keepNext/>
              <w:keepLines/>
              <w:jc w:val="center"/>
              <w:rPr>
                <w:b/>
                <w:bCs/>
              </w:rPr>
            </w:pPr>
            <w:r w:rsidRPr="00D33C2C">
              <w:rPr>
                <w:b/>
                <w:bCs/>
              </w:rPr>
              <w:t>% Absolute increment</w:t>
            </w:r>
          </w:p>
        </w:tc>
      </w:tr>
      <w:tr w:rsidR="005C643F" w:rsidRPr="00D33C2C" w14:paraId="22FC0552" w14:textId="77777777" w:rsidTr="007460E2">
        <w:trPr>
          <w:trHeight w:val="57"/>
        </w:trPr>
        <w:tc>
          <w:tcPr>
            <w:tcW w:w="2682" w:type="dxa"/>
            <w:shd w:val="clear" w:color="auto" w:fill="auto"/>
            <w:noWrap/>
            <w:vAlign w:val="center"/>
            <w:hideMark/>
          </w:tcPr>
          <w:p w14:paraId="47C62449" w14:textId="77777777" w:rsidR="005C643F" w:rsidRPr="00D33C2C" w:rsidRDefault="005C643F" w:rsidP="003535F7">
            <w:pPr>
              <w:pStyle w:val="Tabletext"/>
              <w:keepNext/>
              <w:keepLines/>
            </w:pPr>
            <w:r w:rsidRPr="00D33C2C">
              <w:t>Years in no PEBD, response</w:t>
            </w:r>
          </w:p>
        </w:tc>
        <w:tc>
          <w:tcPr>
            <w:tcW w:w="999" w:type="dxa"/>
            <w:shd w:val="clear" w:color="auto" w:fill="auto"/>
            <w:noWrap/>
            <w:vAlign w:val="center"/>
            <w:hideMark/>
          </w:tcPr>
          <w:p w14:paraId="176AF178" w14:textId="77777777" w:rsidR="005C643F" w:rsidRPr="00D33C2C" w:rsidRDefault="005C643F" w:rsidP="003535F7">
            <w:pPr>
              <w:pStyle w:val="Tabletext"/>
              <w:keepNext/>
              <w:keepLines/>
              <w:jc w:val="center"/>
            </w:pPr>
            <w:r w:rsidRPr="00D33C2C">
              <w:t>0.00</w:t>
            </w:r>
          </w:p>
        </w:tc>
        <w:tc>
          <w:tcPr>
            <w:tcW w:w="1267" w:type="dxa"/>
            <w:shd w:val="clear" w:color="auto" w:fill="auto"/>
            <w:noWrap/>
            <w:vAlign w:val="center"/>
            <w:hideMark/>
          </w:tcPr>
          <w:p w14:paraId="7CBE401D" w14:textId="77777777" w:rsidR="005C643F" w:rsidRPr="00D33C2C" w:rsidRDefault="005C643F" w:rsidP="003535F7">
            <w:pPr>
              <w:pStyle w:val="Tabletext"/>
              <w:keepNext/>
              <w:keepLines/>
              <w:jc w:val="center"/>
            </w:pPr>
            <w:r w:rsidRPr="00D33C2C">
              <w:t>16.15</w:t>
            </w:r>
          </w:p>
        </w:tc>
        <w:tc>
          <w:tcPr>
            <w:tcW w:w="1201" w:type="dxa"/>
            <w:shd w:val="clear" w:color="auto" w:fill="auto"/>
            <w:noWrap/>
            <w:vAlign w:val="center"/>
            <w:hideMark/>
          </w:tcPr>
          <w:p w14:paraId="29AE893B" w14:textId="77777777" w:rsidR="005C643F" w:rsidRPr="00670500" w:rsidRDefault="005C643F" w:rsidP="003535F7">
            <w:pPr>
              <w:pStyle w:val="Tabletext"/>
              <w:keepNext/>
              <w:keepLines/>
              <w:jc w:val="center"/>
            </w:pPr>
            <w:r w:rsidRPr="00670500">
              <w:t>16.15</w:t>
            </w:r>
          </w:p>
        </w:tc>
        <w:tc>
          <w:tcPr>
            <w:tcW w:w="1278" w:type="dxa"/>
            <w:shd w:val="clear" w:color="auto" w:fill="auto"/>
            <w:noWrap/>
            <w:vAlign w:val="center"/>
            <w:hideMark/>
          </w:tcPr>
          <w:p w14:paraId="27D3571B" w14:textId="77777777" w:rsidR="005C643F" w:rsidRPr="00D33C2C" w:rsidRDefault="005C643F" w:rsidP="003535F7">
            <w:pPr>
              <w:pStyle w:val="Tabletext"/>
              <w:keepNext/>
              <w:keepLines/>
              <w:jc w:val="center"/>
            </w:pPr>
            <w:r w:rsidRPr="00D33C2C">
              <w:t>16.15</w:t>
            </w:r>
          </w:p>
        </w:tc>
        <w:tc>
          <w:tcPr>
            <w:tcW w:w="1590" w:type="dxa"/>
            <w:shd w:val="clear" w:color="auto" w:fill="auto"/>
            <w:noWrap/>
            <w:vAlign w:val="center"/>
            <w:hideMark/>
          </w:tcPr>
          <w:p w14:paraId="71C162E6" w14:textId="77777777" w:rsidR="005C643F" w:rsidRPr="00D33C2C" w:rsidRDefault="005C643F" w:rsidP="003535F7">
            <w:pPr>
              <w:pStyle w:val="Tabletext"/>
              <w:keepNext/>
              <w:keepLines/>
              <w:jc w:val="center"/>
            </w:pPr>
            <w:r w:rsidRPr="00D33C2C">
              <w:t>30.0%</w:t>
            </w:r>
          </w:p>
        </w:tc>
      </w:tr>
      <w:tr w:rsidR="005C643F" w:rsidRPr="00D33C2C" w14:paraId="3595D955" w14:textId="77777777" w:rsidTr="007460E2">
        <w:trPr>
          <w:trHeight w:val="57"/>
        </w:trPr>
        <w:tc>
          <w:tcPr>
            <w:tcW w:w="2682" w:type="dxa"/>
            <w:shd w:val="clear" w:color="auto" w:fill="auto"/>
            <w:noWrap/>
            <w:vAlign w:val="center"/>
            <w:hideMark/>
          </w:tcPr>
          <w:p w14:paraId="3964E6B1" w14:textId="77777777" w:rsidR="005C643F" w:rsidRPr="00D33C2C" w:rsidRDefault="005C643F" w:rsidP="003535F7">
            <w:pPr>
              <w:pStyle w:val="Tabletext"/>
              <w:keepNext/>
              <w:keepLines/>
            </w:pPr>
            <w:r w:rsidRPr="00D33C2C">
              <w:t>Years in no PEBD, no response</w:t>
            </w:r>
          </w:p>
        </w:tc>
        <w:tc>
          <w:tcPr>
            <w:tcW w:w="999" w:type="dxa"/>
            <w:shd w:val="clear" w:color="auto" w:fill="auto"/>
            <w:noWrap/>
            <w:vAlign w:val="center"/>
            <w:hideMark/>
          </w:tcPr>
          <w:p w14:paraId="6EF2EE36" w14:textId="77777777" w:rsidR="005C643F" w:rsidRPr="00D33C2C" w:rsidRDefault="005C643F" w:rsidP="003535F7">
            <w:pPr>
              <w:pStyle w:val="Tabletext"/>
              <w:keepNext/>
              <w:keepLines/>
              <w:jc w:val="center"/>
            </w:pPr>
            <w:r w:rsidRPr="00D33C2C">
              <w:t>11.43</w:t>
            </w:r>
          </w:p>
        </w:tc>
        <w:tc>
          <w:tcPr>
            <w:tcW w:w="1267" w:type="dxa"/>
            <w:shd w:val="clear" w:color="auto" w:fill="auto"/>
            <w:noWrap/>
            <w:vAlign w:val="center"/>
            <w:hideMark/>
          </w:tcPr>
          <w:p w14:paraId="78A98C9E" w14:textId="77777777" w:rsidR="005C643F" w:rsidRPr="00D33C2C" w:rsidRDefault="005C643F" w:rsidP="003535F7">
            <w:pPr>
              <w:pStyle w:val="Tabletext"/>
              <w:keepNext/>
              <w:keepLines/>
              <w:jc w:val="center"/>
            </w:pPr>
            <w:r w:rsidRPr="00D33C2C">
              <w:t>27.85</w:t>
            </w:r>
          </w:p>
        </w:tc>
        <w:tc>
          <w:tcPr>
            <w:tcW w:w="1201" w:type="dxa"/>
            <w:shd w:val="clear" w:color="auto" w:fill="auto"/>
            <w:noWrap/>
            <w:vAlign w:val="center"/>
            <w:hideMark/>
          </w:tcPr>
          <w:p w14:paraId="1B84851C" w14:textId="77777777" w:rsidR="005C643F" w:rsidRPr="00670500" w:rsidRDefault="005C643F" w:rsidP="003535F7">
            <w:pPr>
              <w:pStyle w:val="Tabletext"/>
              <w:keepNext/>
              <w:keepLines/>
              <w:jc w:val="center"/>
            </w:pPr>
            <w:r w:rsidRPr="00670500">
              <w:t>16.42</w:t>
            </w:r>
          </w:p>
        </w:tc>
        <w:tc>
          <w:tcPr>
            <w:tcW w:w="1278" w:type="dxa"/>
            <w:shd w:val="clear" w:color="auto" w:fill="auto"/>
            <w:noWrap/>
            <w:vAlign w:val="center"/>
            <w:hideMark/>
          </w:tcPr>
          <w:p w14:paraId="45F33274" w14:textId="77777777" w:rsidR="005C643F" w:rsidRPr="00D33C2C" w:rsidRDefault="005C643F" w:rsidP="003535F7">
            <w:pPr>
              <w:pStyle w:val="Tabletext"/>
              <w:keepNext/>
              <w:keepLines/>
              <w:jc w:val="center"/>
            </w:pPr>
            <w:r w:rsidRPr="00D33C2C">
              <w:t>16.42</w:t>
            </w:r>
          </w:p>
        </w:tc>
        <w:tc>
          <w:tcPr>
            <w:tcW w:w="1590" w:type="dxa"/>
            <w:shd w:val="clear" w:color="auto" w:fill="auto"/>
            <w:noWrap/>
            <w:vAlign w:val="center"/>
            <w:hideMark/>
          </w:tcPr>
          <w:p w14:paraId="1DE35739" w14:textId="77777777" w:rsidR="005C643F" w:rsidRPr="00D33C2C" w:rsidRDefault="005C643F" w:rsidP="003535F7">
            <w:pPr>
              <w:pStyle w:val="Tabletext"/>
              <w:keepNext/>
              <w:keepLines/>
              <w:jc w:val="center"/>
            </w:pPr>
            <w:r w:rsidRPr="00D33C2C">
              <w:t>30.5%</w:t>
            </w:r>
          </w:p>
        </w:tc>
      </w:tr>
      <w:tr w:rsidR="005C643F" w:rsidRPr="00D33C2C" w14:paraId="31DFD91C" w14:textId="77777777" w:rsidTr="007460E2">
        <w:trPr>
          <w:trHeight w:val="57"/>
        </w:trPr>
        <w:tc>
          <w:tcPr>
            <w:tcW w:w="2682" w:type="dxa"/>
            <w:shd w:val="clear" w:color="auto" w:fill="auto"/>
            <w:noWrap/>
            <w:vAlign w:val="center"/>
            <w:hideMark/>
          </w:tcPr>
          <w:p w14:paraId="50BF717D" w14:textId="77777777" w:rsidR="005C643F" w:rsidRPr="00D33C2C" w:rsidRDefault="005C643F" w:rsidP="003535F7">
            <w:pPr>
              <w:pStyle w:val="Tabletext"/>
              <w:keepNext/>
              <w:keepLines/>
            </w:pPr>
            <w:r w:rsidRPr="00D33C2C">
              <w:t>Years in PEBD, response</w:t>
            </w:r>
          </w:p>
        </w:tc>
        <w:tc>
          <w:tcPr>
            <w:tcW w:w="999" w:type="dxa"/>
            <w:shd w:val="clear" w:color="auto" w:fill="auto"/>
            <w:noWrap/>
            <w:vAlign w:val="center"/>
            <w:hideMark/>
          </w:tcPr>
          <w:p w14:paraId="5B71998E" w14:textId="77777777" w:rsidR="005C643F" w:rsidRPr="00D33C2C" w:rsidRDefault="005C643F" w:rsidP="003535F7">
            <w:pPr>
              <w:pStyle w:val="Tabletext"/>
              <w:keepNext/>
              <w:keepLines/>
              <w:jc w:val="center"/>
            </w:pPr>
            <w:r w:rsidRPr="00D33C2C">
              <w:t>4.04</w:t>
            </w:r>
          </w:p>
        </w:tc>
        <w:tc>
          <w:tcPr>
            <w:tcW w:w="1267" w:type="dxa"/>
            <w:shd w:val="clear" w:color="auto" w:fill="auto"/>
            <w:noWrap/>
            <w:vAlign w:val="center"/>
            <w:hideMark/>
          </w:tcPr>
          <w:p w14:paraId="301CD1ED" w14:textId="77777777" w:rsidR="005C643F" w:rsidRPr="00D33C2C" w:rsidRDefault="005C643F" w:rsidP="003535F7">
            <w:pPr>
              <w:pStyle w:val="Tabletext"/>
              <w:keepNext/>
              <w:keepLines/>
              <w:jc w:val="center"/>
            </w:pPr>
            <w:r w:rsidRPr="00D33C2C">
              <w:t>0.00</w:t>
            </w:r>
          </w:p>
        </w:tc>
        <w:tc>
          <w:tcPr>
            <w:tcW w:w="1201" w:type="dxa"/>
            <w:shd w:val="clear" w:color="auto" w:fill="auto"/>
            <w:noWrap/>
            <w:vAlign w:val="center"/>
            <w:hideMark/>
          </w:tcPr>
          <w:p w14:paraId="5CAE35CE" w14:textId="77777777" w:rsidR="005C643F" w:rsidRPr="00D33C2C" w:rsidRDefault="005C643F" w:rsidP="003535F7">
            <w:pPr>
              <w:pStyle w:val="Tabletext"/>
              <w:keepNext/>
              <w:keepLines/>
              <w:jc w:val="center"/>
            </w:pPr>
            <w:r w:rsidRPr="00D33C2C">
              <w:t>-4.04</w:t>
            </w:r>
          </w:p>
        </w:tc>
        <w:tc>
          <w:tcPr>
            <w:tcW w:w="1278" w:type="dxa"/>
            <w:shd w:val="clear" w:color="auto" w:fill="auto"/>
            <w:noWrap/>
            <w:vAlign w:val="center"/>
            <w:hideMark/>
          </w:tcPr>
          <w:p w14:paraId="22530F55" w14:textId="77777777" w:rsidR="005C643F" w:rsidRPr="00D33C2C" w:rsidRDefault="005C643F" w:rsidP="003535F7">
            <w:pPr>
              <w:pStyle w:val="Tabletext"/>
              <w:keepNext/>
              <w:keepLines/>
              <w:jc w:val="center"/>
            </w:pPr>
            <w:r w:rsidRPr="00D33C2C">
              <w:t>4.04</w:t>
            </w:r>
          </w:p>
        </w:tc>
        <w:tc>
          <w:tcPr>
            <w:tcW w:w="1590" w:type="dxa"/>
            <w:shd w:val="clear" w:color="auto" w:fill="auto"/>
            <w:noWrap/>
            <w:vAlign w:val="center"/>
            <w:hideMark/>
          </w:tcPr>
          <w:p w14:paraId="677FEE24" w14:textId="77777777" w:rsidR="005C643F" w:rsidRPr="00D33C2C" w:rsidRDefault="005C643F" w:rsidP="003535F7">
            <w:pPr>
              <w:pStyle w:val="Tabletext"/>
              <w:keepNext/>
              <w:keepLines/>
              <w:jc w:val="center"/>
            </w:pPr>
            <w:r w:rsidRPr="00D33C2C">
              <w:t>7.5%</w:t>
            </w:r>
          </w:p>
        </w:tc>
      </w:tr>
      <w:tr w:rsidR="005C643F" w:rsidRPr="00D33C2C" w14:paraId="0DC17F33" w14:textId="77777777" w:rsidTr="007460E2">
        <w:trPr>
          <w:trHeight w:val="57"/>
        </w:trPr>
        <w:tc>
          <w:tcPr>
            <w:tcW w:w="2682" w:type="dxa"/>
            <w:shd w:val="clear" w:color="auto" w:fill="auto"/>
            <w:noWrap/>
            <w:vAlign w:val="center"/>
            <w:hideMark/>
          </w:tcPr>
          <w:p w14:paraId="7398CE93" w14:textId="77777777" w:rsidR="005C643F" w:rsidRPr="00D33C2C" w:rsidRDefault="005C643F" w:rsidP="003535F7">
            <w:pPr>
              <w:pStyle w:val="Tabletext"/>
              <w:keepNext/>
              <w:keepLines/>
            </w:pPr>
            <w:r w:rsidRPr="00D33C2C">
              <w:t>Years in PEBD, no response</w:t>
            </w:r>
          </w:p>
        </w:tc>
        <w:tc>
          <w:tcPr>
            <w:tcW w:w="999" w:type="dxa"/>
            <w:shd w:val="clear" w:color="auto" w:fill="auto"/>
            <w:noWrap/>
            <w:vAlign w:val="center"/>
            <w:hideMark/>
          </w:tcPr>
          <w:p w14:paraId="4839E193" w14:textId="77777777" w:rsidR="005C643F" w:rsidRPr="00D33C2C" w:rsidRDefault="005C643F" w:rsidP="003535F7">
            <w:pPr>
              <w:pStyle w:val="Tabletext"/>
              <w:keepNext/>
              <w:keepLines/>
              <w:jc w:val="center"/>
            </w:pPr>
            <w:r w:rsidRPr="00D33C2C">
              <w:t>6.29</w:t>
            </w:r>
          </w:p>
        </w:tc>
        <w:tc>
          <w:tcPr>
            <w:tcW w:w="1267" w:type="dxa"/>
            <w:shd w:val="clear" w:color="auto" w:fill="auto"/>
            <w:noWrap/>
            <w:vAlign w:val="center"/>
            <w:hideMark/>
          </w:tcPr>
          <w:p w14:paraId="6F8FAE20" w14:textId="77777777" w:rsidR="005C643F" w:rsidRPr="00D33C2C" w:rsidRDefault="005C643F" w:rsidP="003535F7">
            <w:pPr>
              <w:pStyle w:val="Tabletext"/>
              <w:keepNext/>
              <w:keepLines/>
              <w:jc w:val="center"/>
            </w:pPr>
            <w:r w:rsidRPr="00D33C2C">
              <w:t>0.00</w:t>
            </w:r>
          </w:p>
        </w:tc>
        <w:tc>
          <w:tcPr>
            <w:tcW w:w="1201" w:type="dxa"/>
            <w:shd w:val="clear" w:color="auto" w:fill="auto"/>
            <w:noWrap/>
            <w:vAlign w:val="center"/>
            <w:hideMark/>
          </w:tcPr>
          <w:p w14:paraId="7617E6C6" w14:textId="77777777" w:rsidR="005C643F" w:rsidRPr="00D33C2C" w:rsidRDefault="005C643F" w:rsidP="003535F7">
            <w:pPr>
              <w:pStyle w:val="Tabletext"/>
              <w:keepNext/>
              <w:keepLines/>
              <w:jc w:val="center"/>
            </w:pPr>
            <w:r w:rsidRPr="00D33C2C">
              <w:t>-6.29</w:t>
            </w:r>
          </w:p>
        </w:tc>
        <w:tc>
          <w:tcPr>
            <w:tcW w:w="1278" w:type="dxa"/>
            <w:shd w:val="clear" w:color="auto" w:fill="auto"/>
            <w:noWrap/>
            <w:vAlign w:val="center"/>
            <w:hideMark/>
          </w:tcPr>
          <w:p w14:paraId="0DFD4287" w14:textId="77777777" w:rsidR="005C643F" w:rsidRPr="00D33C2C" w:rsidRDefault="005C643F" w:rsidP="003535F7">
            <w:pPr>
              <w:pStyle w:val="Tabletext"/>
              <w:keepNext/>
              <w:keepLines/>
              <w:jc w:val="center"/>
            </w:pPr>
            <w:r w:rsidRPr="00D33C2C">
              <w:t>6.29</w:t>
            </w:r>
          </w:p>
        </w:tc>
        <w:tc>
          <w:tcPr>
            <w:tcW w:w="1590" w:type="dxa"/>
            <w:shd w:val="clear" w:color="auto" w:fill="auto"/>
            <w:noWrap/>
            <w:vAlign w:val="center"/>
            <w:hideMark/>
          </w:tcPr>
          <w:p w14:paraId="47EDED9D" w14:textId="77777777" w:rsidR="005C643F" w:rsidRPr="00D33C2C" w:rsidRDefault="005C643F" w:rsidP="003535F7">
            <w:pPr>
              <w:pStyle w:val="Tabletext"/>
              <w:keepNext/>
              <w:keepLines/>
              <w:jc w:val="center"/>
            </w:pPr>
            <w:r w:rsidRPr="00D33C2C">
              <w:t>11.7%</w:t>
            </w:r>
          </w:p>
        </w:tc>
      </w:tr>
      <w:tr w:rsidR="005C643F" w:rsidRPr="00D33C2C" w14:paraId="50C44252" w14:textId="77777777" w:rsidTr="007460E2">
        <w:trPr>
          <w:trHeight w:val="57"/>
        </w:trPr>
        <w:tc>
          <w:tcPr>
            <w:tcW w:w="2682" w:type="dxa"/>
            <w:shd w:val="clear" w:color="auto" w:fill="auto"/>
            <w:noWrap/>
            <w:vAlign w:val="center"/>
            <w:hideMark/>
          </w:tcPr>
          <w:p w14:paraId="53396EDD" w14:textId="77777777" w:rsidR="005C643F" w:rsidRPr="00D33C2C" w:rsidRDefault="005C643F" w:rsidP="003535F7">
            <w:pPr>
              <w:pStyle w:val="Tabletext"/>
              <w:keepNext/>
              <w:keepLines/>
            </w:pPr>
            <w:r w:rsidRPr="00D33C2C">
              <w:t>Years in LT</w:t>
            </w:r>
          </w:p>
        </w:tc>
        <w:tc>
          <w:tcPr>
            <w:tcW w:w="999" w:type="dxa"/>
            <w:shd w:val="clear" w:color="auto" w:fill="auto"/>
            <w:noWrap/>
            <w:vAlign w:val="center"/>
            <w:hideMark/>
          </w:tcPr>
          <w:p w14:paraId="5D5EFBFC" w14:textId="77777777" w:rsidR="005C643F" w:rsidRPr="00D33C2C" w:rsidRDefault="005C643F" w:rsidP="003535F7">
            <w:pPr>
              <w:pStyle w:val="Tabletext"/>
              <w:keepNext/>
              <w:keepLines/>
              <w:jc w:val="center"/>
            </w:pPr>
            <w:r w:rsidRPr="00D33C2C">
              <w:t>1.02</w:t>
            </w:r>
          </w:p>
        </w:tc>
        <w:tc>
          <w:tcPr>
            <w:tcW w:w="1267" w:type="dxa"/>
            <w:shd w:val="clear" w:color="auto" w:fill="auto"/>
            <w:noWrap/>
            <w:vAlign w:val="center"/>
            <w:hideMark/>
          </w:tcPr>
          <w:p w14:paraId="1FF5DB60" w14:textId="77777777" w:rsidR="005C643F" w:rsidRPr="00D33C2C" w:rsidRDefault="005C643F" w:rsidP="003535F7">
            <w:pPr>
              <w:pStyle w:val="Tabletext"/>
              <w:keepNext/>
              <w:keepLines/>
              <w:jc w:val="center"/>
            </w:pPr>
            <w:r w:rsidRPr="00D33C2C">
              <w:t>0.77</w:t>
            </w:r>
          </w:p>
        </w:tc>
        <w:tc>
          <w:tcPr>
            <w:tcW w:w="1201" w:type="dxa"/>
            <w:shd w:val="clear" w:color="auto" w:fill="auto"/>
            <w:noWrap/>
            <w:vAlign w:val="center"/>
            <w:hideMark/>
          </w:tcPr>
          <w:p w14:paraId="35EDA9C6" w14:textId="77777777" w:rsidR="005C643F" w:rsidRPr="00D33C2C" w:rsidRDefault="005C643F" w:rsidP="003535F7">
            <w:pPr>
              <w:pStyle w:val="Tabletext"/>
              <w:keepNext/>
              <w:keepLines/>
              <w:jc w:val="center"/>
            </w:pPr>
            <w:r w:rsidRPr="00D33C2C">
              <w:t>-0.25</w:t>
            </w:r>
          </w:p>
        </w:tc>
        <w:tc>
          <w:tcPr>
            <w:tcW w:w="1278" w:type="dxa"/>
            <w:shd w:val="clear" w:color="auto" w:fill="auto"/>
            <w:noWrap/>
            <w:vAlign w:val="center"/>
            <w:hideMark/>
          </w:tcPr>
          <w:p w14:paraId="7996D7BC" w14:textId="77777777" w:rsidR="005C643F" w:rsidRPr="00D33C2C" w:rsidRDefault="005C643F" w:rsidP="003535F7">
            <w:pPr>
              <w:pStyle w:val="Tabletext"/>
              <w:keepNext/>
              <w:keepLines/>
              <w:jc w:val="center"/>
            </w:pPr>
            <w:r w:rsidRPr="00D33C2C">
              <w:t>0.25</w:t>
            </w:r>
          </w:p>
        </w:tc>
        <w:tc>
          <w:tcPr>
            <w:tcW w:w="1590" w:type="dxa"/>
            <w:shd w:val="clear" w:color="auto" w:fill="auto"/>
            <w:noWrap/>
            <w:vAlign w:val="center"/>
            <w:hideMark/>
          </w:tcPr>
          <w:p w14:paraId="2ADF3A17" w14:textId="77777777" w:rsidR="005C643F" w:rsidRPr="00D33C2C" w:rsidRDefault="005C643F" w:rsidP="003535F7">
            <w:pPr>
              <w:pStyle w:val="Tabletext"/>
              <w:keepNext/>
              <w:keepLines/>
              <w:jc w:val="center"/>
            </w:pPr>
            <w:r w:rsidRPr="00D33C2C">
              <w:t>0.5%</w:t>
            </w:r>
          </w:p>
        </w:tc>
      </w:tr>
      <w:tr w:rsidR="005C643F" w:rsidRPr="00D33C2C" w14:paraId="1B561BC1" w14:textId="77777777" w:rsidTr="007460E2">
        <w:trPr>
          <w:trHeight w:val="57"/>
        </w:trPr>
        <w:tc>
          <w:tcPr>
            <w:tcW w:w="2682" w:type="dxa"/>
            <w:shd w:val="clear" w:color="auto" w:fill="auto"/>
            <w:noWrap/>
            <w:vAlign w:val="center"/>
            <w:hideMark/>
          </w:tcPr>
          <w:p w14:paraId="143125F3" w14:textId="77777777" w:rsidR="005C643F" w:rsidRPr="00D33C2C" w:rsidRDefault="005C643F" w:rsidP="003535F7">
            <w:pPr>
              <w:pStyle w:val="Tabletext"/>
              <w:keepNext/>
              <w:keepLines/>
            </w:pPr>
            <w:r w:rsidRPr="00D33C2C">
              <w:t>Years in post-LT</w:t>
            </w:r>
          </w:p>
        </w:tc>
        <w:tc>
          <w:tcPr>
            <w:tcW w:w="999" w:type="dxa"/>
            <w:shd w:val="clear" w:color="auto" w:fill="auto"/>
            <w:noWrap/>
            <w:vAlign w:val="center"/>
            <w:hideMark/>
          </w:tcPr>
          <w:p w14:paraId="3C898CCE" w14:textId="77777777" w:rsidR="005C643F" w:rsidRPr="00D33C2C" w:rsidRDefault="005C643F" w:rsidP="003535F7">
            <w:pPr>
              <w:pStyle w:val="Tabletext"/>
              <w:keepNext/>
              <w:keepLines/>
              <w:jc w:val="center"/>
            </w:pPr>
            <w:r w:rsidRPr="00D33C2C">
              <w:t>29.18</w:t>
            </w:r>
          </w:p>
        </w:tc>
        <w:tc>
          <w:tcPr>
            <w:tcW w:w="1267" w:type="dxa"/>
            <w:shd w:val="clear" w:color="auto" w:fill="auto"/>
            <w:noWrap/>
            <w:vAlign w:val="center"/>
            <w:hideMark/>
          </w:tcPr>
          <w:p w14:paraId="03EB9727" w14:textId="77777777" w:rsidR="005C643F" w:rsidRPr="00D33C2C" w:rsidRDefault="005C643F" w:rsidP="003535F7">
            <w:pPr>
              <w:pStyle w:val="Tabletext"/>
              <w:keepNext/>
              <w:keepLines/>
              <w:jc w:val="center"/>
            </w:pPr>
            <w:r w:rsidRPr="00D33C2C">
              <w:t>18.57</w:t>
            </w:r>
          </w:p>
        </w:tc>
        <w:tc>
          <w:tcPr>
            <w:tcW w:w="1201" w:type="dxa"/>
            <w:shd w:val="clear" w:color="auto" w:fill="auto"/>
            <w:noWrap/>
            <w:vAlign w:val="center"/>
            <w:hideMark/>
          </w:tcPr>
          <w:p w14:paraId="00125E42" w14:textId="77777777" w:rsidR="005C643F" w:rsidRPr="00D33C2C" w:rsidRDefault="005C643F" w:rsidP="003535F7">
            <w:pPr>
              <w:pStyle w:val="Tabletext"/>
              <w:keepNext/>
              <w:keepLines/>
              <w:jc w:val="center"/>
            </w:pPr>
            <w:r w:rsidRPr="00D33C2C">
              <w:t>-10.61</w:t>
            </w:r>
          </w:p>
        </w:tc>
        <w:tc>
          <w:tcPr>
            <w:tcW w:w="1278" w:type="dxa"/>
            <w:shd w:val="clear" w:color="auto" w:fill="auto"/>
            <w:noWrap/>
            <w:vAlign w:val="center"/>
            <w:hideMark/>
          </w:tcPr>
          <w:p w14:paraId="5BB6A819" w14:textId="77777777" w:rsidR="005C643F" w:rsidRPr="00D33C2C" w:rsidRDefault="005C643F" w:rsidP="003535F7">
            <w:pPr>
              <w:pStyle w:val="Tabletext"/>
              <w:keepNext/>
              <w:keepLines/>
              <w:jc w:val="center"/>
            </w:pPr>
            <w:r w:rsidRPr="00D33C2C">
              <w:t>10.61</w:t>
            </w:r>
          </w:p>
        </w:tc>
        <w:tc>
          <w:tcPr>
            <w:tcW w:w="1590" w:type="dxa"/>
            <w:shd w:val="clear" w:color="auto" w:fill="auto"/>
            <w:noWrap/>
            <w:vAlign w:val="center"/>
            <w:hideMark/>
          </w:tcPr>
          <w:p w14:paraId="095BA1AD" w14:textId="77777777" w:rsidR="005C643F" w:rsidRPr="00D33C2C" w:rsidRDefault="005C643F" w:rsidP="003535F7">
            <w:pPr>
              <w:pStyle w:val="Tabletext"/>
              <w:keepNext/>
              <w:keepLines/>
              <w:jc w:val="center"/>
            </w:pPr>
            <w:r w:rsidRPr="00D33C2C">
              <w:t>19.7%</w:t>
            </w:r>
          </w:p>
        </w:tc>
      </w:tr>
      <w:tr w:rsidR="005C643F" w:rsidRPr="00D33C2C" w14:paraId="53D0D6C2" w14:textId="77777777" w:rsidTr="005C643F">
        <w:trPr>
          <w:trHeight w:val="57"/>
        </w:trPr>
        <w:tc>
          <w:tcPr>
            <w:tcW w:w="2682" w:type="dxa"/>
            <w:tcBorders>
              <w:bottom w:val="single" w:sz="4" w:space="0" w:color="auto"/>
            </w:tcBorders>
            <w:shd w:val="clear" w:color="auto" w:fill="auto"/>
            <w:noWrap/>
            <w:vAlign w:val="center"/>
            <w:hideMark/>
          </w:tcPr>
          <w:p w14:paraId="51736D8A" w14:textId="77777777" w:rsidR="005C643F" w:rsidRPr="00D33C2C" w:rsidRDefault="005C643F" w:rsidP="003535F7">
            <w:pPr>
              <w:pStyle w:val="Tabletext"/>
              <w:keepNext/>
              <w:keepLines/>
            </w:pPr>
            <w:r w:rsidRPr="00D33C2C">
              <w:t xml:space="preserve">Total life-years </w:t>
            </w:r>
          </w:p>
        </w:tc>
        <w:tc>
          <w:tcPr>
            <w:tcW w:w="999" w:type="dxa"/>
            <w:tcBorders>
              <w:bottom w:val="single" w:sz="4" w:space="0" w:color="auto"/>
            </w:tcBorders>
            <w:shd w:val="clear" w:color="auto" w:fill="auto"/>
            <w:noWrap/>
            <w:vAlign w:val="center"/>
            <w:hideMark/>
          </w:tcPr>
          <w:p w14:paraId="543E2A56" w14:textId="77777777" w:rsidR="005C643F" w:rsidRPr="00D33C2C" w:rsidRDefault="005C643F" w:rsidP="003535F7">
            <w:pPr>
              <w:pStyle w:val="Tabletext"/>
              <w:keepNext/>
              <w:keepLines/>
              <w:jc w:val="center"/>
            </w:pPr>
            <w:r w:rsidRPr="00D33C2C">
              <w:t>51.95</w:t>
            </w:r>
          </w:p>
        </w:tc>
        <w:tc>
          <w:tcPr>
            <w:tcW w:w="1267" w:type="dxa"/>
            <w:tcBorders>
              <w:bottom w:val="single" w:sz="4" w:space="0" w:color="auto"/>
            </w:tcBorders>
            <w:shd w:val="clear" w:color="auto" w:fill="auto"/>
            <w:noWrap/>
            <w:vAlign w:val="center"/>
            <w:hideMark/>
          </w:tcPr>
          <w:p w14:paraId="6FEB11F6" w14:textId="77777777" w:rsidR="005C643F" w:rsidRPr="00D33C2C" w:rsidRDefault="005C643F" w:rsidP="003535F7">
            <w:pPr>
              <w:pStyle w:val="Tabletext"/>
              <w:keepNext/>
              <w:keepLines/>
              <w:jc w:val="center"/>
            </w:pPr>
            <w:r w:rsidRPr="00D33C2C">
              <w:t>63.33</w:t>
            </w:r>
          </w:p>
        </w:tc>
        <w:tc>
          <w:tcPr>
            <w:tcW w:w="1201" w:type="dxa"/>
            <w:tcBorders>
              <w:bottom w:val="single" w:sz="4" w:space="0" w:color="auto"/>
            </w:tcBorders>
            <w:shd w:val="clear" w:color="auto" w:fill="auto"/>
            <w:noWrap/>
            <w:vAlign w:val="center"/>
            <w:hideMark/>
          </w:tcPr>
          <w:p w14:paraId="281CF9B6" w14:textId="77777777" w:rsidR="005C643F" w:rsidRPr="00D33C2C" w:rsidRDefault="005C643F" w:rsidP="003535F7">
            <w:pPr>
              <w:pStyle w:val="Tabletext"/>
              <w:keepNext/>
              <w:keepLines/>
              <w:jc w:val="center"/>
            </w:pPr>
            <w:r w:rsidRPr="00D33C2C">
              <w:t>-</w:t>
            </w:r>
          </w:p>
        </w:tc>
        <w:tc>
          <w:tcPr>
            <w:tcW w:w="1278" w:type="dxa"/>
            <w:tcBorders>
              <w:bottom w:val="single" w:sz="4" w:space="0" w:color="auto"/>
            </w:tcBorders>
            <w:shd w:val="clear" w:color="auto" w:fill="auto"/>
            <w:noWrap/>
            <w:vAlign w:val="center"/>
            <w:hideMark/>
          </w:tcPr>
          <w:p w14:paraId="7AA491F5" w14:textId="77777777" w:rsidR="005C643F" w:rsidRPr="00D33C2C" w:rsidRDefault="005C643F" w:rsidP="003535F7">
            <w:pPr>
              <w:pStyle w:val="Tabletext"/>
              <w:keepNext/>
              <w:keepLines/>
              <w:jc w:val="center"/>
            </w:pPr>
            <w:r w:rsidRPr="00D33C2C">
              <w:t>53.76</w:t>
            </w:r>
          </w:p>
        </w:tc>
        <w:tc>
          <w:tcPr>
            <w:tcW w:w="1590" w:type="dxa"/>
            <w:tcBorders>
              <w:bottom w:val="single" w:sz="4" w:space="0" w:color="auto"/>
            </w:tcBorders>
            <w:shd w:val="clear" w:color="auto" w:fill="auto"/>
            <w:noWrap/>
            <w:vAlign w:val="center"/>
            <w:hideMark/>
          </w:tcPr>
          <w:p w14:paraId="168051DA" w14:textId="77777777" w:rsidR="005C643F" w:rsidRPr="00D33C2C" w:rsidRDefault="005C643F" w:rsidP="003535F7">
            <w:pPr>
              <w:pStyle w:val="Tabletext"/>
              <w:keepNext/>
              <w:keepLines/>
              <w:jc w:val="center"/>
            </w:pPr>
            <w:r w:rsidRPr="00D33C2C">
              <w:t>100.0%</w:t>
            </w:r>
          </w:p>
        </w:tc>
      </w:tr>
      <w:tr w:rsidR="005C643F" w:rsidRPr="00D33C2C" w14:paraId="0F53AECB" w14:textId="77777777" w:rsidTr="005C643F">
        <w:trPr>
          <w:trHeight w:val="57"/>
        </w:trPr>
        <w:tc>
          <w:tcPr>
            <w:tcW w:w="2682" w:type="dxa"/>
            <w:tcBorders>
              <w:top w:val="single" w:sz="4" w:space="0" w:color="auto"/>
              <w:left w:val="single" w:sz="4" w:space="0" w:color="auto"/>
              <w:bottom w:val="single" w:sz="4" w:space="0" w:color="auto"/>
              <w:right w:val="nil"/>
            </w:tcBorders>
            <w:shd w:val="clear" w:color="auto" w:fill="auto"/>
            <w:noWrap/>
            <w:vAlign w:val="center"/>
          </w:tcPr>
          <w:p w14:paraId="06BA6ACF" w14:textId="42201214" w:rsidR="005C643F" w:rsidRPr="00D33C2C" w:rsidRDefault="005C643F" w:rsidP="003535F7">
            <w:pPr>
              <w:pStyle w:val="Tabletext"/>
              <w:keepNext/>
              <w:keepLines/>
              <w:rPr>
                <w:b/>
                <w:bCs/>
              </w:rPr>
            </w:pPr>
            <w:r w:rsidRPr="00D33C2C">
              <w:rPr>
                <w:b/>
                <w:bCs/>
              </w:rPr>
              <w:t>QALYS (discounted)</w:t>
            </w:r>
          </w:p>
        </w:tc>
        <w:tc>
          <w:tcPr>
            <w:tcW w:w="999" w:type="dxa"/>
            <w:tcBorders>
              <w:top w:val="single" w:sz="4" w:space="0" w:color="auto"/>
              <w:left w:val="nil"/>
              <w:bottom w:val="single" w:sz="4" w:space="0" w:color="auto"/>
              <w:right w:val="nil"/>
            </w:tcBorders>
            <w:shd w:val="clear" w:color="auto" w:fill="auto"/>
            <w:noWrap/>
            <w:vAlign w:val="center"/>
          </w:tcPr>
          <w:p w14:paraId="38A0313C" w14:textId="77777777" w:rsidR="005C643F" w:rsidRPr="00D33C2C" w:rsidRDefault="005C643F" w:rsidP="003535F7">
            <w:pPr>
              <w:pStyle w:val="Tabletext"/>
              <w:keepNext/>
              <w:keepLines/>
              <w:jc w:val="center"/>
            </w:pPr>
          </w:p>
        </w:tc>
        <w:tc>
          <w:tcPr>
            <w:tcW w:w="1267" w:type="dxa"/>
            <w:tcBorders>
              <w:top w:val="single" w:sz="4" w:space="0" w:color="auto"/>
              <w:left w:val="nil"/>
              <w:bottom w:val="single" w:sz="4" w:space="0" w:color="auto"/>
              <w:right w:val="nil"/>
            </w:tcBorders>
            <w:shd w:val="clear" w:color="auto" w:fill="auto"/>
            <w:noWrap/>
            <w:vAlign w:val="center"/>
          </w:tcPr>
          <w:p w14:paraId="748DA0D0" w14:textId="77777777" w:rsidR="005C643F" w:rsidRPr="00D33C2C" w:rsidRDefault="005C643F" w:rsidP="003535F7">
            <w:pPr>
              <w:pStyle w:val="Tabletext"/>
              <w:keepNext/>
              <w:keepLines/>
              <w:jc w:val="center"/>
            </w:pPr>
          </w:p>
        </w:tc>
        <w:tc>
          <w:tcPr>
            <w:tcW w:w="1201" w:type="dxa"/>
            <w:tcBorders>
              <w:top w:val="single" w:sz="4" w:space="0" w:color="auto"/>
              <w:left w:val="nil"/>
              <w:bottom w:val="single" w:sz="4" w:space="0" w:color="auto"/>
              <w:right w:val="nil"/>
            </w:tcBorders>
            <w:shd w:val="clear" w:color="auto" w:fill="auto"/>
            <w:noWrap/>
            <w:vAlign w:val="center"/>
          </w:tcPr>
          <w:p w14:paraId="785F397B" w14:textId="77777777" w:rsidR="005C643F" w:rsidRPr="00D33C2C" w:rsidRDefault="005C643F" w:rsidP="003535F7">
            <w:pPr>
              <w:pStyle w:val="Tabletext"/>
              <w:keepNext/>
              <w:keepLines/>
              <w:jc w:val="center"/>
            </w:pPr>
          </w:p>
        </w:tc>
        <w:tc>
          <w:tcPr>
            <w:tcW w:w="1278" w:type="dxa"/>
            <w:tcBorders>
              <w:top w:val="single" w:sz="4" w:space="0" w:color="auto"/>
              <w:left w:val="nil"/>
              <w:bottom w:val="single" w:sz="4" w:space="0" w:color="auto"/>
              <w:right w:val="nil"/>
            </w:tcBorders>
            <w:shd w:val="clear" w:color="auto" w:fill="auto"/>
            <w:noWrap/>
            <w:vAlign w:val="center"/>
          </w:tcPr>
          <w:p w14:paraId="782D0F81" w14:textId="77777777" w:rsidR="005C643F" w:rsidRPr="00D33C2C" w:rsidRDefault="005C643F" w:rsidP="003535F7">
            <w:pPr>
              <w:pStyle w:val="Tabletext"/>
              <w:keepNext/>
              <w:keepLines/>
              <w:jc w:val="center"/>
            </w:pP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73B8B063" w14:textId="77777777" w:rsidR="005C643F" w:rsidRPr="00D33C2C" w:rsidRDefault="005C643F" w:rsidP="003535F7">
            <w:pPr>
              <w:pStyle w:val="Tabletext"/>
              <w:keepNext/>
              <w:keepLines/>
              <w:jc w:val="center"/>
            </w:pPr>
          </w:p>
        </w:tc>
      </w:tr>
      <w:tr w:rsidR="005C643F" w:rsidRPr="00D33C2C" w14:paraId="50D301D2" w14:textId="77777777" w:rsidTr="005C643F">
        <w:trPr>
          <w:trHeight w:val="57"/>
        </w:trPr>
        <w:tc>
          <w:tcPr>
            <w:tcW w:w="2682" w:type="dxa"/>
            <w:tcBorders>
              <w:top w:val="single" w:sz="4" w:space="0" w:color="auto"/>
            </w:tcBorders>
            <w:shd w:val="clear" w:color="auto" w:fill="auto"/>
            <w:noWrap/>
            <w:vAlign w:val="center"/>
            <w:hideMark/>
          </w:tcPr>
          <w:p w14:paraId="605705D4" w14:textId="77777777" w:rsidR="005C643F" w:rsidRPr="00D33C2C" w:rsidRDefault="005C643F" w:rsidP="003535F7">
            <w:pPr>
              <w:pStyle w:val="Tabletext"/>
              <w:keepNext/>
              <w:keepLines/>
            </w:pPr>
            <w:r w:rsidRPr="00D33C2C">
              <w:t>QALYs with no PEBD, response</w:t>
            </w:r>
          </w:p>
        </w:tc>
        <w:tc>
          <w:tcPr>
            <w:tcW w:w="999" w:type="dxa"/>
            <w:tcBorders>
              <w:top w:val="single" w:sz="4" w:space="0" w:color="auto"/>
            </w:tcBorders>
            <w:shd w:val="clear" w:color="auto" w:fill="auto"/>
            <w:noWrap/>
            <w:hideMark/>
          </w:tcPr>
          <w:p w14:paraId="05877FD1" w14:textId="77777777" w:rsidR="005C643F" w:rsidRPr="00D33C2C" w:rsidRDefault="005C643F" w:rsidP="003535F7">
            <w:pPr>
              <w:pStyle w:val="Tabletext"/>
              <w:keepNext/>
              <w:keepLines/>
              <w:jc w:val="center"/>
            </w:pPr>
            <w:r w:rsidRPr="00D33C2C">
              <w:t>0.00</w:t>
            </w:r>
          </w:p>
        </w:tc>
        <w:tc>
          <w:tcPr>
            <w:tcW w:w="1267" w:type="dxa"/>
            <w:tcBorders>
              <w:top w:val="single" w:sz="4" w:space="0" w:color="auto"/>
            </w:tcBorders>
            <w:shd w:val="clear" w:color="auto" w:fill="auto"/>
            <w:noWrap/>
            <w:hideMark/>
          </w:tcPr>
          <w:p w14:paraId="3A3F3AAF" w14:textId="77777777" w:rsidR="005C643F" w:rsidRPr="00D33C2C" w:rsidRDefault="005C643F" w:rsidP="003535F7">
            <w:pPr>
              <w:pStyle w:val="Tabletext"/>
              <w:keepNext/>
              <w:keepLines/>
              <w:jc w:val="center"/>
            </w:pPr>
            <w:r w:rsidRPr="00D33C2C">
              <w:t>6.57</w:t>
            </w:r>
          </w:p>
        </w:tc>
        <w:tc>
          <w:tcPr>
            <w:tcW w:w="1201" w:type="dxa"/>
            <w:tcBorders>
              <w:top w:val="single" w:sz="4" w:space="0" w:color="auto"/>
            </w:tcBorders>
            <w:shd w:val="clear" w:color="auto" w:fill="auto"/>
            <w:noWrap/>
            <w:hideMark/>
          </w:tcPr>
          <w:p w14:paraId="26BB2989" w14:textId="77777777" w:rsidR="005C643F" w:rsidRPr="00670500" w:rsidRDefault="005C643F" w:rsidP="003535F7">
            <w:pPr>
              <w:pStyle w:val="Tabletext"/>
              <w:keepNext/>
              <w:keepLines/>
              <w:jc w:val="center"/>
            </w:pPr>
            <w:r w:rsidRPr="00670500">
              <w:t>6.57</w:t>
            </w:r>
          </w:p>
        </w:tc>
        <w:tc>
          <w:tcPr>
            <w:tcW w:w="1278" w:type="dxa"/>
            <w:tcBorders>
              <w:top w:val="single" w:sz="4" w:space="0" w:color="auto"/>
            </w:tcBorders>
            <w:shd w:val="clear" w:color="auto" w:fill="auto"/>
            <w:noWrap/>
            <w:hideMark/>
          </w:tcPr>
          <w:p w14:paraId="75353E10" w14:textId="77777777" w:rsidR="005C643F" w:rsidRPr="00D33C2C" w:rsidRDefault="005C643F" w:rsidP="003535F7">
            <w:pPr>
              <w:pStyle w:val="Tabletext"/>
              <w:keepNext/>
              <w:keepLines/>
              <w:jc w:val="center"/>
            </w:pPr>
            <w:r w:rsidRPr="00D33C2C">
              <w:t>6.57</w:t>
            </w:r>
          </w:p>
        </w:tc>
        <w:tc>
          <w:tcPr>
            <w:tcW w:w="1590" w:type="dxa"/>
            <w:tcBorders>
              <w:top w:val="single" w:sz="4" w:space="0" w:color="auto"/>
            </w:tcBorders>
            <w:shd w:val="clear" w:color="auto" w:fill="auto"/>
            <w:noWrap/>
            <w:hideMark/>
          </w:tcPr>
          <w:p w14:paraId="169AEF17" w14:textId="77777777" w:rsidR="005C643F" w:rsidRPr="00D33C2C" w:rsidRDefault="005C643F" w:rsidP="003535F7">
            <w:pPr>
              <w:pStyle w:val="Tabletext"/>
              <w:keepNext/>
              <w:keepLines/>
              <w:jc w:val="center"/>
            </w:pPr>
            <w:r w:rsidRPr="00D33C2C">
              <w:t>56.6%</w:t>
            </w:r>
          </w:p>
        </w:tc>
      </w:tr>
      <w:tr w:rsidR="005C643F" w:rsidRPr="00D33C2C" w14:paraId="4CE160A7" w14:textId="77777777" w:rsidTr="007460E2">
        <w:trPr>
          <w:trHeight w:val="57"/>
        </w:trPr>
        <w:tc>
          <w:tcPr>
            <w:tcW w:w="2682" w:type="dxa"/>
            <w:shd w:val="clear" w:color="auto" w:fill="auto"/>
            <w:noWrap/>
            <w:vAlign w:val="center"/>
            <w:hideMark/>
          </w:tcPr>
          <w:p w14:paraId="49F9C588" w14:textId="77777777" w:rsidR="005C643F" w:rsidRPr="00D33C2C" w:rsidRDefault="005C643F" w:rsidP="003535F7">
            <w:pPr>
              <w:pStyle w:val="Tabletext"/>
              <w:keepNext/>
              <w:keepLines/>
            </w:pPr>
            <w:r w:rsidRPr="00D33C2C">
              <w:t>QALYs no PEBD, no response</w:t>
            </w:r>
          </w:p>
        </w:tc>
        <w:tc>
          <w:tcPr>
            <w:tcW w:w="999" w:type="dxa"/>
            <w:shd w:val="clear" w:color="auto" w:fill="auto"/>
            <w:noWrap/>
            <w:hideMark/>
          </w:tcPr>
          <w:p w14:paraId="0E1BCFFF" w14:textId="77777777" w:rsidR="005C643F" w:rsidRPr="00D33C2C" w:rsidRDefault="005C643F" w:rsidP="003535F7">
            <w:pPr>
              <w:pStyle w:val="Tabletext"/>
              <w:keepNext/>
              <w:keepLines/>
              <w:jc w:val="center"/>
            </w:pPr>
            <w:r w:rsidRPr="00D33C2C">
              <w:t>6.04</w:t>
            </w:r>
          </w:p>
        </w:tc>
        <w:tc>
          <w:tcPr>
            <w:tcW w:w="1267" w:type="dxa"/>
            <w:shd w:val="clear" w:color="auto" w:fill="auto"/>
            <w:noWrap/>
            <w:hideMark/>
          </w:tcPr>
          <w:p w14:paraId="5C071817" w14:textId="77777777" w:rsidR="005C643F" w:rsidRPr="00D33C2C" w:rsidRDefault="005C643F" w:rsidP="003535F7">
            <w:pPr>
              <w:pStyle w:val="Tabletext"/>
              <w:keepNext/>
              <w:keepLines/>
              <w:jc w:val="center"/>
            </w:pPr>
            <w:r w:rsidRPr="00D33C2C">
              <w:t>6.65</w:t>
            </w:r>
          </w:p>
        </w:tc>
        <w:tc>
          <w:tcPr>
            <w:tcW w:w="1201" w:type="dxa"/>
            <w:shd w:val="clear" w:color="auto" w:fill="auto"/>
            <w:noWrap/>
            <w:hideMark/>
          </w:tcPr>
          <w:p w14:paraId="17341BE0" w14:textId="77777777" w:rsidR="005C643F" w:rsidRPr="00670500" w:rsidRDefault="005C643F" w:rsidP="003535F7">
            <w:pPr>
              <w:pStyle w:val="Tabletext"/>
              <w:keepNext/>
              <w:keepLines/>
              <w:jc w:val="center"/>
            </w:pPr>
            <w:r w:rsidRPr="00670500">
              <w:t>0.60</w:t>
            </w:r>
          </w:p>
        </w:tc>
        <w:tc>
          <w:tcPr>
            <w:tcW w:w="1278" w:type="dxa"/>
            <w:shd w:val="clear" w:color="auto" w:fill="auto"/>
            <w:noWrap/>
            <w:hideMark/>
          </w:tcPr>
          <w:p w14:paraId="451E1AF8" w14:textId="77777777" w:rsidR="005C643F" w:rsidRPr="00D33C2C" w:rsidRDefault="005C643F" w:rsidP="003535F7">
            <w:pPr>
              <w:pStyle w:val="Tabletext"/>
              <w:keepNext/>
              <w:keepLines/>
              <w:jc w:val="center"/>
            </w:pPr>
            <w:r w:rsidRPr="00D33C2C">
              <w:t>0.60</w:t>
            </w:r>
          </w:p>
        </w:tc>
        <w:tc>
          <w:tcPr>
            <w:tcW w:w="1590" w:type="dxa"/>
            <w:shd w:val="clear" w:color="auto" w:fill="auto"/>
            <w:noWrap/>
            <w:hideMark/>
          </w:tcPr>
          <w:p w14:paraId="2EFD7795" w14:textId="77777777" w:rsidR="005C643F" w:rsidRPr="00D33C2C" w:rsidRDefault="005C643F" w:rsidP="003535F7">
            <w:pPr>
              <w:pStyle w:val="Tabletext"/>
              <w:keepNext/>
              <w:keepLines/>
              <w:jc w:val="center"/>
            </w:pPr>
            <w:r w:rsidRPr="00D33C2C">
              <w:t>5.2%</w:t>
            </w:r>
          </w:p>
        </w:tc>
      </w:tr>
      <w:tr w:rsidR="005C643F" w:rsidRPr="00D33C2C" w14:paraId="70945639" w14:textId="77777777" w:rsidTr="007460E2">
        <w:trPr>
          <w:trHeight w:val="57"/>
        </w:trPr>
        <w:tc>
          <w:tcPr>
            <w:tcW w:w="2682" w:type="dxa"/>
            <w:shd w:val="clear" w:color="auto" w:fill="auto"/>
            <w:noWrap/>
            <w:vAlign w:val="center"/>
            <w:hideMark/>
          </w:tcPr>
          <w:p w14:paraId="7D45B21E" w14:textId="77777777" w:rsidR="005C643F" w:rsidRPr="00D33C2C" w:rsidRDefault="005C643F" w:rsidP="003535F7">
            <w:pPr>
              <w:pStyle w:val="Tabletext"/>
              <w:keepNext/>
              <w:keepLines/>
            </w:pPr>
            <w:r w:rsidRPr="00D33C2C">
              <w:t>QALYs PEBD response</w:t>
            </w:r>
          </w:p>
        </w:tc>
        <w:tc>
          <w:tcPr>
            <w:tcW w:w="999" w:type="dxa"/>
            <w:shd w:val="clear" w:color="auto" w:fill="auto"/>
            <w:noWrap/>
            <w:hideMark/>
          </w:tcPr>
          <w:p w14:paraId="75CF25BA" w14:textId="77777777" w:rsidR="005C643F" w:rsidRPr="00D33C2C" w:rsidRDefault="005C643F" w:rsidP="003535F7">
            <w:pPr>
              <w:pStyle w:val="Tabletext"/>
              <w:keepNext/>
              <w:keepLines/>
              <w:jc w:val="center"/>
            </w:pPr>
            <w:r w:rsidRPr="00D33C2C">
              <w:t>0.89</w:t>
            </w:r>
          </w:p>
        </w:tc>
        <w:tc>
          <w:tcPr>
            <w:tcW w:w="1267" w:type="dxa"/>
            <w:shd w:val="clear" w:color="auto" w:fill="auto"/>
            <w:noWrap/>
            <w:hideMark/>
          </w:tcPr>
          <w:p w14:paraId="26E74217" w14:textId="77777777" w:rsidR="005C643F" w:rsidRPr="00D33C2C" w:rsidRDefault="005C643F" w:rsidP="003535F7">
            <w:pPr>
              <w:pStyle w:val="Tabletext"/>
              <w:keepNext/>
              <w:keepLines/>
              <w:jc w:val="center"/>
            </w:pPr>
            <w:r w:rsidRPr="00D33C2C">
              <w:t>0.00</w:t>
            </w:r>
          </w:p>
        </w:tc>
        <w:tc>
          <w:tcPr>
            <w:tcW w:w="1201" w:type="dxa"/>
            <w:shd w:val="clear" w:color="auto" w:fill="auto"/>
            <w:noWrap/>
            <w:hideMark/>
          </w:tcPr>
          <w:p w14:paraId="10DF2707" w14:textId="77777777" w:rsidR="005C643F" w:rsidRPr="00D33C2C" w:rsidRDefault="005C643F" w:rsidP="003535F7">
            <w:pPr>
              <w:pStyle w:val="Tabletext"/>
              <w:keepNext/>
              <w:keepLines/>
              <w:jc w:val="center"/>
            </w:pPr>
            <w:r w:rsidRPr="00D33C2C">
              <w:t>-0.89</w:t>
            </w:r>
          </w:p>
        </w:tc>
        <w:tc>
          <w:tcPr>
            <w:tcW w:w="1278" w:type="dxa"/>
            <w:shd w:val="clear" w:color="auto" w:fill="auto"/>
            <w:noWrap/>
            <w:hideMark/>
          </w:tcPr>
          <w:p w14:paraId="5BE8F3A2" w14:textId="77777777" w:rsidR="005C643F" w:rsidRPr="00D33C2C" w:rsidRDefault="005C643F" w:rsidP="003535F7">
            <w:pPr>
              <w:pStyle w:val="Tabletext"/>
              <w:keepNext/>
              <w:keepLines/>
              <w:jc w:val="center"/>
            </w:pPr>
            <w:r w:rsidRPr="00D33C2C">
              <w:t>0.89</w:t>
            </w:r>
          </w:p>
        </w:tc>
        <w:tc>
          <w:tcPr>
            <w:tcW w:w="1590" w:type="dxa"/>
            <w:shd w:val="clear" w:color="auto" w:fill="auto"/>
            <w:noWrap/>
            <w:hideMark/>
          </w:tcPr>
          <w:p w14:paraId="12D7819E" w14:textId="77777777" w:rsidR="005C643F" w:rsidRPr="00D33C2C" w:rsidRDefault="005C643F" w:rsidP="003535F7">
            <w:pPr>
              <w:pStyle w:val="Tabletext"/>
              <w:keepNext/>
              <w:keepLines/>
              <w:jc w:val="center"/>
            </w:pPr>
            <w:r w:rsidRPr="00D33C2C">
              <w:t>7.7%</w:t>
            </w:r>
          </w:p>
        </w:tc>
      </w:tr>
      <w:tr w:rsidR="005C643F" w:rsidRPr="00D33C2C" w14:paraId="387E2BB2" w14:textId="77777777" w:rsidTr="007460E2">
        <w:trPr>
          <w:trHeight w:val="57"/>
        </w:trPr>
        <w:tc>
          <w:tcPr>
            <w:tcW w:w="2682" w:type="dxa"/>
            <w:shd w:val="clear" w:color="auto" w:fill="auto"/>
            <w:noWrap/>
            <w:vAlign w:val="center"/>
            <w:hideMark/>
          </w:tcPr>
          <w:p w14:paraId="05BCC205" w14:textId="77777777" w:rsidR="005C643F" w:rsidRPr="00D33C2C" w:rsidRDefault="005C643F" w:rsidP="003535F7">
            <w:pPr>
              <w:pStyle w:val="Tabletext"/>
              <w:keepNext/>
              <w:keepLines/>
            </w:pPr>
            <w:r w:rsidRPr="00D33C2C">
              <w:t>QALYs PEBD no response</w:t>
            </w:r>
          </w:p>
        </w:tc>
        <w:tc>
          <w:tcPr>
            <w:tcW w:w="999" w:type="dxa"/>
            <w:shd w:val="clear" w:color="auto" w:fill="auto"/>
            <w:noWrap/>
            <w:hideMark/>
          </w:tcPr>
          <w:p w14:paraId="356BF04A" w14:textId="77777777" w:rsidR="005C643F" w:rsidRPr="00D33C2C" w:rsidRDefault="005C643F" w:rsidP="003535F7">
            <w:pPr>
              <w:pStyle w:val="Tabletext"/>
              <w:keepNext/>
              <w:keepLines/>
              <w:jc w:val="center"/>
            </w:pPr>
            <w:r w:rsidRPr="00D33C2C">
              <w:t>1.40</w:t>
            </w:r>
          </w:p>
        </w:tc>
        <w:tc>
          <w:tcPr>
            <w:tcW w:w="1267" w:type="dxa"/>
            <w:shd w:val="clear" w:color="auto" w:fill="auto"/>
            <w:noWrap/>
            <w:hideMark/>
          </w:tcPr>
          <w:p w14:paraId="08EE22C0" w14:textId="77777777" w:rsidR="005C643F" w:rsidRPr="00D33C2C" w:rsidRDefault="005C643F" w:rsidP="003535F7">
            <w:pPr>
              <w:pStyle w:val="Tabletext"/>
              <w:keepNext/>
              <w:keepLines/>
              <w:jc w:val="center"/>
            </w:pPr>
            <w:r w:rsidRPr="00D33C2C">
              <w:t>0.00</w:t>
            </w:r>
          </w:p>
        </w:tc>
        <w:tc>
          <w:tcPr>
            <w:tcW w:w="1201" w:type="dxa"/>
            <w:shd w:val="clear" w:color="auto" w:fill="auto"/>
            <w:noWrap/>
            <w:hideMark/>
          </w:tcPr>
          <w:p w14:paraId="32B7C763" w14:textId="77777777" w:rsidR="005C643F" w:rsidRPr="00D33C2C" w:rsidRDefault="005C643F" w:rsidP="003535F7">
            <w:pPr>
              <w:pStyle w:val="Tabletext"/>
              <w:keepNext/>
              <w:keepLines/>
              <w:jc w:val="center"/>
            </w:pPr>
            <w:r w:rsidRPr="00D33C2C">
              <w:t>-1.40</w:t>
            </w:r>
          </w:p>
        </w:tc>
        <w:tc>
          <w:tcPr>
            <w:tcW w:w="1278" w:type="dxa"/>
            <w:shd w:val="clear" w:color="auto" w:fill="auto"/>
            <w:noWrap/>
            <w:hideMark/>
          </w:tcPr>
          <w:p w14:paraId="4F68FE2D" w14:textId="77777777" w:rsidR="005C643F" w:rsidRPr="00D33C2C" w:rsidRDefault="005C643F" w:rsidP="003535F7">
            <w:pPr>
              <w:pStyle w:val="Tabletext"/>
              <w:keepNext/>
              <w:keepLines/>
              <w:jc w:val="center"/>
            </w:pPr>
            <w:r w:rsidRPr="00D33C2C">
              <w:t>1.40</w:t>
            </w:r>
          </w:p>
        </w:tc>
        <w:tc>
          <w:tcPr>
            <w:tcW w:w="1590" w:type="dxa"/>
            <w:shd w:val="clear" w:color="auto" w:fill="auto"/>
            <w:noWrap/>
            <w:hideMark/>
          </w:tcPr>
          <w:p w14:paraId="09EBDCB1" w14:textId="77777777" w:rsidR="005C643F" w:rsidRPr="00D33C2C" w:rsidRDefault="005C643F" w:rsidP="003535F7">
            <w:pPr>
              <w:pStyle w:val="Tabletext"/>
              <w:keepNext/>
              <w:keepLines/>
              <w:jc w:val="center"/>
            </w:pPr>
            <w:r w:rsidRPr="00D33C2C">
              <w:t>12.1%</w:t>
            </w:r>
          </w:p>
        </w:tc>
      </w:tr>
      <w:tr w:rsidR="005C643F" w:rsidRPr="00D33C2C" w14:paraId="47DAC6C0" w14:textId="77777777" w:rsidTr="007460E2">
        <w:trPr>
          <w:trHeight w:val="57"/>
        </w:trPr>
        <w:tc>
          <w:tcPr>
            <w:tcW w:w="2682" w:type="dxa"/>
            <w:shd w:val="clear" w:color="auto" w:fill="auto"/>
            <w:noWrap/>
            <w:vAlign w:val="center"/>
            <w:hideMark/>
          </w:tcPr>
          <w:p w14:paraId="5B5F2ABF" w14:textId="77777777" w:rsidR="005C643F" w:rsidRPr="00D33C2C" w:rsidRDefault="005C643F" w:rsidP="003535F7">
            <w:pPr>
              <w:pStyle w:val="Tabletext"/>
              <w:keepNext/>
              <w:keepLines/>
            </w:pPr>
            <w:r w:rsidRPr="00D33C2C">
              <w:t>QALYs LT</w:t>
            </w:r>
          </w:p>
        </w:tc>
        <w:tc>
          <w:tcPr>
            <w:tcW w:w="999" w:type="dxa"/>
            <w:shd w:val="clear" w:color="auto" w:fill="auto"/>
            <w:noWrap/>
            <w:hideMark/>
          </w:tcPr>
          <w:p w14:paraId="6CF7CE7B" w14:textId="77777777" w:rsidR="005C643F" w:rsidRPr="00D33C2C" w:rsidRDefault="005C643F" w:rsidP="003535F7">
            <w:pPr>
              <w:pStyle w:val="Tabletext"/>
              <w:keepNext/>
              <w:keepLines/>
              <w:jc w:val="center"/>
            </w:pPr>
            <w:r w:rsidRPr="00D33C2C">
              <w:t>0.32</w:t>
            </w:r>
          </w:p>
        </w:tc>
        <w:tc>
          <w:tcPr>
            <w:tcW w:w="1267" w:type="dxa"/>
            <w:shd w:val="clear" w:color="auto" w:fill="auto"/>
            <w:noWrap/>
            <w:hideMark/>
          </w:tcPr>
          <w:p w14:paraId="79B93081" w14:textId="77777777" w:rsidR="005C643F" w:rsidRPr="00D33C2C" w:rsidRDefault="005C643F" w:rsidP="003535F7">
            <w:pPr>
              <w:pStyle w:val="Tabletext"/>
              <w:keepNext/>
              <w:keepLines/>
              <w:jc w:val="center"/>
            </w:pPr>
            <w:r w:rsidRPr="00D33C2C">
              <w:t>0.15</w:t>
            </w:r>
          </w:p>
        </w:tc>
        <w:tc>
          <w:tcPr>
            <w:tcW w:w="1201" w:type="dxa"/>
            <w:shd w:val="clear" w:color="auto" w:fill="auto"/>
            <w:noWrap/>
            <w:hideMark/>
          </w:tcPr>
          <w:p w14:paraId="5086AD63" w14:textId="77777777" w:rsidR="005C643F" w:rsidRPr="00D33C2C" w:rsidRDefault="005C643F" w:rsidP="003535F7">
            <w:pPr>
              <w:pStyle w:val="Tabletext"/>
              <w:keepNext/>
              <w:keepLines/>
              <w:jc w:val="center"/>
            </w:pPr>
            <w:r w:rsidRPr="00D33C2C">
              <w:t>-0.17</w:t>
            </w:r>
          </w:p>
        </w:tc>
        <w:tc>
          <w:tcPr>
            <w:tcW w:w="1278" w:type="dxa"/>
            <w:shd w:val="clear" w:color="auto" w:fill="auto"/>
            <w:noWrap/>
            <w:hideMark/>
          </w:tcPr>
          <w:p w14:paraId="59B697CA" w14:textId="77777777" w:rsidR="005C643F" w:rsidRPr="00D33C2C" w:rsidRDefault="005C643F" w:rsidP="003535F7">
            <w:pPr>
              <w:pStyle w:val="Tabletext"/>
              <w:keepNext/>
              <w:keepLines/>
              <w:jc w:val="center"/>
            </w:pPr>
            <w:r w:rsidRPr="00D33C2C">
              <w:t>0.17</w:t>
            </w:r>
          </w:p>
        </w:tc>
        <w:tc>
          <w:tcPr>
            <w:tcW w:w="1590" w:type="dxa"/>
            <w:shd w:val="clear" w:color="auto" w:fill="auto"/>
            <w:noWrap/>
            <w:hideMark/>
          </w:tcPr>
          <w:p w14:paraId="4CE9FEA4" w14:textId="77777777" w:rsidR="005C643F" w:rsidRPr="00D33C2C" w:rsidRDefault="005C643F" w:rsidP="003535F7">
            <w:pPr>
              <w:pStyle w:val="Tabletext"/>
              <w:keepNext/>
              <w:keepLines/>
              <w:jc w:val="center"/>
            </w:pPr>
            <w:r w:rsidRPr="00D33C2C">
              <w:t>1.4%</w:t>
            </w:r>
          </w:p>
        </w:tc>
      </w:tr>
      <w:tr w:rsidR="005C643F" w:rsidRPr="00D33C2C" w14:paraId="3A8B3058" w14:textId="77777777" w:rsidTr="007460E2">
        <w:trPr>
          <w:trHeight w:val="57"/>
        </w:trPr>
        <w:tc>
          <w:tcPr>
            <w:tcW w:w="2682" w:type="dxa"/>
            <w:shd w:val="clear" w:color="auto" w:fill="auto"/>
            <w:noWrap/>
            <w:vAlign w:val="center"/>
            <w:hideMark/>
          </w:tcPr>
          <w:p w14:paraId="2F07802E" w14:textId="77777777" w:rsidR="005C643F" w:rsidRPr="00D33C2C" w:rsidRDefault="005C643F" w:rsidP="003535F7">
            <w:pPr>
              <w:pStyle w:val="Tabletext"/>
              <w:keepNext/>
              <w:keepLines/>
            </w:pPr>
            <w:r w:rsidRPr="00D33C2C">
              <w:t>QALYs post-LT</w:t>
            </w:r>
          </w:p>
        </w:tc>
        <w:tc>
          <w:tcPr>
            <w:tcW w:w="999" w:type="dxa"/>
            <w:shd w:val="clear" w:color="auto" w:fill="auto"/>
            <w:noWrap/>
            <w:hideMark/>
          </w:tcPr>
          <w:p w14:paraId="4DCD22AD" w14:textId="77777777" w:rsidR="005C643F" w:rsidRPr="00D33C2C" w:rsidRDefault="005C643F" w:rsidP="003535F7">
            <w:pPr>
              <w:pStyle w:val="Tabletext"/>
              <w:keepNext/>
              <w:keepLines/>
              <w:jc w:val="center"/>
            </w:pPr>
            <w:r w:rsidRPr="00D33C2C">
              <w:t>3.75</w:t>
            </w:r>
          </w:p>
        </w:tc>
        <w:tc>
          <w:tcPr>
            <w:tcW w:w="1267" w:type="dxa"/>
            <w:shd w:val="clear" w:color="auto" w:fill="auto"/>
            <w:noWrap/>
            <w:hideMark/>
          </w:tcPr>
          <w:p w14:paraId="51B82901" w14:textId="77777777" w:rsidR="005C643F" w:rsidRPr="00D33C2C" w:rsidRDefault="005C643F" w:rsidP="003535F7">
            <w:pPr>
              <w:pStyle w:val="Tabletext"/>
              <w:keepNext/>
              <w:keepLines/>
              <w:jc w:val="center"/>
            </w:pPr>
            <w:r w:rsidRPr="00D33C2C">
              <w:t>1.77</w:t>
            </w:r>
          </w:p>
        </w:tc>
        <w:tc>
          <w:tcPr>
            <w:tcW w:w="1201" w:type="dxa"/>
            <w:shd w:val="clear" w:color="auto" w:fill="auto"/>
            <w:noWrap/>
            <w:hideMark/>
          </w:tcPr>
          <w:p w14:paraId="2109E342" w14:textId="77777777" w:rsidR="005C643F" w:rsidRPr="00D33C2C" w:rsidRDefault="005C643F" w:rsidP="003535F7">
            <w:pPr>
              <w:pStyle w:val="Tabletext"/>
              <w:keepNext/>
              <w:keepLines/>
              <w:jc w:val="center"/>
            </w:pPr>
            <w:r w:rsidRPr="00D33C2C">
              <w:t>-1.99</w:t>
            </w:r>
          </w:p>
        </w:tc>
        <w:tc>
          <w:tcPr>
            <w:tcW w:w="1278" w:type="dxa"/>
            <w:shd w:val="clear" w:color="auto" w:fill="auto"/>
            <w:noWrap/>
            <w:hideMark/>
          </w:tcPr>
          <w:p w14:paraId="136010EE" w14:textId="77777777" w:rsidR="005C643F" w:rsidRPr="00D33C2C" w:rsidRDefault="005C643F" w:rsidP="003535F7">
            <w:pPr>
              <w:pStyle w:val="Tabletext"/>
              <w:keepNext/>
              <w:keepLines/>
              <w:jc w:val="center"/>
            </w:pPr>
            <w:r w:rsidRPr="00D33C2C">
              <w:t>1.99</w:t>
            </w:r>
          </w:p>
        </w:tc>
        <w:tc>
          <w:tcPr>
            <w:tcW w:w="1590" w:type="dxa"/>
            <w:shd w:val="clear" w:color="auto" w:fill="auto"/>
            <w:noWrap/>
            <w:hideMark/>
          </w:tcPr>
          <w:p w14:paraId="6776258B" w14:textId="77777777" w:rsidR="005C643F" w:rsidRPr="00D33C2C" w:rsidRDefault="005C643F" w:rsidP="003535F7">
            <w:pPr>
              <w:pStyle w:val="Tabletext"/>
              <w:keepNext/>
              <w:keepLines/>
              <w:jc w:val="center"/>
            </w:pPr>
            <w:r w:rsidRPr="00D33C2C">
              <w:t>17.1%</w:t>
            </w:r>
          </w:p>
        </w:tc>
      </w:tr>
      <w:tr w:rsidR="005C643F" w:rsidRPr="00D33C2C" w14:paraId="727B52A7" w14:textId="77777777" w:rsidTr="007460E2">
        <w:trPr>
          <w:trHeight w:val="57"/>
        </w:trPr>
        <w:tc>
          <w:tcPr>
            <w:tcW w:w="2682" w:type="dxa"/>
            <w:shd w:val="clear" w:color="auto" w:fill="auto"/>
            <w:noWrap/>
            <w:vAlign w:val="center"/>
            <w:hideMark/>
          </w:tcPr>
          <w:p w14:paraId="08CA7A90" w14:textId="77777777" w:rsidR="005C643F" w:rsidRPr="00D33C2C" w:rsidRDefault="005C643F" w:rsidP="003535F7">
            <w:pPr>
              <w:pStyle w:val="Tabletext"/>
              <w:keepNext/>
              <w:keepLines/>
            </w:pPr>
            <w:r w:rsidRPr="00D33C2C">
              <w:t>QALY decrements</w:t>
            </w:r>
          </w:p>
        </w:tc>
        <w:tc>
          <w:tcPr>
            <w:tcW w:w="999" w:type="dxa"/>
            <w:shd w:val="clear" w:color="auto" w:fill="auto"/>
            <w:noWrap/>
            <w:hideMark/>
          </w:tcPr>
          <w:p w14:paraId="5ACC8A94" w14:textId="77777777" w:rsidR="005C643F" w:rsidRPr="00D33C2C" w:rsidRDefault="005C643F" w:rsidP="003535F7">
            <w:pPr>
              <w:pStyle w:val="Tabletext"/>
              <w:keepNext/>
              <w:keepLines/>
              <w:jc w:val="center"/>
            </w:pPr>
            <w:r w:rsidRPr="00D33C2C">
              <w:t>0.00</w:t>
            </w:r>
          </w:p>
        </w:tc>
        <w:tc>
          <w:tcPr>
            <w:tcW w:w="1267" w:type="dxa"/>
            <w:shd w:val="clear" w:color="auto" w:fill="auto"/>
            <w:noWrap/>
            <w:hideMark/>
          </w:tcPr>
          <w:p w14:paraId="73ED264E" w14:textId="77777777" w:rsidR="005C643F" w:rsidRPr="00D33C2C" w:rsidRDefault="005C643F" w:rsidP="003535F7">
            <w:pPr>
              <w:pStyle w:val="Tabletext"/>
              <w:keepNext/>
              <w:keepLines/>
              <w:jc w:val="center"/>
            </w:pPr>
            <w:r w:rsidRPr="00D33C2C">
              <w:t>0.00</w:t>
            </w:r>
          </w:p>
        </w:tc>
        <w:tc>
          <w:tcPr>
            <w:tcW w:w="1201" w:type="dxa"/>
            <w:shd w:val="clear" w:color="auto" w:fill="auto"/>
            <w:noWrap/>
            <w:hideMark/>
          </w:tcPr>
          <w:p w14:paraId="6BE376AB" w14:textId="77777777" w:rsidR="005C643F" w:rsidRPr="00D33C2C" w:rsidRDefault="005C643F" w:rsidP="003535F7">
            <w:pPr>
              <w:pStyle w:val="Tabletext"/>
              <w:keepNext/>
              <w:keepLines/>
              <w:jc w:val="center"/>
            </w:pPr>
            <w:r w:rsidRPr="00D33C2C">
              <w:t>0.00</w:t>
            </w:r>
          </w:p>
        </w:tc>
        <w:tc>
          <w:tcPr>
            <w:tcW w:w="1278" w:type="dxa"/>
            <w:shd w:val="clear" w:color="auto" w:fill="auto"/>
            <w:noWrap/>
            <w:hideMark/>
          </w:tcPr>
          <w:p w14:paraId="104C7389" w14:textId="77777777" w:rsidR="005C643F" w:rsidRPr="00D33C2C" w:rsidRDefault="005C643F" w:rsidP="003535F7">
            <w:pPr>
              <w:pStyle w:val="Tabletext"/>
              <w:keepNext/>
              <w:keepLines/>
              <w:jc w:val="center"/>
            </w:pPr>
            <w:r w:rsidRPr="00D33C2C">
              <w:t>0.00</w:t>
            </w:r>
          </w:p>
        </w:tc>
        <w:tc>
          <w:tcPr>
            <w:tcW w:w="1590" w:type="dxa"/>
            <w:shd w:val="clear" w:color="auto" w:fill="auto"/>
            <w:noWrap/>
            <w:hideMark/>
          </w:tcPr>
          <w:p w14:paraId="5FF91A85" w14:textId="77777777" w:rsidR="005C643F" w:rsidRPr="00D33C2C" w:rsidRDefault="005C643F" w:rsidP="003535F7">
            <w:pPr>
              <w:pStyle w:val="Tabletext"/>
              <w:keepNext/>
              <w:keepLines/>
              <w:jc w:val="center"/>
            </w:pPr>
            <w:r w:rsidRPr="00D33C2C">
              <w:t>0.0%</w:t>
            </w:r>
          </w:p>
        </w:tc>
      </w:tr>
      <w:tr w:rsidR="005C643F" w:rsidRPr="00D33C2C" w14:paraId="63A69661" w14:textId="77777777" w:rsidTr="007460E2">
        <w:trPr>
          <w:trHeight w:val="57"/>
        </w:trPr>
        <w:tc>
          <w:tcPr>
            <w:tcW w:w="2682" w:type="dxa"/>
            <w:tcBorders>
              <w:bottom w:val="single" w:sz="4" w:space="0" w:color="auto"/>
            </w:tcBorders>
            <w:shd w:val="clear" w:color="auto" w:fill="auto"/>
            <w:noWrap/>
            <w:vAlign w:val="center"/>
            <w:hideMark/>
          </w:tcPr>
          <w:p w14:paraId="001ED7EB" w14:textId="77777777" w:rsidR="005C643F" w:rsidRPr="00D33C2C" w:rsidRDefault="005C643F" w:rsidP="003535F7">
            <w:pPr>
              <w:pStyle w:val="Tabletext"/>
              <w:keepNext/>
              <w:keepLines/>
            </w:pPr>
            <w:r w:rsidRPr="00D33C2C">
              <w:t>Total QALYs</w:t>
            </w:r>
          </w:p>
        </w:tc>
        <w:tc>
          <w:tcPr>
            <w:tcW w:w="999" w:type="dxa"/>
            <w:tcBorders>
              <w:bottom w:val="single" w:sz="4" w:space="0" w:color="auto"/>
            </w:tcBorders>
            <w:shd w:val="clear" w:color="auto" w:fill="auto"/>
            <w:noWrap/>
            <w:hideMark/>
          </w:tcPr>
          <w:p w14:paraId="3A4E009A" w14:textId="77777777" w:rsidR="005C643F" w:rsidRPr="00D33C2C" w:rsidRDefault="005C643F" w:rsidP="003535F7">
            <w:pPr>
              <w:pStyle w:val="Tabletext"/>
              <w:keepNext/>
              <w:keepLines/>
              <w:jc w:val="center"/>
            </w:pPr>
            <w:r w:rsidRPr="00D33C2C">
              <w:t>12.41</w:t>
            </w:r>
          </w:p>
        </w:tc>
        <w:tc>
          <w:tcPr>
            <w:tcW w:w="1267" w:type="dxa"/>
            <w:tcBorders>
              <w:bottom w:val="single" w:sz="4" w:space="0" w:color="auto"/>
            </w:tcBorders>
            <w:shd w:val="clear" w:color="auto" w:fill="auto"/>
            <w:noWrap/>
            <w:hideMark/>
          </w:tcPr>
          <w:p w14:paraId="5D79F08F" w14:textId="77777777" w:rsidR="005C643F" w:rsidRPr="00D33C2C" w:rsidRDefault="005C643F" w:rsidP="003535F7">
            <w:pPr>
              <w:pStyle w:val="Tabletext"/>
              <w:keepNext/>
              <w:keepLines/>
              <w:jc w:val="center"/>
            </w:pPr>
            <w:r w:rsidRPr="00D33C2C">
              <w:t>15.14</w:t>
            </w:r>
          </w:p>
        </w:tc>
        <w:tc>
          <w:tcPr>
            <w:tcW w:w="1201" w:type="dxa"/>
            <w:tcBorders>
              <w:bottom w:val="single" w:sz="4" w:space="0" w:color="auto"/>
            </w:tcBorders>
            <w:shd w:val="clear" w:color="auto" w:fill="auto"/>
            <w:noWrap/>
            <w:hideMark/>
          </w:tcPr>
          <w:p w14:paraId="2A0E734B" w14:textId="77777777" w:rsidR="005C643F" w:rsidRPr="00D33C2C" w:rsidRDefault="005C643F" w:rsidP="003535F7">
            <w:pPr>
              <w:pStyle w:val="Tabletext"/>
              <w:keepNext/>
              <w:keepLines/>
              <w:jc w:val="center"/>
            </w:pPr>
            <w:r w:rsidRPr="00D33C2C">
              <w:t>-</w:t>
            </w:r>
          </w:p>
        </w:tc>
        <w:tc>
          <w:tcPr>
            <w:tcW w:w="1278" w:type="dxa"/>
            <w:tcBorders>
              <w:bottom w:val="single" w:sz="4" w:space="0" w:color="auto"/>
            </w:tcBorders>
            <w:shd w:val="clear" w:color="auto" w:fill="auto"/>
            <w:noWrap/>
            <w:hideMark/>
          </w:tcPr>
          <w:p w14:paraId="0769D9D1" w14:textId="77777777" w:rsidR="005C643F" w:rsidRPr="00D33C2C" w:rsidRDefault="005C643F" w:rsidP="003535F7">
            <w:pPr>
              <w:pStyle w:val="Tabletext"/>
              <w:keepNext/>
              <w:keepLines/>
              <w:jc w:val="center"/>
            </w:pPr>
            <w:r w:rsidRPr="00D33C2C">
              <w:t>11.62</w:t>
            </w:r>
          </w:p>
        </w:tc>
        <w:tc>
          <w:tcPr>
            <w:tcW w:w="1590" w:type="dxa"/>
            <w:tcBorders>
              <w:bottom w:val="single" w:sz="4" w:space="0" w:color="auto"/>
            </w:tcBorders>
            <w:shd w:val="clear" w:color="auto" w:fill="auto"/>
            <w:noWrap/>
            <w:hideMark/>
          </w:tcPr>
          <w:p w14:paraId="02D5EB0A" w14:textId="77777777" w:rsidR="005C643F" w:rsidRPr="00D33C2C" w:rsidRDefault="005C643F" w:rsidP="003535F7">
            <w:pPr>
              <w:pStyle w:val="Tabletext"/>
              <w:keepNext/>
              <w:keepLines/>
              <w:jc w:val="center"/>
            </w:pPr>
            <w:r w:rsidRPr="00D33C2C">
              <w:t>100.0%</w:t>
            </w:r>
          </w:p>
        </w:tc>
      </w:tr>
      <w:tr w:rsidR="005C643F" w:rsidRPr="00D33C2C" w14:paraId="00D08AAD" w14:textId="77777777" w:rsidTr="007460E2">
        <w:trPr>
          <w:trHeight w:val="57"/>
        </w:trPr>
        <w:tc>
          <w:tcPr>
            <w:tcW w:w="2682" w:type="dxa"/>
            <w:tcBorders>
              <w:top w:val="single" w:sz="4" w:space="0" w:color="auto"/>
              <w:left w:val="single" w:sz="4" w:space="0" w:color="auto"/>
              <w:bottom w:val="single" w:sz="4" w:space="0" w:color="auto"/>
              <w:right w:val="nil"/>
            </w:tcBorders>
            <w:shd w:val="clear" w:color="auto" w:fill="auto"/>
            <w:noWrap/>
            <w:vAlign w:val="center"/>
            <w:hideMark/>
          </w:tcPr>
          <w:p w14:paraId="08E3E67A" w14:textId="7FCBB0A8" w:rsidR="005C643F" w:rsidRPr="00D33C2C" w:rsidRDefault="005C643F" w:rsidP="003535F7">
            <w:pPr>
              <w:pStyle w:val="Tabletext"/>
              <w:keepNext/>
              <w:keepLines/>
              <w:rPr>
                <w:b/>
                <w:bCs/>
              </w:rPr>
            </w:pPr>
            <w:r w:rsidRPr="00D33C2C">
              <w:rPr>
                <w:b/>
                <w:bCs/>
              </w:rPr>
              <w:t>Costs (discounted)</w:t>
            </w:r>
          </w:p>
        </w:tc>
        <w:tc>
          <w:tcPr>
            <w:tcW w:w="999" w:type="dxa"/>
            <w:tcBorders>
              <w:top w:val="single" w:sz="4" w:space="0" w:color="auto"/>
              <w:left w:val="nil"/>
              <w:bottom w:val="single" w:sz="4" w:space="0" w:color="auto"/>
              <w:right w:val="nil"/>
            </w:tcBorders>
            <w:shd w:val="clear" w:color="auto" w:fill="auto"/>
            <w:noWrap/>
            <w:vAlign w:val="center"/>
            <w:hideMark/>
          </w:tcPr>
          <w:p w14:paraId="2A0D9BA1" w14:textId="77777777" w:rsidR="005C643F" w:rsidRPr="00D33C2C" w:rsidRDefault="005C643F" w:rsidP="003535F7">
            <w:pPr>
              <w:pStyle w:val="Tabletext"/>
              <w:keepNext/>
              <w:keepLines/>
              <w:jc w:val="center"/>
            </w:pPr>
          </w:p>
        </w:tc>
        <w:tc>
          <w:tcPr>
            <w:tcW w:w="1267" w:type="dxa"/>
            <w:tcBorders>
              <w:top w:val="single" w:sz="4" w:space="0" w:color="auto"/>
              <w:left w:val="nil"/>
              <w:bottom w:val="single" w:sz="4" w:space="0" w:color="auto"/>
              <w:right w:val="nil"/>
            </w:tcBorders>
            <w:shd w:val="clear" w:color="auto" w:fill="auto"/>
            <w:noWrap/>
            <w:vAlign w:val="center"/>
            <w:hideMark/>
          </w:tcPr>
          <w:p w14:paraId="67184A00" w14:textId="77777777" w:rsidR="005C643F" w:rsidRPr="00D33C2C" w:rsidRDefault="005C643F" w:rsidP="003535F7">
            <w:pPr>
              <w:pStyle w:val="Tabletext"/>
              <w:keepNext/>
              <w:keepLines/>
              <w:jc w:val="center"/>
              <w:rPr>
                <w:rFonts w:ascii="Times New Roman" w:hAnsi="Times New Roman"/>
                <w:szCs w:val="20"/>
              </w:rPr>
            </w:pPr>
          </w:p>
        </w:tc>
        <w:tc>
          <w:tcPr>
            <w:tcW w:w="1201" w:type="dxa"/>
            <w:tcBorders>
              <w:top w:val="single" w:sz="4" w:space="0" w:color="auto"/>
              <w:left w:val="nil"/>
              <w:bottom w:val="single" w:sz="4" w:space="0" w:color="auto"/>
              <w:right w:val="nil"/>
            </w:tcBorders>
            <w:shd w:val="clear" w:color="auto" w:fill="auto"/>
            <w:noWrap/>
            <w:vAlign w:val="center"/>
            <w:hideMark/>
          </w:tcPr>
          <w:p w14:paraId="29DBCC06" w14:textId="77777777" w:rsidR="005C643F" w:rsidRPr="00D33C2C" w:rsidRDefault="005C643F" w:rsidP="003535F7">
            <w:pPr>
              <w:pStyle w:val="Tabletext"/>
              <w:keepNext/>
              <w:keepLines/>
              <w:jc w:val="center"/>
              <w:rPr>
                <w:rFonts w:ascii="Times New Roman" w:hAnsi="Times New Roman"/>
                <w:szCs w:val="20"/>
              </w:rPr>
            </w:pPr>
          </w:p>
        </w:tc>
        <w:tc>
          <w:tcPr>
            <w:tcW w:w="1278" w:type="dxa"/>
            <w:tcBorders>
              <w:top w:val="single" w:sz="4" w:space="0" w:color="auto"/>
              <w:left w:val="nil"/>
              <w:bottom w:val="single" w:sz="4" w:space="0" w:color="auto"/>
              <w:right w:val="nil"/>
            </w:tcBorders>
            <w:shd w:val="clear" w:color="auto" w:fill="auto"/>
            <w:noWrap/>
            <w:vAlign w:val="center"/>
            <w:hideMark/>
          </w:tcPr>
          <w:p w14:paraId="702EDCD7" w14:textId="77777777" w:rsidR="005C643F" w:rsidRPr="00D33C2C" w:rsidRDefault="005C643F" w:rsidP="003535F7">
            <w:pPr>
              <w:pStyle w:val="Tabletext"/>
              <w:keepNext/>
              <w:keepLines/>
              <w:jc w:val="center"/>
              <w:rPr>
                <w:rFonts w:ascii="Times New Roman" w:hAnsi="Times New Roman"/>
                <w:szCs w:val="20"/>
              </w:rPr>
            </w:pP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50DB1C11" w14:textId="77777777" w:rsidR="005C643F" w:rsidRPr="00D33C2C" w:rsidRDefault="005C643F" w:rsidP="003535F7">
            <w:pPr>
              <w:pStyle w:val="Tabletext"/>
              <w:keepNext/>
              <w:keepLines/>
              <w:jc w:val="center"/>
              <w:rPr>
                <w:rFonts w:ascii="Times New Roman" w:hAnsi="Times New Roman"/>
                <w:szCs w:val="20"/>
              </w:rPr>
            </w:pPr>
          </w:p>
        </w:tc>
      </w:tr>
      <w:tr w:rsidR="005C643F" w:rsidRPr="00D33C2C" w14:paraId="283BE8BA" w14:textId="77777777" w:rsidTr="007460E2">
        <w:trPr>
          <w:trHeight w:val="57"/>
        </w:trPr>
        <w:tc>
          <w:tcPr>
            <w:tcW w:w="2682" w:type="dxa"/>
            <w:tcBorders>
              <w:top w:val="single" w:sz="4" w:space="0" w:color="auto"/>
            </w:tcBorders>
            <w:shd w:val="clear" w:color="auto" w:fill="auto"/>
            <w:noWrap/>
            <w:vAlign w:val="center"/>
            <w:hideMark/>
          </w:tcPr>
          <w:p w14:paraId="5B64C1CC" w14:textId="77777777" w:rsidR="005C643F" w:rsidRPr="00D33C2C" w:rsidRDefault="005C643F" w:rsidP="003535F7">
            <w:pPr>
              <w:pStyle w:val="Tabletext"/>
              <w:keepNext/>
              <w:keepLines/>
            </w:pPr>
            <w:r w:rsidRPr="00D33C2C">
              <w:t>Response</w:t>
            </w:r>
          </w:p>
        </w:tc>
        <w:tc>
          <w:tcPr>
            <w:tcW w:w="999" w:type="dxa"/>
            <w:tcBorders>
              <w:top w:val="single" w:sz="4" w:space="0" w:color="auto"/>
            </w:tcBorders>
            <w:shd w:val="clear" w:color="auto" w:fill="auto"/>
            <w:noWrap/>
            <w:hideMark/>
          </w:tcPr>
          <w:p w14:paraId="436B9CBB" w14:textId="77777777" w:rsidR="005C643F" w:rsidRPr="00D33C2C" w:rsidRDefault="005C643F" w:rsidP="003535F7">
            <w:pPr>
              <w:pStyle w:val="Tabletext"/>
              <w:keepNext/>
              <w:keepLines/>
              <w:jc w:val="center"/>
            </w:pPr>
            <w:r w:rsidRPr="00D33C2C">
              <w:t>$0</w:t>
            </w:r>
          </w:p>
        </w:tc>
        <w:tc>
          <w:tcPr>
            <w:tcW w:w="1267" w:type="dxa"/>
            <w:tcBorders>
              <w:top w:val="single" w:sz="4" w:space="0" w:color="auto"/>
            </w:tcBorders>
            <w:shd w:val="clear" w:color="auto" w:fill="auto"/>
            <w:noWrap/>
            <w:hideMark/>
          </w:tcPr>
          <w:p w14:paraId="12688D46" w14:textId="4DDFF498" w:rsidR="005C643F" w:rsidRPr="00D33C2C" w:rsidRDefault="005C643F" w:rsidP="003535F7">
            <w:pPr>
              <w:pStyle w:val="Tabletext"/>
              <w:keepNext/>
              <w:keepLines/>
              <w:jc w:val="center"/>
            </w:pPr>
            <w:r w:rsidRPr="00D33C2C">
              <w:t>$</w:t>
            </w:r>
            <w:r w:rsidR="0066157F" w:rsidRPr="0066157F">
              <w:rPr>
                <w:rFonts w:hint="eastAsia"/>
                <w:color w:val="000000"/>
                <w:w w:val="15"/>
                <w:shd w:val="solid" w:color="000000" w:fill="000000"/>
                <w:fitText w:val="70" w:id="-894208497"/>
                <w14:textFill>
                  <w14:solidFill>
                    <w14:srgbClr w14:val="000000">
                      <w14:alpha w14:val="100000"/>
                    </w14:srgbClr>
                  </w14:solidFill>
                </w14:textFill>
              </w:rPr>
              <w:t xml:space="preserve">　</w:t>
            </w:r>
            <w:r w:rsidR="0066157F" w:rsidRPr="0066157F">
              <w:rPr>
                <w:color w:val="000000"/>
                <w:w w:val="15"/>
                <w:shd w:val="solid" w:color="000000" w:fill="000000"/>
                <w:fitText w:val="70" w:id="-894208497"/>
                <w14:textFill>
                  <w14:solidFill>
                    <w14:srgbClr w14:val="000000">
                      <w14:alpha w14:val="100000"/>
                    </w14:srgbClr>
                  </w14:solidFill>
                </w14:textFill>
              </w:rPr>
              <w:t>|</w:t>
            </w:r>
            <w:r w:rsidR="0066157F" w:rsidRPr="0066157F">
              <w:rPr>
                <w:rFonts w:hint="eastAsia"/>
                <w:color w:val="000000"/>
                <w:spacing w:val="4"/>
                <w:w w:val="15"/>
                <w:shd w:val="solid" w:color="000000" w:fill="000000"/>
                <w:fitText w:val="70" w:id="-894208497"/>
                <w14:textFill>
                  <w14:solidFill>
                    <w14:srgbClr w14:val="000000">
                      <w14:alpha w14:val="100000"/>
                    </w14:srgbClr>
                  </w14:solidFill>
                </w14:textFill>
              </w:rPr>
              <w:t xml:space="preserve">　</w:t>
            </w:r>
          </w:p>
        </w:tc>
        <w:tc>
          <w:tcPr>
            <w:tcW w:w="1201" w:type="dxa"/>
            <w:tcBorders>
              <w:top w:val="single" w:sz="4" w:space="0" w:color="auto"/>
            </w:tcBorders>
            <w:shd w:val="clear" w:color="auto" w:fill="auto"/>
            <w:noWrap/>
            <w:hideMark/>
          </w:tcPr>
          <w:p w14:paraId="50007A04" w14:textId="059958A4" w:rsidR="005C643F" w:rsidRPr="00D33C2C" w:rsidRDefault="005C643F" w:rsidP="003535F7">
            <w:pPr>
              <w:pStyle w:val="Tabletext"/>
              <w:keepNext/>
              <w:keepLines/>
              <w:jc w:val="center"/>
            </w:pPr>
            <w:r w:rsidRPr="00D33C2C">
              <w:t>$</w:t>
            </w:r>
            <w:r w:rsidR="0066157F" w:rsidRPr="0066157F">
              <w:rPr>
                <w:rFonts w:hint="eastAsia"/>
                <w:color w:val="000000"/>
                <w:w w:val="22"/>
                <w:shd w:val="solid" w:color="000000" w:fill="000000"/>
                <w:fitText w:val="100" w:id="-894208496"/>
                <w14:textFill>
                  <w14:solidFill>
                    <w14:srgbClr w14:val="000000">
                      <w14:alpha w14:val="100000"/>
                    </w14:srgbClr>
                  </w14:solidFill>
                </w14:textFill>
              </w:rPr>
              <w:t xml:space="preserve">　</w:t>
            </w:r>
            <w:r w:rsidR="0066157F" w:rsidRPr="0066157F">
              <w:rPr>
                <w:color w:val="000000"/>
                <w:w w:val="22"/>
                <w:shd w:val="solid" w:color="000000" w:fill="000000"/>
                <w:fitText w:val="100" w:id="-894208496"/>
                <w14:textFill>
                  <w14:solidFill>
                    <w14:srgbClr w14:val="000000">
                      <w14:alpha w14:val="100000"/>
                    </w14:srgbClr>
                  </w14:solidFill>
                </w14:textFill>
              </w:rPr>
              <w:t>|</w:t>
            </w:r>
            <w:r w:rsidR="0066157F" w:rsidRPr="0066157F">
              <w:rPr>
                <w:rFonts w:hint="eastAsia"/>
                <w:color w:val="000000"/>
                <w:spacing w:val="3"/>
                <w:w w:val="22"/>
                <w:shd w:val="solid" w:color="000000" w:fill="000000"/>
                <w:fitText w:val="100" w:id="-894208496"/>
                <w14:textFill>
                  <w14:solidFill>
                    <w14:srgbClr w14:val="000000">
                      <w14:alpha w14:val="100000"/>
                    </w14:srgbClr>
                  </w14:solidFill>
                </w14:textFill>
              </w:rPr>
              <w:t xml:space="preserve">　</w:t>
            </w:r>
          </w:p>
        </w:tc>
        <w:tc>
          <w:tcPr>
            <w:tcW w:w="1278" w:type="dxa"/>
            <w:tcBorders>
              <w:top w:val="single" w:sz="4" w:space="0" w:color="auto"/>
            </w:tcBorders>
            <w:shd w:val="clear" w:color="auto" w:fill="auto"/>
            <w:noWrap/>
            <w:hideMark/>
          </w:tcPr>
          <w:p w14:paraId="3D55BF26" w14:textId="156FB70F" w:rsidR="005C643F" w:rsidRPr="00D33C2C" w:rsidRDefault="005C643F" w:rsidP="003535F7">
            <w:pPr>
              <w:pStyle w:val="Tabletext"/>
              <w:keepNext/>
              <w:keepLines/>
              <w:jc w:val="center"/>
            </w:pPr>
            <w:r w:rsidRPr="00D33C2C">
              <w:t>$</w:t>
            </w:r>
            <w:r w:rsidR="0066157F" w:rsidRPr="0066157F">
              <w:rPr>
                <w:rFonts w:hint="eastAsia"/>
                <w:color w:val="000000"/>
                <w:w w:val="15"/>
                <w:shd w:val="solid" w:color="000000" w:fill="000000"/>
                <w:fitText w:val="60" w:id="-894208512"/>
                <w14:textFill>
                  <w14:solidFill>
                    <w14:srgbClr w14:val="000000">
                      <w14:alpha w14:val="100000"/>
                    </w14:srgbClr>
                  </w14:solidFill>
                </w14:textFill>
              </w:rPr>
              <w:t xml:space="preserve">　</w:t>
            </w:r>
            <w:r w:rsidR="0066157F" w:rsidRPr="0066157F">
              <w:rPr>
                <w:color w:val="000000"/>
                <w:w w:val="15"/>
                <w:shd w:val="solid" w:color="000000" w:fill="000000"/>
                <w:fitText w:val="60" w:id="-894208512"/>
                <w14:textFill>
                  <w14:solidFill>
                    <w14:srgbClr w14:val="000000">
                      <w14:alpha w14:val="100000"/>
                    </w14:srgbClr>
                  </w14:solidFill>
                </w14:textFill>
              </w:rPr>
              <w:t>|</w:t>
            </w:r>
            <w:r w:rsidR="0066157F" w:rsidRPr="0066157F">
              <w:rPr>
                <w:rFonts w:hint="eastAsia"/>
                <w:color w:val="000000"/>
                <w:spacing w:val="-5"/>
                <w:w w:val="15"/>
                <w:shd w:val="solid" w:color="000000" w:fill="000000"/>
                <w:fitText w:val="60" w:id="-894208512"/>
                <w14:textFill>
                  <w14:solidFill>
                    <w14:srgbClr w14:val="000000">
                      <w14:alpha w14:val="100000"/>
                    </w14:srgbClr>
                  </w14:solidFill>
                </w14:textFill>
              </w:rPr>
              <w:t xml:space="preserve">　</w:t>
            </w:r>
          </w:p>
        </w:tc>
        <w:tc>
          <w:tcPr>
            <w:tcW w:w="1590" w:type="dxa"/>
            <w:tcBorders>
              <w:top w:val="single" w:sz="4" w:space="0" w:color="auto"/>
            </w:tcBorders>
            <w:shd w:val="clear" w:color="auto" w:fill="auto"/>
            <w:noWrap/>
            <w:hideMark/>
          </w:tcPr>
          <w:p w14:paraId="1D92EA86" w14:textId="4B63AEEA" w:rsidR="005C643F" w:rsidRPr="00D33C2C" w:rsidRDefault="0066157F" w:rsidP="003535F7">
            <w:pPr>
              <w:pStyle w:val="Tabletext"/>
              <w:keepNext/>
              <w:keepLines/>
              <w:jc w:val="center"/>
            </w:pPr>
            <w:r w:rsidRPr="0066157F">
              <w:rPr>
                <w:color w:val="000000"/>
                <w:shd w:val="solid" w:color="000000" w:fill="000000"/>
                <w14:textFill>
                  <w14:solidFill>
                    <w14:srgbClr w14:val="000000">
                      <w14:alpha w14:val="100000"/>
                    </w14:srgbClr>
                  </w14:solidFill>
                </w14:textFill>
              </w:rPr>
              <w:t>|</w:t>
            </w:r>
            <w:r w:rsidR="005C643F" w:rsidRPr="00D33C2C">
              <w:t>%</w:t>
            </w:r>
          </w:p>
        </w:tc>
      </w:tr>
      <w:tr w:rsidR="005C643F" w:rsidRPr="00D33C2C" w14:paraId="3735B364" w14:textId="77777777" w:rsidTr="007460E2">
        <w:trPr>
          <w:trHeight w:val="57"/>
        </w:trPr>
        <w:tc>
          <w:tcPr>
            <w:tcW w:w="2682" w:type="dxa"/>
            <w:shd w:val="clear" w:color="auto" w:fill="auto"/>
            <w:noWrap/>
            <w:vAlign w:val="center"/>
            <w:hideMark/>
          </w:tcPr>
          <w:p w14:paraId="1D5BFD71" w14:textId="77777777" w:rsidR="005C643F" w:rsidRPr="00D33C2C" w:rsidRDefault="005C643F" w:rsidP="003535F7">
            <w:pPr>
              <w:pStyle w:val="Tabletext"/>
              <w:keepNext/>
              <w:keepLines/>
            </w:pPr>
            <w:r w:rsidRPr="00D33C2C">
              <w:t>Loss of response</w:t>
            </w:r>
          </w:p>
        </w:tc>
        <w:tc>
          <w:tcPr>
            <w:tcW w:w="999" w:type="dxa"/>
            <w:shd w:val="clear" w:color="auto" w:fill="auto"/>
            <w:noWrap/>
            <w:hideMark/>
          </w:tcPr>
          <w:p w14:paraId="6D1691AB" w14:textId="77777777" w:rsidR="005C643F" w:rsidRPr="00D33C2C" w:rsidRDefault="005C643F" w:rsidP="003535F7">
            <w:pPr>
              <w:pStyle w:val="Tabletext"/>
              <w:keepNext/>
              <w:keepLines/>
              <w:jc w:val="center"/>
            </w:pPr>
            <w:r w:rsidRPr="00D33C2C">
              <w:t>$36,059</w:t>
            </w:r>
          </w:p>
        </w:tc>
        <w:tc>
          <w:tcPr>
            <w:tcW w:w="1267" w:type="dxa"/>
            <w:shd w:val="clear" w:color="auto" w:fill="auto"/>
            <w:noWrap/>
            <w:hideMark/>
          </w:tcPr>
          <w:p w14:paraId="15DF411D" w14:textId="77777777" w:rsidR="005C643F" w:rsidRPr="00D33C2C" w:rsidRDefault="005C643F" w:rsidP="003535F7">
            <w:pPr>
              <w:pStyle w:val="Tabletext"/>
              <w:keepNext/>
              <w:keepLines/>
              <w:jc w:val="center"/>
            </w:pPr>
            <w:r w:rsidRPr="00D33C2C">
              <w:t>$92,061</w:t>
            </w:r>
          </w:p>
        </w:tc>
        <w:tc>
          <w:tcPr>
            <w:tcW w:w="1201" w:type="dxa"/>
            <w:shd w:val="clear" w:color="auto" w:fill="auto"/>
            <w:noWrap/>
            <w:hideMark/>
          </w:tcPr>
          <w:p w14:paraId="30D1AFE8" w14:textId="77777777" w:rsidR="005C643F" w:rsidRPr="00D33C2C" w:rsidRDefault="005C643F" w:rsidP="003535F7">
            <w:pPr>
              <w:pStyle w:val="Tabletext"/>
              <w:keepNext/>
              <w:keepLines/>
              <w:jc w:val="center"/>
            </w:pPr>
            <w:r w:rsidRPr="00D33C2C">
              <w:t>$56,002</w:t>
            </w:r>
          </w:p>
        </w:tc>
        <w:tc>
          <w:tcPr>
            <w:tcW w:w="1278" w:type="dxa"/>
            <w:shd w:val="clear" w:color="auto" w:fill="auto"/>
            <w:noWrap/>
            <w:hideMark/>
          </w:tcPr>
          <w:p w14:paraId="77561DDC" w14:textId="77777777" w:rsidR="005C643F" w:rsidRPr="00D33C2C" w:rsidRDefault="005C643F" w:rsidP="003535F7">
            <w:pPr>
              <w:pStyle w:val="Tabletext"/>
              <w:keepNext/>
              <w:keepLines/>
              <w:jc w:val="center"/>
            </w:pPr>
            <w:r w:rsidRPr="00D33C2C">
              <w:t>$56,002</w:t>
            </w:r>
          </w:p>
        </w:tc>
        <w:tc>
          <w:tcPr>
            <w:tcW w:w="1590" w:type="dxa"/>
            <w:shd w:val="clear" w:color="auto" w:fill="auto"/>
            <w:noWrap/>
            <w:hideMark/>
          </w:tcPr>
          <w:p w14:paraId="3DC4852C" w14:textId="248D3CA2" w:rsidR="005C643F" w:rsidRPr="00D33C2C" w:rsidRDefault="0066157F" w:rsidP="003535F7">
            <w:pPr>
              <w:pStyle w:val="Tabletext"/>
              <w:keepNext/>
              <w:keepLines/>
              <w:jc w:val="center"/>
            </w:pPr>
            <w:r w:rsidRPr="0066157F">
              <w:rPr>
                <w:color w:val="000000"/>
                <w:shd w:val="solid" w:color="000000" w:fill="000000"/>
                <w14:textFill>
                  <w14:solidFill>
                    <w14:srgbClr w14:val="000000">
                      <w14:alpha w14:val="100000"/>
                    </w14:srgbClr>
                  </w14:solidFill>
                </w14:textFill>
              </w:rPr>
              <w:t>|</w:t>
            </w:r>
            <w:r w:rsidR="005C643F" w:rsidRPr="00D33C2C">
              <w:t>%</w:t>
            </w:r>
          </w:p>
        </w:tc>
      </w:tr>
      <w:tr w:rsidR="005C643F" w:rsidRPr="00D33C2C" w14:paraId="465B1F8E" w14:textId="77777777" w:rsidTr="007460E2">
        <w:trPr>
          <w:trHeight w:val="57"/>
        </w:trPr>
        <w:tc>
          <w:tcPr>
            <w:tcW w:w="2682" w:type="dxa"/>
            <w:shd w:val="clear" w:color="auto" w:fill="auto"/>
            <w:noWrap/>
            <w:vAlign w:val="center"/>
            <w:hideMark/>
          </w:tcPr>
          <w:p w14:paraId="222FC4F8" w14:textId="77777777" w:rsidR="005C643F" w:rsidRPr="00D33C2C" w:rsidRDefault="005C643F" w:rsidP="003535F7">
            <w:pPr>
              <w:pStyle w:val="Tabletext"/>
              <w:keepNext/>
              <w:keepLines/>
            </w:pPr>
            <w:r w:rsidRPr="00D33C2C">
              <w:t>PEBD</w:t>
            </w:r>
          </w:p>
        </w:tc>
        <w:tc>
          <w:tcPr>
            <w:tcW w:w="999" w:type="dxa"/>
            <w:shd w:val="clear" w:color="auto" w:fill="auto"/>
            <w:noWrap/>
            <w:hideMark/>
          </w:tcPr>
          <w:p w14:paraId="1DA41611" w14:textId="77777777" w:rsidR="005C643F" w:rsidRPr="00D33C2C" w:rsidRDefault="005C643F" w:rsidP="003535F7">
            <w:pPr>
              <w:pStyle w:val="Tabletext"/>
              <w:keepNext/>
              <w:keepLines/>
              <w:jc w:val="center"/>
            </w:pPr>
            <w:r w:rsidRPr="00D33C2C">
              <w:t>$45,679</w:t>
            </w:r>
          </w:p>
        </w:tc>
        <w:tc>
          <w:tcPr>
            <w:tcW w:w="1267" w:type="dxa"/>
            <w:shd w:val="clear" w:color="auto" w:fill="auto"/>
            <w:noWrap/>
            <w:hideMark/>
          </w:tcPr>
          <w:p w14:paraId="3AEF57F4" w14:textId="77777777" w:rsidR="005C643F" w:rsidRPr="00D33C2C" w:rsidRDefault="005C643F" w:rsidP="003535F7">
            <w:pPr>
              <w:pStyle w:val="Tabletext"/>
              <w:keepNext/>
              <w:keepLines/>
              <w:jc w:val="center"/>
            </w:pPr>
            <w:r w:rsidRPr="00D33C2C">
              <w:t>$0</w:t>
            </w:r>
          </w:p>
        </w:tc>
        <w:tc>
          <w:tcPr>
            <w:tcW w:w="1201" w:type="dxa"/>
            <w:shd w:val="clear" w:color="auto" w:fill="auto"/>
            <w:noWrap/>
            <w:hideMark/>
          </w:tcPr>
          <w:p w14:paraId="0B0DF3F3" w14:textId="77777777" w:rsidR="005C643F" w:rsidRPr="00D33C2C" w:rsidRDefault="005C643F" w:rsidP="003535F7">
            <w:pPr>
              <w:pStyle w:val="Tabletext"/>
              <w:keepNext/>
              <w:keepLines/>
              <w:jc w:val="center"/>
            </w:pPr>
            <w:r w:rsidRPr="00D33C2C">
              <w:t>-$45,679</w:t>
            </w:r>
          </w:p>
        </w:tc>
        <w:tc>
          <w:tcPr>
            <w:tcW w:w="1278" w:type="dxa"/>
            <w:shd w:val="clear" w:color="auto" w:fill="auto"/>
            <w:noWrap/>
            <w:hideMark/>
          </w:tcPr>
          <w:p w14:paraId="31546F9E" w14:textId="77777777" w:rsidR="005C643F" w:rsidRPr="00D33C2C" w:rsidRDefault="005C643F" w:rsidP="003535F7">
            <w:pPr>
              <w:pStyle w:val="Tabletext"/>
              <w:keepNext/>
              <w:keepLines/>
              <w:jc w:val="center"/>
            </w:pPr>
            <w:r w:rsidRPr="00D33C2C">
              <w:t>$45,679</w:t>
            </w:r>
          </w:p>
        </w:tc>
        <w:tc>
          <w:tcPr>
            <w:tcW w:w="1590" w:type="dxa"/>
            <w:shd w:val="clear" w:color="auto" w:fill="auto"/>
            <w:noWrap/>
            <w:hideMark/>
          </w:tcPr>
          <w:p w14:paraId="0F4ADF09" w14:textId="032325FA" w:rsidR="005C643F" w:rsidRPr="00D33C2C" w:rsidRDefault="0066157F" w:rsidP="003535F7">
            <w:pPr>
              <w:pStyle w:val="Tabletext"/>
              <w:keepNext/>
              <w:keepLines/>
              <w:jc w:val="center"/>
            </w:pPr>
            <w:r w:rsidRPr="0066157F">
              <w:rPr>
                <w:color w:val="000000"/>
                <w:shd w:val="solid" w:color="000000" w:fill="000000"/>
                <w14:textFill>
                  <w14:solidFill>
                    <w14:srgbClr w14:val="000000">
                      <w14:alpha w14:val="100000"/>
                    </w14:srgbClr>
                  </w14:solidFill>
                </w14:textFill>
              </w:rPr>
              <w:t>|</w:t>
            </w:r>
            <w:r w:rsidR="005C643F" w:rsidRPr="00D33C2C">
              <w:t>%</w:t>
            </w:r>
          </w:p>
        </w:tc>
      </w:tr>
      <w:tr w:rsidR="005C643F" w:rsidRPr="00D33C2C" w14:paraId="0F67BC11" w14:textId="77777777" w:rsidTr="007460E2">
        <w:trPr>
          <w:trHeight w:val="57"/>
        </w:trPr>
        <w:tc>
          <w:tcPr>
            <w:tcW w:w="2682" w:type="dxa"/>
            <w:shd w:val="clear" w:color="auto" w:fill="auto"/>
            <w:noWrap/>
            <w:vAlign w:val="center"/>
            <w:hideMark/>
          </w:tcPr>
          <w:p w14:paraId="30D668C6" w14:textId="77777777" w:rsidR="005C643F" w:rsidRPr="00D33C2C" w:rsidRDefault="005C643F" w:rsidP="003535F7">
            <w:pPr>
              <w:pStyle w:val="Tabletext"/>
              <w:keepNext/>
              <w:keepLines/>
            </w:pPr>
            <w:r w:rsidRPr="00D33C2C">
              <w:t>LT</w:t>
            </w:r>
          </w:p>
        </w:tc>
        <w:tc>
          <w:tcPr>
            <w:tcW w:w="999" w:type="dxa"/>
            <w:shd w:val="clear" w:color="auto" w:fill="auto"/>
            <w:noWrap/>
            <w:hideMark/>
          </w:tcPr>
          <w:p w14:paraId="2C7E33C5" w14:textId="77777777" w:rsidR="005C643F" w:rsidRPr="00D33C2C" w:rsidRDefault="005C643F" w:rsidP="003535F7">
            <w:pPr>
              <w:pStyle w:val="Tabletext"/>
              <w:keepNext/>
              <w:keepLines/>
              <w:jc w:val="center"/>
            </w:pPr>
            <w:r w:rsidRPr="00D33C2C">
              <w:t>$116,666</w:t>
            </w:r>
          </w:p>
        </w:tc>
        <w:tc>
          <w:tcPr>
            <w:tcW w:w="1267" w:type="dxa"/>
            <w:shd w:val="clear" w:color="auto" w:fill="auto"/>
            <w:noWrap/>
            <w:hideMark/>
          </w:tcPr>
          <w:p w14:paraId="0094DD1E" w14:textId="77777777" w:rsidR="005C643F" w:rsidRPr="00D33C2C" w:rsidRDefault="005C643F" w:rsidP="003535F7">
            <w:pPr>
              <w:pStyle w:val="Tabletext"/>
              <w:keepNext/>
              <w:keepLines/>
              <w:jc w:val="center"/>
            </w:pPr>
            <w:r w:rsidRPr="00D33C2C">
              <w:t>$56,468</w:t>
            </w:r>
          </w:p>
        </w:tc>
        <w:tc>
          <w:tcPr>
            <w:tcW w:w="1201" w:type="dxa"/>
            <w:shd w:val="clear" w:color="auto" w:fill="auto"/>
            <w:noWrap/>
            <w:hideMark/>
          </w:tcPr>
          <w:p w14:paraId="69F3857D" w14:textId="77777777" w:rsidR="005C643F" w:rsidRPr="00D33C2C" w:rsidRDefault="005C643F" w:rsidP="003535F7">
            <w:pPr>
              <w:pStyle w:val="Tabletext"/>
              <w:keepNext/>
              <w:keepLines/>
              <w:jc w:val="center"/>
            </w:pPr>
            <w:r w:rsidRPr="00D33C2C">
              <w:t>-$60,197</w:t>
            </w:r>
          </w:p>
        </w:tc>
        <w:tc>
          <w:tcPr>
            <w:tcW w:w="1278" w:type="dxa"/>
            <w:shd w:val="clear" w:color="auto" w:fill="auto"/>
            <w:noWrap/>
            <w:hideMark/>
          </w:tcPr>
          <w:p w14:paraId="3E54F217" w14:textId="77777777" w:rsidR="005C643F" w:rsidRPr="00D33C2C" w:rsidRDefault="005C643F" w:rsidP="003535F7">
            <w:pPr>
              <w:pStyle w:val="Tabletext"/>
              <w:keepNext/>
              <w:keepLines/>
              <w:jc w:val="center"/>
            </w:pPr>
            <w:r w:rsidRPr="00D33C2C">
              <w:t>$60,197</w:t>
            </w:r>
          </w:p>
        </w:tc>
        <w:tc>
          <w:tcPr>
            <w:tcW w:w="1590" w:type="dxa"/>
            <w:shd w:val="clear" w:color="auto" w:fill="auto"/>
            <w:noWrap/>
            <w:hideMark/>
          </w:tcPr>
          <w:p w14:paraId="5BD82DF3" w14:textId="43ED54B4" w:rsidR="005C643F" w:rsidRPr="00D33C2C" w:rsidRDefault="0066157F" w:rsidP="003535F7">
            <w:pPr>
              <w:pStyle w:val="Tabletext"/>
              <w:keepNext/>
              <w:keepLines/>
              <w:jc w:val="center"/>
            </w:pPr>
            <w:r w:rsidRPr="0066157F">
              <w:rPr>
                <w:color w:val="000000"/>
                <w:shd w:val="solid" w:color="000000" w:fill="000000"/>
                <w14:textFill>
                  <w14:solidFill>
                    <w14:srgbClr w14:val="000000">
                      <w14:alpha w14:val="100000"/>
                    </w14:srgbClr>
                  </w14:solidFill>
                </w14:textFill>
              </w:rPr>
              <w:t>|</w:t>
            </w:r>
            <w:r w:rsidR="005C643F" w:rsidRPr="00D33C2C">
              <w:t>%</w:t>
            </w:r>
          </w:p>
        </w:tc>
      </w:tr>
      <w:tr w:rsidR="005C643F" w:rsidRPr="00D33C2C" w14:paraId="0C364C43" w14:textId="77777777" w:rsidTr="007460E2">
        <w:trPr>
          <w:trHeight w:val="57"/>
        </w:trPr>
        <w:tc>
          <w:tcPr>
            <w:tcW w:w="2682" w:type="dxa"/>
            <w:shd w:val="clear" w:color="auto" w:fill="auto"/>
            <w:noWrap/>
            <w:vAlign w:val="center"/>
            <w:hideMark/>
          </w:tcPr>
          <w:p w14:paraId="19A68429" w14:textId="77777777" w:rsidR="005C643F" w:rsidRPr="00D33C2C" w:rsidRDefault="005C643F" w:rsidP="003535F7">
            <w:pPr>
              <w:pStyle w:val="Tabletext"/>
              <w:keepNext/>
              <w:keepLines/>
            </w:pPr>
            <w:r w:rsidRPr="00D33C2C">
              <w:t>Post-LT</w:t>
            </w:r>
          </w:p>
        </w:tc>
        <w:tc>
          <w:tcPr>
            <w:tcW w:w="999" w:type="dxa"/>
            <w:shd w:val="clear" w:color="auto" w:fill="auto"/>
            <w:noWrap/>
            <w:hideMark/>
          </w:tcPr>
          <w:p w14:paraId="2428E446" w14:textId="77777777" w:rsidR="005C643F" w:rsidRPr="00D33C2C" w:rsidRDefault="005C643F" w:rsidP="003535F7">
            <w:pPr>
              <w:pStyle w:val="Tabletext"/>
              <w:keepNext/>
              <w:keepLines/>
              <w:jc w:val="center"/>
            </w:pPr>
            <w:r w:rsidRPr="00D33C2C">
              <w:t>$5,823</w:t>
            </w:r>
          </w:p>
        </w:tc>
        <w:tc>
          <w:tcPr>
            <w:tcW w:w="1267" w:type="dxa"/>
            <w:shd w:val="clear" w:color="auto" w:fill="auto"/>
            <w:noWrap/>
            <w:hideMark/>
          </w:tcPr>
          <w:p w14:paraId="4FCA20EE" w14:textId="77777777" w:rsidR="005C643F" w:rsidRPr="00D33C2C" w:rsidRDefault="005C643F" w:rsidP="003535F7">
            <w:pPr>
              <w:pStyle w:val="Tabletext"/>
              <w:keepNext/>
              <w:keepLines/>
              <w:jc w:val="center"/>
            </w:pPr>
            <w:r w:rsidRPr="00D33C2C">
              <w:t>$2,818</w:t>
            </w:r>
          </w:p>
        </w:tc>
        <w:tc>
          <w:tcPr>
            <w:tcW w:w="1201" w:type="dxa"/>
            <w:shd w:val="clear" w:color="auto" w:fill="auto"/>
            <w:noWrap/>
            <w:hideMark/>
          </w:tcPr>
          <w:p w14:paraId="185E1997" w14:textId="77777777" w:rsidR="005C643F" w:rsidRPr="00D33C2C" w:rsidRDefault="005C643F" w:rsidP="003535F7">
            <w:pPr>
              <w:pStyle w:val="Tabletext"/>
              <w:keepNext/>
              <w:keepLines/>
              <w:jc w:val="center"/>
            </w:pPr>
            <w:r w:rsidRPr="00D33C2C">
              <w:t>-$3,005</w:t>
            </w:r>
          </w:p>
        </w:tc>
        <w:tc>
          <w:tcPr>
            <w:tcW w:w="1278" w:type="dxa"/>
            <w:shd w:val="clear" w:color="auto" w:fill="auto"/>
            <w:noWrap/>
            <w:hideMark/>
          </w:tcPr>
          <w:p w14:paraId="6D086223" w14:textId="77777777" w:rsidR="005C643F" w:rsidRPr="00D33C2C" w:rsidRDefault="005C643F" w:rsidP="003535F7">
            <w:pPr>
              <w:pStyle w:val="Tabletext"/>
              <w:keepNext/>
              <w:keepLines/>
              <w:jc w:val="center"/>
            </w:pPr>
            <w:r w:rsidRPr="00D33C2C">
              <w:t>$3,005</w:t>
            </w:r>
          </w:p>
        </w:tc>
        <w:tc>
          <w:tcPr>
            <w:tcW w:w="1590" w:type="dxa"/>
            <w:shd w:val="clear" w:color="auto" w:fill="auto"/>
            <w:noWrap/>
            <w:hideMark/>
          </w:tcPr>
          <w:p w14:paraId="75A9BFF7" w14:textId="6DD014E7" w:rsidR="005C643F" w:rsidRPr="00D33C2C" w:rsidRDefault="0066157F" w:rsidP="003535F7">
            <w:pPr>
              <w:pStyle w:val="Tabletext"/>
              <w:keepNext/>
              <w:keepLines/>
              <w:jc w:val="center"/>
            </w:pPr>
            <w:r w:rsidRPr="0066157F">
              <w:rPr>
                <w:color w:val="000000"/>
                <w:shd w:val="solid" w:color="000000" w:fill="000000"/>
                <w14:textFill>
                  <w14:solidFill>
                    <w14:srgbClr w14:val="000000">
                      <w14:alpha w14:val="100000"/>
                    </w14:srgbClr>
                  </w14:solidFill>
                </w14:textFill>
              </w:rPr>
              <w:t>|</w:t>
            </w:r>
            <w:r w:rsidR="005C643F" w:rsidRPr="00D33C2C">
              <w:t>%</w:t>
            </w:r>
          </w:p>
        </w:tc>
      </w:tr>
      <w:tr w:rsidR="005C643F" w:rsidRPr="00D33C2C" w14:paraId="7BF2A78A" w14:textId="77777777" w:rsidTr="007460E2">
        <w:trPr>
          <w:trHeight w:val="57"/>
        </w:trPr>
        <w:tc>
          <w:tcPr>
            <w:tcW w:w="2682" w:type="dxa"/>
            <w:shd w:val="clear" w:color="auto" w:fill="auto"/>
            <w:noWrap/>
            <w:vAlign w:val="center"/>
            <w:hideMark/>
          </w:tcPr>
          <w:p w14:paraId="1A185E9D" w14:textId="77777777" w:rsidR="005C643F" w:rsidRPr="00D33C2C" w:rsidRDefault="005C643F" w:rsidP="003535F7">
            <w:pPr>
              <w:pStyle w:val="Tabletext"/>
              <w:keepNext/>
              <w:keepLines/>
            </w:pPr>
            <w:r w:rsidRPr="00D33C2C">
              <w:t>Immunosuppression</w:t>
            </w:r>
          </w:p>
        </w:tc>
        <w:tc>
          <w:tcPr>
            <w:tcW w:w="999" w:type="dxa"/>
            <w:shd w:val="clear" w:color="auto" w:fill="auto"/>
            <w:noWrap/>
            <w:hideMark/>
          </w:tcPr>
          <w:p w14:paraId="33F27052" w14:textId="77777777" w:rsidR="005C643F" w:rsidRPr="00D33C2C" w:rsidRDefault="005C643F" w:rsidP="003535F7">
            <w:pPr>
              <w:pStyle w:val="Tabletext"/>
              <w:keepNext/>
              <w:keepLines/>
              <w:jc w:val="center"/>
            </w:pPr>
            <w:r w:rsidRPr="00D33C2C">
              <w:t>$15,435</w:t>
            </w:r>
          </w:p>
        </w:tc>
        <w:tc>
          <w:tcPr>
            <w:tcW w:w="1267" w:type="dxa"/>
            <w:shd w:val="clear" w:color="auto" w:fill="auto"/>
            <w:noWrap/>
            <w:hideMark/>
          </w:tcPr>
          <w:p w14:paraId="76CBD7F9" w14:textId="77777777" w:rsidR="005C643F" w:rsidRPr="00D33C2C" w:rsidRDefault="005C643F" w:rsidP="003535F7">
            <w:pPr>
              <w:pStyle w:val="Tabletext"/>
              <w:keepNext/>
              <w:keepLines/>
              <w:jc w:val="center"/>
            </w:pPr>
            <w:r w:rsidRPr="00D33C2C">
              <w:t>$7,757</w:t>
            </w:r>
          </w:p>
        </w:tc>
        <w:tc>
          <w:tcPr>
            <w:tcW w:w="1201" w:type="dxa"/>
            <w:shd w:val="clear" w:color="auto" w:fill="auto"/>
            <w:noWrap/>
            <w:hideMark/>
          </w:tcPr>
          <w:p w14:paraId="052951AA" w14:textId="77777777" w:rsidR="005C643F" w:rsidRPr="00D33C2C" w:rsidRDefault="005C643F" w:rsidP="003535F7">
            <w:pPr>
              <w:pStyle w:val="Tabletext"/>
              <w:keepNext/>
              <w:keepLines/>
              <w:jc w:val="center"/>
            </w:pPr>
            <w:r w:rsidRPr="00D33C2C">
              <w:t>-$7,679</w:t>
            </w:r>
          </w:p>
        </w:tc>
        <w:tc>
          <w:tcPr>
            <w:tcW w:w="1278" w:type="dxa"/>
            <w:shd w:val="clear" w:color="auto" w:fill="auto"/>
            <w:noWrap/>
            <w:hideMark/>
          </w:tcPr>
          <w:p w14:paraId="1D2E90F2" w14:textId="77777777" w:rsidR="005C643F" w:rsidRPr="00D33C2C" w:rsidRDefault="005C643F" w:rsidP="003535F7">
            <w:pPr>
              <w:pStyle w:val="Tabletext"/>
              <w:keepNext/>
              <w:keepLines/>
              <w:jc w:val="center"/>
            </w:pPr>
            <w:r w:rsidRPr="00D33C2C">
              <w:t>$7,679</w:t>
            </w:r>
          </w:p>
        </w:tc>
        <w:tc>
          <w:tcPr>
            <w:tcW w:w="1590" w:type="dxa"/>
            <w:shd w:val="clear" w:color="auto" w:fill="auto"/>
            <w:noWrap/>
            <w:hideMark/>
          </w:tcPr>
          <w:p w14:paraId="1E7B5182" w14:textId="0EB08195" w:rsidR="005C643F" w:rsidRPr="00D33C2C" w:rsidRDefault="0066157F" w:rsidP="003535F7">
            <w:pPr>
              <w:pStyle w:val="Tabletext"/>
              <w:keepNext/>
              <w:keepLines/>
              <w:jc w:val="center"/>
            </w:pPr>
            <w:r w:rsidRPr="0066157F">
              <w:rPr>
                <w:color w:val="000000"/>
                <w:shd w:val="solid" w:color="000000" w:fill="000000"/>
                <w14:textFill>
                  <w14:solidFill>
                    <w14:srgbClr w14:val="000000">
                      <w14:alpha w14:val="100000"/>
                    </w14:srgbClr>
                  </w14:solidFill>
                </w14:textFill>
              </w:rPr>
              <w:t>|</w:t>
            </w:r>
            <w:r w:rsidR="005C643F" w:rsidRPr="00D33C2C">
              <w:t>%</w:t>
            </w:r>
          </w:p>
        </w:tc>
      </w:tr>
      <w:tr w:rsidR="005C643F" w:rsidRPr="00D33C2C" w14:paraId="2301359B" w14:textId="77777777" w:rsidTr="007460E2">
        <w:trPr>
          <w:trHeight w:val="57"/>
        </w:trPr>
        <w:tc>
          <w:tcPr>
            <w:tcW w:w="2682" w:type="dxa"/>
            <w:shd w:val="clear" w:color="auto" w:fill="auto"/>
            <w:noWrap/>
            <w:vAlign w:val="center"/>
            <w:hideMark/>
          </w:tcPr>
          <w:p w14:paraId="271245A1" w14:textId="77777777" w:rsidR="005C643F" w:rsidRPr="00D33C2C" w:rsidRDefault="005C643F" w:rsidP="003535F7">
            <w:pPr>
              <w:pStyle w:val="Tabletext"/>
              <w:keepNext/>
              <w:keepLines/>
            </w:pPr>
            <w:r w:rsidRPr="00D33C2C">
              <w:t>Adverse events</w:t>
            </w:r>
          </w:p>
        </w:tc>
        <w:tc>
          <w:tcPr>
            <w:tcW w:w="999" w:type="dxa"/>
            <w:shd w:val="clear" w:color="auto" w:fill="auto"/>
            <w:noWrap/>
            <w:hideMark/>
          </w:tcPr>
          <w:p w14:paraId="03060BEE" w14:textId="77777777" w:rsidR="005C643F" w:rsidRPr="00D33C2C" w:rsidRDefault="005C643F" w:rsidP="003535F7">
            <w:pPr>
              <w:pStyle w:val="Tabletext"/>
              <w:keepNext/>
              <w:keepLines/>
              <w:jc w:val="center"/>
            </w:pPr>
            <w:r w:rsidRPr="00D33C2C">
              <w:t>$0</w:t>
            </w:r>
          </w:p>
        </w:tc>
        <w:tc>
          <w:tcPr>
            <w:tcW w:w="1267" w:type="dxa"/>
            <w:shd w:val="clear" w:color="auto" w:fill="auto"/>
            <w:noWrap/>
            <w:hideMark/>
          </w:tcPr>
          <w:p w14:paraId="1A046628" w14:textId="77777777" w:rsidR="005C643F" w:rsidRPr="00D33C2C" w:rsidRDefault="005C643F" w:rsidP="003535F7">
            <w:pPr>
              <w:pStyle w:val="Tabletext"/>
              <w:keepNext/>
              <w:keepLines/>
              <w:jc w:val="center"/>
            </w:pPr>
            <w:r w:rsidRPr="00D33C2C">
              <w:t>$2,073</w:t>
            </w:r>
          </w:p>
        </w:tc>
        <w:tc>
          <w:tcPr>
            <w:tcW w:w="1201" w:type="dxa"/>
            <w:shd w:val="clear" w:color="auto" w:fill="auto"/>
            <w:noWrap/>
            <w:hideMark/>
          </w:tcPr>
          <w:p w14:paraId="35CFC4F5" w14:textId="77777777" w:rsidR="005C643F" w:rsidRPr="00D33C2C" w:rsidRDefault="005C643F" w:rsidP="003535F7">
            <w:pPr>
              <w:pStyle w:val="Tabletext"/>
              <w:keepNext/>
              <w:keepLines/>
              <w:jc w:val="center"/>
            </w:pPr>
            <w:r w:rsidRPr="00D33C2C">
              <w:t>$2,073</w:t>
            </w:r>
          </w:p>
        </w:tc>
        <w:tc>
          <w:tcPr>
            <w:tcW w:w="1278" w:type="dxa"/>
            <w:shd w:val="clear" w:color="auto" w:fill="auto"/>
            <w:noWrap/>
            <w:hideMark/>
          </w:tcPr>
          <w:p w14:paraId="7EC3ACDD" w14:textId="77777777" w:rsidR="005C643F" w:rsidRPr="00D33C2C" w:rsidRDefault="005C643F" w:rsidP="003535F7">
            <w:pPr>
              <w:pStyle w:val="Tabletext"/>
              <w:keepNext/>
              <w:keepLines/>
              <w:jc w:val="center"/>
            </w:pPr>
            <w:r w:rsidRPr="00D33C2C">
              <w:t>$2,073</w:t>
            </w:r>
          </w:p>
        </w:tc>
        <w:tc>
          <w:tcPr>
            <w:tcW w:w="1590" w:type="dxa"/>
            <w:shd w:val="clear" w:color="auto" w:fill="auto"/>
            <w:noWrap/>
            <w:hideMark/>
          </w:tcPr>
          <w:p w14:paraId="33CB8D87" w14:textId="67A89D62" w:rsidR="005C643F" w:rsidRPr="00D33C2C" w:rsidRDefault="0066157F" w:rsidP="003535F7">
            <w:pPr>
              <w:pStyle w:val="Tabletext"/>
              <w:keepNext/>
              <w:keepLines/>
              <w:jc w:val="center"/>
            </w:pPr>
            <w:r w:rsidRPr="0066157F">
              <w:rPr>
                <w:color w:val="000000"/>
                <w:shd w:val="solid" w:color="000000" w:fill="000000"/>
                <w14:textFill>
                  <w14:solidFill>
                    <w14:srgbClr w14:val="000000">
                      <w14:alpha w14:val="100000"/>
                    </w14:srgbClr>
                  </w14:solidFill>
                </w14:textFill>
              </w:rPr>
              <w:t>|</w:t>
            </w:r>
            <w:r w:rsidR="005C643F" w:rsidRPr="00D33C2C">
              <w:t>%</w:t>
            </w:r>
          </w:p>
        </w:tc>
      </w:tr>
      <w:tr w:rsidR="005C643F" w:rsidRPr="00D33C2C" w14:paraId="3BD96308" w14:textId="77777777" w:rsidTr="007460E2">
        <w:trPr>
          <w:trHeight w:val="57"/>
        </w:trPr>
        <w:tc>
          <w:tcPr>
            <w:tcW w:w="2682" w:type="dxa"/>
            <w:shd w:val="clear" w:color="auto" w:fill="auto"/>
            <w:noWrap/>
            <w:vAlign w:val="center"/>
            <w:hideMark/>
          </w:tcPr>
          <w:p w14:paraId="007252AE" w14:textId="77777777" w:rsidR="005C643F" w:rsidRPr="00D33C2C" w:rsidRDefault="005C643F" w:rsidP="003535F7">
            <w:pPr>
              <w:pStyle w:val="Tabletext"/>
              <w:keepNext/>
              <w:keepLines/>
            </w:pPr>
            <w:r w:rsidRPr="00D33C2C">
              <w:t>Death</w:t>
            </w:r>
          </w:p>
        </w:tc>
        <w:tc>
          <w:tcPr>
            <w:tcW w:w="999" w:type="dxa"/>
            <w:shd w:val="clear" w:color="auto" w:fill="auto"/>
            <w:noWrap/>
            <w:hideMark/>
          </w:tcPr>
          <w:p w14:paraId="3CDA88BF" w14:textId="77777777" w:rsidR="005C643F" w:rsidRPr="00D33C2C" w:rsidRDefault="005C643F" w:rsidP="003535F7">
            <w:pPr>
              <w:pStyle w:val="Tabletext"/>
              <w:keepNext/>
              <w:keepLines/>
              <w:jc w:val="center"/>
            </w:pPr>
            <w:r w:rsidRPr="00D33C2C">
              <w:t>$0</w:t>
            </w:r>
          </w:p>
        </w:tc>
        <w:tc>
          <w:tcPr>
            <w:tcW w:w="1267" w:type="dxa"/>
            <w:shd w:val="clear" w:color="auto" w:fill="auto"/>
            <w:noWrap/>
            <w:hideMark/>
          </w:tcPr>
          <w:p w14:paraId="26BCCF52" w14:textId="77777777" w:rsidR="005C643F" w:rsidRPr="00D33C2C" w:rsidRDefault="005C643F" w:rsidP="003535F7">
            <w:pPr>
              <w:pStyle w:val="Tabletext"/>
              <w:keepNext/>
              <w:keepLines/>
              <w:jc w:val="center"/>
            </w:pPr>
            <w:r w:rsidRPr="00D33C2C">
              <w:t>$0</w:t>
            </w:r>
          </w:p>
        </w:tc>
        <w:tc>
          <w:tcPr>
            <w:tcW w:w="1201" w:type="dxa"/>
            <w:shd w:val="clear" w:color="auto" w:fill="auto"/>
            <w:noWrap/>
            <w:hideMark/>
          </w:tcPr>
          <w:p w14:paraId="346A4A1E" w14:textId="77777777" w:rsidR="005C643F" w:rsidRPr="00D33C2C" w:rsidRDefault="005C643F" w:rsidP="003535F7">
            <w:pPr>
              <w:pStyle w:val="Tabletext"/>
              <w:keepNext/>
              <w:keepLines/>
              <w:jc w:val="center"/>
            </w:pPr>
            <w:r w:rsidRPr="00D33C2C">
              <w:t>$0</w:t>
            </w:r>
          </w:p>
        </w:tc>
        <w:tc>
          <w:tcPr>
            <w:tcW w:w="1278" w:type="dxa"/>
            <w:shd w:val="clear" w:color="auto" w:fill="auto"/>
            <w:noWrap/>
            <w:hideMark/>
          </w:tcPr>
          <w:p w14:paraId="6CAA25C1" w14:textId="77777777" w:rsidR="005C643F" w:rsidRPr="00D33C2C" w:rsidRDefault="005C643F" w:rsidP="003535F7">
            <w:pPr>
              <w:pStyle w:val="Tabletext"/>
              <w:keepNext/>
              <w:keepLines/>
              <w:jc w:val="center"/>
            </w:pPr>
            <w:r w:rsidRPr="00D33C2C">
              <w:t>$0</w:t>
            </w:r>
          </w:p>
        </w:tc>
        <w:tc>
          <w:tcPr>
            <w:tcW w:w="1590" w:type="dxa"/>
            <w:shd w:val="clear" w:color="auto" w:fill="auto"/>
            <w:noWrap/>
            <w:hideMark/>
          </w:tcPr>
          <w:p w14:paraId="56775A8B" w14:textId="77777777" w:rsidR="005C643F" w:rsidRPr="00D33C2C" w:rsidRDefault="005C643F" w:rsidP="003535F7">
            <w:pPr>
              <w:pStyle w:val="Tabletext"/>
              <w:keepNext/>
              <w:keepLines/>
              <w:jc w:val="center"/>
            </w:pPr>
            <w:r w:rsidRPr="00D33C2C">
              <w:t>0.0%</w:t>
            </w:r>
          </w:p>
        </w:tc>
      </w:tr>
      <w:tr w:rsidR="005C643F" w:rsidRPr="00D33C2C" w14:paraId="03C162E9" w14:textId="77777777" w:rsidTr="007460E2">
        <w:trPr>
          <w:trHeight w:val="57"/>
        </w:trPr>
        <w:tc>
          <w:tcPr>
            <w:tcW w:w="2682" w:type="dxa"/>
            <w:shd w:val="clear" w:color="auto" w:fill="auto"/>
            <w:noWrap/>
            <w:vAlign w:val="center"/>
            <w:hideMark/>
          </w:tcPr>
          <w:p w14:paraId="4FFF3B3B" w14:textId="77777777" w:rsidR="005C643F" w:rsidRPr="00D33C2C" w:rsidRDefault="005C643F" w:rsidP="003535F7">
            <w:pPr>
              <w:pStyle w:val="Tabletext"/>
              <w:keepNext/>
              <w:keepLines/>
            </w:pPr>
            <w:r w:rsidRPr="00D33C2C">
              <w:t>Total</w:t>
            </w:r>
          </w:p>
        </w:tc>
        <w:tc>
          <w:tcPr>
            <w:tcW w:w="999" w:type="dxa"/>
            <w:shd w:val="clear" w:color="auto" w:fill="auto"/>
            <w:noWrap/>
            <w:hideMark/>
          </w:tcPr>
          <w:p w14:paraId="0D902FC9" w14:textId="77777777" w:rsidR="005C643F" w:rsidRPr="00D33C2C" w:rsidRDefault="005C643F" w:rsidP="003535F7">
            <w:pPr>
              <w:pStyle w:val="Tabletext"/>
              <w:keepNext/>
              <w:keepLines/>
              <w:jc w:val="center"/>
            </w:pPr>
            <w:r w:rsidRPr="00D33C2C">
              <w:t>$219,662</w:t>
            </w:r>
          </w:p>
        </w:tc>
        <w:tc>
          <w:tcPr>
            <w:tcW w:w="1267" w:type="dxa"/>
            <w:shd w:val="clear" w:color="auto" w:fill="auto"/>
            <w:noWrap/>
            <w:hideMark/>
          </w:tcPr>
          <w:p w14:paraId="6F85F454" w14:textId="42FDCDD7" w:rsidR="005C643F" w:rsidRPr="00D33C2C" w:rsidRDefault="005C643F" w:rsidP="003535F7">
            <w:pPr>
              <w:pStyle w:val="Tabletext"/>
              <w:keepNext/>
              <w:keepLines/>
              <w:jc w:val="center"/>
            </w:pPr>
            <w:r w:rsidRPr="00D33C2C">
              <w:t>$</w:t>
            </w:r>
            <w:r w:rsidR="0066157F" w:rsidRPr="0066157F">
              <w:rPr>
                <w:rFonts w:hint="eastAsia"/>
                <w:color w:val="000000"/>
                <w:w w:val="15"/>
                <w:shd w:val="solid" w:color="000000" w:fill="000000"/>
                <w:fitText w:val="70" w:id="-894208511"/>
                <w14:textFill>
                  <w14:solidFill>
                    <w14:srgbClr w14:val="000000">
                      <w14:alpha w14:val="100000"/>
                    </w14:srgbClr>
                  </w14:solidFill>
                </w14:textFill>
              </w:rPr>
              <w:t xml:space="preserve">　</w:t>
            </w:r>
            <w:r w:rsidR="0066157F" w:rsidRPr="0066157F">
              <w:rPr>
                <w:color w:val="000000"/>
                <w:w w:val="15"/>
                <w:shd w:val="solid" w:color="000000" w:fill="000000"/>
                <w:fitText w:val="70" w:id="-894208511"/>
                <w14:textFill>
                  <w14:solidFill>
                    <w14:srgbClr w14:val="000000">
                      <w14:alpha w14:val="100000"/>
                    </w14:srgbClr>
                  </w14:solidFill>
                </w14:textFill>
              </w:rPr>
              <w:t>|</w:t>
            </w:r>
            <w:r w:rsidR="0066157F" w:rsidRPr="0066157F">
              <w:rPr>
                <w:rFonts w:hint="eastAsia"/>
                <w:color w:val="000000"/>
                <w:spacing w:val="4"/>
                <w:w w:val="15"/>
                <w:shd w:val="solid" w:color="000000" w:fill="000000"/>
                <w:fitText w:val="70" w:id="-894208511"/>
                <w14:textFill>
                  <w14:solidFill>
                    <w14:srgbClr w14:val="000000">
                      <w14:alpha w14:val="100000"/>
                    </w14:srgbClr>
                  </w14:solidFill>
                </w14:textFill>
              </w:rPr>
              <w:t xml:space="preserve">　</w:t>
            </w:r>
          </w:p>
        </w:tc>
        <w:tc>
          <w:tcPr>
            <w:tcW w:w="1201" w:type="dxa"/>
            <w:shd w:val="clear" w:color="auto" w:fill="auto"/>
            <w:noWrap/>
            <w:hideMark/>
          </w:tcPr>
          <w:p w14:paraId="00FB3135" w14:textId="77777777" w:rsidR="005C643F" w:rsidRPr="00D33C2C" w:rsidRDefault="005C643F" w:rsidP="003535F7">
            <w:pPr>
              <w:pStyle w:val="Tabletext"/>
              <w:keepNext/>
              <w:keepLines/>
              <w:jc w:val="center"/>
            </w:pPr>
            <w:r w:rsidRPr="00D33C2C">
              <w:t>-</w:t>
            </w:r>
          </w:p>
        </w:tc>
        <w:tc>
          <w:tcPr>
            <w:tcW w:w="1278" w:type="dxa"/>
            <w:shd w:val="clear" w:color="auto" w:fill="auto"/>
            <w:noWrap/>
            <w:hideMark/>
          </w:tcPr>
          <w:p w14:paraId="3F9B66F1" w14:textId="40F73E0A" w:rsidR="005C643F" w:rsidRPr="00D33C2C" w:rsidRDefault="005C643F" w:rsidP="003535F7">
            <w:pPr>
              <w:pStyle w:val="Tabletext"/>
              <w:keepNext/>
              <w:keepLines/>
              <w:jc w:val="center"/>
            </w:pPr>
            <w:r w:rsidRPr="00D33C2C">
              <w:t>$</w:t>
            </w:r>
            <w:r w:rsidR="0066157F" w:rsidRPr="0066157F">
              <w:rPr>
                <w:rFonts w:hint="eastAsia"/>
                <w:color w:val="000000"/>
                <w:w w:val="15"/>
                <w:shd w:val="solid" w:color="000000" w:fill="000000"/>
                <w:fitText w:val="60" w:id="-894208510"/>
                <w14:textFill>
                  <w14:solidFill>
                    <w14:srgbClr w14:val="000000">
                      <w14:alpha w14:val="100000"/>
                    </w14:srgbClr>
                  </w14:solidFill>
                </w14:textFill>
              </w:rPr>
              <w:t xml:space="preserve">　</w:t>
            </w:r>
            <w:r w:rsidR="0066157F" w:rsidRPr="0066157F">
              <w:rPr>
                <w:color w:val="000000"/>
                <w:w w:val="15"/>
                <w:shd w:val="solid" w:color="000000" w:fill="000000"/>
                <w:fitText w:val="60" w:id="-894208510"/>
                <w14:textFill>
                  <w14:solidFill>
                    <w14:srgbClr w14:val="000000">
                      <w14:alpha w14:val="100000"/>
                    </w14:srgbClr>
                  </w14:solidFill>
                </w14:textFill>
              </w:rPr>
              <w:t>|</w:t>
            </w:r>
            <w:r w:rsidR="0066157F" w:rsidRPr="0066157F">
              <w:rPr>
                <w:rFonts w:hint="eastAsia"/>
                <w:color w:val="000000"/>
                <w:spacing w:val="-5"/>
                <w:w w:val="15"/>
                <w:shd w:val="solid" w:color="000000" w:fill="000000"/>
                <w:fitText w:val="60" w:id="-894208510"/>
                <w14:textFill>
                  <w14:solidFill>
                    <w14:srgbClr w14:val="000000">
                      <w14:alpha w14:val="100000"/>
                    </w14:srgbClr>
                  </w14:solidFill>
                </w14:textFill>
              </w:rPr>
              <w:t xml:space="preserve">　</w:t>
            </w:r>
          </w:p>
        </w:tc>
        <w:tc>
          <w:tcPr>
            <w:tcW w:w="1590" w:type="dxa"/>
            <w:shd w:val="clear" w:color="auto" w:fill="auto"/>
            <w:noWrap/>
            <w:hideMark/>
          </w:tcPr>
          <w:p w14:paraId="47C8F73B" w14:textId="77777777" w:rsidR="005C643F" w:rsidRPr="00D33C2C" w:rsidRDefault="005C643F" w:rsidP="003535F7">
            <w:pPr>
              <w:pStyle w:val="Tabletext"/>
              <w:keepNext/>
              <w:keepLines/>
              <w:jc w:val="center"/>
            </w:pPr>
            <w:r w:rsidRPr="00D33C2C">
              <w:t>100.0%</w:t>
            </w:r>
          </w:p>
        </w:tc>
      </w:tr>
    </w:tbl>
    <w:p w14:paraId="2CFC3B45" w14:textId="77777777" w:rsidR="005C643F" w:rsidRPr="00D33C2C" w:rsidRDefault="005C643F" w:rsidP="003535F7">
      <w:pPr>
        <w:pStyle w:val="TableFigureFooter"/>
        <w:keepNext/>
        <w:keepLines/>
      </w:pPr>
      <w:r w:rsidRPr="00D33C2C">
        <w:t>Source: Tables 3-58 and 3-59, p169 of the submission</w:t>
      </w:r>
    </w:p>
    <w:p w14:paraId="5D069F6B" w14:textId="77777777" w:rsidR="00E44BE9" w:rsidRDefault="00DE7B08" w:rsidP="00DE7B08">
      <w:pPr>
        <w:pStyle w:val="TableFigureFooter"/>
        <w:keepNext/>
        <w:keepLines/>
      </w:pPr>
      <w:r w:rsidRPr="00D33C2C">
        <w:t>LT = liver transplant</w:t>
      </w:r>
      <w:r>
        <w:t xml:space="preserve">; </w:t>
      </w:r>
      <w:r w:rsidR="0036580A">
        <w:t xml:space="preserve">LYG = life years gained; </w:t>
      </w:r>
      <w:r w:rsidRPr="00D33C2C">
        <w:t xml:space="preserve">PEBD = </w:t>
      </w:r>
      <w:r>
        <w:t>p</w:t>
      </w:r>
      <w:r w:rsidRPr="00D33C2C">
        <w:t>artial external biliary diversion;</w:t>
      </w:r>
      <w:r>
        <w:t xml:space="preserve"> </w:t>
      </w:r>
      <w:r w:rsidR="005C643F" w:rsidRPr="00D33C2C">
        <w:t>QALY = quality adjusted life year; SOC = standard of care</w:t>
      </w:r>
      <w:r w:rsidR="00E44BE9">
        <w:t>.</w:t>
      </w:r>
      <w:r w:rsidR="005C643F" w:rsidRPr="00D33C2C">
        <w:t xml:space="preserve"> </w:t>
      </w:r>
    </w:p>
    <w:p w14:paraId="69FAAA1B" w14:textId="6C60F8D5" w:rsidR="004830CD" w:rsidRPr="00446A51" w:rsidRDefault="004830CD" w:rsidP="00DE7B08">
      <w:pPr>
        <w:pStyle w:val="TableFigureFooter"/>
        <w:keepNext/>
        <w:keepLines/>
      </w:pPr>
      <w:r w:rsidRPr="00D33C2C">
        <w:t>The disaggregated results indicated that the primary driver of benefits was odevixibat patients occupying the ‘no PEBD, response’ health state (</w:t>
      </w:r>
      <w:r w:rsidR="00896E04">
        <w:t xml:space="preserve">see </w:t>
      </w:r>
      <w:r w:rsidR="00896E04">
        <w:fldChar w:fldCharType="begin"/>
      </w:r>
      <w:r w:rsidR="00896E04">
        <w:instrText xml:space="preserve"> REF _Ref164687977 \h </w:instrText>
      </w:r>
      <w:r w:rsidR="00896E04">
        <w:fldChar w:fldCharType="separate"/>
      </w:r>
      <w:r w:rsidR="008B4717" w:rsidRPr="00D33C2C">
        <w:t xml:space="preserve">Table </w:t>
      </w:r>
      <w:r w:rsidR="008B4717">
        <w:rPr>
          <w:noProof/>
        </w:rPr>
        <w:t>18</w:t>
      </w:r>
      <w:r w:rsidR="00896E04">
        <w:fldChar w:fldCharType="end"/>
      </w:r>
      <w:r w:rsidR="00896E04">
        <w:t xml:space="preserve"> above)</w:t>
      </w:r>
      <w:r w:rsidRPr="00D33C2C">
        <w:t xml:space="preserve">. </w:t>
      </w:r>
      <w:r w:rsidRPr="00446A51">
        <w:t xml:space="preserve">Due to discounting, while the incremental </w:t>
      </w:r>
      <w:r w:rsidR="00B2182E" w:rsidRPr="00446A51">
        <w:t>life-year gain (</w:t>
      </w:r>
      <w:r w:rsidRPr="00446A51">
        <w:t>LYG</w:t>
      </w:r>
      <w:r w:rsidR="00B2182E" w:rsidRPr="00446A51">
        <w:t>)</w:t>
      </w:r>
      <w:r w:rsidRPr="00446A51">
        <w:t xml:space="preserve"> in the ‘no PEBD, no response’ health state was of a similar magnitude </w:t>
      </w:r>
      <w:r w:rsidR="007F7D3A" w:rsidRPr="00446A51">
        <w:t xml:space="preserve">to the ‘no PEBD, response’ state </w:t>
      </w:r>
      <w:r w:rsidRPr="00446A51">
        <w:t xml:space="preserve">(incremental 16.42 </w:t>
      </w:r>
      <w:r w:rsidR="005869D0" w:rsidRPr="00446A51">
        <w:t xml:space="preserve">and 16.15 </w:t>
      </w:r>
      <w:r w:rsidRPr="00446A51">
        <w:t>LYG</w:t>
      </w:r>
      <w:r w:rsidR="007F7D3A" w:rsidRPr="00446A51">
        <w:t>, respectively</w:t>
      </w:r>
      <w:r w:rsidRPr="00446A51">
        <w:t>), the discounted incremental QALY</w:t>
      </w:r>
      <w:r w:rsidR="000C3DBE" w:rsidRPr="00446A51">
        <w:t>s</w:t>
      </w:r>
      <w:r w:rsidRPr="00446A51">
        <w:t xml:space="preserve"> in this health state (0.60) was substantially smaller</w:t>
      </w:r>
      <w:r w:rsidR="00530D99">
        <w:t xml:space="preserve"> than in the ‘no PEBD, response’s state (6.57)</w:t>
      </w:r>
      <w:r w:rsidR="00670500" w:rsidRPr="00446A51">
        <w:t>.</w:t>
      </w:r>
      <w:r w:rsidR="0030512D" w:rsidRPr="00446A51">
        <w:t xml:space="preserve"> This was due to patients in the ‘no PEBD, no response’ state occupying this state over a longer and later portion of the time horizon.</w:t>
      </w:r>
    </w:p>
    <w:p w14:paraId="39A4F82B" w14:textId="3B87F462" w:rsidR="004830CD" w:rsidRPr="00D12904" w:rsidRDefault="004830CD" w:rsidP="00E5561C">
      <w:pPr>
        <w:pStyle w:val="3-BodyText"/>
      </w:pPr>
      <w:r w:rsidRPr="00D33C2C">
        <w:t xml:space="preserve">The primary cost driver was the </w:t>
      </w:r>
      <w:r w:rsidR="00BC57FB" w:rsidRPr="00D33C2C">
        <w:t xml:space="preserve">odevixibat </w:t>
      </w:r>
      <w:r w:rsidRPr="00D33C2C">
        <w:t>drug acquisition costs (increment $</w:t>
      </w:r>
      <w:r w:rsidR="0066157F" w:rsidRPr="00341A2B">
        <w:rPr>
          <w:color w:val="000000"/>
          <w:w w:val="60"/>
          <w:shd w:val="solid" w:color="000000" w:fill="000000"/>
          <w:fitText w:val="470" w:id="-894208509"/>
          <w14:textFill>
            <w14:solidFill>
              <w14:srgbClr w14:val="000000">
                <w14:alpha w14:val="100000"/>
              </w14:srgbClr>
            </w14:solidFill>
          </w14:textFill>
        </w:rPr>
        <w:t>|||  ||</w:t>
      </w:r>
      <w:r w:rsidR="0066157F" w:rsidRPr="00341A2B">
        <w:rPr>
          <w:color w:val="000000"/>
          <w:spacing w:val="6"/>
          <w:w w:val="60"/>
          <w:shd w:val="solid" w:color="000000" w:fill="000000"/>
          <w:fitText w:val="470" w:id="-894208509"/>
          <w14:textFill>
            <w14:solidFill>
              <w14:srgbClr w14:val="000000">
                <w14:alpha w14:val="100000"/>
              </w14:srgbClr>
            </w14:solidFill>
          </w14:textFill>
        </w:rPr>
        <w:t>|</w:t>
      </w:r>
      <w:r w:rsidRPr="00D33C2C">
        <w:t xml:space="preserve">) which contributed to </w:t>
      </w:r>
      <w:r w:rsidR="0066157F" w:rsidRPr="008B4717">
        <w:rPr>
          <w:color w:val="000000"/>
          <w:w w:val="15"/>
          <w:shd w:val="solid" w:color="000000" w:fill="000000"/>
          <w:fitText w:val="-20" w:id="-894208508"/>
          <w14:textFill>
            <w14:solidFill>
              <w14:srgbClr w14:val="000000">
                <w14:alpha w14:val="100000"/>
              </w14:srgbClr>
            </w14:solidFill>
          </w14:textFill>
        </w:rPr>
        <w:t xml:space="preserve">|  </w:t>
      </w:r>
      <w:r w:rsidR="0066157F" w:rsidRPr="008B4717">
        <w:rPr>
          <w:color w:val="000000"/>
          <w:spacing w:val="-69"/>
          <w:w w:val="15"/>
          <w:shd w:val="solid" w:color="000000" w:fill="000000"/>
          <w:fitText w:val="-20" w:id="-894208508"/>
          <w14:textFill>
            <w14:solidFill>
              <w14:srgbClr w14:val="000000">
                <w14:alpha w14:val="100000"/>
              </w14:srgbClr>
            </w14:solidFill>
          </w14:textFill>
        </w:rPr>
        <w:t>|</w:t>
      </w:r>
      <w:r w:rsidRPr="00D33C2C">
        <w:t>% of total incremental costs compared to SOC. This was attributed to the additional time spent in the response health state and the substantial cost of odevixibat</w:t>
      </w:r>
      <w:r w:rsidR="00E2670D">
        <w:t>. I</w:t>
      </w:r>
      <w:r w:rsidRPr="00D33C2C">
        <w:t>n particular</w:t>
      </w:r>
      <w:r w:rsidR="000C3DBE">
        <w:t>,</w:t>
      </w:r>
      <w:r w:rsidRPr="00D33C2C">
        <w:t xml:space="preserve"> the proportion of patients assumed to be treated with high dose (</w:t>
      </w:r>
      <w:r w:rsidR="0086357B" w:rsidRPr="00D33C2C">
        <w:t>120</w:t>
      </w:r>
      <w:r w:rsidR="0086357B">
        <w:t> </w:t>
      </w:r>
      <w:r w:rsidRPr="00D33C2C">
        <w:t>mcg/kg</w:t>
      </w:r>
      <w:r w:rsidR="00B2182E">
        <w:t>/day</w:t>
      </w:r>
      <w:r w:rsidRPr="00D33C2C">
        <w:t xml:space="preserve">) odevixibat contributed over </w:t>
      </w:r>
      <w:r w:rsidR="00B03E80">
        <w:t xml:space="preserve">a third </w:t>
      </w:r>
      <w:r w:rsidRPr="00D33C2C">
        <w:t>of total costs</w:t>
      </w:r>
      <w:r w:rsidR="00BC57FB" w:rsidRPr="00D33C2C">
        <w:t xml:space="preserve">. </w:t>
      </w:r>
      <w:r w:rsidR="005869D0">
        <w:t xml:space="preserve">Assuming a flat cost for odevixibat regardless of dose (i.e., assumed the cost of the </w:t>
      </w:r>
      <w:r w:rsidR="0086357B">
        <w:t>120 </w:t>
      </w:r>
      <w:r w:rsidR="005869D0">
        <w:t xml:space="preserve">mcg/kg/day was equal to the </w:t>
      </w:r>
      <w:r w:rsidR="0086357B">
        <w:t>40 </w:t>
      </w:r>
      <w:r w:rsidR="005869D0">
        <w:t>mcg/kg/day) led to a 3</w:t>
      </w:r>
      <w:r w:rsidR="00AF7ACB">
        <w:t>6</w:t>
      </w:r>
      <w:r w:rsidR="005869D0">
        <w:t xml:space="preserve">% reduction in </w:t>
      </w:r>
      <w:r w:rsidR="00AF7ACB">
        <w:t>total odevixibat costs</w:t>
      </w:r>
      <w:r w:rsidR="00690C07">
        <w:t xml:space="preserve"> and </w:t>
      </w:r>
      <w:r w:rsidR="00CF6C2D" w:rsidRPr="00D12904">
        <w:t>38% reduction in the ICER</w:t>
      </w:r>
      <w:r w:rsidR="00AF7ACB" w:rsidRPr="00D12904">
        <w:t xml:space="preserve">. </w:t>
      </w:r>
      <w:r w:rsidR="008277EE" w:rsidRPr="00D12904">
        <w:t>A</w:t>
      </w:r>
      <w:r w:rsidR="008E6381" w:rsidRPr="00D12904">
        <w:t xml:space="preserve">ssuming no dose escalation (i.e., patients only received the </w:t>
      </w:r>
      <w:r w:rsidR="0086357B" w:rsidRPr="00D12904">
        <w:t>40</w:t>
      </w:r>
      <w:r w:rsidR="0086357B">
        <w:t> </w:t>
      </w:r>
      <w:r w:rsidR="008E6381" w:rsidRPr="00D12904">
        <w:t>mcg/kg/day dose) resulted in a 4</w:t>
      </w:r>
      <w:r w:rsidR="00AB109F">
        <w:t>7</w:t>
      </w:r>
      <w:r w:rsidR="008E6381" w:rsidRPr="00D12904">
        <w:t xml:space="preserve">% decrease in the ICER. The ESC noted that the differences in these changes to the ICER were due to differences in assumed clinical effectiveness. </w:t>
      </w:r>
    </w:p>
    <w:p w14:paraId="718F83AE" w14:textId="7756C05B" w:rsidR="00E5561C" w:rsidRPr="00D12904" w:rsidRDefault="00E5561C" w:rsidP="00E5561C">
      <w:pPr>
        <w:pStyle w:val="3-BodyText"/>
      </w:pPr>
      <w:r w:rsidRPr="00D12904">
        <w:t xml:space="preserve">The results of key univariate and multivariate sensitivity analyses are summarised in </w:t>
      </w:r>
      <w:r w:rsidRPr="00D12904">
        <w:fldChar w:fldCharType="begin"/>
      </w:r>
      <w:r w:rsidRPr="00D12904">
        <w:instrText xml:space="preserve"> REF _Ref164633117 \h </w:instrText>
      </w:r>
      <w:r w:rsidR="00D12904" w:rsidRPr="00D12904">
        <w:instrText xml:space="preserve"> \* MERGEFORMAT </w:instrText>
      </w:r>
      <w:r w:rsidRPr="00D12904">
        <w:fldChar w:fldCharType="separate"/>
      </w:r>
      <w:r w:rsidR="008B4717" w:rsidRPr="00D12904">
        <w:t xml:space="preserve">Table </w:t>
      </w:r>
      <w:r w:rsidR="008B4717">
        <w:rPr>
          <w:noProof/>
        </w:rPr>
        <w:t>19</w:t>
      </w:r>
      <w:r w:rsidRPr="00D12904">
        <w:fldChar w:fldCharType="end"/>
      </w:r>
      <w:r w:rsidRPr="00D12904">
        <w:t xml:space="preserve">. </w:t>
      </w:r>
    </w:p>
    <w:p w14:paraId="29BB931D" w14:textId="6F7F2DF6" w:rsidR="00E5561C" w:rsidRPr="00D12904" w:rsidRDefault="00E5561C" w:rsidP="00C106B7">
      <w:pPr>
        <w:pStyle w:val="TableFigureHeading"/>
        <w:keepLines/>
        <w:rPr>
          <w:rStyle w:val="CommentReference"/>
          <w:rFonts w:ascii="Calibri" w:hAnsi="Calibri"/>
          <w:b/>
          <w:sz w:val="18"/>
          <w:szCs w:val="18"/>
        </w:rPr>
      </w:pPr>
      <w:bookmarkStart w:id="97" w:name="_Ref164633117"/>
      <w:r w:rsidRPr="00D12904">
        <w:lastRenderedPageBreak/>
        <w:t xml:space="preserve">Table </w:t>
      </w:r>
      <w:r w:rsidR="00DF1200">
        <w:fldChar w:fldCharType="begin"/>
      </w:r>
      <w:r w:rsidR="00DF1200">
        <w:instrText xml:space="preserve"> SEQ Table \* ARABIC </w:instrText>
      </w:r>
      <w:r w:rsidR="00DF1200">
        <w:fldChar w:fldCharType="separate"/>
      </w:r>
      <w:r w:rsidR="008B4717">
        <w:rPr>
          <w:noProof/>
        </w:rPr>
        <w:t>19</w:t>
      </w:r>
      <w:r w:rsidR="00DF1200">
        <w:rPr>
          <w:noProof/>
        </w:rPr>
        <w:fldChar w:fldCharType="end"/>
      </w:r>
      <w:bookmarkEnd w:id="97"/>
      <w:r w:rsidRPr="00D12904">
        <w:rPr>
          <w:rStyle w:val="CommentReference"/>
          <w:b/>
          <w:szCs w:val="24"/>
        </w:rPr>
        <w:t>: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Caption w:val="Table 19: Sensitivity analyses"/>
      </w:tblPr>
      <w:tblGrid>
        <w:gridCol w:w="5098"/>
        <w:gridCol w:w="1134"/>
        <w:gridCol w:w="992"/>
        <w:gridCol w:w="1138"/>
        <w:gridCol w:w="655"/>
      </w:tblGrid>
      <w:tr w:rsidR="00E5561C" w:rsidRPr="00D12904" w14:paraId="34795C90" w14:textId="77777777" w:rsidTr="00C106B7">
        <w:trPr>
          <w:cantSplit/>
          <w:trHeight w:val="20"/>
          <w:tblHeader/>
        </w:trPr>
        <w:tc>
          <w:tcPr>
            <w:tcW w:w="2827" w:type="pct"/>
            <w:vAlign w:val="center"/>
          </w:tcPr>
          <w:p w14:paraId="1C077E67" w14:textId="77777777" w:rsidR="00E5561C" w:rsidRPr="00D12904" w:rsidRDefault="00E5561C" w:rsidP="00C106B7">
            <w:pPr>
              <w:pStyle w:val="Tabletext"/>
              <w:keepNext/>
              <w:keepLines/>
              <w:rPr>
                <w:b/>
                <w:bCs/>
              </w:rPr>
            </w:pPr>
            <w:r w:rsidRPr="00D12904">
              <w:rPr>
                <w:b/>
                <w:bCs/>
              </w:rPr>
              <w:t>Sensitivity analysis conducted by the submission</w:t>
            </w:r>
          </w:p>
        </w:tc>
        <w:tc>
          <w:tcPr>
            <w:tcW w:w="629" w:type="pct"/>
            <w:vAlign w:val="center"/>
          </w:tcPr>
          <w:p w14:paraId="6688F81A" w14:textId="77777777" w:rsidR="00E5561C" w:rsidRPr="00D12904" w:rsidRDefault="00E5561C" w:rsidP="00C106B7">
            <w:pPr>
              <w:pStyle w:val="Tabletext"/>
              <w:keepNext/>
              <w:keepLines/>
              <w:jc w:val="center"/>
              <w:rPr>
                <w:b/>
                <w:bCs/>
              </w:rPr>
            </w:pPr>
            <w:r w:rsidRPr="00D12904">
              <w:rPr>
                <w:b/>
                <w:bCs/>
              </w:rPr>
              <w:t>Inc cost</w:t>
            </w:r>
          </w:p>
        </w:tc>
        <w:tc>
          <w:tcPr>
            <w:tcW w:w="550" w:type="pct"/>
            <w:vAlign w:val="center"/>
          </w:tcPr>
          <w:p w14:paraId="2FA2F09D" w14:textId="77777777" w:rsidR="00E5561C" w:rsidRPr="00D12904" w:rsidRDefault="00E5561C" w:rsidP="00C106B7">
            <w:pPr>
              <w:pStyle w:val="Tabletext"/>
              <w:keepNext/>
              <w:keepLines/>
              <w:jc w:val="center"/>
              <w:rPr>
                <w:b/>
                <w:bCs/>
              </w:rPr>
            </w:pPr>
            <w:r w:rsidRPr="00D12904">
              <w:rPr>
                <w:b/>
                <w:bCs/>
              </w:rPr>
              <w:t>Inc QALY</w:t>
            </w:r>
          </w:p>
        </w:tc>
        <w:tc>
          <w:tcPr>
            <w:tcW w:w="631" w:type="pct"/>
            <w:vAlign w:val="center"/>
          </w:tcPr>
          <w:p w14:paraId="18F5717B" w14:textId="77777777" w:rsidR="00E5561C" w:rsidRPr="00D12904" w:rsidRDefault="00E5561C" w:rsidP="00C106B7">
            <w:pPr>
              <w:pStyle w:val="Tabletext"/>
              <w:keepNext/>
              <w:keepLines/>
              <w:jc w:val="center"/>
              <w:rPr>
                <w:b/>
                <w:bCs/>
              </w:rPr>
            </w:pPr>
            <w:r w:rsidRPr="00D12904">
              <w:rPr>
                <w:b/>
                <w:bCs/>
              </w:rPr>
              <w:t>ICER</w:t>
            </w:r>
          </w:p>
        </w:tc>
        <w:tc>
          <w:tcPr>
            <w:tcW w:w="363" w:type="pct"/>
            <w:vAlign w:val="center"/>
          </w:tcPr>
          <w:p w14:paraId="1B0F493D" w14:textId="77777777" w:rsidR="00E5561C" w:rsidRPr="00D12904" w:rsidRDefault="00E5561C" w:rsidP="00C106B7">
            <w:pPr>
              <w:pStyle w:val="Tabletext"/>
              <w:keepNext/>
              <w:keepLines/>
              <w:jc w:val="center"/>
              <w:rPr>
                <w:b/>
                <w:bCs/>
              </w:rPr>
            </w:pPr>
            <w:r w:rsidRPr="00D12904">
              <w:rPr>
                <w:b/>
                <w:bCs/>
              </w:rPr>
              <w:t>% Δ</w:t>
            </w:r>
          </w:p>
        </w:tc>
      </w:tr>
      <w:tr w:rsidR="00E5561C" w:rsidRPr="00D12904" w14:paraId="72450044" w14:textId="77777777" w:rsidTr="00C106B7">
        <w:trPr>
          <w:cantSplit/>
          <w:trHeight w:val="20"/>
        </w:trPr>
        <w:tc>
          <w:tcPr>
            <w:tcW w:w="2827" w:type="pct"/>
            <w:vAlign w:val="center"/>
          </w:tcPr>
          <w:p w14:paraId="2EE0CB04" w14:textId="77777777" w:rsidR="00E5561C" w:rsidRPr="00D12904" w:rsidRDefault="00E5561C" w:rsidP="00C106B7">
            <w:pPr>
              <w:pStyle w:val="Tabletext"/>
              <w:keepNext/>
              <w:keepLines/>
              <w:rPr>
                <w:b/>
              </w:rPr>
            </w:pPr>
            <w:r w:rsidRPr="00D12904">
              <w:rPr>
                <w:b/>
              </w:rPr>
              <w:t>Base case</w:t>
            </w:r>
          </w:p>
        </w:tc>
        <w:tc>
          <w:tcPr>
            <w:tcW w:w="629" w:type="pct"/>
            <w:vAlign w:val="center"/>
          </w:tcPr>
          <w:p w14:paraId="00D935F8" w14:textId="25C01435" w:rsidR="00E5561C" w:rsidRPr="00D12904" w:rsidRDefault="00E5561C" w:rsidP="00C106B7">
            <w:pPr>
              <w:pStyle w:val="Tabletext"/>
              <w:keepNext/>
              <w:keepLines/>
              <w:jc w:val="center"/>
              <w:rPr>
                <w:b/>
                <w:bCs/>
                <w:highlight w:val="black"/>
              </w:rPr>
            </w:pPr>
            <w:r w:rsidRPr="00D12904">
              <w:rPr>
                <w:b/>
                <w:bCs/>
              </w:rPr>
              <w:t>$</w:t>
            </w:r>
            <w:r w:rsidR="0066157F" w:rsidRPr="0066157F">
              <w:rPr>
                <w:rFonts w:hint="eastAsia"/>
                <w:b/>
                <w:bCs/>
                <w:color w:val="000000"/>
                <w:w w:val="33"/>
                <w:shd w:val="solid" w:color="000000" w:fill="000000"/>
                <w:fitText w:val="150" w:id="-894208507"/>
                <w14:textFill>
                  <w14:solidFill>
                    <w14:srgbClr w14:val="000000">
                      <w14:alpha w14:val="100000"/>
                    </w14:srgbClr>
                  </w14:solidFill>
                </w14:textFill>
              </w:rPr>
              <w:t xml:space="preserve">　</w:t>
            </w:r>
            <w:r w:rsidR="0066157F" w:rsidRPr="0066157F">
              <w:rPr>
                <w:b/>
                <w:bCs/>
                <w:color w:val="000000"/>
                <w:w w:val="33"/>
                <w:shd w:val="solid" w:color="000000" w:fill="000000"/>
                <w:fitText w:val="150" w:id="-894208507"/>
                <w14:textFill>
                  <w14:solidFill>
                    <w14:srgbClr w14:val="000000">
                      <w14:alpha w14:val="100000"/>
                    </w14:srgbClr>
                  </w14:solidFill>
                </w14:textFill>
              </w:rPr>
              <w:t>|</w:t>
            </w:r>
            <w:r w:rsidR="0066157F" w:rsidRPr="0066157F">
              <w:rPr>
                <w:rFonts w:hint="eastAsia"/>
                <w:b/>
                <w:bCs/>
                <w:color w:val="000000"/>
                <w:spacing w:val="3"/>
                <w:w w:val="33"/>
                <w:shd w:val="solid" w:color="000000" w:fill="000000"/>
                <w:fitText w:val="150" w:id="-894208507"/>
                <w14:textFill>
                  <w14:solidFill>
                    <w14:srgbClr w14:val="000000">
                      <w14:alpha w14:val="100000"/>
                    </w14:srgbClr>
                  </w14:solidFill>
                </w14:textFill>
              </w:rPr>
              <w:t xml:space="preserve">　</w:t>
            </w:r>
          </w:p>
        </w:tc>
        <w:tc>
          <w:tcPr>
            <w:tcW w:w="550" w:type="pct"/>
            <w:vAlign w:val="center"/>
          </w:tcPr>
          <w:p w14:paraId="27F81295" w14:textId="77777777" w:rsidR="00E5561C" w:rsidRPr="00D12904" w:rsidRDefault="00E5561C" w:rsidP="00C106B7">
            <w:pPr>
              <w:pStyle w:val="Tabletext"/>
              <w:keepNext/>
              <w:keepLines/>
              <w:jc w:val="center"/>
              <w:rPr>
                <w:b/>
                <w:bCs/>
              </w:rPr>
            </w:pPr>
            <w:r w:rsidRPr="00D12904">
              <w:rPr>
                <w:b/>
                <w:bCs/>
              </w:rPr>
              <w:t>2.73</w:t>
            </w:r>
          </w:p>
        </w:tc>
        <w:tc>
          <w:tcPr>
            <w:tcW w:w="631" w:type="pct"/>
            <w:vAlign w:val="center"/>
          </w:tcPr>
          <w:p w14:paraId="72EDAD67" w14:textId="6730DFDE" w:rsidR="00E5561C" w:rsidRPr="008916B9" w:rsidRDefault="00E5561C" w:rsidP="00C106B7">
            <w:pPr>
              <w:pStyle w:val="Tabletext"/>
              <w:keepNext/>
              <w:keepLines/>
              <w:jc w:val="center"/>
              <w:rPr>
                <w:b/>
                <w:bCs/>
                <w:highlight w:val="black"/>
                <w:vertAlign w:val="superscript"/>
              </w:rPr>
            </w:pPr>
            <w:r w:rsidRPr="00D12904">
              <w:rPr>
                <w:b/>
                <w:bCs/>
              </w:rPr>
              <w:t>$</w:t>
            </w:r>
            <w:r w:rsidR="0066157F" w:rsidRPr="0066157F">
              <w:rPr>
                <w:b/>
                <w:bCs/>
                <w:color w:val="000000"/>
                <w:spacing w:val="108"/>
                <w:shd w:val="solid" w:color="000000" w:fill="000000"/>
                <w:fitText w:val="200" w:id="-894208506"/>
                <w14:textFill>
                  <w14:solidFill>
                    <w14:srgbClr w14:val="000000">
                      <w14:alpha w14:val="100000"/>
                    </w14:srgbClr>
                  </w14:solidFill>
                </w14:textFill>
              </w:rPr>
              <w:t>|</w:t>
            </w:r>
            <w:r w:rsidR="0066157F" w:rsidRPr="0066157F">
              <w:rPr>
                <w:b/>
                <w:bCs/>
                <w:color w:val="000000"/>
                <w:spacing w:val="1"/>
                <w:shd w:val="solid" w:color="000000" w:fill="000000"/>
                <w:fitText w:val="200" w:id="-894208506"/>
                <w14:textFill>
                  <w14:solidFill>
                    <w14:srgbClr w14:val="000000">
                      <w14:alpha w14:val="100000"/>
                    </w14:srgbClr>
                  </w14:solidFill>
                </w14:textFill>
              </w:rPr>
              <w:t>|</w:t>
            </w:r>
            <w:r w:rsidR="008916B9">
              <w:rPr>
                <w:b/>
                <w:bCs/>
              </w:rPr>
              <w:t xml:space="preserve"> </w:t>
            </w:r>
            <w:r w:rsidR="008916B9">
              <w:rPr>
                <w:b/>
                <w:bCs/>
                <w:vertAlign w:val="superscript"/>
              </w:rPr>
              <w:t>1</w:t>
            </w:r>
          </w:p>
        </w:tc>
        <w:tc>
          <w:tcPr>
            <w:tcW w:w="363" w:type="pct"/>
            <w:vAlign w:val="center"/>
          </w:tcPr>
          <w:p w14:paraId="23223481" w14:textId="1875E043" w:rsidR="00E5561C" w:rsidRPr="00D12904" w:rsidRDefault="00E2670D" w:rsidP="00C106B7">
            <w:pPr>
              <w:pStyle w:val="Tabletext"/>
              <w:keepNext/>
              <w:keepLines/>
              <w:jc w:val="center"/>
              <w:rPr>
                <w:b/>
                <w:bCs/>
              </w:rPr>
            </w:pPr>
            <w:r w:rsidRPr="00D12904">
              <w:rPr>
                <w:b/>
                <w:bCs/>
              </w:rPr>
              <w:t>-</w:t>
            </w:r>
          </w:p>
        </w:tc>
      </w:tr>
      <w:tr w:rsidR="00E5561C" w:rsidRPr="00D12904" w14:paraId="555775D4" w14:textId="77777777" w:rsidTr="00C106B7">
        <w:trPr>
          <w:cantSplit/>
          <w:trHeight w:val="20"/>
        </w:trPr>
        <w:tc>
          <w:tcPr>
            <w:tcW w:w="2827" w:type="pct"/>
            <w:vAlign w:val="center"/>
          </w:tcPr>
          <w:p w14:paraId="5C2834E0" w14:textId="716B4049" w:rsidR="00E5561C" w:rsidRPr="00D12904" w:rsidRDefault="00E5561C" w:rsidP="00C106B7">
            <w:pPr>
              <w:pStyle w:val="Tabletext"/>
              <w:keepNext/>
              <w:keepLines/>
            </w:pPr>
            <w:r w:rsidRPr="00D12904">
              <w:t xml:space="preserve">Include </w:t>
            </w:r>
            <w:r w:rsidR="0004730A" w:rsidRPr="00D12904">
              <w:t xml:space="preserve">option to receive </w:t>
            </w:r>
            <w:r w:rsidRPr="00D12904">
              <w:t>PEBD in odevixibat arm</w:t>
            </w:r>
            <w:r w:rsidR="00C84920" w:rsidRPr="00D12904">
              <w:t xml:space="preserve"> (</w:t>
            </w:r>
            <w:r w:rsidR="00D113DE" w:rsidRPr="00D12904">
              <w:t>b</w:t>
            </w:r>
            <w:r w:rsidR="00C84920" w:rsidRPr="00D12904">
              <w:t>ase = excluded PEBD in odevixibat arm)</w:t>
            </w:r>
          </w:p>
        </w:tc>
        <w:tc>
          <w:tcPr>
            <w:tcW w:w="629" w:type="pct"/>
            <w:vAlign w:val="center"/>
          </w:tcPr>
          <w:p w14:paraId="0D815F1A" w14:textId="1995DD36" w:rsidR="00E5561C" w:rsidRPr="00D12904" w:rsidRDefault="00E5561C" w:rsidP="00C106B7">
            <w:pPr>
              <w:pStyle w:val="Tabletext"/>
              <w:keepNext/>
              <w:keepLines/>
              <w:jc w:val="center"/>
              <w:rPr>
                <w:highlight w:val="black"/>
              </w:rPr>
            </w:pPr>
            <w:r w:rsidRPr="00D12904">
              <w:t>$</w:t>
            </w:r>
            <w:r w:rsidR="0066157F" w:rsidRPr="0066157F">
              <w:rPr>
                <w:rFonts w:hint="eastAsia"/>
                <w:color w:val="000000"/>
                <w:w w:val="24"/>
                <w:shd w:val="solid" w:color="000000" w:fill="000000"/>
                <w:fitText w:val="110" w:id="-894208505"/>
                <w14:textFill>
                  <w14:solidFill>
                    <w14:srgbClr w14:val="000000">
                      <w14:alpha w14:val="100000"/>
                    </w14:srgbClr>
                  </w14:solidFill>
                </w14:textFill>
              </w:rPr>
              <w:t xml:space="preserve">　</w:t>
            </w:r>
            <w:r w:rsidR="0066157F" w:rsidRPr="0066157F">
              <w:rPr>
                <w:color w:val="000000"/>
                <w:w w:val="24"/>
                <w:shd w:val="solid" w:color="000000" w:fill="000000"/>
                <w:fitText w:val="110" w:id="-894208505"/>
                <w14:textFill>
                  <w14:solidFill>
                    <w14:srgbClr w14:val="000000">
                      <w14:alpha w14:val="100000"/>
                    </w14:srgbClr>
                  </w14:solidFill>
                </w14:textFill>
              </w:rPr>
              <w:t>|</w:t>
            </w:r>
            <w:r w:rsidR="0066157F" w:rsidRPr="0066157F">
              <w:rPr>
                <w:rFonts w:hint="eastAsia"/>
                <w:color w:val="000000"/>
                <w:spacing w:val="6"/>
                <w:w w:val="24"/>
                <w:shd w:val="solid" w:color="000000" w:fill="000000"/>
                <w:fitText w:val="110" w:id="-894208505"/>
                <w14:textFill>
                  <w14:solidFill>
                    <w14:srgbClr w14:val="000000">
                      <w14:alpha w14:val="100000"/>
                    </w14:srgbClr>
                  </w14:solidFill>
                </w14:textFill>
              </w:rPr>
              <w:t xml:space="preserve">　</w:t>
            </w:r>
          </w:p>
        </w:tc>
        <w:tc>
          <w:tcPr>
            <w:tcW w:w="550" w:type="pct"/>
            <w:vAlign w:val="center"/>
          </w:tcPr>
          <w:p w14:paraId="372A273C" w14:textId="77777777" w:rsidR="00E5561C" w:rsidRPr="00D12904" w:rsidRDefault="00E5561C" w:rsidP="00C106B7">
            <w:pPr>
              <w:pStyle w:val="Tabletext"/>
              <w:keepNext/>
              <w:keepLines/>
              <w:jc w:val="center"/>
            </w:pPr>
            <w:r w:rsidRPr="00D12904">
              <w:t>2.02</w:t>
            </w:r>
          </w:p>
        </w:tc>
        <w:tc>
          <w:tcPr>
            <w:tcW w:w="631" w:type="pct"/>
            <w:vAlign w:val="center"/>
          </w:tcPr>
          <w:p w14:paraId="67300AE0" w14:textId="780C8C3A" w:rsidR="00E5561C" w:rsidRPr="00D12904" w:rsidRDefault="00E5561C" w:rsidP="00C106B7">
            <w:pPr>
              <w:pStyle w:val="Tabletext"/>
              <w:keepNext/>
              <w:keepLines/>
              <w:jc w:val="center"/>
              <w:rPr>
                <w:highlight w:val="black"/>
              </w:rPr>
            </w:pPr>
            <w:r w:rsidRPr="00D12904">
              <w:t>$</w:t>
            </w:r>
            <w:r w:rsidR="0066157F" w:rsidRPr="0066157F">
              <w:rPr>
                <w:color w:val="000000"/>
                <w:spacing w:val="74"/>
                <w:shd w:val="solid" w:color="000000" w:fill="000000"/>
                <w:fitText w:val="160" w:id="-894208504"/>
                <w14:textFill>
                  <w14:solidFill>
                    <w14:srgbClr w14:val="000000">
                      <w14:alpha w14:val="100000"/>
                    </w14:srgbClr>
                  </w14:solidFill>
                </w14:textFill>
              </w:rPr>
              <w:t>|</w:t>
            </w:r>
            <w:r w:rsidR="0066157F" w:rsidRPr="0066157F">
              <w:rPr>
                <w:color w:val="000000"/>
                <w:spacing w:val="1"/>
                <w:shd w:val="solid" w:color="000000" w:fill="000000"/>
                <w:fitText w:val="160" w:id="-894208504"/>
                <w14:textFill>
                  <w14:solidFill>
                    <w14:srgbClr w14:val="000000">
                      <w14:alpha w14:val="100000"/>
                    </w14:srgbClr>
                  </w14:solidFill>
                </w14:textFill>
              </w:rPr>
              <w:t>|</w:t>
            </w:r>
            <w:r w:rsidR="008916B9">
              <w:rPr>
                <w:b/>
                <w:bCs/>
              </w:rPr>
              <w:t xml:space="preserve"> </w:t>
            </w:r>
            <w:r w:rsidR="008916B9">
              <w:rPr>
                <w:b/>
                <w:bCs/>
                <w:vertAlign w:val="superscript"/>
              </w:rPr>
              <w:t>1</w:t>
            </w:r>
          </w:p>
        </w:tc>
        <w:tc>
          <w:tcPr>
            <w:tcW w:w="363" w:type="pct"/>
            <w:vAlign w:val="center"/>
          </w:tcPr>
          <w:p w14:paraId="391E2AA9" w14:textId="6A918DEA" w:rsidR="00E5561C" w:rsidRPr="00D12904" w:rsidRDefault="00E5561C" w:rsidP="00C106B7">
            <w:pPr>
              <w:pStyle w:val="Tabletext"/>
              <w:keepNext/>
              <w:keepLines/>
              <w:jc w:val="center"/>
            </w:pPr>
            <w:r w:rsidRPr="00D12904">
              <w:t>+</w:t>
            </w:r>
            <w:r w:rsidR="0066157F" w:rsidRPr="0066157F">
              <w:rPr>
                <w:rFonts w:hint="eastAsia"/>
                <w:color w:val="000000"/>
                <w:spacing w:val="-120"/>
                <w:shd w:val="solid" w:color="000000" w:fill="000000"/>
                <w:fitText w:val="80" w:id="-894208503"/>
                <w14:textFill>
                  <w14:solidFill>
                    <w14:srgbClr w14:val="000000">
                      <w14:alpha w14:val="100000"/>
                    </w14:srgbClr>
                  </w14:solidFill>
                </w14:textFill>
              </w:rPr>
              <w:t xml:space="preserve">　</w:t>
            </w:r>
            <w:r w:rsidR="0066157F" w:rsidRPr="0066157F">
              <w:rPr>
                <w:rFonts w:hint="eastAsia"/>
                <w:color w:val="000000"/>
                <w:w w:val="31"/>
                <w:shd w:val="solid" w:color="000000" w:fill="000000"/>
                <w:fitText w:val="140" w:id="-894208502"/>
                <w14:textFill>
                  <w14:solidFill>
                    <w14:srgbClr w14:val="000000">
                      <w14:alpha w14:val="100000"/>
                    </w14:srgbClr>
                  </w14:solidFill>
                </w14:textFill>
              </w:rPr>
              <w:t xml:space="preserve">　</w:t>
            </w:r>
            <w:r w:rsidR="0066157F" w:rsidRPr="0066157F">
              <w:rPr>
                <w:color w:val="000000"/>
                <w:w w:val="31"/>
                <w:shd w:val="solid" w:color="000000" w:fill="000000"/>
                <w:fitText w:val="140" w:id="-894208502"/>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502"/>
                <w14:textFill>
                  <w14:solidFill>
                    <w14:srgbClr w14:val="000000">
                      <w14:alpha w14:val="100000"/>
                    </w14:srgbClr>
                  </w14:solidFill>
                </w14:textFill>
              </w:rPr>
              <w:t xml:space="preserve">　</w:t>
            </w:r>
            <w:r w:rsidRPr="00D12904">
              <w:t>%</w:t>
            </w:r>
          </w:p>
        </w:tc>
      </w:tr>
      <w:tr w:rsidR="00E5561C" w:rsidRPr="00D12904" w14:paraId="750E9291" w14:textId="77777777" w:rsidTr="00C106B7">
        <w:trPr>
          <w:cantSplit/>
          <w:trHeight w:val="20"/>
        </w:trPr>
        <w:tc>
          <w:tcPr>
            <w:tcW w:w="2827" w:type="pct"/>
            <w:vAlign w:val="center"/>
          </w:tcPr>
          <w:p w14:paraId="17501717" w14:textId="414409FC" w:rsidR="00E5561C" w:rsidRPr="00D12904" w:rsidRDefault="00E5561C" w:rsidP="00C106B7">
            <w:pPr>
              <w:pStyle w:val="Tabletext"/>
              <w:keepNext/>
              <w:keepLines/>
            </w:pPr>
            <w:r w:rsidRPr="00D12904">
              <w:t>Utilities from PEDFIC 1 (parent-</w:t>
            </w:r>
            <w:r w:rsidR="00BC57FB" w:rsidRPr="00D12904">
              <w:t>reported</w:t>
            </w:r>
            <w:r w:rsidRPr="00D12904">
              <w:t>)</w:t>
            </w:r>
            <w:r w:rsidR="00C84920" w:rsidRPr="00D12904">
              <w:t xml:space="preserve"> (</w:t>
            </w:r>
            <w:r w:rsidR="00D113DE" w:rsidRPr="00D12904">
              <w:t>b</w:t>
            </w:r>
            <w:r w:rsidR="00C84920" w:rsidRPr="00D12904">
              <w:t>ase = utilities informed from various literature sources)</w:t>
            </w:r>
          </w:p>
        </w:tc>
        <w:tc>
          <w:tcPr>
            <w:tcW w:w="629" w:type="pct"/>
            <w:vAlign w:val="center"/>
          </w:tcPr>
          <w:p w14:paraId="7692955C" w14:textId="6BE55A1E" w:rsidR="00E5561C" w:rsidRPr="00D12904" w:rsidRDefault="00E5561C" w:rsidP="00C106B7">
            <w:pPr>
              <w:pStyle w:val="Tabletext"/>
              <w:keepNext/>
              <w:keepLines/>
              <w:jc w:val="center"/>
              <w:rPr>
                <w:highlight w:val="black"/>
              </w:rPr>
            </w:pPr>
            <w:r w:rsidRPr="00D12904">
              <w:t>$</w:t>
            </w:r>
            <w:r w:rsidR="0066157F" w:rsidRPr="0066157F">
              <w:rPr>
                <w:rFonts w:hint="eastAsia"/>
                <w:color w:val="000000"/>
                <w:w w:val="24"/>
                <w:shd w:val="solid" w:color="000000" w:fill="000000"/>
                <w:fitText w:val="110" w:id="-894208501"/>
                <w14:textFill>
                  <w14:solidFill>
                    <w14:srgbClr w14:val="000000">
                      <w14:alpha w14:val="100000"/>
                    </w14:srgbClr>
                  </w14:solidFill>
                </w14:textFill>
              </w:rPr>
              <w:t xml:space="preserve">　</w:t>
            </w:r>
            <w:r w:rsidR="0066157F" w:rsidRPr="0066157F">
              <w:rPr>
                <w:color w:val="000000"/>
                <w:w w:val="24"/>
                <w:shd w:val="solid" w:color="000000" w:fill="000000"/>
                <w:fitText w:val="110" w:id="-894208501"/>
                <w14:textFill>
                  <w14:solidFill>
                    <w14:srgbClr w14:val="000000">
                      <w14:alpha w14:val="100000"/>
                    </w14:srgbClr>
                  </w14:solidFill>
                </w14:textFill>
              </w:rPr>
              <w:t>|</w:t>
            </w:r>
            <w:r w:rsidR="0066157F" w:rsidRPr="0066157F">
              <w:rPr>
                <w:rFonts w:hint="eastAsia"/>
                <w:color w:val="000000"/>
                <w:spacing w:val="6"/>
                <w:w w:val="24"/>
                <w:shd w:val="solid" w:color="000000" w:fill="000000"/>
                <w:fitText w:val="110" w:id="-894208501"/>
                <w14:textFill>
                  <w14:solidFill>
                    <w14:srgbClr w14:val="000000">
                      <w14:alpha w14:val="100000"/>
                    </w14:srgbClr>
                  </w14:solidFill>
                </w14:textFill>
              </w:rPr>
              <w:t xml:space="preserve">　</w:t>
            </w:r>
          </w:p>
        </w:tc>
        <w:tc>
          <w:tcPr>
            <w:tcW w:w="550" w:type="pct"/>
            <w:vAlign w:val="center"/>
          </w:tcPr>
          <w:p w14:paraId="7078D99D" w14:textId="77777777" w:rsidR="00E5561C" w:rsidRPr="00D12904" w:rsidRDefault="00E5561C" w:rsidP="00C106B7">
            <w:pPr>
              <w:pStyle w:val="Tabletext"/>
              <w:keepNext/>
              <w:keepLines/>
              <w:jc w:val="center"/>
            </w:pPr>
            <w:r w:rsidRPr="00D12904">
              <w:t>2.13</w:t>
            </w:r>
          </w:p>
        </w:tc>
        <w:tc>
          <w:tcPr>
            <w:tcW w:w="631" w:type="pct"/>
            <w:vAlign w:val="center"/>
          </w:tcPr>
          <w:p w14:paraId="67414B27" w14:textId="5D24D796" w:rsidR="00E5561C" w:rsidRPr="00D12904" w:rsidRDefault="00E5561C" w:rsidP="00C106B7">
            <w:pPr>
              <w:pStyle w:val="Tabletext"/>
              <w:keepNext/>
              <w:keepLines/>
              <w:jc w:val="center"/>
              <w:rPr>
                <w:highlight w:val="black"/>
              </w:rPr>
            </w:pPr>
            <w:r w:rsidRPr="00D12904">
              <w:t>$</w:t>
            </w:r>
            <w:r w:rsidR="0066157F" w:rsidRPr="0066157F">
              <w:rPr>
                <w:color w:val="000000"/>
                <w:spacing w:val="74"/>
                <w:shd w:val="solid" w:color="000000" w:fill="000000"/>
                <w:fitText w:val="160" w:id="-894208500"/>
                <w14:textFill>
                  <w14:solidFill>
                    <w14:srgbClr w14:val="000000">
                      <w14:alpha w14:val="100000"/>
                    </w14:srgbClr>
                  </w14:solidFill>
                </w14:textFill>
              </w:rPr>
              <w:t>|</w:t>
            </w:r>
            <w:r w:rsidR="0066157F" w:rsidRPr="0066157F">
              <w:rPr>
                <w:color w:val="000000"/>
                <w:spacing w:val="1"/>
                <w:shd w:val="solid" w:color="000000" w:fill="000000"/>
                <w:fitText w:val="160" w:id="-894208500"/>
                <w14:textFill>
                  <w14:solidFill>
                    <w14:srgbClr w14:val="000000">
                      <w14:alpha w14:val="100000"/>
                    </w14:srgbClr>
                  </w14:solidFill>
                </w14:textFill>
              </w:rPr>
              <w:t>|</w:t>
            </w:r>
            <w:r w:rsidR="008916B9">
              <w:rPr>
                <w:b/>
                <w:bCs/>
              </w:rPr>
              <w:t xml:space="preserve"> </w:t>
            </w:r>
            <w:r w:rsidR="008916B9">
              <w:rPr>
                <w:b/>
                <w:bCs/>
                <w:vertAlign w:val="superscript"/>
              </w:rPr>
              <w:t>1</w:t>
            </w:r>
          </w:p>
        </w:tc>
        <w:tc>
          <w:tcPr>
            <w:tcW w:w="363" w:type="pct"/>
            <w:vAlign w:val="center"/>
          </w:tcPr>
          <w:p w14:paraId="4EECFF65" w14:textId="56C456B3" w:rsidR="00E5561C" w:rsidRPr="00D12904" w:rsidRDefault="00E5561C" w:rsidP="00C106B7">
            <w:pPr>
              <w:pStyle w:val="Tabletext"/>
              <w:keepNext/>
              <w:keepLines/>
              <w:jc w:val="center"/>
            </w:pPr>
            <w:r w:rsidRPr="00D12904">
              <w:t>+</w:t>
            </w:r>
            <w:r w:rsidR="0066157F" w:rsidRPr="0066157F">
              <w:rPr>
                <w:rFonts w:hint="eastAsia"/>
                <w:color w:val="000000"/>
                <w:spacing w:val="-120"/>
                <w:shd w:val="solid" w:color="000000" w:fill="000000"/>
                <w:fitText w:val="80" w:id="-894208499"/>
                <w14:textFill>
                  <w14:solidFill>
                    <w14:srgbClr w14:val="000000">
                      <w14:alpha w14:val="100000"/>
                    </w14:srgbClr>
                  </w14:solidFill>
                </w14:textFill>
              </w:rPr>
              <w:t xml:space="preserve">　</w:t>
            </w:r>
            <w:r w:rsidR="0066157F" w:rsidRPr="0066157F">
              <w:rPr>
                <w:rFonts w:hint="eastAsia"/>
                <w:color w:val="000000"/>
                <w:w w:val="31"/>
                <w:shd w:val="solid" w:color="000000" w:fill="000000"/>
                <w:fitText w:val="140" w:id="-894208498"/>
                <w14:textFill>
                  <w14:solidFill>
                    <w14:srgbClr w14:val="000000">
                      <w14:alpha w14:val="100000"/>
                    </w14:srgbClr>
                  </w14:solidFill>
                </w14:textFill>
              </w:rPr>
              <w:t xml:space="preserve">　</w:t>
            </w:r>
            <w:r w:rsidR="0066157F" w:rsidRPr="0066157F">
              <w:rPr>
                <w:color w:val="000000"/>
                <w:w w:val="31"/>
                <w:shd w:val="solid" w:color="000000" w:fill="000000"/>
                <w:fitText w:val="140" w:id="-894208498"/>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498"/>
                <w14:textFill>
                  <w14:solidFill>
                    <w14:srgbClr w14:val="000000">
                      <w14:alpha w14:val="100000"/>
                    </w14:srgbClr>
                  </w14:solidFill>
                </w14:textFill>
              </w:rPr>
              <w:t xml:space="preserve">　</w:t>
            </w:r>
            <w:r w:rsidRPr="00D12904">
              <w:t>%</w:t>
            </w:r>
          </w:p>
        </w:tc>
      </w:tr>
      <w:tr w:rsidR="008E6381" w:rsidRPr="00D12904" w14:paraId="203DC578" w14:textId="77777777" w:rsidTr="00C106B7">
        <w:trPr>
          <w:cantSplit/>
          <w:trHeight w:val="20"/>
        </w:trPr>
        <w:tc>
          <w:tcPr>
            <w:tcW w:w="2827" w:type="pct"/>
            <w:vAlign w:val="center"/>
          </w:tcPr>
          <w:p w14:paraId="48DF7595" w14:textId="57DC6531" w:rsidR="008E6381" w:rsidRPr="00D12904" w:rsidRDefault="008E6381" w:rsidP="00C106B7">
            <w:pPr>
              <w:pStyle w:val="Tabletext"/>
              <w:keepNext/>
              <w:keepLines/>
            </w:pPr>
            <w:r w:rsidRPr="00D12904">
              <w:t xml:space="preserve">Utilities in ‘PEBD, response’ and ‘no PEBD, </w:t>
            </w:r>
            <w:r w:rsidR="001825BF" w:rsidRPr="00D12904">
              <w:t xml:space="preserve">no </w:t>
            </w:r>
            <w:r w:rsidRPr="00D12904">
              <w:t xml:space="preserve">response’ health states are equal, i.e. 0.830 (base = 0.659 in ‘PEBD, response’ and 0.830 in ‘no PEBD, </w:t>
            </w:r>
            <w:r w:rsidR="001825BF" w:rsidRPr="00D12904">
              <w:t xml:space="preserve">no </w:t>
            </w:r>
            <w:r w:rsidRPr="00D12904">
              <w:t xml:space="preserve">response’) </w:t>
            </w:r>
          </w:p>
        </w:tc>
        <w:tc>
          <w:tcPr>
            <w:tcW w:w="629" w:type="pct"/>
            <w:vAlign w:val="center"/>
          </w:tcPr>
          <w:p w14:paraId="3FAEB467" w14:textId="383B49C6" w:rsidR="008E6381" w:rsidRPr="00D12904" w:rsidRDefault="008E6381" w:rsidP="00C106B7">
            <w:pPr>
              <w:pStyle w:val="Tabletext"/>
              <w:keepNext/>
              <w:keepLines/>
              <w:jc w:val="center"/>
            </w:pPr>
            <w:r w:rsidRPr="00D12904">
              <w:t>$</w:t>
            </w:r>
            <w:r w:rsidR="0066157F" w:rsidRPr="0066157F">
              <w:rPr>
                <w:rFonts w:hint="eastAsia"/>
                <w:color w:val="000000"/>
                <w:w w:val="24"/>
                <w:shd w:val="solid" w:color="000000" w:fill="000000"/>
                <w:fitText w:val="110" w:id="-894208497"/>
                <w14:textFill>
                  <w14:solidFill>
                    <w14:srgbClr w14:val="000000">
                      <w14:alpha w14:val="100000"/>
                    </w14:srgbClr>
                  </w14:solidFill>
                </w14:textFill>
              </w:rPr>
              <w:t xml:space="preserve">　</w:t>
            </w:r>
            <w:r w:rsidR="0066157F" w:rsidRPr="0066157F">
              <w:rPr>
                <w:color w:val="000000"/>
                <w:w w:val="24"/>
                <w:shd w:val="solid" w:color="000000" w:fill="000000"/>
                <w:fitText w:val="110" w:id="-894208497"/>
                <w14:textFill>
                  <w14:solidFill>
                    <w14:srgbClr w14:val="000000">
                      <w14:alpha w14:val="100000"/>
                    </w14:srgbClr>
                  </w14:solidFill>
                </w14:textFill>
              </w:rPr>
              <w:t>|</w:t>
            </w:r>
            <w:r w:rsidR="0066157F" w:rsidRPr="0066157F">
              <w:rPr>
                <w:rFonts w:hint="eastAsia"/>
                <w:color w:val="000000"/>
                <w:spacing w:val="6"/>
                <w:w w:val="24"/>
                <w:shd w:val="solid" w:color="000000" w:fill="000000"/>
                <w:fitText w:val="110" w:id="-894208497"/>
                <w14:textFill>
                  <w14:solidFill>
                    <w14:srgbClr w14:val="000000">
                      <w14:alpha w14:val="100000"/>
                    </w14:srgbClr>
                  </w14:solidFill>
                </w14:textFill>
              </w:rPr>
              <w:t xml:space="preserve">　</w:t>
            </w:r>
          </w:p>
        </w:tc>
        <w:tc>
          <w:tcPr>
            <w:tcW w:w="550" w:type="pct"/>
            <w:vAlign w:val="center"/>
          </w:tcPr>
          <w:p w14:paraId="2C4B985B" w14:textId="1C4755AC" w:rsidR="008E6381" w:rsidRPr="00D12904" w:rsidRDefault="008E6381" w:rsidP="00C106B7">
            <w:pPr>
              <w:pStyle w:val="Tabletext"/>
              <w:keepNext/>
              <w:keepLines/>
              <w:jc w:val="center"/>
            </w:pPr>
            <w:r w:rsidRPr="00D12904">
              <w:t>2.50</w:t>
            </w:r>
          </w:p>
        </w:tc>
        <w:tc>
          <w:tcPr>
            <w:tcW w:w="631" w:type="pct"/>
            <w:vAlign w:val="center"/>
          </w:tcPr>
          <w:p w14:paraId="6B2092BA" w14:textId="39D25F7D" w:rsidR="008E6381" w:rsidRPr="00D12904" w:rsidRDefault="008E6381" w:rsidP="00C106B7">
            <w:pPr>
              <w:pStyle w:val="Tabletext"/>
              <w:keepNext/>
              <w:keepLines/>
              <w:jc w:val="center"/>
            </w:pPr>
            <w:r w:rsidRPr="00D12904">
              <w:t>$</w:t>
            </w:r>
            <w:r w:rsidR="0066157F" w:rsidRPr="0066157F">
              <w:rPr>
                <w:color w:val="000000"/>
                <w:spacing w:val="74"/>
                <w:shd w:val="solid" w:color="000000" w:fill="000000"/>
                <w:fitText w:val="160" w:id="-894208496"/>
                <w14:textFill>
                  <w14:solidFill>
                    <w14:srgbClr w14:val="000000">
                      <w14:alpha w14:val="100000"/>
                    </w14:srgbClr>
                  </w14:solidFill>
                </w14:textFill>
              </w:rPr>
              <w:t>|</w:t>
            </w:r>
            <w:r w:rsidR="0066157F" w:rsidRPr="0066157F">
              <w:rPr>
                <w:color w:val="000000"/>
                <w:spacing w:val="1"/>
                <w:shd w:val="solid" w:color="000000" w:fill="000000"/>
                <w:fitText w:val="160" w:id="-894208496"/>
                <w14:textFill>
                  <w14:solidFill>
                    <w14:srgbClr w14:val="000000">
                      <w14:alpha w14:val="100000"/>
                    </w14:srgbClr>
                  </w14:solidFill>
                </w14:textFill>
              </w:rPr>
              <w:t>|</w:t>
            </w:r>
            <w:r w:rsidR="008916B9">
              <w:rPr>
                <w:b/>
                <w:bCs/>
              </w:rPr>
              <w:t xml:space="preserve"> </w:t>
            </w:r>
            <w:r w:rsidR="008916B9">
              <w:rPr>
                <w:b/>
                <w:bCs/>
                <w:vertAlign w:val="superscript"/>
              </w:rPr>
              <w:t>1</w:t>
            </w:r>
          </w:p>
        </w:tc>
        <w:tc>
          <w:tcPr>
            <w:tcW w:w="363" w:type="pct"/>
            <w:vAlign w:val="center"/>
          </w:tcPr>
          <w:p w14:paraId="5BA9E833" w14:textId="634E6B6F" w:rsidR="008E6381" w:rsidRPr="00D12904" w:rsidRDefault="008E6381" w:rsidP="00C106B7">
            <w:pPr>
              <w:pStyle w:val="Tabletext"/>
              <w:keepNext/>
              <w:keepLines/>
              <w:jc w:val="center"/>
            </w:pPr>
            <w:r w:rsidRPr="00D12904">
              <w:t>+</w:t>
            </w:r>
            <w:r w:rsidR="0066157F" w:rsidRPr="0066157F">
              <w:rPr>
                <w:rFonts w:hint="eastAsia"/>
                <w:color w:val="000000"/>
                <w:spacing w:val="-120"/>
                <w:shd w:val="solid" w:color="000000" w:fill="000000"/>
                <w:fitText w:val="80" w:id="-894208512"/>
                <w14:textFill>
                  <w14:solidFill>
                    <w14:srgbClr w14:val="000000">
                      <w14:alpha w14:val="100000"/>
                    </w14:srgbClr>
                  </w14:solidFill>
                </w14:textFill>
              </w:rPr>
              <w:t xml:space="preserve">　</w:t>
            </w:r>
            <w:r w:rsidR="0066157F" w:rsidRPr="0066157F">
              <w:rPr>
                <w:rFonts w:hint="eastAsia"/>
                <w:color w:val="000000"/>
                <w:w w:val="31"/>
                <w:shd w:val="solid" w:color="000000" w:fill="000000"/>
                <w:fitText w:val="140" w:id="-894208511"/>
                <w14:textFill>
                  <w14:solidFill>
                    <w14:srgbClr w14:val="000000">
                      <w14:alpha w14:val="100000"/>
                    </w14:srgbClr>
                  </w14:solidFill>
                </w14:textFill>
              </w:rPr>
              <w:t xml:space="preserve">　</w:t>
            </w:r>
            <w:r w:rsidR="0066157F" w:rsidRPr="0066157F">
              <w:rPr>
                <w:color w:val="000000"/>
                <w:w w:val="31"/>
                <w:shd w:val="solid" w:color="000000" w:fill="000000"/>
                <w:fitText w:val="140" w:id="-894208511"/>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511"/>
                <w14:textFill>
                  <w14:solidFill>
                    <w14:srgbClr w14:val="000000">
                      <w14:alpha w14:val="100000"/>
                    </w14:srgbClr>
                  </w14:solidFill>
                </w14:textFill>
              </w:rPr>
              <w:t xml:space="preserve">　</w:t>
            </w:r>
            <w:r w:rsidRPr="00D12904">
              <w:t>%</w:t>
            </w:r>
          </w:p>
        </w:tc>
      </w:tr>
      <w:tr w:rsidR="00E5561C" w:rsidRPr="00D12904" w14:paraId="17221954" w14:textId="77777777" w:rsidTr="00C106B7">
        <w:trPr>
          <w:cantSplit/>
          <w:trHeight w:val="20"/>
        </w:trPr>
        <w:tc>
          <w:tcPr>
            <w:tcW w:w="2827" w:type="pct"/>
            <w:vAlign w:val="center"/>
          </w:tcPr>
          <w:p w14:paraId="4B19AC73" w14:textId="450300E9" w:rsidR="00E5561C" w:rsidRPr="00D12904" w:rsidRDefault="00E5561C" w:rsidP="00C106B7">
            <w:pPr>
              <w:pStyle w:val="Tabletext"/>
              <w:keepNext/>
              <w:keepLines/>
            </w:pPr>
            <w:r w:rsidRPr="00D12904">
              <w:t xml:space="preserve">Odevixibat 40 </w:t>
            </w:r>
            <w:r w:rsidR="00D113DE" w:rsidRPr="00D12904">
              <w:t>mc</w:t>
            </w:r>
            <w:r w:rsidRPr="00D12904">
              <w:t>g/kg dose (</w:t>
            </w:r>
            <w:r w:rsidR="00D113DE" w:rsidRPr="00D12904">
              <w:t xml:space="preserve">PEDFIC 1 40 mcg/kg response + </w:t>
            </w:r>
            <w:r w:rsidRPr="00D12904">
              <w:t>no dose escalation)</w:t>
            </w:r>
            <w:r w:rsidR="00D113DE" w:rsidRPr="00D12904">
              <w:t xml:space="preserve"> (base = OvEC ‘combine doses’ + up-titration to 120 mcg/kg</w:t>
            </w:r>
            <w:r w:rsidR="00466AF4" w:rsidRPr="00D12904">
              <w:t xml:space="preserve"> if no response</w:t>
            </w:r>
            <w:r w:rsidR="00D113DE" w:rsidRPr="00D12904">
              <w:t>)</w:t>
            </w:r>
          </w:p>
        </w:tc>
        <w:tc>
          <w:tcPr>
            <w:tcW w:w="629" w:type="pct"/>
            <w:vAlign w:val="center"/>
          </w:tcPr>
          <w:p w14:paraId="32F9A7A5" w14:textId="1F3C0540" w:rsidR="00E5561C" w:rsidRPr="00D12904" w:rsidRDefault="00E5561C" w:rsidP="00C106B7">
            <w:pPr>
              <w:pStyle w:val="Tabletext"/>
              <w:keepNext/>
              <w:keepLines/>
              <w:jc w:val="center"/>
            </w:pPr>
            <w:r w:rsidRPr="00D12904">
              <w:t>$</w:t>
            </w:r>
            <w:r w:rsidR="0066157F" w:rsidRPr="0066157F">
              <w:rPr>
                <w:rFonts w:hint="eastAsia"/>
                <w:color w:val="000000"/>
                <w:w w:val="24"/>
                <w:shd w:val="solid" w:color="000000" w:fill="000000"/>
                <w:fitText w:val="110" w:id="-894208510"/>
                <w14:textFill>
                  <w14:solidFill>
                    <w14:srgbClr w14:val="000000">
                      <w14:alpha w14:val="100000"/>
                    </w14:srgbClr>
                  </w14:solidFill>
                </w14:textFill>
              </w:rPr>
              <w:t xml:space="preserve">　</w:t>
            </w:r>
            <w:r w:rsidR="0066157F" w:rsidRPr="0066157F">
              <w:rPr>
                <w:color w:val="000000"/>
                <w:w w:val="24"/>
                <w:shd w:val="solid" w:color="000000" w:fill="000000"/>
                <w:fitText w:val="110" w:id="-894208510"/>
                <w14:textFill>
                  <w14:solidFill>
                    <w14:srgbClr w14:val="000000">
                      <w14:alpha w14:val="100000"/>
                    </w14:srgbClr>
                  </w14:solidFill>
                </w14:textFill>
              </w:rPr>
              <w:t>|</w:t>
            </w:r>
            <w:r w:rsidR="0066157F" w:rsidRPr="0066157F">
              <w:rPr>
                <w:rFonts w:hint="eastAsia"/>
                <w:color w:val="000000"/>
                <w:spacing w:val="6"/>
                <w:w w:val="24"/>
                <w:shd w:val="solid" w:color="000000" w:fill="000000"/>
                <w:fitText w:val="110" w:id="-894208510"/>
                <w14:textFill>
                  <w14:solidFill>
                    <w14:srgbClr w14:val="000000">
                      <w14:alpha w14:val="100000"/>
                    </w14:srgbClr>
                  </w14:solidFill>
                </w14:textFill>
              </w:rPr>
              <w:t xml:space="preserve">　</w:t>
            </w:r>
          </w:p>
        </w:tc>
        <w:tc>
          <w:tcPr>
            <w:tcW w:w="550" w:type="pct"/>
            <w:vAlign w:val="center"/>
          </w:tcPr>
          <w:p w14:paraId="2EA1460D" w14:textId="77777777" w:rsidR="00E5561C" w:rsidRPr="00D12904" w:rsidRDefault="00E5561C" w:rsidP="00C106B7">
            <w:pPr>
              <w:pStyle w:val="Tabletext"/>
              <w:keepNext/>
              <w:keepLines/>
              <w:jc w:val="center"/>
            </w:pPr>
            <w:r w:rsidRPr="00D12904">
              <w:t>2.25</w:t>
            </w:r>
          </w:p>
        </w:tc>
        <w:tc>
          <w:tcPr>
            <w:tcW w:w="631" w:type="pct"/>
            <w:vAlign w:val="center"/>
          </w:tcPr>
          <w:p w14:paraId="7C0923C8" w14:textId="6AF57DB8" w:rsidR="00E5561C" w:rsidRPr="00D12904" w:rsidRDefault="00E5561C" w:rsidP="00C106B7">
            <w:pPr>
              <w:pStyle w:val="Tabletext"/>
              <w:keepNext/>
              <w:keepLines/>
              <w:jc w:val="center"/>
            </w:pPr>
            <w:r w:rsidRPr="00D12904">
              <w:t>$</w:t>
            </w:r>
            <w:r w:rsidR="0066157F" w:rsidRPr="0066157F">
              <w:rPr>
                <w:color w:val="000000"/>
                <w:spacing w:val="74"/>
                <w:shd w:val="solid" w:color="000000" w:fill="000000"/>
                <w:fitText w:val="160" w:id="-894208509"/>
                <w14:textFill>
                  <w14:solidFill>
                    <w14:srgbClr w14:val="000000">
                      <w14:alpha w14:val="100000"/>
                    </w14:srgbClr>
                  </w14:solidFill>
                </w14:textFill>
              </w:rPr>
              <w:t>|</w:t>
            </w:r>
            <w:r w:rsidR="0066157F" w:rsidRPr="0066157F">
              <w:rPr>
                <w:color w:val="000000"/>
                <w:spacing w:val="1"/>
                <w:shd w:val="solid" w:color="000000" w:fill="000000"/>
                <w:fitText w:val="160" w:id="-894208509"/>
                <w14:textFill>
                  <w14:solidFill>
                    <w14:srgbClr w14:val="000000">
                      <w14:alpha w14:val="100000"/>
                    </w14:srgbClr>
                  </w14:solidFill>
                </w14:textFill>
              </w:rPr>
              <w:t>|</w:t>
            </w:r>
            <w:r w:rsidR="008916B9">
              <w:rPr>
                <w:b/>
                <w:bCs/>
              </w:rPr>
              <w:t xml:space="preserve"> </w:t>
            </w:r>
            <w:r w:rsidR="008916B9">
              <w:rPr>
                <w:b/>
                <w:bCs/>
                <w:vertAlign w:val="superscript"/>
              </w:rPr>
              <w:t>2</w:t>
            </w:r>
          </w:p>
        </w:tc>
        <w:tc>
          <w:tcPr>
            <w:tcW w:w="363" w:type="pct"/>
            <w:vAlign w:val="center"/>
          </w:tcPr>
          <w:p w14:paraId="05AE9F4E" w14:textId="54206E23" w:rsidR="00E5561C" w:rsidRPr="00D12904" w:rsidRDefault="00E5561C" w:rsidP="00C106B7">
            <w:pPr>
              <w:pStyle w:val="Tabletext"/>
              <w:keepNext/>
              <w:keepLines/>
              <w:jc w:val="center"/>
            </w:pPr>
            <w:r w:rsidRPr="00D12904">
              <w:t>-</w:t>
            </w:r>
            <w:r w:rsidR="0066157F" w:rsidRPr="0066157F">
              <w:rPr>
                <w:color w:val="000000"/>
                <w:spacing w:val="114"/>
                <w:shd w:val="solid" w:color="000000" w:fill="000000"/>
                <w:fitText w:val="200" w:id="-894208508"/>
                <w14:textFill>
                  <w14:solidFill>
                    <w14:srgbClr w14:val="000000">
                      <w14:alpha w14:val="100000"/>
                    </w14:srgbClr>
                  </w14:solidFill>
                </w14:textFill>
              </w:rPr>
              <w:t>|</w:t>
            </w:r>
            <w:r w:rsidR="0066157F" w:rsidRPr="0066157F">
              <w:rPr>
                <w:color w:val="000000"/>
                <w:spacing w:val="1"/>
                <w:shd w:val="solid" w:color="000000" w:fill="000000"/>
                <w:fitText w:val="200" w:id="-894208508"/>
                <w14:textFill>
                  <w14:solidFill>
                    <w14:srgbClr w14:val="000000">
                      <w14:alpha w14:val="100000"/>
                    </w14:srgbClr>
                  </w14:solidFill>
                </w14:textFill>
              </w:rPr>
              <w:t>|</w:t>
            </w:r>
            <w:r w:rsidRPr="00D12904">
              <w:t>%</w:t>
            </w:r>
          </w:p>
        </w:tc>
      </w:tr>
      <w:tr w:rsidR="001D7CFA" w:rsidRPr="00D12904" w14:paraId="7A5B384B" w14:textId="77777777" w:rsidTr="00C106B7">
        <w:trPr>
          <w:cantSplit/>
          <w:trHeight w:val="20"/>
        </w:trPr>
        <w:tc>
          <w:tcPr>
            <w:tcW w:w="2827" w:type="pct"/>
            <w:vAlign w:val="center"/>
          </w:tcPr>
          <w:p w14:paraId="627E6E66" w14:textId="47B70C30" w:rsidR="001D7CFA" w:rsidRPr="00D12904" w:rsidRDefault="00034DFC" w:rsidP="00C106B7">
            <w:pPr>
              <w:pStyle w:val="Tabletext"/>
              <w:keepNext/>
              <w:keepLines/>
            </w:pPr>
            <w:r w:rsidRPr="00D12904">
              <w:t>50-year</w:t>
            </w:r>
            <w:r w:rsidR="001D7CFA" w:rsidRPr="00D12904">
              <w:t xml:space="preserve"> time horizon (base case= 100 years)</w:t>
            </w:r>
          </w:p>
        </w:tc>
        <w:tc>
          <w:tcPr>
            <w:tcW w:w="629" w:type="pct"/>
            <w:vAlign w:val="center"/>
          </w:tcPr>
          <w:p w14:paraId="275E3C90" w14:textId="3A32EABB" w:rsidR="001D7CFA" w:rsidRPr="00D12904" w:rsidRDefault="001D7CFA" w:rsidP="00C106B7">
            <w:pPr>
              <w:pStyle w:val="Tabletext"/>
              <w:keepNext/>
              <w:keepLines/>
              <w:jc w:val="center"/>
            </w:pPr>
            <w:r w:rsidRPr="00D12904">
              <w:t>$</w:t>
            </w:r>
            <w:r w:rsidR="0066157F" w:rsidRPr="0066157F">
              <w:rPr>
                <w:rFonts w:hint="eastAsia"/>
                <w:color w:val="000000"/>
                <w:w w:val="24"/>
                <w:shd w:val="solid" w:color="000000" w:fill="000000"/>
                <w:fitText w:val="110" w:id="-894208507"/>
                <w14:textFill>
                  <w14:solidFill>
                    <w14:srgbClr w14:val="000000">
                      <w14:alpha w14:val="100000"/>
                    </w14:srgbClr>
                  </w14:solidFill>
                </w14:textFill>
              </w:rPr>
              <w:t xml:space="preserve">　</w:t>
            </w:r>
            <w:r w:rsidR="0066157F" w:rsidRPr="0066157F">
              <w:rPr>
                <w:color w:val="000000"/>
                <w:w w:val="24"/>
                <w:shd w:val="solid" w:color="000000" w:fill="000000"/>
                <w:fitText w:val="110" w:id="-894208507"/>
                <w14:textFill>
                  <w14:solidFill>
                    <w14:srgbClr w14:val="000000">
                      <w14:alpha w14:val="100000"/>
                    </w14:srgbClr>
                  </w14:solidFill>
                </w14:textFill>
              </w:rPr>
              <w:t>|</w:t>
            </w:r>
            <w:r w:rsidR="0066157F" w:rsidRPr="0066157F">
              <w:rPr>
                <w:rFonts w:hint="eastAsia"/>
                <w:color w:val="000000"/>
                <w:spacing w:val="6"/>
                <w:w w:val="24"/>
                <w:shd w:val="solid" w:color="000000" w:fill="000000"/>
                <w:fitText w:val="110" w:id="-894208507"/>
                <w14:textFill>
                  <w14:solidFill>
                    <w14:srgbClr w14:val="000000">
                      <w14:alpha w14:val="100000"/>
                    </w14:srgbClr>
                  </w14:solidFill>
                </w14:textFill>
              </w:rPr>
              <w:t xml:space="preserve">　</w:t>
            </w:r>
          </w:p>
        </w:tc>
        <w:tc>
          <w:tcPr>
            <w:tcW w:w="550" w:type="pct"/>
            <w:vAlign w:val="center"/>
          </w:tcPr>
          <w:p w14:paraId="65461D4D" w14:textId="5E20A828" w:rsidR="001D7CFA" w:rsidRPr="00D12904" w:rsidRDefault="001D7CFA" w:rsidP="00C106B7">
            <w:pPr>
              <w:pStyle w:val="Tabletext"/>
              <w:keepNext/>
              <w:keepLines/>
              <w:jc w:val="center"/>
            </w:pPr>
            <w:r w:rsidRPr="00D12904">
              <w:t>2.45</w:t>
            </w:r>
          </w:p>
        </w:tc>
        <w:tc>
          <w:tcPr>
            <w:tcW w:w="631" w:type="pct"/>
            <w:vAlign w:val="center"/>
          </w:tcPr>
          <w:p w14:paraId="4DDF0DA1" w14:textId="184A2D59" w:rsidR="001D7CFA" w:rsidRPr="00D12904" w:rsidRDefault="001D7CFA" w:rsidP="00C106B7">
            <w:pPr>
              <w:pStyle w:val="Tabletext"/>
              <w:keepNext/>
              <w:keepLines/>
              <w:jc w:val="center"/>
            </w:pPr>
            <w:r w:rsidRPr="00D12904">
              <w:t>$</w:t>
            </w:r>
            <w:r w:rsidR="0066157F" w:rsidRPr="0066157F">
              <w:rPr>
                <w:color w:val="000000"/>
                <w:spacing w:val="74"/>
                <w:shd w:val="solid" w:color="000000" w:fill="000000"/>
                <w:fitText w:val="160" w:id="-894208506"/>
                <w14:textFill>
                  <w14:solidFill>
                    <w14:srgbClr w14:val="000000">
                      <w14:alpha w14:val="100000"/>
                    </w14:srgbClr>
                  </w14:solidFill>
                </w14:textFill>
              </w:rPr>
              <w:t>|</w:t>
            </w:r>
            <w:r w:rsidR="0066157F" w:rsidRPr="0066157F">
              <w:rPr>
                <w:color w:val="000000"/>
                <w:spacing w:val="1"/>
                <w:shd w:val="solid" w:color="000000" w:fill="000000"/>
                <w:fitText w:val="160" w:id="-894208506"/>
                <w14:textFill>
                  <w14:solidFill>
                    <w14:srgbClr w14:val="000000">
                      <w14:alpha w14:val="100000"/>
                    </w14:srgbClr>
                  </w14:solidFill>
                </w14:textFill>
              </w:rPr>
              <w:t>|</w:t>
            </w:r>
            <w:r w:rsidR="008916B9">
              <w:rPr>
                <w:b/>
                <w:bCs/>
              </w:rPr>
              <w:t xml:space="preserve"> </w:t>
            </w:r>
            <w:r w:rsidR="008916B9">
              <w:rPr>
                <w:b/>
                <w:bCs/>
                <w:vertAlign w:val="superscript"/>
              </w:rPr>
              <w:t>1</w:t>
            </w:r>
          </w:p>
        </w:tc>
        <w:tc>
          <w:tcPr>
            <w:tcW w:w="363" w:type="pct"/>
            <w:vAlign w:val="center"/>
          </w:tcPr>
          <w:p w14:paraId="011AC098" w14:textId="38CEC8E9" w:rsidR="001D7CFA" w:rsidRPr="00D12904" w:rsidRDefault="001D7CFA" w:rsidP="00C106B7">
            <w:pPr>
              <w:pStyle w:val="Tabletext"/>
              <w:keepNext/>
              <w:keepLines/>
              <w:jc w:val="center"/>
            </w:pPr>
            <w:r w:rsidRPr="00D12904">
              <w:t>+</w:t>
            </w:r>
            <w:r w:rsidR="0066157F" w:rsidRPr="0066157F">
              <w:rPr>
                <w:rFonts w:hint="eastAsia"/>
                <w:color w:val="000000"/>
                <w:spacing w:val="-120"/>
                <w:shd w:val="solid" w:color="000000" w:fill="000000"/>
                <w:fitText w:val="80" w:id="-894208505"/>
                <w14:textFill>
                  <w14:solidFill>
                    <w14:srgbClr w14:val="000000">
                      <w14:alpha w14:val="100000"/>
                    </w14:srgbClr>
                  </w14:solidFill>
                </w14:textFill>
              </w:rPr>
              <w:t xml:space="preserve">　</w:t>
            </w:r>
            <w:r w:rsidR="0066157F" w:rsidRPr="0066157F">
              <w:rPr>
                <w:rFonts w:hint="eastAsia"/>
                <w:color w:val="000000"/>
                <w:w w:val="31"/>
                <w:shd w:val="solid" w:color="000000" w:fill="000000"/>
                <w:fitText w:val="140" w:id="-894208504"/>
                <w14:textFill>
                  <w14:solidFill>
                    <w14:srgbClr w14:val="000000">
                      <w14:alpha w14:val="100000"/>
                    </w14:srgbClr>
                  </w14:solidFill>
                </w14:textFill>
              </w:rPr>
              <w:t xml:space="preserve">　</w:t>
            </w:r>
            <w:r w:rsidR="0066157F" w:rsidRPr="0066157F">
              <w:rPr>
                <w:color w:val="000000"/>
                <w:w w:val="31"/>
                <w:shd w:val="solid" w:color="000000" w:fill="000000"/>
                <w:fitText w:val="140" w:id="-894208504"/>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504"/>
                <w14:textFill>
                  <w14:solidFill>
                    <w14:srgbClr w14:val="000000">
                      <w14:alpha w14:val="100000"/>
                    </w14:srgbClr>
                  </w14:solidFill>
                </w14:textFill>
              </w:rPr>
              <w:t xml:space="preserve">　</w:t>
            </w:r>
            <w:r w:rsidRPr="00D12904">
              <w:t>%</w:t>
            </w:r>
          </w:p>
        </w:tc>
      </w:tr>
      <w:tr w:rsidR="00AA7BD6" w:rsidRPr="00D12904" w14:paraId="69E0B640" w14:textId="77777777" w:rsidTr="00C106B7">
        <w:trPr>
          <w:cantSplit/>
          <w:trHeight w:val="20"/>
        </w:trPr>
        <w:tc>
          <w:tcPr>
            <w:tcW w:w="2827" w:type="pct"/>
            <w:vAlign w:val="center"/>
          </w:tcPr>
          <w:p w14:paraId="02296BEB" w14:textId="76E71B40" w:rsidR="00AA7BD6" w:rsidRPr="00D12904" w:rsidRDefault="00AA7BD6" w:rsidP="00C106B7">
            <w:pPr>
              <w:pStyle w:val="Tabletext"/>
              <w:keepNext/>
              <w:keepLines/>
            </w:pPr>
            <w:r w:rsidRPr="00D12904">
              <w:t>Discount cost and outcomes = 0%</w:t>
            </w:r>
            <w:r w:rsidR="00C84920" w:rsidRPr="00D12904">
              <w:t xml:space="preserve"> (base = 5% discount rate)</w:t>
            </w:r>
          </w:p>
        </w:tc>
        <w:tc>
          <w:tcPr>
            <w:tcW w:w="629" w:type="pct"/>
          </w:tcPr>
          <w:p w14:paraId="0A1DCC53" w14:textId="4460A27A" w:rsidR="00AA7BD6" w:rsidRPr="00D12904" w:rsidRDefault="00AA7BD6" w:rsidP="00C106B7">
            <w:pPr>
              <w:pStyle w:val="Tabletext"/>
              <w:keepNext/>
              <w:keepLines/>
              <w:jc w:val="center"/>
            </w:pPr>
            <w:r w:rsidRPr="00D12904">
              <w:t>$</w:t>
            </w:r>
            <w:r w:rsidR="0066157F" w:rsidRPr="0066157F">
              <w:rPr>
                <w:rFonts w:hint="eastAsia"/>
                <w:color w:val="000000"/>
                <w:w w:val="24"/>
                <w:shd w:val="solid" w:color="000000" w:fill="000000"/>
                <w:fitText w:val="110" w:id="-894208503"/>
                <w14:textFill>
                  <w14:solidFill>
                    <w14:srgbClr w14:val="000000">
                      <w14:alpha w14:val="100000"/>
                    </w14:srgbClr>
                  </w14:solidFill>
                </w14:textFill>
              </w:rPr>
              <w:t xml:space="preserve">　</w:t>
            </w:r>
            <w:r w:rsidR="0066157F" w:rsidRPr="0066157F">
              <w:rPr>
                <w:color w:val="000000"/>
                <w:w w:val="24"/>
                <w:shd w:val="solid" w:color="000000" w:fill="000000"/>
                <w:fitText w:val="110" w:id="-894208503"/>
                <w14:textFill>
                  <w14:solidFill>
                    <w14:srgbClr w14:val="000000">
                      <w14:alpha w14:val="100000"/>
                    </w14:srgbClr>
                  </w14:solidFill>
                </w14:textFill>
              </w:rPr>
              <w:t>|</w:t>
            </w:r>
            <w:r w:rsidR="0066157F" w:rsidRPr="0066157F">
              <w:rPr>
                <w:rFonts w:hint="eastAsia"/>
                <w:color w:val="000000"/>
                <w:spacing w:val="6"/>
                <w:w w:val="24"/>
                <w:shd w:val="solid" w:color="000000" w:fill="000000"/>
                <w:fitText w:val="110" w:id="-894208503"/>
                <w14:textFill>
                  <w14:solidFill>
                    <w14:srgbClr w14:val="000000">
                      <w14:alpha w14:val="100000"/>
                    </w14:srgbClr>
                  </w14:solidFill>
                </w14:textFill>
              </w:rPr>
              <w:t xml:space="preserve">　</w:t>
            </w:r>
          </w:p>
        </w:tc>
        <w:tc>
          <w:tcPr>
            <w:tcW w:w="550" w:type="pct"/>
          </w:tcPr>
          <w:p w14:paraId="3434373D" w14:textId="40F0657F" w:rsidR="00AA7BD6" w:rsidRPr="00D12904" w:rsidRDefault="00AA7BD6" w:rsidP="00C106B7">
            <w:pPr>
              <w:pStyle w:val="Tabletext"/>
              <w:keepNext/>
              <w:keepLines/>
              <w:jc w:val="center"/>
            </w:pPr>
            <w:r w:rsidRPr="00D12904">
              <w:t>12.07</w:t>
            </w:r>
          </w:p>
        </w:tc>
        <w:tc>
          <w:tcPr>
            <w:tcW w:w="631" w:type="pct"/>
          </w:tcPr>
          <w:p w14:paraId="5237FAA3" w14:textId="5FB1F2C8" w:rsidR="00AA7BD6" w:rsidRPr="00D12904" w:rsidRDefault="00AA7BD6" w:rsidP="00C106B7">
            <w:pPr>
              <w:pStyle w:val="Tabletext"/>
              <w:keepNext/>
              <w:keepLines/>
              <w:jc w:val="center"/>
            </w:pPr>
            <w:r w:rsidRPr="00D12904">
              <w:t>$</w:t>
            </w:r>
            <w:r w:rsidR="0066157F" w:rsidRPr="0066157F">
              <w:rPr>
                <w:color w:val="000000"/>
                <w:spacing w:val="74"/>
                <w:shd w:val="solid" w:color="000000" w:fill="000000"/>
                <w:fitText w:val="160" w:id="-894208502"/>
                <w14:textFill>
                  <w14:solidFill>
                    <w14:srgbClr w14:val="000000">
                      <w14:alpha w14:val="100000"/>
                    </w14:srgbClr>
                  </w14:solidFill>
                </w14:textFill>
              </w:rPr>
              <w:t>|</w:t>
            </w:r>
            <w:r w:rsidR="0066157F" w:rsidRPr="0066157F">
              <w:rPr>
                <w:color w:val="000000"/>
                <w:spacing w:val="1"/>
                <w:shd w:val="solid" w:color="000000" w:fill="000000"/>
                <w:fitText w:val="160" w:id="-894208502"/>
                <w14:textFill>
                  <w14:solidFill>
                    <w14:srgbClr w14:val="000000">
                      <w14:alpha w14:val="100000"/>
                    </w14:srgbClr>
                  </w14:solidFill>
                </w14:textFill>
              </w:rPr>
              <w:t>|</w:t>
            </w:r>
            <w:r w:rsidR="008916B9">
              <w:rPr>
                <w:b/>
                <w:bCs/>
              </w:rPr>
              <w:t xml:space="preserve"> </w:t>
            </w:r>
            <w:r w:rsidR="008916B9">
              <w:rPr>
                <w:b/>
                <w:bCs/>
                <w:vertAlign w:val="superscript"/>
              </w:rPr>
              <w:t>3</w:t>
            </w:r>
          </w:p>
        </w:tc>
        <w:tc>
          <w:tcPr>
            <w:tcW w:w="363" w:type="pct"/>
          </w:tcPr>
          <w:p w14:paraId="489727DA" w14:textId="1411CEC1" w:rsidR="00AA7BD6" w:rsidRPr="00D12904" w:rsidRDefault="00AA7BD6" w:rsidP="00C106B7">
            <w:pPr>
              <w:pStyle w:val="Tabletext"/>
              <w:keepNext/>
              <w:keepLines/>
              <w:jc w:val="center"/>
            </w:pPr>
            <w:r w:rsidRPr="00D12904">
              <w:t>-</w:t>
            </w:r>
            <w:r w:rsidR="0066157F" w:rsidRPr="0066157F">
              <w:rPr>
                <w:color w:val="000000"/>
                <w:spacing w:val="114"/>
                <w:shd w:val="solid" w:color="000000" w:fill="000000"/>
                <w:fitText w:val="200" w:id="-894208501"/>
                <w14:textFill>
                  <w14:solidFill>
                    <w14:srgbClr w14:val="000000">
                      <w14:alpha w14:val="100000"/>
                    </w14:srgbClr>
                  </w14:solidFill>
                </w14:textFill>
              </w:rPr>
              <w:t>|</w:t>
            </w:r>
            <w:r w:rsidR="0066157F" w:rsidRPr="0066157F">
              <w:rPr>
                <w:color w:val="000000"/>
                <w:spacing w:val="1"/>
                <w:shd w:val="solid" w:color="000000" w:fill="000000"/>
                <w:fitText w:val="200" w:id="-894208501"/>
                <w14:textFill>
                  <w14:solidFill>
                    <w14:srgbClr w14:val="000000">
                      <w14:alpha w14:val="100000"/>
                    </w14:srgbClr>
                  </w14:solidFill>
                </w14:textFill>
              </w:rPr>
              <w:t>|</w:t>
            </w:r>
            <w:r w:rsidRPr="00D12904">
              <w:t>%</w:t>
            </w:r>
          </w:p>
        </w:tc>
      </w:tr>
      <w:tr w:rsidR="00B36EDB" w:rsidRPr="00D12904" w14:paraId="2587CCE6" w14:textId="77777777" w:rsidTr="00C106B7">
        <w:trPr>
          <w:cantSplit/>
          <w:trHeight w:val="20"/>
        </w:trPr>
        <w:tc>
          <w:tcPr>
            <w:tcW w:w="2827" w:type="pct"/>
          </w:tcPr>
          <w:p w14:paraId="06376DFA" w14:textId="00FA2704" w:rsidR="00B36EDB" w:rsidRPr="00D12904" w:rsidRDefault="00B36EDB" w:rsidP="00C106B7">
            <w:pPr>
              <w:pStyle w:val="Tabletext"/>
              <w:keepNext/>
              <w:keepLines/>
            </w:pPr>
            <w:r w:rsidRPr="00D12904">
              <w:t>Discount cost and outcomes = 3.5% (base = 5% discount rate)</w:t>
            </w:r>
          </w:p>
        </w:tc>
        <w:tc>
          <w:tcPr>
            <w:tcW w:w="629" w:type="pct"/>
          </w:tcPr>
          <w:p w14:paraId="1782B4EA" w14:textId="5A8298EA" w:rsidR="00B36EDB" w:rsidRPr="00D12904" w:rsidRDefault="00B36EDB" w:rsidP="00C106B7">
            <w:pPr>
              <w:pStyle w:val="Tabletext"/>
              <w:keepNext/>
              <w:keepLines/>
              <w:jc w:val="center"/>
            </w:pPr>
            <w:r w:rsidRPr="00D12904">
              <w:t>$</w:t>
            </w:r>
            <w:r w:rsidR="0066157F" w:rsidRPr="0066157F">
              <w:rPr>
                <w:rFonts w:hint="eastAsia"/>
                <w:color w:val="000000"/>
                <w:w w:val="24"/>
                <w:shd w:val="solid" w:color="000000" w:fill="000000"/>
                <w:fitText w:val="110" w:id="-894208500"/>
                <w14:textFill>
                  <w14:solidFill>
                    <w14:srgbClr w14:val="000000">
                      <w14:alpha w14:val="100000"/>
                    </w14:srgbClr>
                  </w14:solidFill>
                </w14:textFill>
              </w:rPr>
              <w:t xml:space="preserve">　</w:t>
            </w:r>
            <w:r w:rsidR="0066157F" w:rsidRPr="0066157F">
              <w:rPr>
                <w:color w:val="000000"/>
                <w:w w:val="24"/>
                <w:shd w:val="solid" w:color="000000" w:fill="000000"/>
                <w:fitText w:val="110" w:id="-894208500"/>
                <w14:textFill>
                  <w14:solidFill>
                    <w14:srgbClr w14:val="000000">
                      <w14:alpha w14:val="100000"/>
                    </w14:srgbClr>
                  </w14:solidFill>
                </w14:textFill>
              </w:rPr>
              <w:t>|</w:t>
            </w:r>
            <w:r w:rsidR="0066157F" w:rsidRPr="0066157F">
              <w:rPr>
                <w:rFonts w:hint="eastAsia"/>
                <w:color w:val="000000"/>
                <w:spacing w:val="6"/>
                <w:w w:val="24"/>
                <w:shd w:val="solid" w:color="000000" w:fill="000000"/>
                <w:fitText w:val="110" w:id="-894208500"/>
                <w14:textFill>
                  <w14:solidFill>
                    <w14:srgbClr w14:val="000000">
                      <w14:alpha w14:val="100000"/>
                    </w14:srgbClr>
                  </w14:solidFill>
                </w14:textFill>
              </w:rPr>
              <w:t xml:space="preserve">　</w:t>
            </w:r>
          </w:p>
        </w:tc>
        <w:tc>
          <w:tcPr>
            <w:tcW w:w="550" w:type="pct"/>
          </w:tcPr>
          <w:p w14:paraId="0C63251E" w14:textId="591AE701" w:rsidR="00B36EDB" w:rsidRPr="00D12904" w:rsidRDefault="00B36EDB" w:rsidP="00C106B7">
            <w:pPr>
              <w:pStyle w:val="Tabletext"/>
              <w:keepNext/>
              <w:keepLines/>
              <w:jc w:val="center"/>
            </w:pPr>
            <w:r w:rsidRPr="00D12904">
              <w:t>3.84</w:t>
            </w:r>
          </w:p>
        </w:tc>
        <w:tc>
          <w:tcPr>
            <w:tcW w:w="631" w:type="pct"/>
          </w:tcPr>
          <w:p w14:paraId="5293948A" w14:textId="3A245A90" w:rsidR="00B36EDB" w:rsidRPr="00D12904" w:rsidRDefault="00B36EDB" w:rsidP="00C106B7">
            <w:pPr>
              <w:pStyle w:val="Tabletext"/>
              <w:keepNext/>
              <w:keepLines/>
              <w:jc w:val="center"/>
            </w:pPr>
            <w:r w:rsidRPr="00D12904">
              <w:t>$</w:t>
            </w:r>
            <w:r w:rsidR="0066157F" w:rsidRPr="0066157F">
              <w:rPr>
                <w:color w:val="000000"/>
                <w:spacing w:val="74"/>
                <w:shd w:val="solid" w:color="000000" w:fill="000000"/>
                <w:fitText w:val="160" w:id="-894208499"/>
                <w14:textFill>
                  <w14:solidFill>
                    <w14:srgbClr w14:val="000000">
                      <w14:alpha w14:val="100000"/>
                    </w14:srgbClr>
                  </w14:solidFill>
                </w14:textFill>
              </w:rPr>
              <w:t>|</w:t>
            </w:r>
            <w:r w:rsidR="0066157F" w:rsidRPr="0066157F">
              <w:rPr>
                <w:color w:val="000000"/>
                <w:spacing w:val="1"/>
                <w:shd w:val="solid" w:color="000000" w:fill="000000"/>
                <w:fitText w:val="160" w:id="-894208499"/>
                <w14:textFill>
                  <w14:solidFill>
                    <w14:srgbClr w14:val="000000">
                      <w14:alpha w14:val="100000"/>
                    </w14:srgbClr>
                  </w14:solidFill>
                </w14:textFill>
              </w:rPr>
              <w:t>|</w:t>
            </w:r>
            <w:r w:rsidR="008916B9">
              <w:rPr>
                <w:b/>
                <w:bCs/>
              </w:rPr>
              <w:t xml:space="preserve"> </w:t>
            </w:r>
            <w:r w:rsidR="008916B9">
              <w:rPr>
                <w:b/>
                <w:bCs/>
                <w:vertAlign w:val="superscript"/>
              </w:rPr>
              <w:t>1</w:t>
            </w:r>
          </w:p>
        </w:tc>
        <w:tc>
          <w:tcPr>
            <w:tcW w:w="363" w:type="pct"/>
          </w:tcPr>
          <w:p w14:paraId="02B64528" w14:textId="26186B96" w:rsidR="00B36EDB" w:rsidRPr="00D12904" w:rsidRDefault="00B36EDB" w:rsidP="00C106B7">
            <w:pPr>
              <w:pStyle w:val="Tabletext"/>
              <w:keepNext/>
              <w:keepLines/>
              <w:jc w:val="center"/>
            </w:pPr>
            <w:r w:rsidRPr="00D12904">
              <w:t>-</w:t>
            </w:r>
            <w:r w:rsidR="0066157F" w:rsidRPr="0066157F">
              <w:rPr>
                <w:color w:val="000000"/>
                <w:spacing w:val="114"/>
                <w:shd w:val="solid" w:color="000000" w:fill="000000"/>
                <w:fitText w:val="200" w:id="-894208498"/>
                <w14:textFill>
                  <w14:solidFill>
                    <w14:srgbClr w14:val="000000">
                      <w14:alpha w14:val="100000"/>
                    </w14:srgbClr>
                  </w14:solidFill>
                </w14:textFill>
              </w:rPr>
              <w:t>|</w:t>
            </w:r>
            <w:r w:rsidR="0066157F" w:rsidRPr="0066157F">
              <w:rPr>
                <w:color w:val="000000"/>
                <w:spacing w:val="1"/>
                <w:shd w:val="solid" w:color="000000" w:fill="000000"/>
                <w:fitText w:val="200" w:id="-894208498"/>
                <w14:textFill>
                  <w14:solidFill>
                    <w14:srgbClr w14:val="000000">
                      <w14:alpha w14:val="100000"/>
                    </w14:srgbClr>
                  </w14:solidFill>
                </w14:textFill>
              </w:rPr>
              <w:t>|</w:t>
            </w:r>
            <w:r w:rsidRPr="00D12904">
              <w:t>%</w:t>
            </w:r>
          </w:p>
        </w:tc>
      </w:tr>
      <w:tr w:rsidR="00E5561C" w:rsidRPr="00D12904" w14:paraId="2890B459" w14:textId="77777777" w:rsidTr="00C106B7">
        <w:trPr>
          <w:cantSplit/>
          <w:trHeight w:val="20"/>
        </w:trPr>
        <w:tc>
          <w:tcPr>
            <w:tcW w:w="2827" w:type="pct"/>
            <w:vAlign w:val="center"/>
          </w:tcPr>
          <w:p w14:paraId="190870EB" w14:textId="11BFB081" w:rsidR="00E5561C" w:rsidRPr="00D12904" w:rsidRDefault="00E5561C" w:rsidP="00C106B7">
            <w:pPr>
              <w:pStyle w:val="Tabletext"/>
              <w:keepNext/>
              <w:keepLines/>
            </w:pPr>
            <w:r w:rsidRPr="00D12904">
              <w:t>Loss of response to odevixibat 10%</w:t>
            </w:r>
            <w:r w:rsidR="00D113DE" w:rsidRPr="00D12904">
              <w:t xml:space="preserve"> (base = 3.53%)</w:t>
            </w:r>
          </w:p>
        </w:tc>
        <w:tc>
          <w:tcPr>
            <w:tcW w:w="629" w:type="pct"/>
            <w:vAlign w:val="center"/>
          </w:tcPr>
          <w:p w14:paraId="73E0AA94" w14:textId="3F39A7B1" w:rsidR="00E5561C" w:rsidRPr="00D12904" w:rsidRDefault="00E5561C" w:rsidP="00C106B7">
            <w:pPr>
              <w:pStyle w:val="Tabletext"/>
              <w:keepNext/>
              <w:keepLines/>
              <w:jc w:val="center"/>
            </w:pPr>
            <w:r w:rsidRPr="00D12904">
              <w:t>$</w:t>
            </w:r>
            <w:r w:rsidR="0066157F" w:rsidRPr="0066157F">
              <w:rPr>
                <w:rFonts w:hint="eastAsia"/>
                <w:color w:val="000000"/>
                <w:w w:val="24"/>
                <w:shd w:val="solid" w:color="000000" w:fill="000000"/>
                <w:fitText w:val="110" w:id="-894208497"/>
                <w14:textFill>
                  <w14:solidFill>
                    <w14:srgbClr w14:val="000000">
                      <w14:alpha w14:val="100000"/>
                    </w14:srgbClr>
                  </w14:solidFill>
                </w14:textFill>
              </w:rPr>
              <w:t xml:space="preserve">　</w:t>
            </w:r>
            <w:r w:rsidR="0066157F" w:rsidRPr="0066157F">
              <w:rPr>
                <w:color w:val="000000"/>
                <w:w w:val="24"/>
                <w:shd w:val="solid" w:color="000000" w:fill="000000"/>
                <w:fitText w:val="110" w:id="-894208497"/>
                <w14:textFill>
                  <w14:solidFill>
                    <w14:srgbClr w14:val="000000">
                      <w14:alpha w14:val="100000"/>
                    </w14:srgbClr>
                  </w14:solidFill>
                </w14:textFill>
              </w:rPr>
              <w:t>|</w:t>
            </w:r>
            <w:r w:rsidR="0066157F" w:rsidRPr="0066157F">
              <w:rPr>
                <w:rFonts w:hint="eastAsia"/>
                <w:color w:val="000000"/>
                <w:spacing w:val="6"/>
                <w:w w:val="24"/>
                <w:shd w:val="solid" w:color="000000" w:fill="000000"/>
                <w:fitText w:val="110" w:id="-894208497"/>
                <w14:textFill>
                  <w14:solidFill>
                    <w14:srgbClr w14:val="000000">
                      <w14:alpha w14:val="100000"/>
                    </w14:srgbClr>
                  </w14:solidFill>
                </w14:textFill>
              </w:rPr>
              <w:t xml:space="preserve">　</w:t>
            </w:r>
          </w:p>
        </w:tc>
        <w:tc>
          <w:tcPr>
            <w:tcW w:w="550" w:type="pct"/>
            <w:vAlign w:val="center"/>
          </w:tcPr>
          <w:p w14:paraId="0CFCED59" w14:textId="77777777" w:rsidR="00E5561C" w:rsidRPr="00D12904" w:rsidRDefault="00E5561C" w:rsidP="00C106B7">
            <w:pPr>
              <w:pStyle w:val="Tabletext"/>
              <w:keepNext/>
              <w:keepLines/>
              <w:jc w:val="center"/>
            </w:pPr>
            <w:r w:rsidRPr="00D12904">
              <w:t>2.07</w:t>
            </w:r>
          </w:p>
        </w:tc>
        <w:tc>
          <w:tcPr>
            <w:tcW w:w="631" w:type="pct"/>
            <w:vAlign w:val="center"/>
          </w:tcPr>
          <w:p w14:paraId="5E2A334A" w14:textId="4CF4F617" w:rsidR="00E5561C" w:rsidRPr="00D12904" w:rsidRDefault="00E5561C" w:rsidP="00C106B7">
            <w:pPr>
              <w:pStyle w:val="Tabletext"/>
              <w:keepNext/>
              <w:keepLines/>
              <w:jc w:val="center"/>
            </w:pPr>
            <w:r w:rsidRPr="00D12904">
              <w:t>$</w:t>
            </w:r>
            <w:r w:rsidR="0066157F" w:rsidRPr="0066157F">
              <w:rPr>
                <w:color w:val="000000"/>
                <w:spacing w:val="74"/>
                <w:shd w:val="solid" w:color="000000" w:fill="000000"/>
                <w:fitText w:val="160" w:id="-894208496"/>
                <w14:textFill>
                  <w14:solidFill>
                    <w14:srgbClr w14:val="000000">
                      <w14:alpha w14:val="100000"/>
                    </w14:srgbClr>
                  </w14:solidFill>
                </w14:textFill>
              </w:rPr>
              <w:t>|</w:t>
            </w:r>
            <w:r w:rsidR="0066157F" w:rsidRPr="0066157F">
              <w:rPr>
                <w:color w:val="000000"/>
                <w:spacing w:val="1"/>
                <w:shd w:val="solid" w:color="000000" w:fill="000000"/>
                <w:fitText w:val="160" w:id="-894208496"/>
                <w14:textFill>
                  <w14:solidFill>
                    <w14:srgbClr w14:val="000000">
                      <w14:alpha w14:val="100000"/>
                    </w14:srgbClr>
                  </w14:solidFill>
                </w14:textFill>
              </w:rPr>
              <w:t>|</w:t>
            </w:r>
            <w:r w:rsidR="007F1492">
              <w:rPr>
                <w:b/>
                <w:bCs/>
              </w:rPr>
              <w:t xml:space="preserve"> </w:t>
            </w:r>
            <w:r w:rsidR="007F1492">
              <w:rPr>
                <w:b/>
                <w:bCs/>
                <w:vertAlign w:val="superscript"/>
              </w:rPr>
              <w:t>2</w:t>
            </w:r>
          </w:p>
        </w:tc>
        <w:tc>
          <w:tcPr>
            <w:tcW w:w="363" w:type="pct"/>
            <w:vAlign w:val="center"/>
          </w:tcPr>
          <w:p w14:paraId="13FE946C" w14:textId="6C852338" w:rsidR="00E5561C" w:rsidRPr="00D12904" w:rsidRDefault="00E5561C" w:rsidP="00C106B7">
            <w:pPr>
              <w:pStyle w:val="Tabletext"/>
              <w:keepNext/>
              <w:keepLines/>
              <w:jc w:val="center"/>
            </w:pPr>
            <w:r w:rsidRPr="00D12904">
              <w:t>-</w:t>
            </w:r>
            <w:r w:rsidR="0066157F" w:rsidRPr="0066157F">
              <w:rPr>
                <w:color w:val="000000"/>
                <w:spacing w:val="114"/>
                <w:shd w:val="solid" w:color="000000" w:fill="000000"/>
                <w:fitText w:val="200" w:id="-894208512"/>
                <w14:textFill>
                  <w14:solidFill>
                    <w14:srgbClr w14:val="000000">
                      <w14:alpha w14:val="100000"/>
                    </w14:srgbClr>
                  </w14:solidFill>
                </w14:textFill>
              </w:rPr>
              <w:t>|</w:t>
            </w:r>
            <w:r w:rsidR="0066157F" w:rsidRPr="0066157F">
              <w:rPr>
                <w:color w:val="000000"/>
                <w:spacing w:val="1"/>
                <w:shd w:val="solid" w:color="000000" w:fill="000000"/>
                <w:fitText w:val="200" w:id="-894208512"/>
                <w14:textFill>
                  <w14:solidFill>
                    <w14:srgbClr w14:val="000000">
                      <w14:alpha w14:val="100000"/>
                    </w14:srgbClr>
                  </w14:solidFill>
                </w14:textFill>
              </w:rPr>
              <w:t>|</w:t>
            </w:r>
            <w:r w:rsidRPr="00D12904">
              <w:t>%</w:t>
            </w:r>
          </w:p>
        </w:tc>
      </w:tr>
      <w:tr w:rsidR="00E5561C" w:rsidRPr="00D12904" w14:paraId="4EB8AC00" w14:textId="77777777" w:rsidTr="00C106B7">
        <w:trPr>
          <w:cantSplit/>
          <w:trHeight w:val="20"/>
        </w:trPr>
        <w:tc>
          <w:tcPr>
            <w:tcW w:w="2827" w:type="pct"/>
            <w:vAlign w:val="center"/>
          </w:tcPr>
          <w:p w14:paraId="52638E40" w14:textId="3E8C733A" w:rsidR="00E5561C" w:rsidRPr="00D12904" w:rsidRDefault="00E5561C" w:rsidP="00C106B7">
            <w:pPr>
              <w:pStyle w:val="Tabletext"/>
              <w:keepNext/>
              <w:keepLines/>
            </w:pPr>
            <w:r w:rsidRPr="00D12904">
              <w:t>Caregiver disutility</w:t>
            </w:r>
            <w:r w:rsidR="00BC57FB" w:rsidRPr="00D12904">
              <w:t xml:space="preserve"> applied </w:t>
            </w:r>
            <w:r w:rsidR="00D113DE" w:rsidRPr="00D12904">
              <w:t>(base = no caregiver disutility applied)</w:t>
            </w:r>
          </w:p>
        </w:tc>
        <w:tc>
          <w:tcPr>
            <w:tcW w:w="629" w:type="pct"/>
            <w:vAlign w:val="center"/>
          </w:tcPr>
          <w:p w14:paraId="505517DF" w14:textId="4AFB630E" w:rsidR="00E5561C" w:rsidRPr="00D12904" w:rsidRDefault="00E5561C" w:rsidP="00C106B7">
            <w:pPr>
              <w:pStyle w:val="Tabletext"/>
              <w:keepNext/>
              <w:keepLines/>
              <w:jc w:val="center"/>
            </w:pPr>
            <w:r w:rsidRPr="00D12904">
              <w:t>$</w:t>
            </w:r>
            <w:r w:rsidR="0066157F" w:rsidRPr="0066157F">
              <w:rPr>
                <w:rFonts w:hint="eastAsia"/>
                <w:color w:val="000000"/>
                <w:w w:val="24"/>
                <w:shd w:val="solid" w:color="000000" w:fill="000000"/>
                <w:fitText w:val="110" w:id="-894208511"/>
                <w14:textFill>
                  <w14:solidFill>
                    <w14:srgbClr w14:val="000000">
                      <w14:alpha w14:val="100000"/>
                    </w14:srgbClr>
                  </w14:solidFill>
                </w14:textFill>
              </w:rPr>
              <w:t xml:space="preserve">　</w:t>
            </w:r>
            <w:r w:rsidR="0066157F" w:rsidRPr="0066157F">
              <w:rPr>
                <w:color w:val="000000"/>
                <w:w w:val="24"/>
                <w:shd w:val="solid" w:color="000000" w:fill="000000"/>
                <w:fitText w:val="110" w:id="-894208511"/>
                <w14:textFill>
                  <w14:solidFill>
                    <w14:srgbClr w14:val="000000">
                      <w14:alpha w14:val="100000"/>
                    </w14:srgbClr>
                  </w14:solidFill>
                </w14:textFill>
              </w:rPr>
              <w:t>|</w:t>
            </w:r>
            <w:r w:rsidR="0066157F" w:rsidRPr="0066157F">
              <w:rPr>
                <w:rFonts w:hint="eastAsia"/>
                <w:color w:val="000000"/>
                <w:spacing w:val="6"/>
                <w:w w:val="24"/>
                <w:shd w:val="solid" w:color="000000" w:fill="000000"/>
                <w:fitText w:val="110" w:id="-894208511"/>
                <w14:textFill>
                  <w14:solidFill>
                    <w14:srgbClr w14:val="000000">
                      <w14:alpha w14:val="100000"/>
                    </w14:srgbClr>
                  </w14:solidFill>
                </w14:textFill>
              </w:rPr>
              <w:t xml:space="preserve">　</w:t>
            </w:r>
          </w:p>
        </w:tc>
        <w:tc>
          <w:tcPr>
            <w:tcW w:w="550" w:type="pct"/>
            <w:vAlign w:val="center"/>
          </w:tcPr>
          <w:p w14:paraId="6B81B20E" w14:textId="77777777" w:rsidR="00E5561C" w:rsidRPr="00D12904" w:rsidRDefault="00E5561C" w:rsidP="00C106B7">
            <w:pPr>
              <w:pStyle w:val="Tabletext"/>
              <w:keepNext/>
              <w:keepLines/>
              <w:jc w:val="center"/>
            </w:pPr>
            <w:r w:rsidRPr="00D12904">
              <w:t>3.25</w:t>
            </w:r>
          </w:p>
        </w:tc>
        <w:tc>
          <w:tcPr>
            <w:tcW w:w="631" w:type="pct"/>
            <w:vAlign w:val="center"/>
          </w:tcPr>
          <w:p w14:paraId="6998C070" w14:textId="1A31EFEA" w:rsidR="00E5561C" w:rsidRPr="00D12904" w:rsidRDefault="00E5561C" w:rsidP="00C106B7">
            <w:pPr>
              <w:pStyle w:val="Tabletext"/>
              <w:keepNext/>
              <w:keepLines/>
              <w:jc w:val="center"/>
            </w:pPr>
            <w:r w:rsidRPr="00D12904">
              <w:t>$</w:t>
            </w:r>
            <w:r w:rsidR="0066157F" w:rsidRPr="0066157F">
              <w:rPr>
                <w:color w:val="000000"/>
                <w:spacing w:val="74"/>
                <w:shd w:val="solid" w:color="000000" w:fill="000000"/>
                <w:fitText w:val="160" w:id="-894208510"/>
                <w14:textFill>
                  <w14:solidFill>
                    <w14:srgbClr w14:val="000000">
                      <w14:alpha w14:val="100000"/>
                    </w14:srgbClr>
                  </w14:solidFill>
                </w14:textFill>
              </w:rPr>
              <w:t>|</w:t>
            </w:r>
            <w:r w:rsidR="0066157F" w:rsidRPr="0066157F">
              <w:rPr>
                <w:color w:val="000000"/>
                <w:spacing w:val="1"/>
                <w:shd w:val="solid" w:color="000000" w:fill="000000"/>
                <w:fitText w:val="160" w:id="-894208510"/>
                <w14:textFill>
                  <w14:solidFill>
                    <w14:srgbClr w14:val="000000">
                      <w14:alpha w14:val="100000"/>
                    </w14:srgbClr>
                  </w14:solidFill>
                </w14:textFill>
              </w:rPr>
              <w:t>|</w:t>
            </w:r>
            <w:r w:rsidR="008916B9">
              <w:rPr>
                <w:b/>
                <w:bCs/>
              </w:rPr>
              <w:t xml:space="preserve"> </w:t>
            </w:r>
            <w:r w:rsidR="008916B9">
              <w:rPr>
                <w:b/>
                <w:bCs/>
                <w:vertAlign w:val="superscript"/>
              </w:rPr>
              <w:t>1</w:t>
            </w:r>
          </w:p>
        </w:tc>
        <w:tc>
          <w:tcPr>
            <w:tcW w:w="363" w:type="pct"/>
            <w:vAlign w:val="center"/>
          </w:tcPr>
          <w:p w14:paraId="241B848C" w14:textId="78A0165C" w:rsidR="00E5561C" w:rsidRPr="00D12904" w:rsidRDefault="00E5561C" w:rsidP="00C106B7">
            <w:pPr>
              <w:pStyle w:val="Tabletext"/>
              <w:keepNext/>
              <w:keepLines/>
              <w:jc w:val="center"/>
            </w:pPr>
            <w:r w:rsidRPr="00D12904">
              <w:t>-</w:t>
            </w:r>
            <w:r w:rsidR="0066157F" w:rsidRPr="0066157F">
              <w:rPr>
                <w:color w:val="000000"/>
                <w:spacing w:val="114"/>
                <w:shd w:val="solid" w:color="000000" w:fill="000000"/>
                <w:fitText w:val="200" w:id="-894208509"/>
                <w14:textFill>
                  <w14:solidFill>
                    <w14:srgbClr w14:val="000000">
                      <w14:alpha w14:val="100000"/>
                    </w14:srgbClr>
                  </w14:solidFill>
                </w14:textFill>
              </w:rPr>
              <w:t>|</w:t>
            </w:r>
            <w:r w:rsidR="0066157F" w:rsidRPr="0066157F">
              <w:rPr>
                <w:color w:val="000000"/>
                <w:spacing w:val="1"/>
                <w:shd w:val="solid" w:color="000000" w:fill="000000"/>
                <w:fitText w:val="200" w:id="-894208509"/>
                <w14:textFill>
                  <w14:solidFill>
                    <w14:srgbClr w14:val="000000">
                      <w14:alpha w14:val="100000"/>
                    </w14:srgbClr>
                  </w14:solidFill>
                </w14:textFill>
              </w:rPr>
              <w:t>|</w:t>
            </w:r>
            <w:r w:rsidRPr="00D12904">
              <w:t>%</w:t>
            </w:r>
          </w:p>
        </w:tc>
      </w:tr>
      <w:tr w:rsidR="00E5561C" w:rsidRPr="00D12904" w14:paraId="43E39692" w14:textId="77777777" w:rsidTr="00C106B7">
        <w:trPr>
          <w:cantSplit/>
          <w:trHeight w:val="20"/>
        </w:trPr>
        <w:tc>
          <w:tcPr>
            <w:tcW w:w="2827" w:type="pct"/>
            <w:vAlign w:val="center"/>
          </w:tcPr>
          <w:p w14:paraId="1DAB5E3C" w14:textId="7803C531" w:rsidR="00E5561C" w:rsidRPr="00D12904" w:rsidRDefault="00BC57FB" w:rsidP="00C106B7">
            <w:pPr>
              <w:pStyle w:val="Tabletext"/>
              <w:keepNext/>
              <w:keepLines/>
            </w:pPr>
            <w:r w:rsidRPr="00D12904">
              <w:t>Societal perspective adopted include</w:t>
            </w:r>
            <w:r w:rsidR="00D113DE" w:rsidRPr="00D12904">
              <w:t>s</w:t>
            </w:r>
            <w:r w:rsidRPr="00D12904">
              <w:t xml:space="preserve"> productivity losses</w:t>
            </w:r>
            <w:r w:rsidR="00D113DE" w:rsidRPr="00D12904">
              <w:t xml:space="preserve"> (base = productivity losses excluded)</w:t>
            </w:r>
          </w:p>
        </w:tc>
        <w:tc>
          <w:tcPr>
            <w:tcW w:w="629" w:type="pct"/>
            <w:vAlign w:val="center"/>
          </w:tcPr>
          <w:p w14:paraId="524ADC4B" w14:textId="4225C5D7" w:rsidR="00E5561C" w:rsidRPr="00D12904" w:rsidRDefault="00E5561C" w:rsidP="00C106B7">
            <w:pPr>
              <w:pStyle w:val="Tabletext"/>
              <w:keepNext/>
              <w:keepLines/>
              <w:jc w:val="center"/>
            </w:pPr>
            <w:r w:rsidRPr="00D12904">
              <w:t>$</w:t>
            </w:r>
            <w:r w:rsidR="0066157F" w:rsidRPr="0066157F">
              <w:rPr>
                <w:rFonts w:hint="eastAsia"/>
                <w:color w:val="000000"/>
                <w:w w:val="24"/>
                <w:shd w:val="solid" w:color="000000" w:fill="000000"/>
                <w:fitText w:val="110" w:id="-894208508"/>
                <w14:textFill>
                  <w14:solidFill>
                    <w14:srgbClr w14:val="000000">
                      <w14:alpha w14:val="100000"/>
                    </w14:srgbClr>
                  </w14:solidFill>
                </w14:textFill>
              </w:rPr>
              <w:t xml:space="preserve">　</w:t>
            </w:r>
            <w:r w:rsidR="0066157F" w:rsidRPr="0066157F">
              <w:rPr>
                <w:color w:val="000000"/>
                <w:w w:val="24"/>
                <w:shd w:val="solid" w:color="000000" w:fill="000000"/>
                <w:fitText w:val="110" w:id="-894208508"/>
                <w14:textFill>
                  <w14:solidFill>
                    <w14:srgbClr w14:val="000000">
                      <w14:alpha w14:val="100000"/>
                    </w14:srgbClr>
                  </w14:solidFill>
                </w14:textFill>
              </w:rPr>
              <w:t>|</w:t>
            </w:r>
            <w:r w:rsidR="0066157F" w:rsidRPr="0066157F">
              <w:rPr>
                <w:rFonts w:hint="eastAsia"/>
                <w:color w:val="000000"/>
                <w:spacing w:val="6"/>
                <w:w w:val="24"/>
                <w:shd w:val="solid" w:color="000000" w:fill="000000"/>
                <w:fitText w:val="110" w:id="-894208508"/>
                <w14:textFill>
                  <w14:solidFill>
                    <w14:srgbClr w14:val="000000">
                      <w14:alpha w14:val="100000"/>
                    </w14:srgbClr>
                  </w14:solidFill>
                </w14:textFill>
              </w:rPr>
              <w:t xml:space="preserve">　</w:t>
            </w:r>
          </w:p>
        </w:tc>
        <w:tc>
          <w:tcPr>
            <w:tcW w:w="550" w:type="pct"/>
            <w:vAlign w:val="center"/>
          </w:tcPr>
          <w:p w14:paraId="1CF20170" w14:textId="77777777" w:rsidR="00E5561C" w:rsidRPr="00D12904" w:rsidRDefault="00E5561C" w:rsidP="00C106B7">
            <w:pPr>
              <w:pStyle w:val="Tabletext"/>
              <w:keepNext/>
              <w:keepLines/>
              <w:jc w:val="center"/>
            </w:pPr>
            <w:r w:rsidRPr="00D12904">
              <w:t>3.25</w:t>
            </w:r>
          </w:p>
        </w:tc>
        <w:tc>
          <w:tcPr>
            <w:tcW w:w="631" w:type="pct"/>
            <w:vAlign w:val="center"/>
          </w:tcPr>
          <w:p w14:paraId="0B2DF783" w14:textId="3181D385" w:rsidR="00E5561C" w:rsidRPr="00D12904" w:rsidRDefault="00E5561C" w:rsidP="00C106B7">
            <w:pPr>
              <w:pStyle w:val="Tabletext"/>
              <w:keepNext/>
              <w:keepLines/>
              <w:jc w:val="center"/>
            </w:pPr>
            <w:r w:rsidRPr="00D12904">
              <w:t>$</w:t>
            </w:r>
            <w:r w:rsidR="0066157F" w:rsidRPr="0066157F">
              <w:rPr>
                <w:color w:val="000000"/>
                <w:spacing w:val="74"/>
                <w:shd w:val="solid" w:color="000000" w:fill="000000"/>
                <w:fitText w:val="160" w:id="-894208507"/>
                <w14:textFill>
                  <w14:solidFill>
                    <w14:srgbClr w14:val="000000">
                      <w14:alpha w14:val="100000"/>
                    </w14:srgbClr>
                  </w14:solidFill>
                </w14:textFill>
              </w:rPr>
              <w:t>|</w:t>
            </w:r>
            <w:r w:rsidR="0066157F" w:rsidRPr="0066157F">
              <w:rPr>
                <w:color w:val="000000"/>
                <w:spacing w:val="1"/>
                <w:shd w:val="solid" w:color="000000" w:fill="000000"/>
                <w:fitText w:val="160" w:id="-894208507"/>
                <w14:textFill>
                  <w14:solidFill>
                    <w14:srgbClr w14:val="000000">
                      <w14:alpha w14:val="100000"/>
                    </w14:srgbClr>
                  </w14:solidFill>
                </w14:textFill>
              </w:rPr>
              <w:t>|</w:t>
            </w:r>
            <w:r w:rsidR="007F1492">
              <w:rPr>
                <w:b/>
                <w:bCs/>
              </w:rPr>
              <w:t xml:space="preserve"> </w:t>
            </w:r>
            <w:r w:rsidR="007F1492">
              <w:rPr>
                <w:b/>
                <w:bCs/>
                <w:vertAlign w:val="superscript"/>
              </w:rPr>
              <w:t>4</w:t>
            </w:r>
          </w:p>
        </w:tc>
        <w:tc>
          <w:tcPr>
            <w:tcW w:w="363" w:type="pct"/>
            <w:vAlign w:val="center"/>
          </w:tcPr>
          <w:p w14:paraId="7D7D1D8D" w14:textId="5452107C" w:rsidR="00E5561C" w:rsidRPr="00D12904" w:rsidRDefault="00E5561C" w:rsidP="00C106B7">
            <w:pPr>
              <w:pStyle w:val="Tabletext"/>
              <w:keepNext/>
              <w:keepLines/>
              <w:jc w:val="center"/>
            </w:pPr>
            <w:r w:rsidRPr="00D12904">
              <w:t>-</w:t>
            </w:r>
            <w:r w:rsidR="0066157F" w:rsidRPr="0066157F">
              <w:rPr>
                <w:color w:val="000000"/>
                <w:spacing w:val="114"/>
                <w:shd w:val="solid" w:color="000000" w:fill="000000"/>
                <w:fitText w:val="200" w:id="-894208506"/>
                <w14:textFill>
                  <w14:solidFill>
                    <w14:srgbClr w14:val="000000">
                      <w14:alpha w14:val="100000"/>
                    </w14:srgbClr>
                  </w14:solidFill>
                </w14:textFill>
              </w:rPr>
              <w:t>|</w:t>
            </w:r>
            <w:r w:rsidR="0066157F" w:rsidRPr="0066157F">
              <w:rPr>
                <w:color w:val="000000"/>
                <w:spacing w:val="1"/>
                <w:shd w:val="solid" w:color="000000" w:fill="000000"/>
                <w:fitText w:val="200" w:id="-894208506"/>
                <w14:textFill>
                  <w14:solidFill>
                    <w14:srgbClr w14:val="000000">
                      <w14:alpha w14:val="100000"/>
                    </w14:srgbClr>
                  </w14:solidFill>
                </w14:textFill>
              </w:rPr>
              <w:t>|</w:t>
            </w:r>
            <w:r w:rsidRPr="00D12904">
              <w:t>%</w:t>
            </w:r>
          </w:p>
        </w:tc>
      </w:tr>
      <w:tr w:rsidR="00E5561C" w:rsidRPr="00D12904" w14:paraId="5679D9C5" w14:textId="77777777" w:rsidTr="00C106B7">
        <w:trPr>
          <w:cantSplit/>
          <w:trHeight w:val="20"/>
        </w:trPr>
        <w:tc>
          <w:tcPr>
            <w:tcW w:w="2827" w:type="pct"/>
            <w:vAlign w:val="center"/>
          </w:tcPr>
          <w:p w14:paraId="0D142BB2" w14:textId="4AD0E205" w:rsidR="00E5561C" w:rsidRPr="00D12904" w:rsidRDefault="00E5561C" w:rsidP="00C106B7">
            <w:pPr>
              <w:pStyle w:val="Tabletext"/>
              <w:keepNext/>
              <w:keepLines/>
            </w:pPr>
            <w:r w:rsidRPr="00D12904">
              <w:t>Age at baseline: 6 months old</w:t>
            </w:r>
            <w:r w:rsidR="00D113DE" w:rsidRPr="00D12904">
              <w:t xml:space="preserve"> (base = mean age of 4.25 years)</w:t>
            </w:r>
          </w:p>
        </w:tc>
        <w:tc>
          <w:tcPr>
            <w:tcW w:w="629" w:type="pct"/>
            <w:vAlign w:val="center"/>
          </w:tcPr>
          <w:p w14:paraId="59DCF82C" w14:textId="35D066B8" w:rsidR="00E5561C" w:rsidRPr="00D12904" w:rsidRDefault="00E5561C" w:rsidP="00C106B7">
            <w:pPr>
              <w:pStyle w:val="Tabletext"/>
              <w:keepNext/>
              <w:keepLines/>
              <w:jc w:val="center"/>
            </w:pPr>
            <w:r w:rsidRPr="00D12904">
              <w:t>$</w:t>
            </w:r>
            <w:r w:rsidR="0066157F" w:rsidRPr="0066157F">
              <w:rPr>
                <w:rFonts w:hint="eastAsia"/>
                <w:color w:val="000000"/>
                <w:w w:val="24"/>
                <w:shd w:val="solid" w:color="000000" w:fill="000000"/>
                <w:fitText w:val="110" w:id="-894208505"/>
                <w14:textFill>
                  <w14:solidFill>
                    <w14:srgbClr w14:val="000000">
                      <w14:alpha w14:val="100000"/>
                    </w14:srgbClr>
                  </w14:solidFill>
                </w14:textFill>
              </w:rPr>
              <w:t xml:space="preserve">　</w:t>
            </w:r>
            <w:r w:rsidR="0066157F" w:rsidRPr="0066157F">
              <w:rPr>
                <w:color w:val="000000"/>
                <w:w w:val="24"/>
                <w:shd w:val="solid" w:color="000000" w:fill="000000"/>
                <w:fitText w:val="110" w:id="-894208505"/>
                <w14:textFill>
                  <w14:solidFill>
                    <w14:srgbClr w14:val="000000">
                      <w14:alpha w14:val="100000"/>
                    </w14:srgbClr>
                  </w14:solidFill>
                </w14:textFill>
              </w:rPr>
              <w:t>|</w:t>
            </w:r>
            <w:r w:rsidR="0066157F" w:rsidRPr="0066157F">
              <w:rPr>
                <w:rFonts w:hint="eastAsia"/>
                <w:color w:val="000000"/>
                <w:spacing w:val="6"/>
                <w:w w:val="24"/>
                <w:shd w:val="solid" w:color="000000" w:fill="000000"/>
                <w:fitText w:val="110" w:id="-894208505"/>
                <w14:textFill>
                  <w14:solidFill>
                    <w14:srgbClr w14:val="000000">
                      <w14:alpha w14:val="100000"/>
                    </w14:srgbClr>
                  </w14:solidFill>
                </w14:textFill>
              </w:rPr>
              <w:t xml:space="preserve">　</w:t>
            </w:r>
          </w:p>
        </w:tc>
        <w:tc>
          <w:tcPr>
            <w:tcW w:w="550" w:type="pct"/>
            <w:vAlign w:val="center"/>
          </w:tcPr>
          <w:p w14:paraId="0D2985C8" w14:textId="77777777" w:rsidR="00E5561C" w:rsidRPr="00D12904" w:rsidRDefault="00E5561C" w:rsidP="00C106B7">
            <w:pPr>
              <w:pStyle w:val="Tabletext"/>
              <w:keepNext/>
              <w:keepLines/>
              <w:jc w:val="center"/>
            </w:pPr>
            <w:r w:rsidRPr="00D12904">
              <w:t>2.73</w:t>
            </w:r>
          </w:p>
        </w:tc>
        <w:tc>
          <w:tcPr>
            <w:tcW w:w="631" w:type="pct"/>
            <w:vAlign w:val="center"/>
          </w:tcPr>
          <w:p w14:paraId="0CFDFC50" w14:textId="3446592B" w:rsidR="00E5561C" w:rsidRPr="00D12904" w:rsidRDefault="00E5561C" w:rsidP="00C106B7">
            <w:pPr>
              <w:pStyle w:val="Tabletext"/>
              <w:keepNext/>
              <w:keepLines/>
              <w:jc w:val="center"/>
            </w:pPr>
            <w:r w:rsidRPr="00D12904">
              <w:t>$</w:t>
            </w:r>
            <w:r w:rsidR="0066157F" w:rsidRPr="0066157F">
              <w:rPr>
                <w:color w:val="000000"/>
                <w:spacing w:val="74"/>
                <w:shd w:val="solid" w:color="000000" w:fill="000000"/>
                <w:fitText w:val="160" w:id="-894208504"/>
                <w14:textFill>
                  <w14:solidFill>
                    <w14:srgbClr w14:val="000000">
                      <w14:alpha w14:val="100000"/>
                    </w14:srgbClr>
                  </w14:solidFill>
                </w14:textFill>
              </w:rPr>
              <w:t>|</w:t>
            </w:r>
            <w:r w:rsidR="0066157F" w:rsidRPr="0066157F">
              <w:rPr>
                <w:color w:val="000000"/>
                <w:spacing w:val="1"/>
                <w:shd w:val="solid" w:color="000000" w:fill="000000"/>
                <w:fitText w:val="160" w:id="-894208504"/>
                <w14:textFill>
                  <w14:solidFill>
                    <w14:srgbClr w14:val="000000">
                      <w14:alpha w14:val="100000"/>
                    </w14:srgbClr>
                  </w14:solidFill>
                </w14:textFill>
              </w:rPr>
              <w:t>|</w:t>
            </w:r>
            <w:r w:rsidR="008916B9">
              <w:rPr>
                <w:b/>
                <w:bCs/>
              </w:rPr>
              <w:t xml:space="preserve"> </w:t>
            </w:r>
            <w:r w:rsidR="008916B9">
              <w:rPr>
                <w:b/>
                <w:bCs/>
                <w:vertAlign w:val="superscript"/>
              </w:rPr>
              <w:t>1</w:t>
            </w:r>
          </w:p>
        </w:tc>
        <w:tc>
          <w:tcPr>
            <w:tcW w:w="363" w:type="pct"/>
            <w:vAlign w:val="center"/>
          </w:tcPr>
          <w:p w14:paraId="06C53473" w14:textId="7EE77C17" w:rsidR="00E5561C" w:rsidRPr="00D12904" w:rsidRDefault="00E5561C" w:rsidP="00C106B7">
            <w:pPr>
              <w:pStyle w:val="Tabletext"/>
              <w:keepNext/>
              <w:keepLines/>
              <w:jc w:val="center"/>
            </w:pPr>
            <w:r w:rsidRPr="00D12904">
              <w:t>-</w:t>
            </w:r>
            <w:r w:rsidR="0066157F" w:rsidRPr="0066157F">
              <w:rPr>
                <w:color w:val="000000"/>
                <w:spacing w:val="114"/>
                <w:shd w:val="solid" w:color="000000" w:fill="000000"/>
                <w:fitText w:val="200" w:id="-894208503"/>
                <w14:textFill>
                  <w14:solidFill>
                    <w14:srgbClr w14:val="000000">
                      <w14:alpha w14:val="100000"/>
                    </w14:srgbClr>
                  </w14:solidFill>
                </w14:textFill>
              </w:rPr>
              <w:t>|</w:t>
            </w:r>
            <w:r w:rsidR="0066157F" w:rsidRPr="0066157F">
              <w:rPr>
                <w:color w:val="000000"/>
                <w:spacing w:val="1"/>
                <w:shd w:val="solid" w:color="000000" w:fill="000000"/>
                <w:fitText w:val="200" w:id="-894208503"/>
                <w14:textFill>
                  <w14:solidFill>
                    <w14:srgbClr w14:val="000000">
                      <w14:alpha w14:val="100000"/>
                    </w14:srgbClr>
                  </w14:solidFill>
                </w14:textFill>
              </w:rPr>
              <w:t>|</w:t>
            </w:r>
            <w:r w:rsidRPr="00D12904">
              <w:t>%</w:t>
            </w:r>
          </w:p>
        </w:tc>
      </w:tr>
      <w:tr w:rsidR="00E5561C" w:rsidRPr="00D12904" w14:paraId="778B1F75" w14:textId="77777777" w:rsidTr="00C106B7">
        <w:trPr>
          <w:cantSplit/>
          <w:trHeight w:val="20"/>
        </w:trPr>
        <w:tc>
          <w:tcPr>
            <w:tcW w:w="4637" w:type="pct"/>
            <w:gridSpan w:val="4"/>
            <w:vAlign w:val="center"/>
          </w:tcPr>
          <w:p w14:paraId="728028D4" w14:textId="417914D9" w:rsidR="00E5561C" w:rsidRPr="00D12904" w:rsidRDefault="00E5561C" w:rsidP="00C106B7">
            <w:pPr>
              <w:pStyle w:val="Tabletext"/>
              <w:keepNext/>
              <w:keepLines/>
              <w:rPr>
                <w:rFonts w:eastAsia="Calibri"/>
                <w:szCs w:val="20"/>
              </w:rPr>
            </w:pPr>
            <w:r w:rsidRPr="00D12904">
              <w:rPr>
                <w:b/>
                <w:bCs/>
              </w:rPr>
              <w:t xml:space="preserve">Additional </w:t>
            </w:r>
            <w:r w:rsidR="00670500" w:rsidRPr="00D12904">
              <w:rPr>
                <w:b/>
                <w:bCs/>
              </w:rPr>
              <w:t xml:space="preserve">sensitivity and </w:t>
            </w:r>
            <w:r w:rsidRPr="00D12904">
              <w:rPr>
                <w:b/>
                <w:bCs/>
              </w:rPr>
              <w:t>scenario analyses conducting during the evaluation</w:t>
            </w:r>
          </w:p>
        </w:tc>
        <w:tc>
          <w:tcPr>
            <w:tcW w:w="363" w:type="pct"/>
            <w:vAlign w:val="center"/>
          </w:tcPr>
          <w:p w14:paraId="39AB3132" w14:textId="77777777" w:rsidR="00E5561C" w:rsidRPr="00D12904" w:rsidRDefault="00E5561C" w:rsidP="00C106B7">
            <w:pPr>
              <w:pStyle w:val="Tabletext"/>
              <w:keepNext/>
              <w:keepLines/>
              <w:jc w:val="center"/>
              <w:rPr>
                <w:b/>
              </w:rPr>
            </w:pPr>
          </w:p>
        </w:tc>
      </w:tr>
      <w:tr w:rsidR="00E5561C" w:rsidRPr="00D12904" w14:paraId="5802C9C9" w14:textId="77777777" w:rsidTr="00C106B7">
        <w:trPr>
          <w:cantSplit/>
          <w:trHeight w:val="20"/>
        </w:trPr>
        <w:tc>
          <w:tcPr>
            <w:tcW w:w="2827" w:type="pct"/>
            <w:vAlign w:val="center"/>
          </w:tcPr>
          <w:p w14:paraId="2F42B29B" w14:textId="77777777" w:rsidR="00E5561C" w:rsidRPr="00D12904" w:rsidRDefault="00E5561C" w:rsidP="00C106B7">
            <w:pPr>
              <w:pStyle w:val="Tabletext"/>
              <w:keepNext/>
              <w:keepLines/>
            </w:pPr>
            <w:r w:rsidRPr="00D12904">
              <w:t>A1: Worse-case scenario: 100% discontinuation odevixibat</w:t>
            </w:r>
          </w:p>
        </w:tc>
        <w:tc>
          <w:tcPr>
            <w:tcW w:w="629" w:type="pct"/>
            <w:vAlign w:val="center"/>
          </w:tcPr>
          <w:p w14:paraId="2CCABBC0" w14:textId="3B759C91" w:rsidR="00E5561C" w:rsidRPr="00D12904" w:rsidRDefault="00E5561C" w:rsidP="00C106B7">
            <w:pPr>
              <w:pStyle w:val="Tabletext"/>
              <w:keepNext/>
              <w:keepLines/>
              <w:jc w:val="center"/>
              <w:rPr>
                <w:rFonts w:eastAsia="Calibri"/>
                <w:szCs w:val="20"/>
              </w:rPr>
            </w:pPr>
            <w:r w:rsidRPr="00D12904">
              <w:t>$</w:t>
            </w:r>
            <w:r w:rsidR="0066157F" w:rsidRPr="0066157F">
              <w:rPr>
                <w:rFonts w:hint="eastAsia"/>
                <w:color w:val="000000"/>
                <w:w w:val="24"/>
                <w:shd w:val="solid" w:color="000000" w:fill="000000"/>
                <w:fitText w:val="110" w:id="-894208502"/>
                <w14:textFill>
                  <w14:solidFill>
                    <w14:srgbClr w14:val="000000">
                      <w14:alpha w14:val="100000"/>
                    </w14:srgbClr>
                  </w14:solidFill>
                </w14:textFill>
              </w:rPr>
              <w:t xml:space="preserve">　</w:t>
            </w:r>
            <w:r w:rsidR="0066157F" w:rsidRPr="0066157F">
              <w:rPr>
                <w:color w:val="000000"/>
                <w:w w:val="24"/>
                <w:shd w:val="solid" w:color="000000" w:fill="000000"/>
                <w:fitText w:val="110" w:id="-894208502"/>
                <w14:textFill>
                  <w14:solidFill>
                    <w14:srgbClr w14:val="000000">
                      <w14:alpha w14:val="100000"/>
                    </w14:srgbClr>
                  </w14:solidFill>
                </w14:textFill>
              </w:rPr>
              <w:t>|</w:t>
            </w:r>
            <w:r w:rsidR="0066157F" w:rsidRPr="0066157F">
              <w:rPr>
                <w:rFonts w:hint="eastAsia"/>
                <w:color w:val="000000"/>
                <w:spacing w:val="6"/>
                <w:w w:val="24"/>
                <w:shd w:val="solid" w:color="000000" w:fill="000000"/>
                <w:fitText w:val="110" w:id="-894208502"/>
                <w14:textFill>
                  <w14:solidFill>
                    <w14:srgbClr w14:val="000000">
                      <w14:alpha w14:val="100000"/>
                    </w14:srgbClr>
                  </w14:solidFill>
                </w14:textFill>
              </w:rPr>
              <w:t xml:space="preserve">　</w:t>
            </w:r>
          </w:p>
        </w:tc>
        <w:tc>
          <w:tcPr>
            <w:tcW w:w="550" w:type="pct"/>
            <w:vAlign w:val="center"/>
          </w:tcPr>
          <w:p w14:paraId="78918D9D" w14:textId="77777777" w:rsidR="00E5561C" w:rsidRPr="00D12904" w:rsidRDefault="00E5561C" w:rsidP="00C106B7">
            <w:pPr>
              <w:pStyle w:val="Tabletext"/>
              <w:keepNext/>
              <w:keepLines/>
              <w:jc w:val="center"/>
              <w:rPr>
                <w:rFonts w:eastAsia="Calibri"/>
                <w:szCs w:val="20"/>
              </w:rPr>
            </w:pPr>
            <w:r w:rsidRPr="00D12904">
              <w:t>1.26</w:t>
            </w:r>
          </w:p>
        </w:tc>
        <w:tc>
          <w:tcPr>
            <w:tcW w:w="631" w:type="pct"/>
            <w:vAlign w:val="center"/>
          </w:tcPr>
          <w:p w14:paraId="02F2AA36" w14:textId="28179126" w:rsidR="00E5561C" w:rsidRPr="00D12904" w:rsidRDefault="00E5561C" w:rsidP="00C106B7">
            <w:pPr>
              <w:pStyle w:val="Tabletext"/>
              <w:keepNext/>
              <w:keepLines/>
              <w:jc w:val="center"/>
              <w:rPr>
                <w:rFonts w:eastAsia="Calibri"/>
                <w:szCs w:val="20"/>
              </w:rPr>
            </w:pPr>
            <w:r w:rsidRPr="00D12904">
              <w:t>$</w:t>
            </w:r>
            <w:r w:rsidR="0066157F" w:rsidRPr="0066157F">
              <w:rPr>
                <w:color w:val="000000"/>
                <w:spacing w:val="74"/>
                <w:shd w:val="solid" w:color="000000" w:fill="000000"/>
                <w:fitText w:val="160" w:id="-894208501"/>
                <w14:textFill>
                  <w14:solidFill>
                    <w14:srgbClr w14:val="000000">
                      <w14:alpha w14:val="100000"/>
                    </w14:srgbClr>
                  </w14:solidFill>
                </w14:textFill>
              </w:rPr>
              <w:t>|</w:t>
            </w:r>
            <w:r w:rsidR="0066157F" w:rsidRPr="0066157F">
              <w:rPr>
                <w:color w:val="000000"/>
                <w:spacing w:val="1"/>
                <w:shd w:val="solid" w:color="000000" w:fill="000000"/>
                <w:fitText w:val="160" w:id="-894208501"/>
                <w14:textFill>
                  <w14:solidFill>
                    <w14:srgbClr w14:val="000000">
                      <w14:alpha w14:val="100000"/>
                    </w14:srgbClr>
                  </w14:solidFill>
                </w14:textFill>
              </w:rPr>
              <w:t>|</w:t>
            </w:r>
            <w:r w:rsidR="007F1492">
              <w:rPr>
                <w:b/>
                <w:bCs/>
              </w:rPr>
              <w:t xml:space="preserve"> </w:t>
            </w:r>
            <w:r w:rsidR="007F1492">
              <w:rPr>
                <w:b/>
                <w:bCs/>
                <w:vertAlign w:val="superscript"/>
              </w:rPr>
              <w:t>5</w:t>
            </w:r>
          </w:p>
        </w:tc>
        <w:tc>
          <w:tcPr>
            <w:tcW w:w="363" w:type="pct"/>
            <w:vAlign w:val="center"/>
          </w:tcPr>
          <w:p w14:paraId="32789BEE" w14:textId="214AE9D8" w:rsidR="00E5561C" w:rsidRPr="00D12904" w:rsidRDefault="00E5561C" w:rsidP="00C106B7">
            <w:pPr>
              <w:pStyle w:val="Tabletext"/>
              <w:keepNext/>
              <w:keepLines/>
              <w:jc w:val="center"/>
            </w:pPr>
            <w:r w:rsidRPr="00D12904">
              <w:t>-</w:t>
            </w:r>
            <w:r w:rsidR="0066157F" w:rsidRPr="0066157F">
              <w:rPr>
                <w:color w:val="000000"/>
                <w:spacing w:val="114"/>
                <w:shd w:val="solid" w:color="000000" w:fill="000000"/>
                <w:fitText w:val="200" w:id="-894208500"/>
                <w14:textFill>
                  <w14:solidFill>
                    <w14:srgbClr w14:val="000000">
                      <w14:alpha w14:val="100000"/>
                    </w14:srgbClr>
                  </w14:solidFill>
                </w14:textFill>
              </w:rPr>
              <w:t>|</w:t>
            </w:r>
            <w:r w:rsidR="0066157F" w:rsidRPr="0066157F">
              <w:rPr>
                <w:color w:val="000000"/>
                <w:spacing w:val="1"/>
                <w:shd w:val="solid" w:color="000000" w:fill="000000"/>
                <w:fitText w:val="200" w:id="-894208500"/>
                <w14:textFill>
                  <w14:solidFill>
                    <w14:srgbClr w14:val="000000">
                      <w14:alpha w14:val="100000"/>
                    </w14:srgbClr>
                  </w14:solidFill>
                </w14:textFill>
              </w:rPr>
              <w:t>|</w:t>
            </w:r>
            <w:r w:rsidRPr="00D12904">
              <w:t>%</w:t>
            </w:r>
          </w:p>
        </w:tc>
      </w:tr>
      <w:tr w:rsidR="00E5561C" w:rsidRPr="00D12904" w14:paraId="71782F8D" w14:textId="77777777" w:rsidTr="00C106B7">
        <w:trPr>
          <w:cantSplit/>
          <w:trHeight w:val="20"/>
        </w:trPr>
        <w:tc>
          <w:tcPr>
            <w:tcW w:w="2827" w:type="pct"/>
            <w:vAlign w:val="center"/>
          </w:tcPr>
          <w:p w14:paraId="6CD739AE" w14:textId="1795716D" w:rsidR="00E5561C" w:rsidRPr="00D12904" w:rsidRDefault="00E5561C" w:rsidP="00C106B7">
            <w:pPr>
              <w:pStyle w:val="Tabletext"/>
              <w:keepNext/>
              <w:keepLines/>
            </w:pPr>
            <w:r w:rsidRPr="00D12904">
              <w:t>A</w:t>
            </w:r>
            <w:r w:rsidR="00517DC0" w:rsidRPr="00D12904">
              <w:t>2</w:t>
            </w:r>
            <w:r w:rsidRPr="00D12904">
              <w:t>: Informing inputs using PEDFIC and NAPPED (i.e., do not use OvEC)</w:t>
            </w:r>
          </w:p>
        </w:tc>
        <w:tc>
          <w:tcPr>
            <w:tcW w:w="629" w:type="pct"/>
            <w:vAlign w:val="center"/>
          </w:tcPr>
          <w:p w14:paraId="17CCB216" w14:textId="2AEF1DDB" w:rsidR="00E5561C" w:rsidRPr="00D12904" w:rsidRDefault="00E5561C" w:rsidP="00C106B7">
            <w:pPr>
              <w:pStyle w:val="Tabletext"/>
              <w:keepNext/>
              <w:keepLines/>
              <w:jc w:val="center"/>
            </w:pPr>
            <w:r w:rsidRPr="00D12904">
              <w:t>$</w:t>
            </w:r>
            <w:r w:rsidR="0066157F" w:rsidRPr="0066157F">
              <w:rPr>
                <w:rFonts w:hint="eastAsia"/>
                <w:color w:val="000000"/>
                <w:w w:val="24"/>
                <w:shd w:val="solid" w:color="000000" w:fill="000000"/>
                <w:fitText w:val="110" w:id="-894208499"/>
                <w14:textFill>
                  <w14:solidFill>
                    <w14:srgbClr w14:val="000000">
                      <w14:alpha w14:val="100000"/>
                    </w14:srgbClr>
                  </w14:solidFill>
                </w14:textFill>
              </w:rPr>
              <w:t xml:space="preserve">　</w:t>
            </w:r>
            <w:r w:rsidR="0066157F" w:rsidRPr="0066157F">
              <w:rPr>
                <w:color w:val="000000"/>
                <w:w w:val="24"/>
                <w:shd w:val="solid" w:color="000000" w:fill="000000"/>
                <w:fitText w:val="110" w:id="-894208499"/>
                <w14:textFill>
                  <w14:solidFill>
                    <w14:srgbClr w14:val="000000">
                      <w14:alpha w14:val="100000"/>
                    </w14:srgbClr>
                  </w14:solidFill>
                </w14:textFill>
              </w:rPr>
              <w:t>|</w:t>
            </w:r>
            <w:r w:rsidR="0066157F" w:rsidRPr="0066157F">
              <w:rPr>
                <w:rFonts w:hint="eastAsia"/>
                <w:color w:val="000000"/>
                <w:spacing w:val="6"/>
                <w:w w:val="24"/>
                <w:shd w:val="solid" w:color="000000" w:fill="000000"/>
                <w:fitText w:val="110" w:id="-894208499"/>
                <w14:textFill>
                  <w14:solidFill>
                    <w14:srgbClr w14:val="000000">
                      <w14:alpha w14:val="100000"/>
                    </w14:srgbClr>
                  </w14:solidFill>
                </w14:textFill>
              </w:rPr>
              <w:t xml:space="preserve">　</w:t>
            </w:r>
          </w:p>
        </w:tc>
        <w:tc>
          <w:tcPr>
            <w:tcW w:w="550" w:type="pct"/>
            <w:vAlign w:val="center"/>
          </w:tcPr>
          <w:p w14:paraId="22D8C2CC" w14:textId="77777777" w:rsidR="00E5561C" w:rsidRPr="00D12904" w:rsidRDefault="00E5561C" w:rsidP="00C106B7">
            <w:pPr>
              <w:pStyle w:val="Tabletext"/>
              <w:keepNext/>
              <w:keepLines/>
              <w:jc w:val="center"/>
            </w:pPr>
            <w:r w:rsidRPr="00D12904">
              <w:t>2.25</w:t>
            </w:r>
          </w:p>
        </w:tc>
        <w:tc>
          <w:tcPr>
            <w:tcW w:w="631" w:type="pct"/>
            <w:vAlign w:val="center"/>
          </w:tcPr>
          <w:p w14:paraId="70B5C68D" w14:textId="4DFB4C33" w:rsidR="00E5561C" w:rsidRPr="00D12904" w:rsidRDefault="00E5561C" w:rsidP="00C106B7">
            <w:pPr>
              <w:pStyle w:val="Tabletext"/>
              <w:keepNext/>
              <w:keepLines/>
              <w:jc w:val="center"/>
            </w:pPr>
            <w:r w:rsidRPr="00D12904">
              <w:t>$</w:t>
            </w:r>
            <w:r w:rsidR="0066157F" w:rsidRPr="0066157F">
              <w:rPr>
                <w:color w:val="000000"/>
                <w:spacing w:val="74"/>
                <w:shd w:val="solid" w:color="000000" w:fill="000000"/>
                <w:fitText w:val="160" w:id="-894208498"/>
                <w14:textFill>
                  <w14:solidFill>
                    <w14:srgbClr w14:val="000000">
                      <w14:alpha w14:val="100000"/>
                    </w14:srgbClr>
                  </w14:solidFill>
                </w14:textFill>
              </w:rPr>
              <w:t>|</w:t>
            </w:r>
            <w:r w:rsidR="0066157F" w:rsidRPr="0066157F">
              <w:rPr>
                <w:color w:val="000000"/>
                <w:spacing w:val="1"/>
                <w:shd w:val="solid" w:color="000000" w:fill="000000"/>
                <w:fitText w:val="160" w:id="-894208498"/>
                <w14:textFill>
                  <w14:solidFill>
                    <w14:srgbClr w14:val="000000">
                      <w14:alpha w14:val="100000"/>
                    </w14:srgbClr>
                  </w14:solidFill>
                </w14:textFill>
              </w:rPr>
              <w:t>|</w:t>
            </w:r>
            <w:r w:rsidR="008916B9">
              <w:rPr>
                <w:b/>
                <w:bCs/>
              </w:rPr>
              <w:t xml:space="preserve"> </w:t>
            </w:r>
            <w:r w:rsidR="008916B9">
              <w:rPr>
                <w:b/>
                <w:bCs/>
                <w:vertAlign w:val="superscript"/>
              </w:rPr>
              <w:t>1</w:t>
            </w:r>
          </w:p>
        </w:tc>
        <w:tc>
          <w:tcPr>
            <w:tcW w:w="363" w:type="pct"/>
            <w:vAlign w:val="center"/>
          </w:tcPr>
          <w:p w14:paraId="088F0324" w14:textId="19BDE9F0" w:rsidR="00E5561C" w:rsidRPr="00D12904" w:rsidRDefault="00E5561C" w:rsidP="00C106B7">
            <w:pPr>
              <w:pStyle w:val="Tabletext"/>
              <w:keepNext/>
              <w:keepLines/>
              <w:jc w:val="center"/>
            </w:pPr>
            <w:r w:rsidRPr="00D12904">
              <w:t>+</w:t>
            </w:r>
            <w:r w:rsidR="0066157F" w:rsidRPr="0066157F">
              <w:rPr>
                <w:rFonts w:hint="eastAsia"/>
                <w:color w:val="000000"/>
                <w:spacing w:val="44"/>
                <w:w w:val="18"/>
                <w:shd w:val="solid" w:color="000000" w:fill="000000"/>
                <w:fitText w:val="80" w:id="-894208497"/>
                <w14:textFill>
                  <w14:solidFill>
                    <w14:srgbClr w14:val="000000">
                      <w14:alpha w14:val="100000"/>
                    </w14:srgbClr>
                  </w14:solidFill>
                </w14:textFill>
              </w:rPr>
              <w:t xml:space="preserve">　</w:t>
            </w:r>
            <w:r w:rsidR="0066157F" w:rsidRPr="0066157F">
              <w:rPr>
                <w:rFonts w:hint="eastAsia"/>
                <w:color w:val="000000"/>
                <w:w w:val="31"/>
                <w:shd w:val="solid" w:color="000000" w:fill="000000"/>
                <w:fitText w:val="140" w:id="-894208496"/>
                <w14:textFill>
                  <w14:solidFill>
                    <w14:srgbClr w14:val="000000">
                      <w14:alpha w14:val="100000"/>
                    </w14:srgbClr>
                  </w14:solidFill>
                </w14:textFill>
              </w:rPr>
              <w:t xml:space="preserve">　</w:t>
            </w:r>
            <w:r w:rsidR="0066157F" w:rsidRPr="0066157F">
              <w:rPr>
                <w:color w:val="000000"/>
                <w:w w:val="31"/>
                <w:shd w:val="solid" w:color="000000" w:fill="000000"/>
                <w:fitText w:val="140" w:id="-894208496"/>
                <w14:textFill>
                  <w14:solidFill>
                    <w14:srgbClr w14:val="000000">
                      <w14:alpha w14:val="100000"/>
                    </w14:srgbClr>
                  </w14:solidFill>
                </w14:textFill>
              </w:rPr>
              <w:t>|</w:t>
            </w:r>
            <w:r w:rsidR="0066157F" w:rsidRPr="0066157F">
              <w:rPr>
                <w:rFonts w:hint="eastAsia"/>
                <w:color w:val="000000"/>
                <w:spacing w:val="4"/>
                <w:w w:val="31"/>
                <w:shd w:val="solid" w:color="000000" w:fill="000000"/>
                <w:fitText w:val="140" w:id="-894208496"/>
                <w14:textFill>
                  <w14:solidFill>
                    <w14:srgbClr w14:val="000000">
                      <w14:alpha w14:val="100000"/>
                    </w14:srgbClr>
                  </w14:solidFill>
                </w14:textFill>
              </w:rPr>
              <w:t xml:space="preserve">　</w:t>
            </w:r>
            <w:r w:rsidRPr="00D12904">
              <w:t>%</w:t>
            </w:r>
          </w:p>
        </w:tc>
      </w:tr>
      <w:tr w:rsidR="00670500" w:rsidRPr="00D12904" w14:paraId="47BC70BF" w14:textId="77777777" w:rsidTr="00C106B7">
        <w:trPr>
          <w:cantSplit/>
          <w:trHeight w:val="20"/>
        </w:trPr>
        <w:tc>
          <w:tcPr>
            <w:tcW w:w="2827" w:type="pct"/>
            <w:vAlign w:val="center"/>
          </w:tcPr>
          <w:p w14:paraId="24C45B04" w14:textId="6B41ADBF" w:rsidR="00670500" w:rsidRPr="00D12904" w:rsidRDefault="00670500" w:rsidP="00C106B7">
            <w:pPr>
              <w:pStyle w:val="Tabletext"/>
              <w:keepNext/>
              <w:keepLines/>
            </w:pPr>
            <w:r w:rsidRPr="00D12904">
              <w:t>A</w:t>
            </w:r>
            <w:r w:rsidR="00517DC0" w:rsidRPr="00D12904">
              <w:t>3</w:t>
            </w:r>
            <w:r w:rsidRPr="00D12904">
              <w:t xml:space="preserve">: </w:t>
            </w:r>
            <w:r w:rsidR="00002FBB" w:rsidRPr="00D12904">
              <w:t>Assumed a f</w:t>
            </w:r>
            <w:r w:rsidRPr="00D12904">
              <w:t xml:space="preserve">lat </w:t>
            </w:r>
            <w:r w:rsidR="00002FBB" w:rsidRPr="00D12904">
              <w:t>cost for odevixibat (i.e., assumed the cost of the 120 mcg/kg/day dose was equal to the 40 mcg/kg/day dose)</w:t>
            </w:r>
          </w:p>
        </w:tc>
        <w:tc>
          <w:tcPr>
            <w:tcW w:w="629" w:type="pct"/>
            <w:vAlign w:val="center"/>
          </w:tcPr>
          <w:p w14:paraId="1BE4781B" w14:textId="5955C8A4" w:rsidR="00670500" w:rsidRPr="00D12904" w:rsidRDefault="005F6714" w:rsidP="00C106B7">
            <w:pPr>
              <w:pStyle w:val="Tabletext"/>
              <w:keepNext/>
              <w:keepLines/>
              <w:jc w:val="center"/>
            </w:pPr>
            <w:r w:rsidRPr="00D12904">
              <w:t>$</w:t>
            </w:r>
            <w:r w:rsidR="0066157F" w:rsidRPr="0066157F">
              <w:rPr>
                <w:rFonts w:hint="eastAsia"/>
                <w:color w:val="000000"/>
                <w:w w:val="24"/>
                <w:shd w:val="solid" w:color="000000" w:fill="000000"/>
                <w:fitText w:val="110" w:id="-894208512"/>
                <w14:textFill>
                  <w14:solidFill>
                    <w14:srgbClr w14:val="000000">
                      <w14:alpha w14:val="100000"/>
                    </w14:srgbClr>
                  </w14:solidFill>
                </w14:textFill>
              </w:rPr>
              <w:t xml:space="preserve">　</w:t>
            </w:r>
            <w:r w:rsidR="0066157F" w:rsidRPr="0066157F">
              <w:rPr>
                <w:color w:val="000000"/>
                <w:w w:val="24"/>
                <w:shd w:val="solid" w:color="000000" w:fill="000000"/>
                <w:fitText w:val="110" w:id="-894208512"/>
                <w14:textFill>
                  <w14:solidFill>
                    <w14:srgbClr w14:val="000000">
                      <w14:alpha w14:val="100000"/>
                    </w14:srgbClr>
                  </w14:solidFill>
                </w14:textFill>
              </w:rPr>
              <w:t>|</w:t>
            </w:r>
            <w:r w:rsidR="0066157F" w:rsidRPr="0066157F">
              <w:rPr>
                <w:rFonts w:hint="eastAsia"/>
                <w:color w:val="000000"/>
                <w:spacing w:val="6"/>
                <w:w w:val="24"/>
                <w:shd w:val="solid" w:color="000000" w:fill="000000"/>
                <w:fitText w:val="110" w:id="-894208512"/>
                <w14:textFill>
                  <w14:solidFill>
                    <w14:srgbClr w14:val="000000">
                      <w14:alpha w14:val="100000"/>
                    </w14:srgbClr>
                  </w14:solidFill>
                </w14:textFill>
              </w:rPr>
              <w:t xml:space="preserve">　</w:t>
            </w:r>
          </w:p>
        </w:tc>
        <w:tc>
          <w:tcPr>
            <w:tcW w:w="550" w:type="pct"/>
            <w:vAlign w:val="center"/>
          </w:tcPr>
          <w:p w14:paraId="26E05A82" w14:textId="27B64721" w:rsidR="00670500" w:rsidRPr="00D12904" w:rsidRDefault="005F6714" w:rsidP="00C106B7">
            <w:pPr>
              <w:pStyle w:val="Tabletext"/>
              <w:keepNext/>
              <w:keepLines/>
              <w:jc w:val="center"/>
            </w:pPr>
            <w:r w:rsidRPr="00D12904">
              <w:t>2.73</w:t>
            </w:r>
          </w:p>
        </w:tc>
        <w:tc>
          <w:tcPr>
            <w:tcW w:w="631" w:type="pct"/>
            <w:vAlign w:val="center"/>
          </w:tcPr>
          <w:p w14:paraId="07FCF7A2" w14:textId="381FF3C4" w:rsidR="00670500" w:rsidRPr="00D12904" w:rsidRDefault="005F6714" w:rsidP="00C106B7">
            <w:pPr>
              <w:pStyle w:val="Tabletext"/>
              <w:keepNext/>
              <w:keepLines/>
              <w:jc w:val="center"/>
            </w:pPr>
            <w:r w:rsidRPr="00D12904">
              <w:t>$</w:t>
            </w:r>
            <w:r w:rsidR="0066157F" w:rsidRPr="0066157F">
              <w:rPr>
                <w:color w:val="000000"/>
                <w:spacing w:val="74"/>
                <w:shd w:val="solid" w:color="000000" w:fill="000000"/>
                <w:fitText w:val="160" w:id="-894208511"/>
                <w14:textFill>
                  <w14:solidFill>
                    <w14:srgbClr w14:val="000000">
                      <w14:alpha w14:val="100000"/>
                    </w14:srgbClr>
                  </w14:solidFill>
                </w14:textFill>
              </w:rPr>
              <w:t>|</w:t>
            </w:r>
            <w:r w:rsidR="0066157F" w:rsidRPr="0066157F">
              <w:rPr>
                <w:color w:val="000000"/>
                <w:spacing w:val="1"/>
                <w:shd w:val="solid" w:color="000000" w:fill="000000"/>
                <w:fitText w:val="160" w:id="-894208511"/>
                <w14:textFill>
                  <w14:solidFill>
                    <w14:srgbClr w14:val="000000">
                      <w14:alpha w14:val="100000"/>
                    </w14:srgbClr>
                  </w14:solidFill>
                </w14:textFill>
              </w:rPr>
              <w:t>|</w:t>
            </w:r>
            <w:r w:rsidR="007F1492">
              <w:rPr>
                <w:b/>
                <w:bCs/>
              </w:rPr>
              <w:t xml:space="preserve"> </w:t>
            </w:r>
            <w:r w:rsidR="007F1492">
              <w:rPr>
                <w:b/>
                <w:bCs/>
                <w:vertAlign w:val="superscript"/>
              </w:rPr>
              <w:t>3</w:t>
            </w:r>
          </w:p>
        </w:tc>
        <w:tc>
          <w:tcPr>
            <w:tcW w:w="363" w:type="pct"/>
            <w:vAlign w:val="center"/>
          </w:tcPr>
          <w:p w14:paraId="0EB4C37E" w14:textId="4F0C07E9" w:rsidR="00670500" w:rsidRPr="00D12904" w:rsidRDefault="005F6714" w:rsidP="00C106B7">
            <w:pPr>
              <w:pStyle w:val="Tabletext"/>
              <w:keepNext/>
              <w:keepLines/>
              <w:jc w:val="center"/>
            </w:pPr>
            <w:r w:rsidRPr="00D12904">
              <w:t>-</w:t>
            </w:r>
            <w:r w:rsidR="0066157F" w:rsidRPr="0066157F">
              <w:rPr>
                <w:color w:val="000000"/>
                <w:spacing w:val="114"/>
                <w:shd w:val="solid" w:color="000000" w:fill="000000"/>
                <w:fitText w:val="200" w:id="-894208510"/>
                <w14:textFill>
                  <w14:solidFill>
                    <w14:srgbClr w14:val="000000">
                      <w14:alpha w14:val="100000"/>
                    </w14:srgbClr>
                  </w14:solidFill>
                </w14:textFill>
              </w:rPr>
              <w:t>|</w:t>
            </w:r>
            <w:r w:rsidR="0066157F" w:rsidRPr="0066157F">
              <w:rPr>
                <w:color w:val="000000"/>
                <w:spacing w:val="1"/>
                <w:shd w:val="solid" w:color="000000" w:fill="000000"/>
                <w:fitText w:val="200" w:id="-894208510"/>
                <w14:textFill>
                  <w14:solidFill>
                    <w14:srgbClr w14:val="000000">
                      <w14:alpha w14:val="100000"/>
                    </w14:srgbClr>
                  </w14:solidFill>
                </w14:textFill>
              </w:rPr>
              <w:t>|</w:t>
            </w:r>
            <w:r w:rsidRPr="00D12904">
              <w:t>%</w:t>
            </w:r>
          </w:p>
        </w:tc>
      </w:tr>
    </w:tbl>
    <w:p w14:paraId="2AC52C42" w14:textId="77777777" w:rsidR="00E5561C" w:rsidRPr="00D12904" w:rsidRDefault="00E5561C" w:rsidP="00C106B7">
      <w:pPr>
        <w:pStyle w:val="TableFigureFooter"/>
        <w:keepNext/>
        <w:keepLines/>
        <w:rPr>
          <w:rStyle w:val="CommentReference"/>
        </w:rPr>
      </w:pPr>
      <w:r w:rsidRPr="00D12904">
        <w:t>Source: Tables 3-60 and 3-61, p172; Table 3-63, p174 of the submission</w:t>
      </w:r>
    </w:p>
    <w:p w14:paraId="693FB984" w14:textId="433377D0" w:rsidR="00E5561C" w:rsidRPr="00D12904" w:rsidRDefault="00DE7B08" w:rsidP="00C106B7">
      <w:pPr>
        <w:pStyle w:val="TableFigureFooter"/>
        <w:keepNext/>
        <w:keepLines/>
        <w:rPr>
          <w:rFonts w:eastAsia="Calibri"/>
          <w:szCs w:val="20"/>
        </w:rPr>
      </w:pPr>
      <w:r>
        <w:rPr>
          <w:rFonts w:eastAsia="Calibri"/>
          <w:szCs w:val="20"/>
        </w:rPr>
        <w:t xml:space="preserve">ICER = incremental cost-effectiveness ratio; </w:t>
      </w:r>
      <w:r w:rsidRPr="00D33C2C">
        <w:t xml:space="preserve">PEBD = </w:t>
      </w:r>
      <w:r>
        <w:t>p</w:t>
      </w:r>
      <w:r w:rsidRPr="00D33C2C">
        <w:t>artial external biliary diversion;</w:t>
      </w:r>
      <w:r>
        <w:t xml:space="preserve"> </w:t>
      </w:r>
      <w:r w:rsidR="00E5561C" w:rsidRPr="00D12904">
        <w:rPr>
          <w:rFonts w:eastAsia="Calibri"/>
          <w:szCs w:val="20"/>
        </w:rPr>
        <w:t>QALY = quality adjusted life year.</w:t>
      </w:r>
    </w:p>
    <w:p w14:paraId="4CBCD91D" w14:textId="77777777" w:rsidR="00E5561C" w:rsidRPr="00D12904" w:rsidRDefault="00E5561C" w:rsidP="00C106B7">
      <w:pPr>
        <w:pStyle w:val="TableFigureFooter"/>
        <w:keepNext/>
        <w:keepLines/>
      </w:pPr>
      <w:r w:rsidRPr="00D12904">
        <w:t>A1: Set Cell D26 ‘Clinical data – Efficacy’ worksheet to 100%</w:t>
      </w:r>
    </w:p>
    <w:p w14:paraId="513ABBDA" w14:textId="5EA402C5" w:rsidR="00E5561C" w:rsidRPr="00D12904" w:rsidRDefault="00E5561C" w:rsidP="00C106B7">
      <w:pPr>
        <w:pStyle w:val="TableFigureFooter"/>
        <w:keepNext/>
        <w:keepLines/>
      </w:pPr>
      <w:r w:rsidRPr="00D12904">
        <w:t>A</w:t>
      </w:r>
      <w:r w:rsidR="00517DC0" w:rsidRPr="00D12904">
        <w:t>2</w:t>
      </w:r>
      <w:r w:rsidRPr="00D12904">
        <w:t xml:space="preserve">: unselect Cell B22 ‘Key results’ worksheet (see </w:t>
      </w:r>
      <w:r w:rsidRPr="00D12904">
        <w:fldChar w:fldCharType="begin"/>
      </w:r>
      <w:r w:rsidRPr="00D12904">
        <w:instrText xml:space="preserve"> REF _Ref164628236 \h  \* MERGEFORMAT </w:instrText>
      </w:r>
      <w:r w:rsidRPr="00D12904">
        <w:fldChar w:fldCharType="separate"/>
      </w:r>
      <w:r w:rsidR="008B4717" w:rsidRPr="00D33C2C">
        <w:t xml:space="preserve">Table </w:t>
      </w:r>
      <w:r w:rsidR="008B4717">
        <w:rPr>
          <w:noProof/>
        </w:rPr>
        <w:t>12</w:t>
      </w:r>
      <w:r w:rsidRPr="00D12904">
        <w:fldChar w:fldCharType="end"/>
      </w:r>
      <w:r w:rsidRPr="00D12904">
        <w:t xml:space="preserve"> for comparison of inputs)</w:t>
      </w:r>
    </w:p>
    <w:p w14:paraId="25FDEC83" w14:textId="1F20AC69" w:rsidR="00670500" w:rsidRDefault="00670500" w:rsidP="00C106B7">
      <w:pPr>
        <w:pStyle w:val="TableFigureFooter"/>
        <w:keepNext/>
        <w:keepLines/>
        <w:spacing w:after="0"/>
      </w:pPr>
      <w:r w:rsidRPr="00D12904">
        <w:t>A</w:t>
      </w:r>
      <w:r w:rsidR="00517DC0" w:rsidRPr="00D12904">
        <w:t>3:</w:t>
      </w:r>
      <w:r w:rsidRPr="00D12904">
        <w:t xml:space="preserve"> </w:t>
      </w:r>
      <w:r w:rsidR="005F6714" w:rsidRPr="00D12904">
        <w:t xml:space="preserve">Set Cells G12:G24 to equal F12:F24 in ‘General population’ worksheet </w:t>
      </w:r>
    </w:p>
    <w:p w14:paraId="2003EDCD" w14:textId="77777777" w:rsidR="00C949F5" w:rsidRPr="009A6D58" w:rsidRDefault="00C949F5" w:rsidP="00C106B7">
      <w:pPr>
        <w:keepNext/>
        <w:keepLines/>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1C696DB" w14:textId="5DF9C9E2" w:rsidR="00C949F5" w:rsidRPr="009A6D58" w:rsidRDefault="00C949F5" w:rsidP="00C106B7">
      <w:pPr>
        <w:keepNext/>
        <w:keepLines/>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1A734A" w:rsidRPr="001A734A">
        <w:rPr>
          <w:rFonts w:ascii="Arial Narrow" w:hAnsi="Arial Narrow"/>
          <w:i/>
          <w:sz w:val="18"/>
          <w:szCs w:val="18"/>
        </w:rPr>
        <w:t>&gt; $1,055,000</w:t>
      </w:r>
    </w:p>
    <w:p w14:paraId="4A96310A" w14:textId="6EEF53B6" w:rsidR="00C949F5" w:rsidRPr="009A6D58" w:rsidRDefault="00C949F5" w:rsidP="00C106B7">
      <w:pPr>
        <w:keepNext/>
        <w:keepLines/>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8636C6" w:rsidRPr="008636C6">
        <w:rPr>
          <w:rFonts w:ascii="Arial Narrow" w:hAnsi="Arial Narrow"/>
          <w:i/>
          <w:sz w:val="18"/>
          <w:szCs w:val="18"/>
        </w:rPr>
        <w:t>$655,000 to &lt; $755,000</w:t>
      </w:r>
    </w:p>
    <w:p w14:paraId="7EE43288" w14:textId="1FFD1146" w:rsidR="00C949F5" w:rsidRDefault="00C949F5" w:rsidP="00C106B7">
      <w:pPr>
        <w:keepNext/>
        <w:keepLines/>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7A7C9E" w:rsidRPr="007A7C9E">
        <w:rPr>
          <w:rFonts w:ascii="Arial Narrow" w:hAnsi="Arial Narrow"/>
          <w:i/>
          <w:sz w:val="18"/>
          <w:szCs w:val="18"/>
        </w:rPr>
        <w:t>$755,000 to &lt; $855,000</w:t>
      </w:r>
    </w:p>
    <w:p w14:paraId="13738CCF" w14:textId="0DC85473" w:rsidR="00C949F5" w:rsidRDefault="00C949F5" w:rsidP="00C106B7">
      <w:pPr>
        <w:keepNext/>
        <w:keepLines/>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F444E5" w:rsidRPr="00F444E5">
        <w:rPr>
          <w:rFonts w:ascii="Arial Narrow" w:hAnsi="Arial Narrow"/>
          <w:i/>
          <w:sz w:val="18"/>
          <w:szCs w:val="18"/>
        </w:rPr>
        <w:t>$955,000 to &lt; $1,055,000</w:t>
      </w:r>
    </w:p>
    <w:p w14:paraId="7964904D" w14:textId="5B3922AE" w:rsidR="007F1492" w:rsidRPr="00D12904" w:rsidRDefault="00C949F5" w:rsidP="00F444E5">
      <w:pPr>
        <w:spacing w:after="120"/>
      </w:pPr>
      <w:r>
        <w:rPr>
          <w:rFonts w:ascii="Arial Narrow" w:hAnsi="Arial Narrow"/>
          <w:i/>
          <w:sz w:val="18"/>
          <w:szCs w:val="18"/>
          <w:vertAlign w:val="superscript"/>
        </w:rPr>
        <w:t>5</w:t>
      </w:r>
      <w:r>
        <w:rPr>
          <w:rFonts w:ascii="Arial Narrow" w:hAnsi="Arial Narrow"/>
          <w:i/>
          <w:sz w:val="18"/>
          <w:szCs w:val="18"/>
        </w:rPr>
        <w:t xml:space="preserve"> </w:t>
      </w:r>
      <w:r w:rsidR="00F444E5" w:rsidRPr="008636C6">
        <w:rPr>
          <w:rFonts w:ascii="Arial Narrow" w:hAnsi="Arial Narrow"/>
          <w:i/>
          <w:sz w:val="18"/>
          <w:szCs w:val="18"/>
        </w:rPr>
        <w:t>$</w:t>
      </w:r>
      <w:r w:rsidR="00F444E5">
        <w:rPr>
          <w:rFonts w:ascii="Arial Narrow" w:hAnsi="Arial Narrow"/>
          <w:i/>
          <w:sz w:val="18"/>
          <w:szCs w:val="18"/>
        </w:rPr>
        <w:t>5</w:t>
      </w:r>
      <w:r w:rsidR="00F444E5" w:rsidRPr="008636C6">
        <w:rPr>
          <w:rFonts w:ascii="Arial Narrow" w:hAnsi="Arial Narrow"/>
          <w:i/>
          <w:sz w:val="18"/>
          <w:szCs w:val="18"/>
        </w:rPr>
        <w:t>5,000 to &lt; $75,000</w:t>
      </w:r>
    </w:p>
    <w:p w14:paraId="55456BDE" w14:textId="4FC82FBE" w:rsidR="00E5561C" w:rsidRPr="00D12904" w:rsidRDefault="00E5561C" w:rsidP="00E5561C">
      <w:pPr>
        <w:pStyle w:val="3-BodyText"/>
      </w:pPr>
      <w:bookmarkStart w:id="98" w:name="_Ref174177851"/>
      <w:r w:rsidRPr="00D12904">
        <w:t>Overall, the base case ICER</w:t>
      </w:r>
      <w:r w:rsidR="0004730A" w:rsidRPr="00D12904">
        <w:t xml:space="preserve"> of </w:t>
      </w:r>
      <w:r w:rsidR="00E0570C" w:rsidRPr="00E0570C">
        <w:t>&gt; $1,055,000</w:t>
      </w:r>
      <w:r w:rsidR="001E1561">
        <w:t xml:space="preserve"> </w:t>
      </w:r>
      <w:r w:rsidR="0004730A" w:rsidRPr="00D12904">
        <w:t>per QALY gained</w:t>
      </w:r>
      <w:r w:rsidRPr="00D12904">
        <w:t xml:space="preserve"> was </w:t>
      </w:r>
      <w:r w:rsidR="00517DC0" w:rsidRPr="00D12904">
        <w:t xml:space="preserve">unreliable, </w:t>
      </w:r>
      <w:r w:rsidRPr="00D12904">
        <w:t>likely underestimated and favoured odevixibat as:</w:t>
      </w:r>
      <w:bookmarkEnd w:id="98"/>
    </w:p>
    <w:p w14:paraId="765F955F" w14:textId="77777777" w:rsidR="001825BF" w:rsidRPr="00D12904" w:rsidRDefault="001825BF" w:rsidP="00DC6589">
      <w:pPr>
        <w:pStyle w:val="ListParagraph"/>
        <w:numPr>
          <w:ilvl w:val="0"/>
          <w:numId w:val="14"/>
        </w:numPr>
        <w:ind w:left="1080"/>
      </w:pPr>
      <w:r w:rsidRPr="00D12904">
        <w:t xml:space="preserve">Patients in the odevixibat arm were assumed to not undergo PEBD whereas the patients in the SOC arm were modelled to enter PEBD states. This resulted in odevixibat patients remaining in the ‘no PEBD, no response’ state which had more favourable outcomes (greater utility and lesser cost) compared to the PEBD states that patients from the SOC arm were modelled to enter; </w:t>
      </w:r>
    </w:p>
    <w:p w14:paraId="4BF24177" w14:textId="77777777" w:rsidR="001825BF" w:rsidRPr="00D12904" w:rsidRDefault="001825BF" w:rsidP="00DC6589">
      <w:pPr>
        <w:pStyle w:val="ListParagraph"/>
        <w:numPr>
          <w:ilvl w:val="0"/>
          <w:numId w:val="14"/>
        </w:numPr>
        <w:ind w:left="1080"/>
      </w:pPr>
      <w:r w:rsidRPr="00D12904">
        <w:t>The utility values lacked face validity and likely favoured the health states that patients in the odevixibat arm occupied compared to those in the SOC arm;</w:t>
      </w:r>
    </w:p>
    <w:p w14:paraId="27C6580F" w14:textId="77777777" w:rsidR="001825BF" w:rsidRPr="00D12904" w:rsidRDefault="001825BF" w:rsidP="00DC6589">
      <w:pPr>
        <w:pStyle w:val="ListParagraph"/>
        <w:numPr>
          <w:ilvl w:val="0"/>
          <w:numId w:val="14"/>
        </w:numPr>
        <w:ind w:left="1080"/>
      </w:pPr>
      <w:r w:rsidRPr="00D12904">
        <w:t xml:space="preserve">sBA response rates, which were applied in the model, were more favourable towards odevixibat compared to pruritus response; and </w:t>
      </w:r>
      <w:r w:rsidRPr="00D12904">
        <w:rPr>
          <w:b/>
          <w:bCs/>
        </w:rPr>
        <w:t xml:space="preserve"> </w:t>
      </w:r>
    </w:p>
    <w:p w14:paraId="7F2D0B84" w14:textId="312E00C4" w:rsidR="001825BF" w:rsidRPr="00D12904" w:rsidRDefault="001825BF" w:rsidP="00DC6589">
      <w:pPr>
        <w:pStyle w:val="ListParagraph"/>
        <w:numPr>
          <w:ilvl w:val="0"/>
          <w:numId w:val="14"/>
        </w:numPr>
        <w:ind w:left="1080"/>
      </w:pPr>
      <w:r w:rsidRPr="00D12904">
        <w:lastRenderedPageBreak/>
        <w:t xml:space="preserve">The base case was informed by the more favourable OvEC data (i.e., more favourable odevixibat response and less favourable PEBD response compared to PEDFIC and NAPPED, respectively). This was associated with high uncertainty as inputs could not be verified. OvEC response was likely overestimated as the response of patients who up-titrated from 40 mcg/kg/day to </w:t>
      </w:r>
      <w:r w:rsidR="00E0570C" w:rsidRPr="00D12904">
        <w:t>120</w:t>
      </w:r>
      <w:r w:rsidR="00E0570C">
        <w:t> </w:t>
      </w:r>
      <w:r w:rsidRPr="00D12904">
        <w:t xml:space="preserve">mcg/kg/day was potentially double counted. </w:t>
      </w:r>
    </w:p>
    <w:p w14:paraId="666F30EA" w14:textId="7C8CB43E" w:rsidR="001825BF" w:rsidRPr="00DE4EBA" w:rsidRDefault="001825BF" w:rsidP="00DE4EBA">
      <w:pPr>
        <w:pStyle w:val="3-BodyText"/>
        <w:rPr>
          <w:iCs/>
        </w:rPr>
      </w:pPr>
      <w:r w:rsidRPr="00D12904">
        <w:t>The PSCR also requested that the ICER for odevixibat be considered in the context of PFIC being an ultra-rare condition. The PSCR noted that the PBAC has considered higher than typical ICERs in the context of rare conditions, for example, when considering eculizumab in November 2021, the PBAC noted “that it has previously considered ICERs in the range of $100,000 to $300,000 per QALY acceptable for rare diseases”.</w:t>
      </w:r>
      <w:r w:rsidRPr="00D12904">
        <w:rPr>
          <w:rStyle w:val="FootnoteReference"/>
        </w:rPr>
        <w:footnoteReference w:id="19"/>
      </w:r>
      <w:r w:rsidRPr="00D12904">
        <w:t xml:space="preserve"> In the consideration of nusinersen </w:t>
      </w:r>
      <w:r w:rsidR="007965FC" w:rsidRPr="00D12904">
        <w:t xml:space="preserve">[for adults </w:t>
      </w:r>
      <w:r w:rsidR="000123BA" w:rsidRPr="00D12904">
        <w:t xml:space="preserve">with spinal muscular atrophy </w:t>
      </w:r>
      <w:r w:rsidR="007965FC" w:rsidRPr="00D12904">
        <w:t xml:space="preserve">diagnosed under 19 years of age] </w:t>
      </w:r>
      <w:r w:rsidRPr="00D12904">
        <w:t>in March 2022, the PBAC considered the ICER of $855,000 to &lt; $955,000 per QALY “was acceptable in the context of a very high clinical need, in a limited and diminishing population and where equity of access is an additional consideration”.</w:t>
      </w:r>
      <w:r w:rsidRPr="00D12904">
        <w:rPr>
          <w:rStyle w:val="FootnoteReference"/>
        </w:rPr>
        <w:footnoteReference w:id="20"/>
      </w:r>
      <w:r w:rsidRPr="00D12904">
        <w:t xml:space="preserve"> Finally, the PSCR noted Berdud, Drummond and Towse (2020)</w:t>
      </w:r>
      <w:r w:rsidRPr="00D12904">
        <w:rPr>
          <w:rStyle w:val="FootnoteReference"/>
        </w:rPr>
        <w:footnoteReference w:id="21"/>
      </w:r>
      <w:r w:rsidRPr="00D12904">
        <w:t>, which considered higher ICERs for ultra-rare conditions take into account differences in patient populations and costs of research and development in order to sustain prices that generate rates of return from investments in developing orphan drugs that are no greater than the industry average.</w:t>
      </w:r>
    </w:p>
    <w:p w14:paraId="3ADBF5D3" w14:textId="77777777" w:rsidR="00E5561C" w:rsidRPr="00D33C2C" w:rsidRDefault="00E5561C" w:rsidP="001E1561">
      <w:pPr>
        <w:pStyle w:val="4-SubsectionHeading"/>
      </w:pPr>
      <w:bookmarkStart w:id="99" w:name="_Toc22897646"/>
      <w:bookmarkStart w:id="100" w:name="_Toc22898858"/>
      <w:bookmarkStart w:id="101" w:name="_Toc166210660"/>
      <w:r w:rsidRPr="00D33C2C">
        <w:lastRenderedPageBreak/>
        <w:t>Drug cost/patient/year</w:t>
      </w:r>
      <w:bookmarkEnd w:id="99"/>
      <w:bookmarkEnd w:id="100"/>
      <w:bookmarkEnd w:id="101"/>
    </w:p>
    <w:p w14:paraId="237280B0" w14:textId="6E6E487E" w:rsidR="00E5561C" w:rsidRPr="00D33C2C" w:rsidRDefault="00E5561C" w:rsidP="001E1561">
      <w:pPr>
        <w:pStyle w:val="TableFigureHeading"/>
        <w:rPr>
          <w:rStyle w:val="CommentReference"/>
          <w:b/>
          <w:szCs w:val="24"/>
        </w:rPr>
      </w:pPr>
      <w:r w:rsidRPr="00D33C2C">
        <w:t xml:space="preserve">Table </w:t>
      </w:r>
      <w:r w:rsidR="00DF1200">
        <w:fldChar w:fldCharType="begin"/>
      </w:r>
      <w:r w:rsidR="00DF1200">
        <w:instrText xml:space="preserve"> SEQ Table \* ARABIC </w:instrText>
      </w:r>
      <w:r w:rsidR="00DF1200">
        <w:fldChar w:fldCharType="separate"/>
      </w:r>
      <w:r w:rsidR="008B4717">
        <w:rPr>
          <w:noProof/>
        </w:rPr>
        <w:t>20</w:t>
      </w:r>
      <w:r w:rsidR="00DF1200">
        <w:rPr>
          <w:noProof/>
        </w:rPr>
        <w:fldChar w:fldCharType="end"/>
      </w:r>
      <w:r w:rsidRPr="00D33C2C">
        <w:t xml:space="preserve">: </w:t>
      </w:r>
      <w:r w:rsidRPr="00D33C2C">
        <w:rPr>
          <w:rStyle w:val="CommentReference"/>
          <w:b/>
          <w:szCs w:val="24"/>
        </w:rPr>
        <w:t>Drug cost per patient for proposed and comparator drugs</w:t>
      </w:r>
      <w:r w:rsidR="00C6145B" w:rsidRPr="00D33C2C">
        <w:rPr>
          <w:rStyle w:val="CommentReference"/>
          <w:b/>
          <w:szCs w:val="24"/>
        </w:rPr>
        <w:t xml:space="preserve"> based on PEDFIC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0: Drug cost per patient for proposed and comparator drugs based on PEDFIC 1"/>
      </w:tblPr>
      <w:tblGrid>
        <w:gridCol w:w="2277"/>
        <w:gridCol w:w="1201"/>
        <w:gridCol w:w="1080"/>
        <w:gridCol w:w="1080"/>
        <w:gridCol w:w="1206"/>
        <w:gridCol w:w="1080"/>
        <w:gridCol w:w="1093"/>
      </w:tblGrid>
      <w:tr w:rsidR="004C634D" w:rsidRPr="00D33C2C" w14:paraId="6318C91A" w14:textId="77777777" w:rsidTr="008E6381">
        <w:trPr>
          <w:cantSplit/>
          <w:tblHeader/>
          <w:jc w:val="center"/>
        </w:trPr>
        <w:tc>
          <w:tcPr>
            <w:tcW w:w="1262" w:type="pct"/>
            <w:vMerge w:val="restart"/>
            <w:shd w:val="clear" w:color="auto" w:fill="auto"/>
            <w:vAlign w:val="center"/>
          </w:tcPr>
          <w:p w14:paraId="3389501D" w14:textId="77777777" w:rsidR="004C634D" w:rsidRPr="00D33C2C" w:rsidRDefault="004C634D" w:rsidP="001E1561">
            <w:pPr>
              <w:pStyle w:val="In-tableHeading"/>
              <w:jc w:val="center"/>
              <w:rPr>
                <w:lang w:val="en-AU"/>
              </w:rPr>
            </w:pPr>
          </w:p>
        </w:tc>
        <w:tc>
          <w:tcPr>
            <w:tcW w:w="1864" w:type="pct"/>
            <w:gridSpan w:val="3"/>
            <w:shd w:val="clear" w:color="auto" w:fill="auto"/>
            <w:vAlign w:val="center"/>
          </w:tcPr>
          <w:p w14:paraId="09F5046D" w14:textId="2B2E449B" w:rsidR="004C634D" w:rsidRPr="00B83C62" w:rsidRDefault="004C634D" w:rsidP="001E1561">
            <w:pPr>
              <w:pStyle w:val="In-tableHeading"/>
              <w:jc w:val="center"/>
              <w:rPr>
                <w:vertAlign w:val="superscript"/>
                <w:lang w:val="en-AU"/>
              </w:rPr>
            </w:pPr>
            <w:r>
              <w:rPr>
                <w:lang w:val="en-AU"/>
              </w:rPr>
              <w:t>Odevixibat</w:t>
            </w:r>
            <w:r w:rsidR="00B83C62">
              <w:rPr>
                <w:lang w:val="en-AU"/>
              </w:rPr>
              <w:t xml:space="preserve"> </w:t>
            </w:r>
            <w:r w:rsidR="00B83C62">
              <w:rPr>
                <w:vertAlign w:val="superscript"/>
                <w:lang w:val="en-AU"/>
              </w:rPr>
              <w:t>a</w:t>
            </w:r>
          </w:p>
        </w:tc>
        <w:tc>
          <w:tcPr>
            <w:tcW w:w="1875" w:type="pct"/>
            <w:gridSpan w:val="3"/>
            <w:shd w:val="clear" w:color="auto" w:fill="auto"/>
            <w:vAlign w:val="center"/>
          </w:tcPr>
          <w:p w14:paraId="39EA0D9B" w14:textId="5D75BFBE" w:rsidR="004C634D" w:rsidRPr="00D33C2C" w:rsidRDefault="004C634D" w:rsidP="001E1561">
            <w:pPr>
              <w:pStyle w:val="In-tableHeading"/>
              <w:jc w:val="center"/>
              <w:rPr>
                <w:lang w:val="en-AU"/>
              </w:rPr>
            </w:pPr>
            <w:r>
              <w:rPr>
                <w:lang w:val="en-AU"/>
              </w:rPr>
              <w:t>SOC</w:t>
            </w:r>
          </w:p>
        </w:tc>
      </w:tr>
      <w:tr w:rsidR="004C634D" w:rsidRPr="00D33C2C" w14:paraId="4D7B4C49" w14:textId="77777777" w:rsidTr="008E6381">
        <w:trPr>
          <w:cantSplit/>
          <w:tblHeader/>
          <w:jc w:val="center"/>
        </w:trPr>
        <w:tc>
          <w:tcPr>
            <w:tcW w:w="1262" w:type="pct"/>
            <w:vMerge/>
            <w:shd w:val="clear" w:color="auto" w:fill="auto"/>
            <w:vAlign w:val="center"/>
          </w:tcPr>
          <w:p w14:paraId="7ABF9C07" w14:textId="77777777" w:rsidR="004C634D" w:rsidRPr="00D33C2C" w:rsidRDefault="004C634D" w:rsidP="001E1561">
            <w:pPr>
              <w:pStyle w:val="In-tableHeading"/>
              <w:jc w:val="center"/>
              <w:rPr>
                <w:lang w:val="en-AU"/>
              </w:rPr>
            </w:pPr>
          </w:p>
        </w:tc>
        <w:tc>
          <w:tcPr>
            <w:tcW w:w="666" w:type="pct"/>
            <w:shd w:val="clear" w:color="auto" w:fill="auto"/>
            <w:vAlign w:val="center"/>
          </w:tcPr>
          <w:p w14:paraId="3DCC1E9A" w14:textId="77777777" w:rsidR="004C634D" w:rsidRPr="00D33C2C" w:rsidRDefault="004C634D" w:rsidP="001E1561">
            <w:pPr>
              <w:pStyle w:val="In-tableHeading"/>
              <w:jc w:val="center"/>
              <w:rPr>
                <w:lang w:val="en-AU"/>
              </w:rPr>
            </w:pPr>
            <w:r w:rsidRPr="00D33C2C">
              <w:rPr>
                <w:lang w:val="en-AU"/>
              </w:rPr>
              <w:t>Trial dose and duration</w:t>
            </w:r>
          </w:p>
        </w:tc>
        <w:tc>
          <w:tcPr>
            <w:tcW w:w="599" w:type="pct"/>
            <w:shd w:val="clear" w:color="auto" w:fill="auto"/>
            <w:vAlign w:val="center"/>
          </w:tcPr>
          <w:p w14:paraId="65D2778F" w14:textId="77777777" w:rsidR="004C634D" w:rsidRPr="00D33C2C" w:rsidRDefault="004C634D" w:rsidP="001E1561">
            <w:pPr>
              <w:pStyle w:val="In-tableHeading"/>
              <w:jc w:val="center"/>
              <w:rPr>
                <w:lang w:val="en-AU"/>
              </w:rPr>
            </w:pPr>
            <w:r w:rsidRPr="00D33C2C">
              <w:rPr>
                <w:lang w:val="en-AU"/>
              </w:rPr>
              <w:t>Model</w:t>
            </w:r>
          </w:p>
        </w:tc>
        <w:tc>
          <w:tcPr>
            <w:tcW w:w="599" w:type="pct"/>
            <w:shd w:val="clear" w:color="auto" w:fill="auto"/>
            <w:vAlign w:val="center"/>
          </w:tcPr>
          <w:p w14:paraId="2F53B6BB" w14:textId="77777777" w:rsidR="004C634D" w:rsidRPr="00D33C2C" w:rsidRDefault="004C634D" w:rsidP="001E1561">
            <w:pPr>
              <w:pStyle w:val="In-tableHeading"/>
              <w:jc w:val="center"/>
              <w:rPr>
                <w:lang w:val="en-AU"/>
              </w:rPr>
            </w:pPr>
            <w:r w:rsidRPr="00D33C2C">
              <w:rPr>
                <w:lang w:val="en-AU"/>
              </w:rPr>
              <w:t>Financial estimates</w:t>
            </w:r>
          </w:p>
        </w:tc>
        <w:tc>
          <w:tcPr>
            <w:tcW w:w="669" w:type="pct"/>
            <w:shd w:val="clear" w:color="auto" w:fill="auto"/>
            <w:vAlign w:val="center"/>
          </w:tcPr>
          <w:p w14:paraId="4791E4FE" w14:textId="71946E54" w:rsidR="004C634D" w:rsidRPr="00D33C2C" w:rsidRDefault="004C634D" w:rsidP="001E1561">
            <w:pPr>
              <w:pStyle w:val="In-tableHeading"/>
              <w:jc w:val="center"/>
              <w:rPr>
                <w:lang w:val="en-AU"/>
              </w:rPr>
            </w:pPr>
            <w:r w:rsidRPr="00D33C2C">
              <w:rPr>
                <w:lang w:val="en-AU"/>
              </w:rPr>
              <w:t>Trial dose</w:t>
            </w:r>
            <w:r w:rsidR="008E6381">
              <w:rPr>
                <w:lang w:val="en-AU"/>
              </w:rPr>
              <w:t xml:space="preserve"> </w:t>
            </w:r>
            <w:r w:rsidRPr="00D33C2C">
              <w:rPr>
                <w:lang w:val="en-AU"/>
              </w:rPr>
              <w:t>and duration</w:t>
            </w:r>
          </w:p>
        </w:tc>
        <w:tc>
          <w:tcPr>
            <w:tcW w:w="599" w:type="pct"/>
            <w:shd w:val="clear" w:color="auto" w:fill="auto"/>
            <w:vAlign w:val="center"/>
          </w:tcPr>
          <w:p w14:paraId="0F8240D2" w14:textId="77777777" w:rsidR="004C634D" w:rsidRPr="00D33C2C" w:rsidRDefault="004C634D" w:rsidP="001E1561">
            <w:pPr>
              <w:pStyle w:val="In-tableHeading"/>
              <w:jc w:val="center"/>
              <w:rPr>
                <w:lang w:val="en-AU"/>
              </w:rPr>
            </w:pPr>
            <w:r w:rsidRPr="00D33C2C">
              <w:rPr>
                <w:lang w:val="en-AU"/>
              </w:rPr>
              <w:t>Model</w:t>
            </w:r>
          </w:p>
        </w:tc>
        <w:tc>
          <w:tcPr>
            <w:tcW w:w="607" w:type="pct"/>
          </w:tcPr>
          <w:p w14:paraId="2049E24C" w14:textId="77777777" w:rsidR="004C634D" w:rsidRPr="00D33C2C" w:rsidRDefault="004C634D" w:rsidP="001E1561">
            <w:pPr>
              <w:pStyle w:val="In-tableHeading"/>
              <w:jc w:val="center"/>
              <w:rPr>
                <w:lang w:val="en-AU"/>
              </w:rPr>
            </w:pPr>
            <w:r w:rsidRPr="00D33C2C">
              <w:rPr>
                <w:lang w:val="en-AU"/>
              </w:rPr>
              <w:t>Financial estimates</w:t>
            </w:r>
          </w:p>
        </w:tc>
      </w:tr>
      <w:tr w:rsidR="004C634D" w:rsidRPr="00D33C2C" w14:paraId="604F0BDF" w14:textId="77777777" w:rsidTr="008E6381">
        <w:trPr>
          <w:cantSplit/>
          <w:jc w:val="center"/>
        </w:trPr>
        <w:tc>
          <w:tcPr>
            <w:tcW w:w="1262" w:type="pct"/>
            <w:shd w:val="clear" w:color="auto" w:fill="auto"/>
            <w:vAlign w:val="center"/>
          </w:tcPr>
          <w:p w14:paraId="0E2A5BB9" w14:textId="26DD4846" w:rsidR="00E5561C" w:rsidRPr="00D33C2C" w:rsidRDefault="00903A79" w:rsidP="001E1561">
            <w:pPr>
              <w:pStyle w:val="TableText0"/>
            </w:pPr>
            <w:r w:rsidRPr="00D33C2C">
              <w:t xml:space="preserve">Proportion </w:t>
            </w:r>
            <w:r w:rsidR="0004730A">
              <w:t>receiving</w:t>
            </w:r>
            <w:r w:rsidR="0004730A" w:rsidRPr="00D33C2C">
              <w:t xml:space="preserve"> </w:t>
            </w:r>
            <w:r w:rsidRPr="00D33C2C">
              <w:t>high dose</w:t>
            </w:r>
            <w:r w:rsidR="0004730A">
              <w:t xml:space="preserve">, i.e. 120 mcg/kg/day </w:t>
            </w:r>
          </w:p>
        </w:tc>
        <w:tc>
          <w:tcPr>
            <w:tcW w:w="666" w:type="pct"/>
            <w:shd w:val="clear" w:color="auto" w:fill="auto"/>
            <w:vAlign w:val="center"/>
          </w:tcPr>
          <w:p w14:paraId="0A0D7B76" w14:textId="2A967A7C" w:rsidR="00E5561C" w:rsidRPr="00D33C2C" w:rsidRDefault="009C0C6D" w:rsidP="001E1561">
            <w:pPr>
              <w:pStyle w:val="TableText0"/>
              <w:jc w:val="center"/>
              <w:rPr>
                <w:bCs w:val="0"/>
              </w:rPr>
            </w:pPr>
            <w:r w:rsidRPr="00D33C2C">
              <w:rPr>
                <w:bCs w:val="0"/>
              </w:rPr>
              <w:t xml:space="preserve">43.23% </w:t>
            </w:r>
          </w:p>
        </w:tc>
        <w:tc>
          <w:tcPr>
            <w:tcW w:w="599" w:type="pct"/>
            <w:shd w:val="clear" w:color="auto" w:fill="auto"/>
            <w:vAlign w:val="center"/>
          </w:tcPr>
          <w:p w14:paraId="42461AA2" w14:textId="6F51C6F1" w:rsidR="00E5561C" w:rsidRPr="00D33C2C" w:rsidRDefault="00903A79" w:rsidP="001E1561">
            <w:pPr>
              <w:pStyle w:val="TableText0"/>
              <w:jc w:val="center"/>
              <w:rPr>
                <w:bCs w:val="0"/>
              </w:rPr>
            </w:pPr>
            <w:r w:rsidRPr="00D33C2C">
              <w:rPr>
                <w:bCs w:val="0"/>
              </w:rPr>
              <w:t xml:space="preserve">30.15% </w:t>
            </w:r>
          </w:p>
        </w:tc>
        <w:tc>
          <w:tcPr>
            <w:tcW w:w="599" w:type="pct"/>
            <w:shd w:val="clear" w:color="auto" w:fill="auto"/>
            <w:vAlign w:val="center"/>
          </w:tcPr>
          <w:p w14:paraId="16789E9B" w14:textId="5578BB9B" w:rsidR="00E5561C" w:rsidRPr="00D33C2C" w:rsidRDefault="009434E9" w:rsidP="001E1561">
            <w:pPr>
              <w:pStyle w:val="TableText0"/>
              <w:jc w:val="center"/>
              <w:rPr>
                <w:bCs w:val="0"/>
              </w:rPr>
            </w:pPr>
            <w:r w:rsidRPr="00D33C2C">
              <w:rPr>
                <w:bCs w:val="0"/>
              </w:rPr>
              <w:t xml:space="preserve">24.5% </w:t>
            </w:r>
          </w:p>
        </w:tc>
        <w:tc>
          <w:tcPr>
            <w:tcW w:w="669" w:type="pct"/>
            <w:shd w:val="clear" w:color="auto" w:fill="auto"/>
            <w:vAlign w:val="center"/>
          </w:tcPr>
          <w:p w14:paraId="2C696D69" w14:textId="511A79C6" w:rsidR="00E5561C" w:rsidRPr="00D33C2C" w:rsidRDefault="00E5561C" w:rsidP="001E1561">
            <w:pPr>
              <w:pStyle w:val="TableText0"/>
              <w:jc w:val="center"/>
              <w:rPr>
                <w:bCs w:val="0"/>
              </w:rPr>
            </w:pPr>
            <w:r w:rsidRPr="00D33C2C">
              <w:rPr>
                <w:bCs w:val="0"/>
              </w:rPr>
              <w:t>N</w:t>
            </w:r>
            <w:r w:rsidR="00C6145B" w:rsidRPr="00D33C2C">
              <w:rPr>
                <w:bCs w:val="0"/>
              </w:rPr>
              <w:t>A</w:t>
            </w:r>
          </w:p>
        </w:tc>
        <w:tc>
          <w:tcPr>
            <w:tcW w:w="599" w:type="pct"/>
            <w:shd w:val="clear" w:color="auto" w:fill="auto"/>
            <w:vAlign w:val="center"/>
          </w:tcPr>
          <w:p w14:paraId="63972B76" w14:textId="77777777" w:rsidR="00E5561C" w:rsidRPr="00D33C2C" w:rsidRDefault="00E5561C" w:rsidP="001E1561">
            <w:pPr>
              <w:pStyle w:val="TableText0"/>
              <w:jc w:val="center"/>
              <w:rPr>
                <w:bCs w:val="0"/>
              </w:rPr>
            </w:pPr>
            <w:r w:rsidRPr="00D33C2C">
              <w:rPr>
                <w:bCs w:val="0"/>
              </w:rPr>
              <w:t>NR</w:t>
            </w:r>
          </w:p>
        </w:tc>
        <w:tc>
          <w:tcPr>
            <w:tcW w:w="607" w:type="pct"/>
            <w:vAlign w:val="center"/>
          </w:tcPr>
          <w:p w14:paraId="396B314C" w14:textId="77777777" w:rsidR="00E5561C" w:rsidRPr="00D33C2C" w:rsidRDefault="00E5561C" w:rsidP="001E1561">
            <w:pPr>
              <w:pStyle w:val="TableText0"/>
              <w:jc w:val="center"/>
              <w:rPr>
                <w:bCs w:val="0"/>
              </w:rPr>
            </w:pPr>
            <w:r w:rsidRPr="00D33C2C">
              <w:rPr>
                <w:bCs w:val="0"/>
              </w:rPr>
              <w:t>NR</w:t>
            </w:r>
          </w:p>
        </w:tc>
      </w:tr>
      <w:tr w:rsidR="004C634D" w:rsidRPr="00D33C2C" w14:paraId="0E716CE9" w14:textId="77777777" w:rsidTr="008E6381">
        <w:trPr>
          <w:cantSplit/>
          <w:jc w:val="center"/>
        </w:trPr>
        <w:tc>
          <w:tcPr>
            <w:tcW w:w="1262" w:type="pct"/>
            <w:shd w:val="clear" w:color="auto" w:fill="auto"/>
            <w:vAlign w:val="center"/>
          </w:tcPr>
          <w:p w14:paraId="53874CFE" w14:textId="77777777" w:rsidR="00E5561C" w:rsidRPr="00D33C2C" w:rsidRDefault="00E5561C" w:rsidP="001E1561">
            <w:pPr>
              <w:pStyle w:val="TableText0"/>
            </w:pPr>
            <w:r w:rsidRPr="00D33C2C">
              <w:t>Mean duration</w:t>
            </w:r>
          </w:p>
        </w:tc>
        <w:tc>
          <w:tcPr>
            <w:tcW w:w="666" w:type="pct"/>
            <w:shd w:val="clear" w:color="auto" w:fill="auto"/>
            <w:vAlign w:val="center"/>
          </w:tcPr>
          <w:p w14:paraId="41694F64" w14:textId="41A73164" w:rsidR="006C5F71" w:rsidRPr="00D33C2C" w:rsidRDefault="006C5F71" w:rsidP="001E1561">
            <w:pPr>
              <w:pStyle w:val="TableText0"/>
              <w:jc w:val="center"/>
              <w:rPr>
                <w:bCs w:val="0"/>
              </w:rPr>
            </w:pPr>
            <w:r w:rsidRPr="00D33C2C">
              <w:rPr>
                <w:bCs w:val="0"/>
              </w:rPr>
              <w:t>40 mcg/kg</w:t>
            </w:r>
            <w:r w:rsidR="004C634D">
              <w:rPr>
                <w:bCs w:val="0"/>
              </w:rPr>
              <w:t>:</w:t>
            </w:r>
            <w:r w:rsidRPr="00D33C2C">
              <w:rPr>
                <w:bCs w:val="0"/>
              </w:rPr>
              <w:t xml:space="preserve"> </w:t>
            </w:r>
            <w:r w:rsidR="004C634D">
              <w:rPr>
                <w:bCs w:val="0"/>
              </w:rPr>
              <w:br/>
            </w:r>
            <w:r w:rsidR="00E5561C" w:rsidRPr="00D33C2C">
              <w:rPr>
                <w:bCs w:val="0"/>
              </w:rPr>
              <w:t>21.65 weeks</w:t>
            </w:r>
          </w:p>
          <w:p w14:paraId="08A18418" w14:textId="6E3AE034" w:rsidR="00E5561C" w:rsidRPr="00D33C2C" w:rsidRDefault="006C5F71" w:rsidP="001E1561">
            <w:pPr>
              <w:pStyle w:val="TableText0"/>
              <w:jc w:val="center"/>
              <w:rPr>
                <w:bCs w:val="0"/>
                <w:vertAlign w:val="superscript"/>
              </w:rPr>
            </w:pPr>
            <w:r w:rsidRPr="00D33C2C">
              <w:rPr>
                <w:bCs w:val="0"/>
              </w:rPr>
              <w:t>120 mcg/kg</w:t>
            </w:r>
            <w:r w:rsidR="004C634D">
              <w:rPr>
                <w:bCs w:val="0"/>
              </w:rPr>
              <w:t>:</w:t>
            </w:r>
            <w:r w:rsidR="004C634D">
              <w:rPr>
                <w:bCs w:val="0"/>
              </w:rPr>
              <w:br/>
            </w:r>
            <w:r w:rsidRPr="00D33C2C">
              <w:rPr>
                <w:bCs w:val="0"/>
              </w:rPr>
              <w:t xml:space="preserve">21.74 weeks </w:t>
            </w:r>
            <w:r w:rsidR="00E754C4">
              <w:rPr>
                <w:bCs w:val="0"/>
                <w:vertAlign w:val="superscript"/>
              </w:rPr>
              <w:t>b</w:t>
            </w:r>
          </w:p>
        </w:tc>
        <w:tc>
          <w:tcPr>
            <w:tcW w:w="599" w:type="pct"/>
            <w:shd w:val="clear" w:color="auto" w:fill="auto"/>
            <w:vAlign w:val="center"/>
          </w:tcPr>
          <w:p w14:paraId="37553BB3" w14:textId="77777777" w:rsidR="00E5561C" w:rsidRPr="00D33C2C" w:rsidRDefault="00E5561C" w:rsidP="001E1561">
            <w:pPr>
              <w:pStyle w:val="TableText0"/>
              <w:jc w:val="center"/>
              <w:rPr>
                <w:bCs w:val="0"/>
              </w:rPr>
            </w:pPr>
            <w:r w:rsidRPr="00D33C2C">
              <w:rPr>
                <w:bCs w:val="0"/>
              </w:rPr>
              <w:t>16.15 years</w:t>
            </w:r>
          </w:p>
        </w:tc>
        <w:tc>
          <w:tcPr>
            <w:tcW w:w="599" w:type="pct"/>
            <w:shd w:val="clear" w:color="auto" w:fill="auto"/>
            <w:vAlign w:val="center"/>
          </w:tcPr>
          <w:p w14:paraId="5BE01798" w14:textId="4049CA46" w:rsidR="00E5561C" w:rsidRPr="00D33C2C" w:rsidRDefault="006C5F71" w:rsidP="001E1561">
            <w:pPr>
              <w:pStyle w:val="TableText0"/>
              <w:jc w:val="center"/>
              <w:rPr>
                <w:bCs w:val="0"/>
              </w:rPr>
            </w:pPr>
            <w:r w:rsidRPr="00D33C2C">
              <w:rPr>
                <w:bCs w:val="0"/>
              </w:rPr>
              <w:t>6</w:t>
            </w:r>
            <w:r w:rsidR="00E5561C" w:rsidRPr="00D33C2C">
              <w:rPr>
                <w:bCs w:val="0"/>
              </w:rPr>
              <w:t xml:space="preserve"> year</w:t>
            </w:r>
            <w:r w:rsidRPr="00D33C2C">
              <w:rPr>
                <w:bCs w:val="0"/>
              </w:rPr>
              <w:t>s</w:t>
            </w:r>
          </w:p>
        </w:tc>
        <w:tc>
          <w:tcPr>
            <w:tcW w:w="669" w:type="pct"/>
            <w:shd w:val="clear" w:color="auto" w:fill="auto"/>
            <w:vAlign w:val="center"/>
          </w:tcPr>
          <w:p w14:paraId="3EF60CB1" w14:textId="48B25229" w:rsidR="00E5561C" w:rsidRPr="00D33C2C" w:rsidRDefault="00E5561C" w:rsidP="001E1561">
            <w:pPr>
              <w:pStyle w:val="TableText0"/>
              <w:jc w:val="center"/>
              <w:rPr>
                <w:bCs w:val="0"/>
              </w:rPr>
            </w:pPr>
            <w:r w:rsidRPr="00D33C2C">
              <w:rPr>
                <w:bCs w:val="0"/>
              </w:rPr>
              <w:t>N</w:t>
            </w:r>
            <w:r w:rsidR="00C6145B" w:rsidRPr="00D33C2C">
              <w:rPr>
                <w:bCs w:val="0"/>
              </w:rPr>
              <w:t>A</w:t>
            </w:r>
          </w:p>
        </w:tc>
        <w:tc>
          <w:tcPr>
            <w:tcW w:w="599" w:type="pct"/>
            <w:shd w:val="clear" w:color="auto" w:fill="auto"/>
            <w:vAlign w:val="center"/>
          </w:tcPr>
          <w:p w14:paraId="0051C06A" w14:textId="77777777" w:rsidR="00E5561C" w:rsidRPr="00D33C2C" w:rsidRDefault="00E5561C" w:rsidP="001E1561">
            <w:pPr>
              <w:pStyle w:val="TableText0"/>
              <w:jc w:val="center"/>
              <w:rPr>
                <w:bCs w:val="0"/>
              </w:rPr>
            </w:pPr>
            <w:r w:rsidRPr="00D33C2C">
              <w:rPr>
                <w:bCs w:val="0"/>
              </w:rPr>
              <w:t>11.43 years</w:t>
            </w:r>
          </w:p>
        </w:tc>
        <w:tc>
          <w:tcPr>
            <w:tcW w:w="607" w:type="pct"/>
            <w:vAlign w:val="center"/>
          </w:tcPr>
          <w:p w14:paraId="5B4F5B61" w14:textId="0BE83B1E" w:rsidR="00E5561C" w:rsidRPr="00D33C2C" w:rsidRDefault="00CF7178" w:rsidP="001E1561">
            <w:pPr>
              <w:pStyle w:val="TableText0"/>
              <w:jc w:val="center"/>
              <w:rPr>
                <w:bCs w:val="0"/>
              </w:rPr>
            </w:pPr>
            <w:r w:rsidRPr="00D33C2C">
              <w:rPr>
                <w:bCs w:val="0"/>
              </w:rPr>
              <w:t>6 years</w:t>
            </w:r>
          </w:p>
        </w:tc>
      </w:tr>
      <w:tr w:rsidR="004C634D" w:rsidRPr="00D33C2C" w14:paraId="1FD57507" w14:textId="77777777" w:rsidTr="008E6381">
        <w:trPr>
          <w:cantSplit/>
          <w:jc w:val="center"/>
        </w:trPr>
        <w:tc>
          <w:tcPr>
            <w:tcW w:w="1262" w:type="pct"/>
            <w:shd w:val="clear" w:color="auto" w:fill="auto"/>
            <w:vAlign w:val="center"/>
          </w:tcPr>
          <w:p w14:paraId="306BF240" w14:textId="77777777" w:rsidR="00E5561C" w:rsidRPr="00D33C2C" w:rsidRDefault="00E5561C" w:rsidP="001E1561">
            <w:pPr>
              <w:pStyle w:val="TableText0"/>
            </w:pPr>
            <w:r w:rsidRPr="00D33C2C">
              <w:t>Cost/patient/year</w:t>
            </w:r>
          </w:p>
        </w:tc>
        <w:tc>
          <w:tcPr>
            <w:tcW w:w="666" w:type="pct"/>
            <w:shd w:val="clear" w:color="auto" w:fill="auto"/>
            <w:vAlign w:val="center"/>
          </w:tcPr>
          <w:p w14:paraId="38393F4B" w14:textId="419A1F59" w:rsidR="00E5561C" w:rsidRPr="00D33C2C" w:rsidRDefault="00E5561C" w:rsidP="001E1561">
            <w:pPr>
              <w:pStyle w:val="TableText0"/>
              <w:jc w:val="center"/>
              <w:rPr>
                <w:bCs w:val="0"/>
                <w:vertAlign w:val="superscript"/>
              </w:rPr>
            </w:pPr>
            <w:r w:rsidRPr="00D33C2C">
              <w:rPr>
                <w:bCs w:val="0"/>
              </w:rPr>
              <w:t>$</w:t>
            </w:r>
            <w:r w:rsidR="0066157F" w:rsidRPr="008B4717">
              <w:rPr>
                <w:rFonts w:hint="eastAsia"/>
                <w:bCs w:val="0"/>
                <w:color w:val="000000"/>
                <w:w w:val="15"/>
                <w:shd w:val="solid" w:color="000000" w:fill="000000"/>
                <w:fitText w:val="20" w:id="-894208509"/>
                <w14:textFill>
                  <w14:solidFill>
                    <w14:srgbClr w14:val="000000">
                      <w14:alpha w14:val="100000"/>
                    </w14:srgbClr>
                  </w14:solidFill>
                </w14:textFill>
              </w:rPr>
              <w:t xml:space="preserve">　</w:t>
            </w:r>
            <w:r w:rsidR="0066157F" w:rsidRPr="008B4717">
              <w:rPr>
                <w:bCs w:val="0"/>
                <w:color w:val="000000"/>
                <w:w w:val="15"/>
                <w:shd w:val="solid" w:color="000000" w:fill="000000"/>
                <w:fitText w:val="20" w:id="-894208509"/>
                <w14:textFill>
                  <w14:solidFill>
                    <w14:srgbClr w14:val="000000">
                      <w14:alpha w14:val="100000"/>
                    </w14:srgbClr>
                  </w14:solidFill>
                </w14:textFill>
              </w:rPr>
              <w:t>|</w:t>
            </w:r>
            <w:r w:rsidR="0066157F" w:rsidRPr="008B4717">
              <w:rPr>
                <w:rFonts w:hint="eastAsia"/>
                <w:bCs w:val="0"/>
                <w:color w:val="000000"/>
                <w:spacing w:val="-45"/>
                <w:w w:val="15"/>
                <w:shd w:val="solid" w:color="000000" w:fill="000000"/>
                <w:fitText w:val="20" w:id="-894208509"/>
                <w14:textFill>
                  <w14:solidFill>
                    <w14:srgbClr w14:val="000000">
                      <w14:alpha w14:val="100000"/>
                    </w14:srgbClr>
                  </w14:solidFill>
                </w14:textFill>
              </w:rPr>
              <w:t xml:space="preserve">　</w:t>
            </w:r>
          </w:p>
          <w:p w14:paraId="073DE303" w14:textId="4E7E8B71" w:rsidR="00E5561C" w:rsidRPr="00D33C2C" w:rsidRDefault="00E5561C" w:rsidP="001E1561">
            <w:pPr>
              <w:pStyle w:val="TableText0"/>
              <w:jc w:val="center"/>
              <w:rPr>
                <w:bCs w:val="0"/>
                <w:vertAlign w:val="superscript"/>
              </w:rPr>
            </w:pPr>
            <w:r w:rsidRPr="00D33C2C">
              <w:rPr>
                <w:bCs w:val="0"/>
              </w:rPr>
              <w:t xml:space="preserve">to </w:t>
            </w:r>
            <w:r w:rsidR="006C5F71" w:rsidRPr="00D33C2C">
              <w:rPr>
                <w:bCs w:val="0"/>
              </w:rPr>
              <w:t>$</w:t>
            </w:r>
            <w:r w:rsidR="0066157F" w:rsidRPr="0066157F">
              <w:rPr>
                <w:rFonts w:hint="eastAsia"/>
                <w:bCs w:val="0"/>
                <w:color w:val="000000"/>
                <w:w w:val="33"/>
                <w:shd w:val="solid" w:color="000000" w:fill="000000"/>
                <w:fitText w:val="150" w:id="-894208508"/>
                <w14:textFill>
                  <w14:solidFill>
                    <w14:srgbClr w14:val="000000">
                      <w14:alpha w14:val="100000"/>
                    </w14:srgbClr>
                  </w14:solidFill>
                </w14:textFill>
              </w:rPr>
              <w:t xml:space="preserve">　</w:t>
            </w:r>
            <w:r w:rsidR="0066157F" w:rsidRPr="0066157F">
              <w:rPr>
                <w:bCs w:val="0"/>
                <w:color w:val="000000"/>
                <w:w w:val="33"/>
                <w:shd w:val="solid" w:color="000000" w:fill="000000"/>
                <w:fitText w:val="150" w:id="-894208508"/>
                <w14:textFill>
                  <w14:solidFill>
                    <w14:srgbClr w14:val="000000">
                      <w14:alpha w14:val="100000"/>
                    </w14:srgbClr>
                  </w14:solidFill>
                </w14:textFill>
              </w:rPr>
              <w:t>|</w:t>
            </w:r>
            <w:r w:rsidR="0066157F" w:rsidRPr="0066157F">
              <w:rPr>
                <w:rFonts w:hint="eastAsia"/>
                <w:bCs w:val="0"/>
                <w:color w:val="000000"/>
                <w:spacing w:val="4"/>
                <w:w w:val="33"/>
                <w:shd w:val="solid" w:color="000000" w:fill="000000"/>
                <w:fitText w:val="150" w:id="-894208508"/>
                <w14:textFill>
                  <w14:solidFill>
                    <w14:srgbClr w14:val="000000">
                      <w14:alpha w14:val="100000"/>
                    </w14:srgbClr>
                  </w14:solidFill>
                </w14:textFill>
              </w:rPr>
              <w:t xml:space="preserve">　</w:t>
            </w:r>
            <w:r w:rsidRPr="00D33C2C">
              <w:rPr>
                <w:bCs w:val="0"/>
                <w:vertAlign w:val="superscript"/>
              </w:rPr>
              <w:t xml:space="preserve"> </w:t>
            </w:r>
            <w:r w:rsidR="00E754C4">
              <w:rPr>
                <w:bCs w:val="0"/>
                <w:vertAlign w:val="superscript"/>
              </w:rPr>
              <w:t>c</w:t>
            </w:r>
          </w:p>
        </w:tc>
        <w:tc>
          <w:tcPr>
            <w:tcW w:w="599" w:type="pct"/>
            <w:shd w:val="clear" w:color="auto" w:fill="auto"/>
            <w:vAlign w:val="center"/>
          </w:tcPr>
          <w:p w14:paraId="6C3A977E" w14:textId="3365E09A" w:rsidR="00E5561C" w:rsidRPr="00D33C2C" w:rsidRDefault="0015622C" w:rsidP="001E1561">
            <w:pPr>
              <w:pStyle w:val="TableText0"/>
              <w:jc w:val="center"/>
              <w:rPr>
                <w:bCs w:val="0"/>
                <w:vertAlign w:val="superscript"/>
              </w:rPr>
            </w:pPr>
            <w:r w:rsidRPr="00D33C2C">
              <w:rPr>
                <w:bCs w:val="0"/>
              </w:rPr>
              <w:t>$</w:t>
            </w:r>
            <w:r w:rsidR="0066157F" w:rsidRPr="0066157F">
              <w:rPr>
                <w:rFonts w:hint="eastAsia"/>
                <w:bCs w:val="0"/>
                <w:color w:val="000000"/>
                <w:w w:val="27"/>
                <w:shd w:val="solid" w:color="000000" w:fill="000000"/>
                <w:fitText w:val="120" w:id="-894208507"/>
                <w14:textFill>
                  <w14:solidFill>
                    <w14:srgbClr w14:val="000000">
                      <w14:alpha w14:val="100000"/>
                    </w14:srgbClr>
                  </w14:solidFill>
                </w14:textFill>
              </w:rPr>
              <w:t xml:space="preserve">　</w:t>
            </w:r>
            <w:r w:rsidR="0066157F" w:rsidRPr="0066157F">
              <w:rPr>
                <w:bCs w:val="0"/>
                <w:color w:val="000000"/>
                <w:w w:val="27"/>
                <w:shd w:val="solid" w:color="000000" w:fill="000000"/>
                <w:fitText w:val="120" w:id="-894208507"/>
                <w14:textFill>
                  <w14:solidFill>
                    <w14:srgbClr w14:val="000000">
                      <w14:alpha w14:val="100000"/>
                    </w14:srgbClr>
                  </w14:solidFill>
                </w14:textFill>
              </w:rPr>
              <w:t>|</w:t>
            </w:r>
            <w:r w:rsidR="0066157F" w:rsidRPr="0066157F">
              <w:rPr>
                <w:rFonts w:hint="eastAsia"/>
                <w:bCs w:val="0"/>
                <w:color w:val="000000"/>
                <w:spacing w:val="1"/>
                <w:w w:val="27"/>
                <w:shd w:val="solid" w:color="000000" w:fill="000000"/>
                <w:fitText w:val="120" w:id="-894208507"/>
                <w14:textFill>
                  <w14:solidFill>
                    <w14:srgbClr w14:val="000000">
                      <w14:alpha w14:val="100000"/>
                    </w14:srgbClr>
                  </w14:solidFill>
                </w14:textFill>
              </w:rPr>
              <w:t xml:space="preserve">　</w:t>
            </w:r>
            <w:r w:rsidR="006C5F71" w:rsidRPr="00D33C2C">
              <w:rPr>
                <w:bCs w:val="0"/>
              </w:rPr>
              <w:t xml:space="preserve"> </w:t>
            </w:r>
            <w:r w:rsidR="00E754C4">
              <w:rPr>
                <w:bCs w:val="0"/>
                <w:vertAlign w:val="superscript"/>
              </w:rPr>
              <w:t>d</w:t>
            </w:r>
          </w:p>
        </w:tc>
        <w:tc>
          <w:tcPr>
            <w:tcW w:w="599" w:type="pct"/>
            <w:shd w:val="clear" w:color="auto" w:fill="auto"/>
            <w:vAlign w:val="center"/>
          </w:tcPr>
          <w:p w14:paraId="1ED2BFD3" w14:textId="03089993" w:rsidR="00E5561C" w:rsidRPr="00D33C2C" w:rsidRDefault="006C5F71" w:rsidP="001E1561">
            <w:pPr>
              <w:pStyle w:val="TableText0"/>
              <w:jc w:val="center"/>
              <w:rPr>
                <w:bCs w:val="0"/>
                <w:vertAlign w:val="superscript"/>
              </w:rPr>
            </w:pPr>
            <w:r w:rsidRPr="00D33C2C">
              <w:rPr>
                <w:bCs w:val="0"/>
              </w:rPr>
              <w:t>$</w:t>
            </w:r>
            <w:r w:rsidR="0066157F" w:rsidRPr="0066157F">
              <w:rPr>
                <w:rFonts w:hint="eastAsia"/>
                <w:bCs w:val="0"/>
                <w:color w:val="000000"/>
                <w:w w:val="27"/>
                <w:shd w:val="solid" w:color="000000" w:fill="000000"/>
                <w:fitText w:val="120" w:id="-894208506"/>
                <w14:textFill>
                  <w14:solidFill>
                    <w14:srgbClr w14:val="000000">
                      <w14:alpha w14:val="100000"/>
                    </w14:srgbClr>
                  </w14:solidFill>
                </w14:textFill>
              </w:rPr>
              <w:t xml:space="preserve">　</w:t>
            </w:r>
            <w:r w:rsidR="0066157F" w:rsidRPr="0066157F">
              <w:rPr>
                <w:bCs w:val="0"/>
                <w:color w:val="000000"/>
                <w:w w:val="27"/>
                <w:shd w:val="solid" w:color="000000" w:fill="000000"/>
                <w:fitText w:val="120" w:id="-894208506"/>
                <w14:textFill>
                  <w14:solidFill>
                    <w14:srgbClr w14:val="000000">
                      <w14:alpha w14:val="100000"/>
                    </w14:srgbClr>
                  </w14:solidFill>
                </w14:textFill>
              </w:rPr>
              <w:t>|</w:t>
            </w:r>
            <w:r w:rsidR="0066157F" w:rsidRPr="0066157F">
              <w:rPr>
                <w:rFonts w:hint="eastAsia"/>
                <w:bCs w:val="0"/>
                <w:color w:val="000000"/>
                <w:spacing w:val="1"/>
                <w:w w:val="27"/>
                <w:shd w:val="solid" w:color="000000" w:fill="000000"/>
                <w:fitText w:val="120" w:id="-894208506"/>
                <w14:textFill>
                  <w14:solidFill>
                    <w14:srgbClr w14:val="000000">
                      <w14:alpha w14:val="100000"/>
                    </w14:srgbClr>
                  </w14:solidFill>
                </w14:textFill>
              </w:rPr>
              <w:t xml:space="preserve">　</w:t>
            </w:r>
            <w:r w:rsidR="00951244" w:rsidRPr="00D33C2C">
              <w:rPr>
                <w:bCs w:val="0"/>
              </w:rPr>
              <w:t xml:space="preserve"> </w:t>
            </w:r>
            <w:r w:rsidR="00E754C4">
              <w:rPr>
                <w:bCs w:val="0"/>
                <w:vertAlign w:val="superscript"/>
              </w:rPr>
              <w:t>e</w:t>
            </w:r>
          </w:p>
        </w:tc>
        <w:tc>
          <w:tcPr>
            <w:tcW w:w="669" w:type="pct"/>
            <w:shd w:val="clear" w:color="auto" w:fill="auto"/>
            <w:vAlign w:val="center"/>
          </w:tcPr>
          <w:p w14:paraId="1615CFA8" w14:textId="2D9FCB54" w:rsidR="00E5561C" w:rsidRPr="00D33C2C" w:rsidRDefault="00E5561C" w:rsidP="001E1561">
            <w:pPr>
              <w:pStyle w:val="TableText0"/>
              <w:jc w:val="center"/>
              <w:rPr>
                <w:bCs w:val="0"/>
              </w:rPr>
            </w:pPr>
            <w:r w:rsidRPr="00D33C2C">
              <w:rPr>
                <w:bCs w:val="0"/>
              </w:rPr>
              <w:t>N</w:t>
            </w:r>
            <w:r w:rsidR="00C6145B" w:rsidRPr="00D33C2C">
              <w:rPr>
                <w:bCs w:val="0"/>
              </w:rPr>
              <w:t>A</w:t>
            </w:r>
          </w:p>
        </w:tc>
        <w:tc>
          <w:tcPr>
            <w:tcW w:w="599" w:type="pct"/>
            <w:shd w:val="clear" w:color="auto" w:fill="auto"/>
            <w:vAlign w:val="center"/>
          </w:tcPr>
          <w:p w14:paraId="5DCC16E1" w14:textId="7F71164B" w:rsidR="00E5561C" w:rsidRPr="00D33C2C" w:rsidRDefault="00E5561C" w:rsidP="001E1561">
            <w:pPr>
              <w:pStyle w:val="TableText0"/>
              <w:jc w:val="center"/>
              <w:rPr>
                <w:bCs w:val="0"/>
                <w:vertAlign w:val="superscript"/>
              </w:rPr>
            </w:pPr>
            <w:r w:rsidRPr="00D33C2C">
              <w:rPr>
                <w:bCs w:val="0"/>
              </w:rPr>
              <w:t>$</w:t>
            </w:r>
            <w:r w:rsidR="0015622C" w:rsidRPr="00D33C2C">
              <w:rPr>
                <w:bCs w:val="0"/>
              </w:rPr>
              <w:t>5,754</w:t>
            </w:r>
            <w:r w:rsidRPr="00D33C2C">
              <w:rPr>
                <w:bCs w:val="0"/>
              </w:rPr>
              <w:t xml:space="preserve"> </w:t>
            </w:r>
            <w:r w:rsidR="00E754C4">
              <w:rPr>
                <w:bCs w:val="0"/>
                <w:vertAlign w:val="superscript"/>
              </w:rPr>
              <w:t>f</w:t>
            </w:r>
          </w:p>
        </w:tc>
        <w:tc>
          <w:tcPr>
            <w:tcW w:w="607" w:type="pct"/>
            <w:vAlign w:val="center"/>
          </w:tcPr>
          <w:p w14:paraId="79968E13" w14:textId="3071250C" w:rsidR="00E5561C" w:rsidRPr="00D33C2C" w:rsidRDefault="00CF7178" w:rsidP="001E1561">
            <w:pPr>
              <w:pStyle w:val="TableText0"/>
              <w:jc w:val="center"/>
              <w:rPr>
                <w:bCs w:val="0"/>
                <w:vertAlign w:val="superscript"/>
              </w:rPr>
            </w:pPr>
            <w:r w:rsidRPr="00D33C2C">
              <w:rPr>
                <w:bCs w:val="0"/>
              </w:rPr>
              <w:t>$13</w:t>
            </w:r>
            <w:r w:rsidR="001948BC" w:rsidRPr="00D33C2C">
              <w:rPr>
                <w:bCs w:val="0"/>
              </w:rPr>
              <w:t>9</w:t>
            </w:r>
            <w:r w:rsidR="00951244" w:rsidRPr="00D33C2C">
              <w:rPr>
                <w:bCs w:val="0"/>
              </w:rPr>
              <w:t xml:space="preserve"> </w:t>
            </w:r>
            <w:r w:rsidR="00E754C4">
              <w:rPr>
                <w:bCs w:val="0"/>
                <w:vertAlign w:val="superscript"/>
              </w:rPr>
              <w:t>g</w:t>
            </w:r>
          </w:p>
        </w:tc>
      </w:tr>
    </w:tbl>
    <w:p w14:paraId="5AF7466A" w14:textId="77777777" w:rsidR="00E5561C" w:rsidRPr="00D33C2C" w:rsidRDefault="00E5561C" w:rsidP="001E1561">
      <w:pPr>
        <w:pStyle w:val="TableFigureFooter"/>
        <w:keepNext/>
      </w:pPr>
      <w:r w:rsidRPr="00D33C2C">
        <w:t>Source: calculated the trial-based cost using on the weight distribution data from the model and mean weight from PEDFIC 1; ‘Base case results’ worksheet from the economic model</w:t>
      </w:r>
    </w:p>
    <w:p w14:paraId="0F4AE07C" w14:textId="5F983D20" w:rsidR="005E2CC7" w:rsidRPr="00D33C2C" w:rsidRDefault="00DE7B08" w:rsidP="001E1561">
      <w:pPr>
        <w:pStyle w:val="TableFigureFooter"/>
        <w:keepNext/>
      </w:pPr>
      <w:r>
        <w:t xml:space="preserve">LT = liver transplant; </w:t>
      </w:r>
      <w:r w:rsidR="005E2CC7" w:rsidRPr="00D33C2C">
        <w:t>N</w:t>
      </w:r>
      <w:r w:rsidR="00C6145B" w:rsidRPr="00D33C2C">
        <w:t>A = not applicable</w:t>
      </w:r>
      <w:r>
        <w:t xml:space="preserve">; NR = not reported; </w:t>
      </w:r>
      <w:r w:rsidRPr="00D33C2C">
        <w:t xml:space="preserve">PEBD = </w:t>
      </w:r>
      <w:r>
        <w:t>p</w:t>
      </w:r>
      <w:r w:rsidRPr="00D33C2C">
        <w:t>artial external biliary diversion;</w:t>
      </w:r>
      <w:r>
        <w:t xml:space="preserve"> SOC = standard of care</w:t>
      </w:r>
    </w:p>
    <w:p w14:paraId="4C1B5866" w14:textId="696B0A62" w:rsidR="00B83C62" w:rsidRDefault="00E5561C" w:rsidP="001E1561">
      <w:pPr>
        <w:pStyle w:val="TableFigureFooter"/>
        <w:keepNext/>
      </w:pPr>
      <w:r w:rsidRPr="00D33C2C">
        <w:rPr>
          <w:vertAlign w:val="superscript"/>
        </w:rPr>
        <w:t>a</w:t>
      </w:r>
      <w:r w:rsidRPr="00D33C2C">
        <w:t xml:space="preserve"> </w:t>
      </w:r>
      <w:r w:rsidR="00DE7B08">
        <w:t>W</w:t>
      </w:r>
      <w:r w:rsidR="00E754C4">
        <w:t xml:space="preserve">eight dependent cost per patient for each odevixibat dose reported in </w:t>
      </w:r>
      <w:r w:rsidR="00E754C4">
        <w:fldChar w:fldCharType="begin"/>
      </w:r>
      <w:r w:rsidR="00E754C4">
        <w:instrText xml:space="preserve"> REF _Ref166156313 \h </w:instrText>
      </w:r>
      <w:r w:rsidR="00E754C4">
        <w:fldChar w:fldCharType="separate"/>
      </w:r>
      <w:r w:rsidR="008B4717" w:rsidRPr="00D12904">
        <w:t xml:space="preserve">Table </w:t>
      </w:r>
      <w:r w:rsidR="008B4717">
        <w:rPr>
          <w:noProof/>
        </w:rPr>
        <w:t>14</w:t>
      </w:r>
      <w:r w:rsidR="00E754C4">
        <w:fldChar w:fldCharType="end"/>
      </w:r>
    </w:p>
    <w:p w14:paraId="5B55252D" w14:textId="76F139B9" w:rsidR="00E5561C" w:rsidRPr="00D33C2C" w:rsidRDefault="00E754C4" w:rsidP="001E1561">
      <w:pPr>
        <w:pStyle w:val="TableFigureFooter"/>
        <w:keepNext/>
      </w:pPr>
      <w:r w:rsidRPr="00E754C4">
        <w:rPr>
          <w:vertAlign w:val="superscript"/>
        </w:rPr>
        <w:t>b</w:t>
      </w:r>
      <w:r>
        <w:t xml:space="preserve"> </w:t>
      </w:r>
      <w:r w:rsidR="00DE7B08">
        <w:t>M</w:t>
      </w:r>
      <w:r w:rsidR="00E5561C" w:rsidRPr="00D33C2C">
        <w:t>ean duration of exposure to 40 mcg/kg/day dose</w:t>
      </w:r>
      <w:r w:rsidR="006C5F71" w:rsidRPr="00D33C2C">
        <w:t xml:space="preserve"> and to 120 mcg/kg/day in PEDFIC 1</w:t>
      </w:r>
    </w:p>
    <w:p w14:paraId="6C8012ED" w14:textId="460E6E37" w:rsidR="00E5561C" w:rsidRPr="008E6381" w:rsidRDefault="00E754C4" w:rsidP="001E1561">
      <w:pPr>
        <w:pStyle w:val="TableFigureFooter"/>
        <w:keepNext/>
      </w:pPr>
      <w:r>
        <w:rPr>
          <w:vertAlign w:val="superscript"/>
        </w:rPr>
        <w:t>c</w:t>
      </w:r>
      <w:r w:rsidR="00E5561C" w:rsidRPr="00D33C2C">
        <w:t xml:space="preserve"> Cost </w:t>
      </w:r>
      <w:r w:rsidR="00E5561C" w:rsidRPr="008E6381">
        <w:t xml:space="preserve">per patient over the trial period (not year) </w:t>
      </w:r>
      <w:r w:rsidR="006C5F71" w:rsidRPr="008E6381">
        <w:t xml:space="preserve">presented as the cost range at the low dose and high dose. </w:t>
      </w:r>
      <w:r w:rsidR="00E5561C" w:rsidRPr="008E6381">
        <w:t xml:space="preserve">Based on the mean weight of </w:t>
      </w:r>
      <w:r w:rsidR="006C5F71" w:rsidRPr="008E6381">
        <w:t xml:space="preserve">15.5 kg in the </w:t>
      </w:r>
      <w:r w:rsidR="00E5561C" w:rsidRPr="008E6381">
        <w:t>40 mcg/kg</w:t>
      </w:r>
      <w:r w:rsidR="00C35A24" w:rsidRPr="008E6381">
        <w:t>/day</w:t>
      </w:r>
      <w:r w:rsidR="00E5561C" w:rsidRPr="008E6381">
        <w:t xml:space="preserve"> arm </w:t>
      </w:r>
      <w:r w:rsidR="006C5F71" w:rsidRPr="008E6381">
        <w:t>(</w:t>
      </w:r>
      <w:r w:rsidR="00E5561C" w:rsidRPr="008E6381">
        <w:t xml:space="preserve">p105 PEDFIC 1 CSR) </w:t>
      </w:r>
      <w:r w:rsidR="006C5F71" w:rsidRPr="008E6381">
        <w:t>the corresponding daily cost from the model was $</w:t>
      </w:r>
      <w:r w:rsidR="0066157F" w:rsidRPr="0066157F">
        <w:rPr>
          <w:color w:val="000000"/>
          <w:spacing w:val="40"/>
          <w:shd w:val="solid" w:color="000000" w:fill="000000"/>
          <w:fitText w:val="280" w:id="-894208505"/>
          <w14:textFill>
            <w14:solidFill>
              <w14:srgbClr w14:val="000000">
                <w14:alpha w14:val="100000"/>
              </w14:srgbClr>
            </w14:solidFill>
          </w14:textFill>
        </w:rPr>
        <w:t xml:space="preserve">|  </w:t>
      </w:r>
      <w:r w:rsidR="0066157F" w:rsidRPr="0066157F">
        <w:rPr>
          <w:color w:val="000000"/>
          <w:spacing w:val="2"/>
          <w:shd w:val="solid" w:color="000000" w:fill="000000"/>
          <w:fitText w:val="280" w:id="-894208505"/>
          <w14:textFill>
            <w14:solidFill>
              <w14:srgbClr w14:val="000000">
                <w14:alpha w14:val="100000"/>
              </w14:srgbClr>
            </w14:solidFill>
          </w14:textFill>
        </w:rPr>
        <w:t>|</w:t>
      </w:r>
      <w:r w:rsidR="006C5F71" w:rsidRPr="008E6381">
        <w:t>/day for the low dose and $</w:t>
      </w:r>
      <w:r w:rsidR="0066157F" w:rsidRPr="0066157F">
        <w:rPr>
          <w:color w:val="000000"/>
          <w:spacing w:val="40"/>
          <w:shd w:val="solid" w:color="000000" w:fill="000000"/>
          <w:fitText w:val="280" w:id="-894208504"/>
          <w14:textFill>
            <w14:solidFill>
              <w14:srgbClr w14:val="000000">
                <w14:alpha w14:val="100000"/>
              </w14:srgbClr>
            </w14:solidFill>
          </w14:textFill>
        </w:rPr>
        <w:t xml:space="preserve">|  </w:t>
      </w:r>
      <w:r w:rsidR="0066157F" w:rsidRPr="0066157F">
        <w:rPr>
          <w:color w:val="000000"/>
          <w:spacing w:val="2"/>
          <w:shd w:val="solid" w:color="000000" w:fill="000000"/>
          <w:fitText w:val="280" w:id="-894208504"/>
          <w14:textFill>
            <w14:solidFill>
              <w14:srgbClr w14:val="000000">
                <w14:alpha w14:val="100000"/>
              </w14:srgbClr>
            </w14:solidFill>
          </w14:textFill>
        </w:rPr>
        <w:t>|</w:t>
      </w:r>
      <w:r w:rsidR="006C5F71" w:rsidRPr="008E6381">
        <w:t xml:space="preserve">/day for the high dose. Cost at the low dose = </w:t>
      </w:r>
      <w:r w:rsidR="00E5561C" w:rsidRPr="008E6381">
        <w:t>21.65 weeks x 7 x $</w:t>
      </w:r>
      <w:r w:rsidR="0066157F" w:rsidRPr="0066157F">
        <w:rPr>
          <w:color w:val="000000"/>
          <w:spacing w:val="40"/>
          <w:shd w:val="solid" w:color="000000" w:fill="000000"/>
          <w:fitText w:val="280" w:id="-894208503"/>
          <w14:textFill>
            <w14:solidFill>
              <w14:srgbClr w14:val="000000">
                <w14:alpha w14:val="100000"/>
              </w14:srgbClr>
            </w14:solidFill>
          </w14:textFill>
        </w:rPr>
        <w:t xml:space="preserve">|  </w:t>
      </w:r>
      <w:r w:rsidR="0066157F" w:rsidRPr="0066157F">
        <w:rPr>
          <w:color w:val="000000"/>
          <w:spacing w:val="2"/>
          <w:shd w:val="solid" w:color="000000" w:fill="000000"/>
          <w:fitText w:val="280" w:id="-894208503"/>
          <w14:textFill>
            <w14:solidFill>
              <w14:srgbClr w14:val="000000">
                <w14:alpha w14:val="100000"/>
              </w14:srgbClr>
            </w14:solidFill>
          </w14:textFill>
        </w:rPr>
        <w:t>|</w:t>
      </w:r>
      <w:r w:rsidR="006C5F71" w:rsidRPr="008E6381">
        <w:t xml:space="preserve">. Cost at the high dose = 21.74 </w:t>
      </w:r>
      <w:r w:rsidR="00C35A24" w:rsidRPr="008E6381">
        <w:t xml:space="preserve">weeks </w:t>
      </w:r>
      <w:r w:rsidR="006C5F71" w:rsidRPr="008E6381">
        <w:t xml:space="preserve">x 7 x </w:t>
      </w:r>
      <w:r w:rsidR="00E5561C" w:rsidRPr="008E6381">
        <w:t>$</w:t>
      </w:r>
      <w:r w:rsidR="0066157F" w:rsidRPr="0066157F">
        <w:rPr>
          <w:color w:val="000000"/>
          <w:spacing w:val="37"/>
          <w:shd w:val="solid" w:color="000000" w:fill="000000"/>
          <w:fitText w:val="270" w:id="-894208502"/>
          <w14:textFill>
            <w14:solidFill>
              <w14:srgbClr w14:val="000000">
                <w14:alpha w14:val="100000"/>
              </w14:srgbClr>
            </w14:solidFill>
          </w14:textFill>
        </w:rPr>
        <w:t xml:space="preserve">|  </w:t>
      </w:r>
      <w:r w:rsidR="0066157F" w:rsidRPr="0066157F">
        <w:rPr>
          <w:color w:val="000000"/>
          <w:spacing w:val="1"/>
          <w:shd w:val="solid" w:color="000000" w:fill="000000"/>
          <w:fitText w:val="270" w:id="-894208502"/>
          <w14:textFill>
            <w14:solidFill>
              <w14:srgbClr w14:val="000000">
                <w14:alpha w14:val="100000"/>
              </w14:srgbClr>
            </w14:solidFill>
          </w14:textFill>
        </w:rPr>
        <w:t>|</w:t>
      </w:r>
      <w:r w:rsidR="00E5561C" w:rsidRPr="008E6381">
        <w:t>.</w:t>
      </w:r>
    </w:p>
    <w:p w14:paraId="76258981" w14:textId="49B1E6D7" w:rsidR="006C5F71" w:rsidRPr="008E6381" w:rsidRDefault="00E754C4" w:rsidP="001E1561">
      <w:pPr>
        <w:pStyle w:val="TableFigureFooter"/>
        <w:keepNext/>
      </w:pPr>
      <w:r w:rsidRPr="008E6381">
        <w:rPr>
          <w:vertAlign w:val="superscript"/>
        </w:rPr>
        <w:t>d</w:t>
      </w:r>
      <w:r w:rsidR="006C5F71" w:rsidRPr="008E6381">
        <w:t xml:space="preserve"> Undiscounted cost of response state divided by time spent in response state for odevixibat arm = </w:t>
      </w:r>
      <w:r w:rsidR="006C5F71" w:rsidRPr="00DE4EBA">
        <w:t>$</w:t>
      </w:r>
      <w:r w:rsidR="0066157F" w:rsidRPr="0066157F">
        <w:rPr>
          <w:color w:val="000000"/>
          <w:spacing w:val="40"/>
          <w:shd w:val="solid" w:color="000000" w:fill="000000"/>
          <w:fitText w:val="280" w:id="-894208501"/>
          <w14:textFill>
            <w14:solidFill>
              <w14:srgbClr w14:val="000000">
                <w14:alpha w14:val="100000"/>
              </w14:srgbClr>
            </w14:solidFill>
          </w14:textFill>
        </w:rPr>
        <w:t xml:space="preserve">|  </w:t>
      </w:r>
      <w:r w:rsidR="0066157F" w:rsidRPr="0066157F">
        <w:rPr>
          <w:color w:val="000000"/>
          <w:spacing w:val="2"/>
          <w:shd w:val="solid" w:color="000000" w:fill="000000"/>
          <w:fitText w:val="280" w:id="-894208501"/>
          <w14:textFill>
            <w14:solidFill>
              <w14:srgbClr w14:val="000000">
                <w14:alpha w14:val="100000"/>
              </w14:srgbClr>
            </w14:solidFill>
          </w14:textFill>
        </w:rPr>
        <w:t>|</w:t>
      </w:r>
      <w:r w:rsidR="006C5F71" w:rsidRPr="008E6381">
        <w:t xml:space="preserve"> / 16.15 years</w:t>
      </w:r>
    </w:p>
    <w:p w14:paraId="0862F74D" w14:textId="57059BEE" w:rsidR="00E5561C" w:rsidRPr="008E6381" w:rsidRDefault="00E754C4" w:rsidP="001E1561">
      <w:pPr>
        <w:pStyle w:val="TableFigureFooter"/>
        <w:keepNext/>
      </w:pPr>
      <w:r w:rsidRPr="008E6381">
        <w:rPr>
          <w:vertAlign w:val="superscript"/>
        </w:rPr>
        <w:t>e</w:t>
      </w:r>
      <w:r w:rsidR="00E5561C" w:rsidRPr="008E6381">
        <w:rPr>
          <w:vertAlign w:val="superscript"/>
        </w:rPr>
        <w:t xml:space="preserve"> </w:t>
      </w:r>
      <w:r w:rsidR="00951244" w:rsidRPr="008E6381">
        <w:t>Average cost of odevixibat over six-year financial period divided by the total number of prevalent and incident patients (</w:t>
      </w:r>
      <w:r w:rsidR="00D035A4">
        <w:t>&lt; 500</w:t>
      </w:r>
      <w:r w:rsidR="00951244" w:rsidRPr="008E6381">
        <w:t xml:space="preserve">) = </w:t>
      </w:r>
      <w:bookmarkStart w:id="102" w:name="_Hlk176793610"/>
      <w:r w:rsidR="00D035A4" w:rsidRPr="00D035A4">
        <w:t>$0 to &lt; $10 million</w:t>
      </w:r>
      <w:r w:rsidR="00D035A4" w:rsidRPr="00D035A4" w:rsidDel="00D035A4">
        <w:t xml:space="preserve"> </w:t>
      </w:r>
      <w:bookmarkEnd w:id="102"/>
      <w:r w:rsidR="00951244" w:rsidRPr="008E6381">
        <w:t>/</w:t>
      </w:r>
      <w:r w:rsidR="0067576E">
        <w:t>&lt; 500</w:t>
      </w:r>
      <w:r w:rsidR="00F343FC" w:rsidRPr="008E6381">
        <w:t>. Lower than in economic model as patient’s may not have reached full adult weight in the six years of financial estimates</w:t>
      </w:r>
    </w:p>
    <w:p w14:paraId="7B3AED82" w14:textId="461F213A" w:rsidR="00951244" w:rsidRPr="008E6381" w:rsidRDefault="00E754C4" w:rsidP="001E1561">
      <w:pPr>
        <w:pStyle w:val="TableFigureFooter"/>
        <w:keepNext/>
      </w:pPr>
      <w:r w:rsidRPr="008E6381">
        <w:rPr>
          <w:vertAlign w:val="superscript"/>
        </w:rPr>
        <w:t>f</w:t>
      </w:r>
      <w:r w:rsidR="00951244" w:rsidRPr="008E6381">
        <w:t xml:space="preserve"> Undiscounted cost of non-response state divided by time spent in non-response state for SOC arm = $65,766 /11.43 years</w:t>
      </w:r>
    </w:p>
    <w:p w14:paraId="24F0ACB8" w14:textId="3D8ABE6D" w:rsidR="006630AF" w:rsidRDefault="00E754C4" w:rsidP="00E5561C">
      <w:pPr>
        <w:pStyle w:val="TableFigureFooter"/>
      </w:pPr>
      <w:r w:rsidRPr="008E6381">
        <w:rPr>
          <w:vertAlign w:val="superscript"/>
        </w:rPr>
        <w:t>g</w:t>
      </w:r>
      <w:r w:rsidR="001948BC" w:rsidRPr="008E6381">
        <w:t xml:space="preserve"> Average cost of oral therapies in SOC</w:t>
      </w:r>
      <w:r w:rsidR="001948BC" w:rsidRPr="00D33C2C">
        <w:t xml:space="preserve"> over six-year financial period divided by the total number of prevalent and incident patients (</w:t>
      </w:r>
      <w:r w:rsidR="00331C1E">
        <w:t>&lt; 500</w:t>
      </w:r>
      <w:r w:rsidR="001948BC" w:rsidRPr="00D33C2C">
        <w:t xml:space="preserve">) = </w:t>
      </w:r>
      <w:r w:rsidR="00331C1E" w:rsidRPr="00331C1E">
        <w:t xml:space="preserve">$0 to &lt; $10 million </w:t>
      </w:r>
      <w:r w:rsidR="001948BC" w:rsidRPr="00D33C2C">
        <w:t xml:space="preserve">/ </w:t>
      </w:r>
      <w:r w:rsidR="00331C1E">
        <w:t>&lt; 500</w:t>
      </w:r>
      <w:r w:rsidR="005E2CC7" w:rsidRPr="00D33C2C">
        <w:t>. Financial estimates d</w:t>
      </w:r>
      <w:r w:rsidR="00D925E4">
        <w:t>id</w:t>
      </w:r>
      <w:r w:rsidR="005E2CC7" w:rsidRPr="00D33C2C">
        <w:t xml:space="preserve"> not include costs for PEBD or LT. </w:t>
      </w:r>
    </w:p>
    <w:p w14:paraId="5E542515" w14:textId="0EB83D3C" w:rsidR="00683581" w:rsidRPr="00446A51" w:rsidRDefault="00236759" w:rsidP="00236759">
      <w:pPr>
        <w:pStyle w:val="3-BodyText"/>
      </w:pPr>
      <w:r>
        <w:t>The cost per patient per year</w:t>
      </w:r>
      <w:r w:rsidR="00436F7A">
        <w:t xml:space="preserve"> varied </w:t>
      </w:r>
      <w:r w:rsidR="0099099F">
        <w:t xml:space="preserve">between </w:t>
      </w:r>
      <w:r w:rsidR="00436F7A">
        <w:t xml:space="preserve">the PEDFIC 1 trial, economic model, and the financial estimates. The </w:t>
      </w:r>
      <w:r w:rsidR="00E05571">
        <w:t xml:space="preserve">cost per patient per year </w:t>
      </w:r>
      <w:r w:rsidR="00436F7A">
        <w:t xml:space="preserve">in the economic model and financial estimates </w:t>
      </w:r>
      <w:r w:rsidR="0099099F">
        <w:t xml:space="preserve">differed due to differences in </w:t>
      </w:r>
      <w:r w:rsidR="00683581">
        <w:t>the proportion of patients who received high dose odevixibat (30.15% v</w:t>
      </w:r>
      <w:r w:rsidR="008E6381">
        <w:t>ersu</w:t>
      </w:r>
      <w:r w:rsidR="00683581">
        <w:t>s 24.5%)</w:t>
      </w:r>
      <w:r w:rsidR="004D220C">
        <w:t>,</w:t>
      </w:r>
      <w:r w:rsidR="00683581">
        <w:t xml:space="preserve"> the treatment duration of odevixibat (16.15 v</w:t>
      </w:r>
      <w:r w:rsidR="008E6381">
        <w:t>ersu</w:t>
      </w:r>
      <w:r w:rsidR="00683581">
        <w:t>s 6 years)</w:t>
      </w:r>
      <w:r w:rsidR="004D220C">
        <w:t xml:space="preserve">, </w:t>
      </w:r>
      <w:r w:rsidR="00683581">
        <w:t>and the mean starting age of patients (4.</w:t>
      </w:r>
      <w:r w:rsidR="00D73D34">
        <w:t>25 </w:t>
      </w:r>
      <w:r w:rsidR="00683581">
        <w:t>years v</w:t>
      </w:r>
      <w:r w:rsidR="008E6381">
        <w:t>ersu</w:t>
      </w:r>
      <w:r w:rsidR="00683581">
        <w:t>s 4 [incident] and 12 years [prevalent]), respectively.</w:t>
      </w:r>
      <w:r w:rsidR="00E05571">
        <w:t xml:space="preserve"> </w:t>
      </w:r>
      <w:r w:rsidR="00E05571" w:rsidRPr="00446A51">
        <w:t>The cost per patient per year in the financial estimates was notably lower compared to the economic model as the incident patients did not reach full adult weight over the six-year period in the financial estimates</w:t>
      </w:r>
      <w:r w:rsidR="004D220C" w:rsidRPr="00446A51">
        <w:t xml:space="preserve"> whereas the economic model was over a lifetime (100-year) time horizon</w:t>
      </w:r>
      <w:r w:rsidR="00E05571" w:rsidRPr="00446A51">
        <w:t xml:space="preserve">. </w:t>
      </w:r>
    </w:p>
    <w:p w14:paraId="57B5F959" w14:textId="77777777" w:rsidR="00E5561C" w:rsidRPr="00D33C2C" w:rsidRDefault="00E5561C" w:rsidP="00E5561C">
      <w:pPr>
        <w:pStyle w:val="4-SubsectionHeading"/>
      </w:pPr>
      <w:bookmarkStart w:id="103" w:name="_Toc22897647"/>
      <w:bookmarkStart w:id="104" w:name="_Toc22898859"/>
      <w:bookmarkStart w:id="105" w:name="_Toc166210661"/>
      <w:bookmarkStart w:id="106" w:name="_Hlk174457862"/>
      <w:r w:rsidRPr="00D33C2C">
        <w:t>Estimated PBS usage &amp; financial implications</w:t>
      </w:r>
      <w:bookmarkEnd w:id="103"/>
      <w:bookmarkEnd w:id="104"/>
      <w:bookmarkEnd w:id="105"/>
    </w:p>
    <w:p w14:paraId="6585B5B0" w14:textId="28656C2B" w:rsidR="00AA4FE6" w:rsidRPr="00C16DF7" w:rsidRDefault="00AA4FE6" w:rsidP="00106BA9">
      <w:pPr>
        <w:pStyle w:val="3-BodyText"/>
        <w:rPr>
          <w:rFonts w:ascii="Arial Narrow" w:hAnsi="Arial Narrow"/>
          <w:sz w:val="20"/>
        </w:rPr>
      </w:pPr>
      <w:bookmarkStart w:id="107" w:name="_Toc166210664"/>
      <w:bookmarkEnd w:id="106"/>
      <w:r w:rsidRPr="00AA4FE6">
        <w:t>This submission w</w:t>
      </w:r>
      <w:r>
        <w:t>as</w:t>
      </w:r>
      <w:r w:rsidRPr="00AA4FE6">
        <w:t xml:space="preserve"> considered by DUSC.</w:t>
      </w:r>
      <w:r w:rsidR="00C16DF7">
        <w:t xml:space="preserve"> </w:t>
      </w:r>
      <w:r w:rsidRPr="00AA4FE6">
        <w:t xml:space="preserve">The submission adopted an epidemiological approach to estimating the financial impact of odevixibat. </w:t>
      </w:r>
    </w:p>
    <w:p w14:paraId="5598074A" w14:textId="05DF8E88" w:rsidR="00AA4FE6" w:rsidRPr="00AA4FE6" w:rsidRDefault="00AA4FE6" w:rsidP="00AA4FE6">
      <w:pPr>
        <w:pStyle w:val="3-BodyText"/>
        <w:rPr>
          <w:rFonts w:ascii="Arial Narrow" w:hAnsi="Arial Narrow"/>
          <w:sz w:val="20"/>
        </w:rPr>
      </w:pPr>
      <w:r w:rsidRPr="00AA4FE6">
        <w:t xml:space="preserve">The key inputs for the financial estimates are presented in </w:t>
      </w:r>
      <w:r w:rsidRPr="00AA4FE6">
        <w:fldChar w:fldCharType="begin"/>
      </w:r>
      <w:r w:rsidRPr="00AA4FE6">
        <w:instrText xml:space="preserve"> REF _Ref164673218 \h  \* MERGEFORMAT </w:instrText>
      </w:r>
      <w:r w:rsidRPr="00AA4FE6">
        <w:fldChar w:fldCharType="separate"/>
      </w:r>
      <w:r w:rsidR="008B4717" w:rsidRPr="00AA4FE6">
        <w:t xml:space="preserve">Table </w:t>
      </w:r>
      <w:r w:rsidR="008B4717">
        <w:rPr>
          <w:noProof/>
        </w:rPr>
        <w:t>21</w:t>
      </w:r>
      <w:r w:rsidRPr="00AA4FE6">
        <w:fldChar w:fldCharType="end"/>
      </w:r>
      <w:r w:rsidRPr="00AA4FE6">
        <w:t>.</w:t>
      </w:r>
    </w:p>
    <w:p w14:paraId="445C805E" w14:textId="44BA2350" w:rsidR="00AA4FE6" w:rsidRPr="00AA4FE6" w:rsidRDefault="00AA4FE6" w:rsidP="00CC234E">
      <w:pPr>
        <w:pStyle w:val="TableFigureHeading"/>
        <w:keepLines/>
        <w:pageBreakBefore/>
        <w:rPr>
          <w:rStyle w:val="CommentReference"/>
          <w:b/>
          <w:szCs w:val="24"/>
        </w:rPr>
      </w:pPr>
      <w:bookmarkStart w:id="108" w:name="_Ref164673218"/>
      <w:r w:rsidRPr="00AA4FE6">
        <w:lastRenderedPageBreak/>
        <w:t xml:space="preserve">Table </w:t>
      </w:r>
      <w:r w:rsidR="00DF1200">
        <w:fldChar w:fldCharType="begin"/>
      </w:r>
      <w:r w:rsidR="00DF1200">
        <w:instrText xml:space="preserve"> SEQ Table \* ARABIC </w:instrText>
      </w:r>
      <w:r w:rsidR="00DF1200">
        <w:fldChar w:fldCharType="separate"/>
      </w:r>
      <w:r w:rsidR="008B4717">
        <w:rPr>
          <w:noProof/>
        </w:rPr>
        <w:t>21</w:t>
      </w:r>
      <w:r w:rsidR="00DF1200">
        <w:rPr>
          <w:noProof/>
        </w:rPr>
        <w:fldChar w:fldCharType="end"/>
      </w:r>
      <w:bookmarkEnd w:id="108"/>
      <w:r w:rsidRPr="00AA4FE6">
        <w:rPr>
          <w:rStyle w:val="CommentReference"/>
          <w:b/>
          <w:szCs w:val="24"/>
        </w:rPr>
        <w:t>: Key inputs for financial estimates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1: Key inputs for financial estimates"/>
      </w:tblPr>
      <w:tblGrid>
        <w:gridCol w:w="1196"/>
        <w:gridCol w:w="4187"/>
        <w:gridCol w:w="3634"/>
      </w:tblGrid>
      <w:tr w:rsidR="00AA4FE6" w:rsidRPr="00AA4FE6" w14:paraId="6C30E8C2" w14:textId="77777777" w:rsidTr="006F5008">
        <w:trPr>
          <w:cantSplit/>
          <w:tblHeader/>
        </w:trPr>
        <w:tc>
          <w:tcPr>
            <w:tcW w:w="663" w:type="pct"/>
            <w:shd w:val="clear" w:color="auto" w:fill="auto"/>
          </w:tcPr>
          <w:p w14:paraId="2BB571DD" w14:textId="77777777" w:rsidR="00AA4FE6" w:rsidRPr="00AA4FE6" w:rsidRDefault="00AA4FE6" w:rsidP="006F5008">
            <w:pPr>
              <w:pStyle w:val="In-tableHeading"/>
              <w:keepLines/>
              <w:rPr>
                <w:lang w:val="en-AU"/>
              </w:rPr>
            </w:pPr>
            <w:r w:rsidRPr="00AA4FE6">
              <w:rPr>
                <w:lang w:val="en-AU"/>
              </w:rPr>
              <w:t>Parameter</w:t>
            </w:r>
          </w:p>
        </w:tc>
        <w:tc>
          <w:tcPr>
            <w:tcW w:w="2322" w:type="pct"/>
            <w:shd w:val="clear" w:color="auto" w:fill="auto"/>
          </w:tcPr>
          <w:p w14:paraId="6ADDEB59" w14:textId="77777777" w:rsidR="00AA4FE6" w:rsidRPr="00AA4FE6" w:rsidRDefault="00AA4FE6" w:rsidP="006F5008">
            <w:pPr>
              <w:pStyle w:val="In-tableHeading"/>
              <w:keepLines/>
              <w:rPr>
                <w:lang w:val="en-AU"/>
              </w:rPr>
            </w:pPr>
            <w:r w:rsidRPr="00AA4FE6">
              <w:rPr>
                <w:lang w:val="en-AU"/>
              </w:rPr>
              <w:t>Value applied and source</w:t>
            </w:r>
          </w:p>
        </w:tc>
        <w:tc>
          <w:tcPr>
            <w:tcW w:w="2015" w:type="pct"/>
            <w:shd w:val="clear" w:color="auto" w:fill="auto"/>
          </w:tcPr>
          <w:p w14:paraId="5E9A9AC9" w14:textId="77777777" w:rsidR="00AA4FE6" w:rsidRPr="00B146C3" w:rsidRDefault="00AA4FE6" w:rsidP="006F5008">
            <w:pPr>
              <w:pStyle w:val="In-tableHeading"/>
              <w:keepLines/>
              <w:rPr>
                <w:szCs w:val="20"/>
                <w:lang w:val="en-AU"/>
              </w:rPr>
            </w:pPr>
            <w:r w:rsidRPr="00B146C3">
              <w:rPr>
                <w:szCs w:val="20"/>
                <w:lang w:val="en-AU"/>
              </w:rPr>
              <w:t>Comment</w:t>
            </w:r>
          </w:p>
        </w:tc>
      </w:tr>
      <w:tr w:rsidR="00AA4FE6" w:rsidRPr="00AA4FE6" w14:paraId="0D4C3F1B" w14:textId="77777777" w:rsidTr="006F5008">
        <w:trPr>
          <w:cantSplit/>
        </w:trPr>
        <w:tc>
          <w:tcPr>
            <w:tcW w:w="663" w:type="pct"/>
            <w:shd w:val="clear" w:color="auto" w:fill="auto"/>
          </w:tcPr>
          <w:p w14:paraId="2B5E4F37" w14:textId="2A0D6B25" w:rsidR="00AA4FE6" w:rsidRPr="00AA4FE6" w:rsidRDefault="00AA4FE6" w:rsidP="006F5008">
            <w:pPr>
              <w:pStyle w:val="TableText0"/>
              <w:keepLines/>
            </w:pPr>
            <w:r w:rsidRPr="00AA4FE6">
              <w:t xml:space="preserve">PFIC patients </w:t>
            </w:r>
            <w:r w:rsidR="00340E2F">
              <w:t>(incident and prevalent)</w:t>
            </w:r>
          </w:p>
        </w:tc>
        <w:tc>
          <w:tcPr>
            <w:tcW w:w="2322" w:type="pct"/>
            <w:shd w:val="clear" w:color="auto" w:fill="auto"/>
          </w:tcPr>
          <w:p w14:paraId="5C11CAD1" w14:textId="77777777" w:rsidR="00AA4FE6" w:rsidRPr="00AA4FE6" w:rsidRDefault="00AA4FE6" w:rsidP="006F5008">
            <w:pPr>
              <w:pStyle w:val="TableText0"/>
              <w:keepLines/>
            </w:pPr>
            <w:r w:rsidRPr="00AA4FE6">
              <w:t>Prevalence rate = 0.07 per 10,000 persons (estimated from Baker 2019 a systematic review of studies of the epidemiology, natural history, and burden of PFIC in the European population) Applied the Australian population in Year 1 (27,562,195).</w:t>
            </w:r>
          </w:p>
          <w:p w14:paraId="319EABF6" w14:textId="77777777" w:rsidR="00AA4FE6" w:rsidRPr="00AA4FE6" w:rsidRDefault="00AA4FE6" w:rsidP="006F5008">
            <w:pPr>
              <w:pStyle w:val="TableText0"/>
              <w:keepLines/>
            </w:pPr>
          </w:p>
          <w:p w14:paraId="2F37D5C2" w14:textId="77777777" w:rsidR="00AA4FE6" w:rsidRPr="00AA4FE6" w:rsidRDefault="00AA4FE6" w:rsidP="006F5008">
            <w:pPr>
              <w:pStyle w:val="TableText0"/>
              <w:keepLines/>
            </w:pPr>
            <w:r w:rsidRPr="00AA4FE6">
              <w:t>Incidence rate = 1 per 50,000 children born (reported in Davit-Spraul 2009 without citation of source). Applied to the number of child births in Australian in 2022 (300,684) in Year 2 onward.</w:t>
            </w:r>
          </w:p>
          <w:p w14:paraId="0C1041B5" w14:textId="4D11CDE9" w:rsidR="00AA4FE6" w:rsidRPr="00AA4FE6" w:rsidRDefault="00AA4FE6" w:rsidP="006F5008">
            <w:pPr>
              <w:pStyle w:val="TableText0"/>
              <w:keepLines/>
            </w:pPr>
          </w:p>
          <w:tbl>
            <w:tblPr>
              <w:tblW w:w="5000" w:type="pct"/>
              <w:tblLayout w:type="fixed"/>
              <w:tblCellMar>
                <w:left w:w="0" w:type="dxa"/>
                <w:right w:w="0" w:type="dxa"/>
              </w:tblCellMar>
              <w:tblLook w:val="04A0" w:firstRow="1" w:lastRow="0" w:firstColumn="1" w:lastColumn="0" w:noHBand="0" w:noVBand="1"/>
            </w:tblPr>
            <w:tblGrid>
              <w:gridCol w:w="611"/>
              <w:gridCol w:w="585"/>
              <w:gridCol w:w="585"/>
              <w:gridCol w:w="585"/>
              <w:gridCol w:w="585"/>
              <w:gridCol w:w="585"/>
              <w:gridCol w:w="585"/>
            </w:tblGrid>
            <w:tr w:rsidR="00AA4FE6" w:rsidRPr="00AA4FE6" w14:paraId="23B80398" w14:textId="77777777" w:rsidTr="001E1561">
              <w:trPr>
                <w:trHeight w:val="57"/>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56224" w14:textId="77777777" w:rsidR="00AA4FE6" w:rsidRPr="00AA4FE6" w:rsidRDefault="00AA4FE6" w:rsidP="00341A2B">
                  <w:pPr>
                    <w:pStyle w:val="Tabletext"/>
                    <w:keepNext/>
                    <w:keepLines/>
                    <w:framePr w:hSpace="180" w:wrap="around" w:vAnchor="text" w:hAnchor="text" w:y="1"/>
                    <w:suppressOverlap/>
                  </w:pP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14:paraId="5782F16B" w14:textId="77777777" w:rsidR="00AA4FE6" w:rsidRPr="00AA4FE6" w:rsidRDefault="00AA4FE6" w:rsidP="00341A2B">
                  <w:pPr>
                    <w:pStyle w:val="Tabletext"/>
                    <w:keepNext/>
                    <w:keepLines/>
                    <w:framePr w:hSpace="180" w:wrap="around" w:vAnchor="text" w:hAnchor="text" w:y="1"/>
                    <w:suppressOverlap/>
                    <w:rPr>
                      <w:b/>
                      <w:bCs/>
                    </w:rPr>
                  </w:pPr>
                  <w:r w:rsidRPr="00AA4FE6">
                    <w:rPr>
                      <w:b/>
                      <w:bCs/>
                    </w:rPr>
                    <w:t>2024</w:t>
                  </w: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14:paraId="557476C1" w14:textId="77777777" w:rsidR="00AA4FE6" w:rsidRPr="00AA4FE6" w:rsidRDefault="00AA4FE6" w:rsidP="00341A2B">
                  <w:pPr>
                    <w:pStyle w:val="Tabletext"/>
                    <w:keepNext/>
                    <w:keepLines/>
                    <w:framePr w:hSpace="180" w:wrap="around" w:vAnchor="text" w:hAnchor="text" w:y="1"/>
                    <w:suppressOverlap/>
                    <w:rPr>
                      <w:b/>
                      <w:bCs/>
                    </w:rPr>
                  </w:pPr>
                  <w:r w:rsidRPr="00AA4FE6">
                    <w:rPr>
                      <w:b/>
                      <w:bCs/>
                    </w:rPr>
                    <w:t>2025</w:t>
                  </w: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14:paraId="6FFC9EA1" w14:textId="77777777" w:rsidR="00AA4FE6" w:rsidRPr="00AA4FE6" w:rsidRDefault="00AA4FE6" w:rsidP="00341A2B">
                  <w:pPr>
                    <w:pStyle w:val="Tabletext"/>
                    <w:keepNext/>
                    <w:keepLines/>
                    <w:framePr w:hSpace="180" w:wrap="around" w:vAnchor="text" w:hAnchor="text" w:y="1"/>
                    <w:suppressOverlap/>
                    <w:rPr>
                      <w:b/>
                      <w:bCs/>
                    </w:rPr>
                  </w:pPr>
                  <w:r w:rsidRPr="00AA4FE6">
                    <w:rPr>
                      <w:b/>
                      <w:bCs/>
                    </w:rPr>
                    <w:t>2026</w:t>
                  </w: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14:paraId="495E827F" w14:textId="77777777" w:rsidR="00AA4FE6" w:rsidRPr="00AA4FE6" w:rsidRDefault="00AA4FE6" w:rsidP="00341A2B">
                  <w:pPr>
                    <w:pStyle w:val="Tabletext"/>
                    <w:keepNext/>
                    <w:keepLines/>
                    <w:framePr w:hSpace="180" w:wrap="around" w:vAnchor="text" w:hAnchor="text" w:y="1"/>
                    <w:suppressOverlap/>
                    <w:rPr>
                      <w:b/>
                      <w:bCs/>
                    </w:rPr>
                  </w:pPr>
                  <w:r w:rsidRPr="00AA4FE6">
                    <w:rPr>
                      <w:b/>
                      <w:bCs/>
                    </w:rPr>
                    <w:t>2027</w:t>
                  </w: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14:paraId="49C10D4A" w14:textId="77777777" w:rsidR="00AA4FE6" w:rsidRPr="00AA4FE6" w:rsidRDefault="00AA4FE6" w:rsidP="00341A2B">
                  <w:pPr>
                    <w:pStyle w:val="Tabletext"/>
                    <w:keepNext/>
                    <w:keepLines/>
                    <w:framePr w:hSpace="180" w:wrap="around" w:vAnchor="text" w:hAnchor="text" w:y="1"/>
                    <w:suppressOverlap/>
                    <w:rPr>
                      <w:b/>
                      <w:bCs/>
                    </w:rPr>
                  </w:pPr>
                  <w:r w:rsidRPr="00AA4FE6">
                    <w:rPr>
                      <w:b/>
                      <w:bCs/>
                    </w:rPr>
                    <w:t>2028</w:t>
                  </w: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14:paraId="0E27B0D8" w14:textId="77777777" w:rsidR="00AA4FE6" w:rsidRPr="00AA4FE6" w:rsidRDefault="00AA4FE6" w:rsidP="00341A2B">
                  <w:pPr>
                    <w:pStyle w:val="Tabletext"/>
                    <w:keepNext/>
                    <w:keepLines/>
                    <w:framePr w:hSpace="180" w:wrap="around" w:vAnchor="text" w:hAnchor="text" w:y="1"/>
                    <w:suppressOverlap/>
                    <w:rPr>
                      <w:b/>
                      <w:bCs/>
                    </w:rPr>
                  </w:pPr>
                  <w:r w:rsidRPr="00AA4FE6">
                    <w:rPr>
                      <w:b/>
                      <w:bCs/>
                    </w:rPr>
                    <w:t>2029</w:t>
                  </w:r>
                </w:p>
              </w:tc>
            </w:tr>
            <w:tr w:rsidR="00AA4FE6" w:rsidRPr="00AA4FE6" w14:paraId="3985ED2C" w14:textId="77777777" w:rsidTr="001E1561">
              <w:trPr>
                <w:trHeight w:val="57"/>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EAFBD" w14:textId="77777777" w:rsidR="00AA4FE6" w:rsidRPr="00AA4FE6" w:rsidRDefault="00AA4FE6" w:rsidP="00341A2B">
                  <w:pPr>
                    <w:pStyle w:val="Tabletext"/>
                    <w:keepNext/>
                    <w:keepLines/>
                    <w:framePr w:hSpace="180" w:wrap="around" w:vAnchor="text" w:hAnchor="text" w:y="1"/>
                    <w:suppressOverlap/>
                  </w:pPr>
                  <w:r w:rsidRPr="00AA4FE6">
                    <w:t>Prev</w:t>
                  </w: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6258D779" w14:textId="20500959" w:rsidR="00AA4FE6" w:rsidRPr="005E3914" w:rsidRDefault="0066157F" w:rsidP="00341A2B">
                  <w:pPr>
                    <w:pStyle w:val="Tabletext"/>
                    <w:keepNext/>
                    <w:keepLines/>
                    <w:framePr w:hSpace="180" w:wrap="around" w:vAnchor="text" w:hAnchor="text" w:y="1"/>
                    <w:suppressOverlap/>
                    <w:rPr>
                      <w:vertAlign w:val="superscript"/>
                    </w:rPr>
                  </w:pPr>
                  <w:r w:rsidRPr="0066157F">
                    <w:rPr>
                      <w:color w:val="000000"/>
                      <w:spacing w:val="52"/>
                      <w:shd w:val="solid" w:color="000000" w:fill="000000"/>
                      <w:fitText w:val="330" w:id="-894208500"/>
                      <w14:textFill>
                        <w14:solidFill>
                          <w14:srgbClr w14:val="000000">
                            <w14:alpha w14:val="100000"/>
                          </w14:srgbClr>
                        </w14:solidFill>
                      </w14:textFill>
                    </w:rPr>
                    <w:t>|||</w:t>
                  </w:r>
                  <w:r w:rsidRPr="0066157F">
                    <w:rPr>
                      <w:color w:val="000000"/>
                      <w:spacing w:val="2"/>
                      <w:shd w:val="solid" w:color="000000" w:fill="000000"/>
                      <w:fitText w:val="330" w:id="-894208500"/>
                      <w14:textFill>
                        <w14:solidFill>
                          <w14:srgbClr w14:val="000000">
                            <w14:alpha w14:val="100000"/>
                          </w14:srgbClr>
                        </w14:solidFill>
                      </w14:textFill>
                    </w:rPr>
                    <w:t>|</w:t>
                  </w:r>
                  <w:r w:rsidR="00F63401">
                    <w:rPr>
                      <w:vertAlign w:val="superscript"/>
                    </w:rPr>
                    <w:t xml:space="preserve"> 1</w:t>
                  </w: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054F39CB" w14:textId="13D8A89A" w:rsidR="00AA4FE6" w:rsidRPr="00AA4FE6" w:rsidRDefault="0066157F" w:rsidP="00341A2B">
                  <w:pPr>
                    <w:pStyle w:val="Tabletext"/>
                    <w:keepNext/>
                    <w:keepLines/>
                    <w:framePr w:hSpace="180" w:wrap="around" w:vAnchor="text" w:hAnchor="text" w:y="1"/>
                    <w:suppressOverlap/>
                  </w:pPr>
                  <w:r w:rsidRPr="0066157F">
                    <w:rPr>
                      <w:color w:val="000000"/>
                      <w:spacing w:val="52"/>
                      <w:shd w:val="solid" w:color="000000" w:fill="000000"/>
                      <w:fitText w:val="330" w:id="-894208499"/>
                      <w14:textFill>
                        <w14:solidFill>
                          <w14:srgbClr w14:val="000000">
                            <w14:alpha w14:val="100000"/>
                          </w14:srgbClr>
                        </w14:solidFill>
                      </w14:textFill>
                    </w:rPr>
                    <w:t>|||</w:t>
                  </w:r>
                  <w:r w:rsidRPr="0066157F">
                    <w:rPr>
                      <w:color w:val="000000"/>
                      <w:spacing w:val="2"/>
                      <w:shd w:val="solid" w:color="000000" w:fill="000000"/>
                      <w:fitText w:val="330" w:id="-894208499"/>
                      <w14:textFill>
                        <w14:solidFill>
                          <w14:srgbClr w14:val="000000">
                            <w14:alpha w14:val="100000"/>
                          </w14:srgbClr>
                        </w14:solidFill>
                      </w14:textFill>
                    </w:rPr>
                    <w:t>|</w:t>
                  </w:r>
                  <w:r w:rsidR="00F63401">
                    <w:rPr>
                      <w:vertAlign w:val="superscript"/>
                    </w:rPr>
                    <w:t xml:space="preserve"> 1</w:t>
                  </w: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4B68C563" w14:textId="0C5BBB86" w:rsidR="00AA4FE6" w:rsidRPr="00AA4FE6" w:rsidRDefault="0066157F" w:rsidP="00341A2B">
                  <w:pPr>
                    <w:pStyle w:val="Tabletext"/>
                    <w:keepNext/>
                    <w:keepLines/>
                    <w:framePr w:hSpace="180" w:wrap="around" w:vAnchor="text" w:hAnchor="text" w:y="1"/>
                    <w:suppressOverlap/>
                  </w:pPr>
                  <w:r w:rsidRPr="0066157F">
                    <w:rPr>
                      <w:color w:val="000000"/>
                      <w:spacing w:val="52"/>
                      <w:shd w:val="solid" w:color="000000" w:fill="000000"/>
                      <w:fitText w:val="330" w:id="-894208498"/>
                      <w14:textFill>
                        <w14:solidFill>
                          <w14:srgbClr w14:val="000000">
                            <w14:alpha w14:val="100000"/>
                          </w14:srgbClr>
                        </w14:solidFill>
                      </w14:textFill>
                    </w:rPr>
                    <w:t>|||</w:t>
                  </w:r>
                  <w:r w:rsidRPr="0066157F">
                    <w:rPr>
                      <w:color w:val="000000"/>
                      <w:spacing w:val="2"/>
                      <w:shd w:val="solid" w:color="000000" w:fill="000000"/>
                      <w:fitText w:val="330" w:id="-894208498"/>
                      <w14:textFill>
                        <w14:solidFill>
                          <w14:srgbClr w14:val="000000">
                            <w14:alpha w14:val="100000"/>
                          </w14:srgbClr>
                        </w14:solidFill>
                      </w14:textFill>
                    </w:rPr>
                    <w:t>|</w:t>
                  </w:r>
                  <w:r w:rsidR="00F63401">
                    <w:rPr>
                      <w:vertAlign w:val="superscript"/>
                    </w:rPr>
                    <w:t xml:space="preserve"> 1</w:t>
                  </w: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0D6939FD" w14:textId="1FDB7BB5" w:rsidR="00AA4FE6" w:rsidRPr="00AA4FE6" w:rsidRDefault="0066157F" w:rsidP="00341A2B">
                  <w:pPr>
                    <w:pStyle w:val="Tabletext"/>
                    <w:keepNext/>
                    <w:keepLines/>
                    <w:framePr w:hSpace="180" w:wrap="around" w:vAnchor="text" w:hAnchor="text" w:y="1"/>
                    <w:suppressOverlap/>
                  </w:pPr>
                  <w:r w:rsidRPr="001E1561">
                    <w:rPr>
                      <w:color w:val="000000"/>
                      <w:spacing w:val="53"/>
                      <w:shd w:val="solid" w:color="000000" w:fill="000000"/>
                      <w:fitText w:val="330" w:id="-894208497"/>
                      <w14:textFill>
                        <w14:solidFill>
                          <w14:srgbClr w14:val="000000">
                            <w14:alpha w14:val="100000"/>
                          </w14:srgbClr>
                        </w14:solidFill>
                      </w14:textFill>
                    </w:rPr>
                    <w:t>|||</w:t>
                  </w:r>
                  <w:r w:rsidRPr="001E1561">
                    <w:rPr>
                      <w:color w:val="000000"/>
                      <w:spacing w:val="1"/>
                      <w:shd w:val="solid" w:color="000000" w:fill="000000"/>
                      <w:fitText w:val="330" w:id="-894208497"/>
                      <w14:textFill>
                        <w14:solidFill>
                          <w14:srgbClr w14:val="000000">
                            <w14:alpha w14:val="100000"/>
                          </w14:srgbClr>
                        </w14:solidFill>
                      </w14:textFill>
                    </w:rPr>
                    <w:t>|</w:t>
                  </w:r>
                  <w:r w:rsidR="00F63401">
                    <w:rPr>
                      <w:vertAlign w:val="superscript"/>
                    </w:rPr>
                    <w:t xml:space="preserve"> 1</w:t>
                  </w: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18E25C47" w14:textId="75893077" w:rsidR="00AA4FE6" w:rsidRPr="00AA4FE6" w:rsidRDefault="0066157F" w:rsidP="00341A2B">
                  <w:pPr>
                    <w:pStyle w:val="Tabletext"/>
                    <w:keepNext/>
                    <w:keepLines/>
                    <w:framePr w:hSpace="180" w:wrap="around" w:vAnchor="text" w:hAnchor="text" w:y="1"/>
                    <w:suppressOverlap/>
                  </w:pPr>
                  <w:r w:rsidRPr="0066157F">
                    <w:rPr>
                      <w:color w:val="000000"/>
                      <w:spacing w:val="52"/>
                      <w:shd w:val="solid" w:color="000000" w:fill="000000"/>
                      <w:fitText w:val="330" w:id="-894208496"/>
                      <w14:textFill>
                        <w14:solidFill>
                          <w14:srgbClr w14:val="000000">
                            <w14:alpha w14:val="100000"/>
                          </w14:srgbClr>
                        </w14:solidFill>
                      </w14:textFill>
                    </w:rPr>
                    <w:t>|||</w:t>
                  </w:r>
                  <w:r w:rsidRPr="0066157F">
                    <w:rPr>
                      <w:color w:val="000000"/>
                      <w:spacing w:val="2"/>
                      <w:shd w:val="solid" w:color="000000" w:fill="000000"/>
                      <w:fitText w:val="330" w:id="-894208496"/>
                      <w14:textFill>
                        <w14:solidFill>
                          <w14:srgbClr w14:val="000000">
                            <w14:alpha w14:val="100000"/>
                          </w14:srgbClr>
                        </w14:solidFill>
                      </w14:textFill>
                    </w:rPr>
                    <w:t>|</w:t>
                  </w:r>
                  <w:r w:rsidR="00F63401">
                    <w:rPr>
                      <w:vertAlign w:val="superscript"/>
                    </w:rPr>
                    <w:t xml:space="preserve"> 1</w:t>
                  </w: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3EFAE091" w14:textId="594A23A5" w:rsidR="00AA4FE6" w:rsidRPr="00AA4FE6" w:rsidRDefault="0066157F" w:rsidP="00341A2B">
                  <w:pPr>
                    <w:pStyle w:val="Tabletext"/>
                    <w:keepNext/>
                    <w:keepLines/>
                    <w:framePr w:hSpace="180" w:wrap="around" w:vAnchor="text" w:hAnchor="text" w:y="1"/>
                    <w:suppressOverlap/>
                  </w:pPr>
                  <w:r w:rsidRPr="0066157F">
                    <w:rPr>
                      <w:color w:val="000000"/>
                      <w:spacing w:val="52"/>
                      <w:shd w:val="solid" w:color="000000" w:fill="000000"/>
                      <w:fitText w:val="330" w:id="-894208512"/>
                      <w14:textFill>
                        <w14:solidFill>
                          <w14:srgbClr w14:val="000000">
                            <w14:alpha w14:val="100000"/>
                          </w14:srgbClr>
                        </w14:solidFill>
                      </w14:textFill>
                    </w:rPr>
                    <w:t>|||</w:t>
                  </w:r>
                  <w:r w:rsidRPr="0066157F">
                    <w:rPr>
                      <w:color w:val="000000"/>
                      <w:spacing w:val="2"/>
                      <w:shd w:val="solid" w:color="000000" w:fill="000000"/>
                      <w:fitText w:val="330" w:id="-894208512"/>
                      <w14:textFill>
                        <w14:solidFill>
                          <w14:srgbClr w14:val="000000">
                            <w14:alpha w14:val="100000"/>
                          </w14:srgbClr>
                        </w14:solidFill>
                      </w14:textFill>
                    </w:rPr>
                    <w:t>|</w:t>
                  </w:r>
                  <w:r w:rsidR="00F63401">
                    <w:rPr>
                      <w:vertAlign w:val="superscript"/>
                    </w:rPr>
                    <w:t xml:space="preserve"> 1</w:t>
                  </w:r>
                </w:p>
              </w:tc>
            </w:tr>
            <w:tr w:rsidR="001E1561" w:rsidRPr="00AA4FE6" w14:paraId="4BEFD31F" w14:textId="77777777" w:rsidTr="001E1561">
              <w:trPr>
                <w:trHeight w:val="57"/>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88A4C" w14:textId="77777777" w:rsidR="001E1561" w:rsidRPr="00AA4FE6" w:rsidRDefault="001E1561" w:rsidP="001E1561">
                  <w:pPr>
                    <w:pStyle w:val="Tabletext"/>
                    <w:keepNext/>
                    <w:keepLines/>
                    <w:framePr w:hSpace="180" w:wrap="around" w:vAnchor="text" w:hAnchor="text" w:y="1"/>
                    <w:suppressOverlap/>
                  </w:pPr>
                  <w:r w:rsidRPr="00AA4FE6">
                    <w:t>Incident</w:t>
                  </w: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310E733B" w14:textId="0B4AC1C8" w:rsidR="001E1561" w:rsidRPr="00AA4FE6" w:rsidRDefault="001E1561" w:rsidP="001E1561">
                  <w:pPr>
                    <w:pStyle w:val="Tabletext"/>
                    <w:keepNext/>
                    <w:keepLines/>
                    <w:framePr w:hSpace="180" w:wrap="around" w:vAnchor="text" w:hAnchor="text" w:y="1"/>
                    <w:suppressOverlap/>
                  </w:pPr>
                  <w:r w:rsidRPr="0066157F">
                    <w:rPr>
                      <w:color w:val="000000"/>
                      <w:spacing w:val="52"/>
                      <w:shd w:val="solid" w:color="000000" w:fill="000000"/>
                      <w:fitText w:val="330" w:id="-894208511"/>
                      <w14:textFill>
                        <w14:solidFill>
                          <w14:srgbClr w14:val="000000">
                            <w14:alpha w14:val="100000"/>
                          </w14:srgbClr>
                        </w14:solidFill>
                      </w14:textFill>
                    </w:rPr>
                    <w:t>|||</w:t>
                  </w:r>
                  <w:r w:rsidRPr="0066157F">
                    <w:rPr>
                      <w:color w:val="000000"/>
                      <w:spacing w:val="2"/>
                      <w:shd w:val="solid" w:color="000000" w:fill="000000"/>
                      <w:fitText w:val="330" w:id="-894208511"/>
                      <w14:textFill>
                        <w14:solidFill>
                          <w14:srgbClr w14:val="000000">
                            <w14:alpha w14:val="100000"/>
                          </w14:srgbClr>
                        </w14:solidFill>
                      </w14:textFill>
                    </w:rPr>
                    <w:t>|</w:t>
                  </w:r>
                  <w:r>
                    <w:rPr>
                      <w:vertAlign w:val="superscript"/>
                    </w:rPr>
                    <w:t xml:space="preserve"> 1</w:t>
                  </w: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12676E4F" w14:textId="6D69A3FA" w:rsidR="001E1561" w:rsidRPr="00AA4FE6" w:rsidRDefault="001E1561" w:rsidP="001E1561">
                  <w:pPr>
                    <w:pStyle w:val="Tabletext"/>
                    <w:keepNext/>
                    <w:keepLines/>
                    <w:framePr w:hSpace="180" w:wrap="around" w:vAnchor="text" w:hAnchor="text" w:y="1"/>
                    <w:suppressOverlap/>
                  </w:pPr>
                  <w:r w:rsidRPr="0066157F">
                    <w:rPr>
                      <w:color w:val="000000"/>
                      <w:spacing w:val="52"/>
                      <w:shd w:val="solid" w:color="000000" w:fill="000000"/>
                      <w:fitText w:val="330" w:id="-894208510"/>
                      <w14:textFill>
                        <w14:solidFill>
                          <w14:srgbClr w14:val="000000">
                            <w14:alpha w14:val="100000"/>
                          </w14:srgbClr>
                        </w14:solidFill>
                      </w14:textFill>
                    </w:rPr>
                    <w:t>|||</w:t>
                  </w:r>
                  <w:r w:rsidRPr="0066157F">
                    <w:rPr>
                      <w:color w:val="000000"/>
                      <w:spacing w:val="2"/>
                      <w:shd w:val="solid" w:color="000000" w:fill="000000"/>
                      <w:fitText w:val="330" w:id="-894208510"/>
                      <w14:textFill>
                        <w14:solidFill>
                          <w14:srgbClr w14:val="000000">
                            <w14:alpha w14:val="100000"/>
                          </w14:srgbClr>
                        </w14:solidFill>
                      </w14:textFill>
                    </w:rPr>
                    <w:t>|</w:t>
                  </w:r>
                  <w:r>
                    <w:rPr>
                      <w:vertAlign w:val="superscript"/>
                    </w:rPr>
                    <w:t xml:space="preserve"> 1</w:t>
                  </w: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24FF984E" w14:textId="0F902E89" w:rsidR="001E1561" w:rsidRPr="00AA4FE6" w:rsidRDefault="001E1561" w:rsidP="001E1561">
                  <w:pPr>
                    <w:pStyle w:val="Tabletext"/>
                    <w:keepNext/>
                    <w:keepLines/>
                    <w:framePr w:hSpace="180" w:wrap="around" w:vAnchor="text" w:hAnchor="text" w:y="1"/>
                    <w:suppressOverlap/>
                  </w:pPr>
                  <w:r w:rsidRPr="001E1561">
                    <w:rPr>
                      <w:color w:val="000000"/>
                      <w:spacing w:val="53"/>
                      <w:shd w:val="solid" w:color="000000" w:fill="000000"/>
                      <w:fitText w:val="330" w:id="-894208497"/>
                      <w14:textFill>
                        <w14:solidFill>
                          <w14:srgbClr w14:val="000000">
                            <w14:alpha w14:val="100000"/>
                          </w14:srgbClr>
                        </w14:solidFill>
                      </w14:textFill>
                    </w:rPr>
                    <w:t>|||</w:t>
                  </w:r>
                  <w:r w:rsidRPr="001E1561">
                    <w:rPr>
                      <w:color w:val="000000"/>
                      <w:spacing w:val="1"/>
                      <w:shd w:val="solid" w:color="000000" w:fill="000000"/>
                      <w:fitText w:val="330" w:id="-894208497"/>
                      <w14:textFill>
                        <w14:solidFill>
                          <w14:srgbClr w14:val="000000">
                            <w14:alpha w14:val="100000"/>
                          </w14:srgbClr>
                        </w14:solidFill>
                      </w14:textFill>
                    </w:rPr>
                    <w:t>|</w:t>
                  </w:r>
                  <w:r>
                    <w:rPr>
                      <w:vertAlign w:val="superscript"/>
                    </w:rPr>
                    <w:t xml:space="preserve"> 1</w:t>
                  </w: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7C82A660" w14:textId="5F93A0E3" w:rsidR="001E1561" w:rsidRPr="00AA4FE6" w:rsidRDefault="001E1561" w:rsidP="001E1561">
                  <w:pPr>
                    <w:pStyle w:val="Tabletext"/>
                    <w:keepNext/>
                    <w:keepLines/>
                    <w:framePr w:hSpace="180" w:wrap="around" w:vAnchor="text" w:hAnchor="text" w:y="1"/>
                    <w:suppressOverlap/>
                  </w:pPr>
                  <w:r w:rsidRPr="001E1561">
                    <w:rPr>
                      <w:color w:val="000000"/>
                      <w:spacing w:val="53"/>
                      <w:shd w:val="solid" w:color="000000" w:fill="000000"/>
                      <w:fitText w:val="330" w:id="-894208497"/>
                      <w14:textFill>
                        <w14:solidFill>
                          <w14:srgbClr w14:val="000000">
                            <w14:alpha w14:val="100000"/>
                          </w14:srgbClr>
                        </w14:solidFill>
                      </w14:textFill>
                    </w:rPr>
                    <w:t>|||</w:t>
                  </w:r>
                  <w:r w:rsidRPr="001E1561">
                    <w:rPr>
                      <w:color w:val="000000"/>
                      <w:spacing w:val="1"/>
                      <w:shd w:val="solid" w:color="000000" w:fill="000000"/>
                      <w:fitText w:val="330" w:id="-894208497"/>
                      <w14:textFill>
                        <w14:solidFill>
                          <w14:srgbClr w14:val="000000">
                            <w14:alpha w14:val="100000"/>
                          </w14:srgbClr>
                        </w14:solidFill>
                      </w14:textFill>
                    </w:rPr>
                    <w:t>|</w:t>
                  </w:r>
                  <w:r>
                    <w:rPr>
                      <w:vertAlign w:val="superscript"/>
                    </w:rPr>
                    <w:t xml:space="preserve"> 1</w:t>
                  </w: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3B359A00" w14:textId="5D53036D" w:rsidR="001E1561" w:rsidRPr="00AA4FE6" w:rsidRDefault="001E1561" w:rsidP="001E1561">
                  <w:pPr>
                    <w:pStyle w:val="Tabletext"/>
                    <w:keepNext/>
                    <w:keepLines/>
                    <w:framePr w:hSpace="180" w:wrap="around" w:vAnchor="text" w:hAnchor="text" w:y="1"/>
                    <w:suppressOverlap/>
                  </w:pPr>
                  <w:r w:rsidRPr="0066157F">
                    <w:rPr>
                      <w:color w:val="000000"/>
                      <w:spacing w:val="52"/>
                      <w:shd w:val="solid" w:color="000000" w:fill="000000"/>
                      <w:fitText w:val="330" w:id="-894208508"/>
                      <w14:textFill>
                        <w14:solidFill>
                          <w14:srgbClr w14:val="000000">
                            <w14:alpha w14:val="100000"/>
                          </w14:srgbClr>
                        </w14:solidFill>
                      </w14:textFill>
                    </w:rPr>
                    <w:t>|||</w:t>
                  </w:r>
                  <w:r w:rsidRPr="0066157F">
                    <w:rPr>
                      <w:color w:val="000000"/>
                      <w:spacing w:val="2"/>
                      <w:shd w:val="solid" w:color="000000" w:fill="000000"/>
                      <w:fitText w:val="330" w:id="-894208508"/>
                      <w14:textFill>
                        <w14:solidFill>
                          <w14:srgbClr w14:val="000000">
                            <w14:alpha w14:val="100000"/>
                          </w14:srgbClr>
                        </w14:solidFill>
                      </w14:textFill>
                    </w:rPr>
                    <w:t>|</w:t>
                  </w:r>
                  <w:r>
                    <w:rPr>
                      <w:vertAlign w:val="superscript"/>
                    </w:rPr>
                    <w:t xml:space="preserve"> 1</w:t>
                  </w: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1261C5D9" w14:textId="6C680D38" w:rsidR="001E1561" w:rsidRPr="00AA4FE6" w:rsidRDefault="001E1561" w:rsidP="001E1561">
                  <w:pPr>
                    <w:pStyle w:val="Tabletext"/>
                    <w:keepNext/>
                    <w:keepLines/>
                    <w:framePr w:hSpace="180" w:wrap="around" w:vAnchor="text" w:hAnchor="text" w:y="1"/>
                    <w:suppressOverlap/>
                  </w:pPr>
                  <w:r w:rsidRPr="0066157F">
                    <w:rPr>
                      <w:color w:val="000000"/>
                      <w:spacing w:val="52"/>
                      <w:shd w:val="solid" w:color="000000" w:fill="000000"/>
                      <w:fitText w:val="330" w:id="-894208256"/>
                      <w14:textFill>
                        <w14:solidFill>
                          <w14:srgbClr w14:val="000000">
                            <w14:alpha w14:val="100000"/>
                          </w14:srgbClr>
                        </w14:solidFill>
                      </w14:textFill>
                    </w:rPr>
                    <w:t>|||</w:t>
                  </w:r>
                  <w:r w:rsidRPr="0066157F">
                    <w:rPr>
                      <w:color w:val="000000"/>
                      <w:spacing w:val="2"/>
                      <w:shd w:val="solid" w:color="000000" w:fill="000000"/>
                      <w:fitText w:val="330" w:id="-894208256"/>
                      <w14:textFill>
                        <w14:solidFill>
                          <w14:srgbClr w14:val="000000">
                            <w14:alpha w14:val="100000"/>
                          </w14:srgbClr>
                        </w14:solidFill>
                      </w14:textFill>
                    </w:rPr>
                    <w:t>|</w:t>
                  </w:r>
                  <w:r>
                    <w:rPr>
                      <w:vertAlign w:val="superscript"/>
                    </w:rPr>
                    <w:t xml:space="preserve"> 1</w:t>
                  </w:r>
                </w:p>
              </w:tc>
            </w:tr>
          </w:tbl>
          <w:p w14:paraId="4A833C6E" w14:textId="77777777" w:rsidR="00AA4FE6" w:rsidRPr="00AA4FE6" w:rsidRDefault="00AA4FE6" w:rsidP="006F5008">
            <w:pPr>
              <w:pStyle w:val="TableFigureFooter"/>
              <w:keepNext/>
              <w:keepLines/>
              <w:jc w:val="left"/>
            </w:pPr>
            <w:r w:rsidRPr="00AA4FE6">
              <w:t xml:space="preserve">Source: Baker 2019; Davit-Spraul 2009; Australian Bureau of Statistics </w:t>
            </w:r>
          </w:p>
          <w:p w14:paraId="27B21E94" w14:textId="77777777" w:rsidR="00AA4FE6" w:rsidRPr="00AA4FE6" w:rsidRDefault="00AA4FE6" w:rsidP="006F5008">
            <w:pPr>
              <w:pStyle w:val="TableFigureFooter"/>
              <w:keepNext/>
              <w:keepLines/>
              <w:jc w:val="left"/>
            </w:pPr>
            <w:r w:rsidRPr="00AA4FE6">
              <w:t>Only prevalent patients were counted for Year 1, and only incident patients were counted for Year 2 onwards to avoid double counting.</w:t>
            </w:r>
          </w:p>
        </w:tc>
        <w:tc>
          <w:tcPr>
            <w:tcW w:w="2015" w:type="pct"/>
            <w:shd w:val="clear" w:color="auto" w:fill="auto"/>
          </w:tcPr>
          <w:p w14:paraId="5AF5B04D" w14:textId="77777777" w:rsidR="00D95690" w:rsidRPr="00B146C3" w:rsidRDefault="00D95690" w:rsidP="006F5008">
            <w:pPr>
              <w:keepNext/>
              <w:keepLines/>
              <w:jc w:val="left"/>
              <w:rPr>
                <w:rFonts w:ascii="Arial Narrow" w:hAnsi="Arial Narrow"/>
                <w:sz w:val="20"/>
                <w:szCs w:val="20"/>
              </w:rPr>
            </w:pPr>
            <w:r w:rsidRPr="00B146C3">
              <w:rPr>
                <w:rFonts w:ascii="Arial Narrow" w:hAnsi="Arial Narrow" w:cs="Segoe UI"/>
                <w:sz w:val="20"/>
                <w:szCs w:val="20"/>
              </w:rPr>
              <w:t>DUSC considered the estimates of prevalent and incident patients were likely overestimated.</w:t>
            </w:r>
          </w:p>
          <w:p w14:paraId="1CC8B704" w14:textId="62D9610D" w:rsidR="00D95690" w:rsidRDefault="00D95690" w:rsidP="006F5008">
            <w:pPr>
              <w:keepNext/>
              <w:keepLines/>
              <w:jc w:val="left"/>
              <w:rPr>
                <w:rFonts w:ascii="Arial Narrow" w:hAnsi="Arial Narrow" w:cs="Segoe UI"/>
                <w:sz w:val="20"/>
                <w:szCs w:val="20"/>
              </w:rPr>
            </w:pPr>
            <w:r w:rsidRPr="00B146C3">
              <w:rPr>
                <w:rFonts w:ascii="Arial Narrow" w:hAnsi="Arial Narrow" w:cs="Segoe UI"/>
                <w:sz w:val="20"/>
                <w:szCs w:val="20"/>
              </w:rPr>
              <w:t>DUSC commented that the estimated prevalence rate of 0.05 to 0.07 per 10,000 people may be the best estimate based on available evidence. However, DUSC considered that applying this rate to the entire population may not have been appropriate.</w:t>
            </w:r>
            <w:r w:rsidR="002B5E07">
              <w:rPr>
                <w:rFonts w:ascii="Arial Narrow" w:hAnsi="Arial Narrow" w:cs="Segoe UI"/>
                <w:sz w:val="20"/>
                <w:szCs w:val="20"/>
              </w:rPr>
              <w:t xml:space="preserve"> </w:t>
            </w:r>
            <w:r w:rsidRPr="00B146C3">
              <w:rPr>
                <w:rFonts w:ascii="Arial Narrow" w:hAnsi="Arial Narrow" w:cs="Segoe UI"/>
                <w:sz w:val="20"/>
                <w:szCs w:val="20"/>
              </w:rPr>
              <w:t xml:space="preserve">DUSC commented that this rate could be applied to the population aged 0-19 years old but suggested that the older population were more likely to have undergone a liver transplant or have died and considered that the utilisation in adults should be estimated separately. </w:t>
            </w:r>
          </w:p>
          <w:p w14:paraId="2450AF7D" w14:textId="77777777" w:rsidR="002B5E07" w:rsidRPr="00B146C3" w:rsidRDefault="002B5E07" w:rsidP="006F5008">
            <w:pPr>
              <w:keepNext/>
              <w:keepLines/>
              <w:jc w:val="left"/>
              <w:rPr>
                <w:rFonts w:ascii="Arial Narrow" w:hAnsi="Arial Narrow"/>
                <w:sz w:val="20"/>
                <w:szCs w:val="20"/>
              </w:rPr>
            </w:pPr>
          </w:p>
          <w:p w14:paraId="27CD6299" w14:textId="3F153671" w:rsidR="00AA4FE6" w:rsidRPr="00B146C3" w:rsidRDefault="00D95690" w:rsidP="006F5008">
            <w:pPr>
              <w:keepNext/>
              <w:keepLines/>
              <w:jc w:val="left"/>
            </w:pPr>
            <w:r w:rsidRPr="00B146C3">
              <w:rPr>
                <w:rFonts w:ascii="Arial Narrow" w:hAnsi="Arial Narrow" w:cs="Segoe UI"/>
                <w:sz w:val="20"/>
                <w:szCs w:val="20"/>
              </w:rPr>
              <w:t xml:space="preserve">DUSC considered that the incidence rate may be overestimated. DUSC suggested that an alternative approach could be to apply 0.07 per 10,000 live births (1 per 142,857 live births) to the ABS projections of birth rates between 2025 and 2029. DUSC considered this estimate of 2-3 per year may be more reasonable than the estimated number of </w:t>
            </w:r>
            <w:r w:rsidR="00F63401">
              <w:rPr>
                <w:rFonts w:ascii="Arial Narrow" w:hAnsi="Arial Narrow" w:cs="Segoe UI"/>
                <w:sz w:val="20"/>
                <w:szCs w:val="20"/>
              </w:rPr>
              <w:t>&lt; 500</w:t>
            </w:r>
            <w:r w:rsidR="00F63401" w:rsidRPr="00B146C3">
              <w:rPr>
                <w:rFonts w:ascii="Arial Narrow" w:hAnsi="Arial Narrow" w:cs="Segoe UI"/>
                <w:sz w:val="20"/>
                <w:szCs w:val="20"/>
              </w:rPr>
              <w:t xml:space="preserve"> </w:t>
            </w:r>
            <w:r w:rsidRPr="00B146C3">
              <w:rPr>
                <w:rFonts w:ascii="Arial Narrow" w:hAnsi="Arial Narrow" w:cs="Segoe UI"/>
                <w:sz w:val="20"/>
                <w:szCs w:val="20"/>
              </w:rPr>
              <w:t xml:space="preserve">in the submission. </w:t>
            </w:r>
          </w:p>
        </w:tc>
      </w:tr>
      <w:tr w:rsidR="00AA4FE6" w:rsidRPr="00AA4FE6" w14:paraId="2E85E8CA" w14:textId="77777777" w:rsidTr="006F5008">
        <w:trPr>
          <w:cantSplit/>
        </w:trPr>
        <w:tc>
          <w:tcPr>
            <w:tcW w:w="663" w:type="pct"/>
            <w:shd w:val="clear" w:color="auto" w:fill="auto"/>
          </w:tcPr>
          <w:p w14:paraId="411DB923" w14:textId="77777777" w:rsidR="00AA4FE6" w:rsidRPr="00AA4FE6" w:rsidRDefault="00AA4FE6" w:rsidP="006F5008">
            <w:pPr>
              <w:pStyle w:val="TableText0"/>
            </w:pPr>
            <w:r w:rsidRPr="00AA4FE6">
              <w:t xml:space="preserve">PFIC2 </w:t>
            </w:r>
            <w:r w:rsidRPr="003E18C7">
              <w:rPr>
                <w:i/>
                <w:iCs/>
              </w:rPr>
              <w:t xml:space="preserve">BSEP3 </w:t>
            </w:r>
            <w:r w:rsidRPr="00AA4FE6">
              <w:t>subtype</w:t>
            </w:r>
          </w:p>
        </w:tc>
        <w:tc>
          <w:tcPr>
            <w:tcW w:w="2322" w:type="pct"/>
            <w:shd w:val="clear" w:color="auto" w:fill="auto"/>
          </w:tcPr>
          <w:p w14:paraId="2C5454C0" w14:textId="77777777" w:rsidR="00AA4FE6" w:rsidRPr="00AA4FE6" w:rsidRDefault="00AA4FE6" w:rsidP="006F5008">
            <w:pPr>
              <w:pStyle w:val="TableText0"/>
            </w:pPr>
            <w:r w:rsidRPr="00AA4FE6">
              <w:t xml:space="preserve">The submission excluded patients with PFIC2 </w:t>
            </w:r>
            <w:r w:rsidRPr="003E18C7">
              <w:rPr>
                <w:i/>
                <w:iCs/>
              </w:rPr>
              <w:t>BSEP3</w:t>
            </w:r>
            <w:r w:rsidRPr="00AA4FE6">
              <w:t xml:space="preserve"> subtype based on the draft PI. The estimation of PFIC2 BSEP3 was:</w:t>
            </w:r>
          </w:p>
          <w:p w14:paraId="3A4405D8" w14:textId="77777777" w:rsidR="00AA4FE6" w:rsidRPr="00AA4FE6" w:rsidRDefault="00AA4FE6" w:rsidP="006F5008">
            <w:pPr>
              <w:pStyle w:val="TableText0"/>
              <w:numPr>
                <w:ilvl w:val="0"/>
                <w:numId w:val="17"/>
              </w:numPr>
              <w:ind w:left="360"/>
            </w:pPr>
            <w:r w:rsidRPr="00AA4FE6">
              <w:t xml:space="preserve">% PFIC patients that have PFIC2 subtype = 34.2% </w:t>
            </w:r>
          </w:p>
          <w:p w14:paraId="5EA0FCDE" w14:textId="77777777" w:rsidR="00AA4FE6" w:rsidRPr="00AA4FE6" w:rsidRDefault="00AA4FE6" w:rsidP="006F5008">
            <w:pPr>
              <w:pStyle w:val="TableText0"/>
              <w:numPr>
                <w:ilvl w:val="0"/>
                <w:numId w:val="17"/>
              </w:numPr>
              <w:ind w:left="360"/>
            </w:pPr>
            <w:r w:rsidRPr="00AA4FE6">
              <w:t xml:space="preserve">% PFIC2 patients that have </w:t>
            </w:r>
            <w:r w:rsidRPr="003E18C7">
              <w:rPr>
                <w:i/>
                <w:iCs/>
              </w:rPr>
              <w:t>BSEP3</w:t>
            </w:r>
            <w:r w:rsidRPr="00AA4FE6">
              <w:t xml:space="preserve"> genotype = 21% </w:t>
            </w:r>
          </w:p>
          <w:p w14:paraId="6111C2D6" w14:textId="77777777" w:rsidR="00AA4FE6" w:rsidRPr="00AA4FE6" w:rsidRDefault="00AA4FE6" w:rsidP="006F5008">
            <w:pPr>
              <w:pStyle w:val="TableText0"/>
              <w:numPr>
                <w:ilvl w:val="0"/>
                <w:numId w:val="17"/>
              </w:numPr>
              <w:ind w:left="360"/>
            </w:pPr>
            <w:r w:rsidRPr="00AA4FE6">
              <w:t>% PFIC2 BSEP3 patients = 7.2% (34.2% × 21%) and applied to the prevalent patients.</w:t>
            </w:r>
          </w:p>
          <w:p w14:paraId="016C850E" w14:textId="77777777" w:rsidR="00AA4FE6" w:rsidRPr="00AA4FE6" w:rsidRDefault="00AA4FE6" w:rsidP="006F5008">
            <w:pPr>
              <w:pStyle w:val="TableText0"/>
            </w:pPr>
          </w:p>
          <w:p w14:paraId="3B39207C" w14:textId="77777777" w:rsidR="00AA4FE6" w:rsidRPr="00AA4FE6" w:rsidRDefault="00AA4FE6" w:rsidP="006F5008">
            <w:pPr>
              <w:pStyle w:val="TableText0"/>
            </w:pPr>
            <w:r w:rsidRPr="00AA4FE6">
              <w:t xml:space="preserve">Alsohaibani 2023 was a retrospective study of patients diagnosed with PFIC in single-centre in Saudi Arabia (N=79) who reported 34.2% of PFIC patients had PFIC2. </w:t>
            </w:r>
          </w:p>
          <w:p w14:paraId="19A009F2" w14:textId="77777777" w:rsidR="00AA4FE6" w:rsidRPr="00AA4FE6" w:rsidRDefault="00AA4FE6" w:rsidP="006F5008">
            <w:pPr>
              <w:pStyle w:val="TableText0"/>
            </w:pPr>
          </w:p>
          <w:p w14:paraId="2BAA4023" w14:textId="77777777" w:rsidR="00AA4FE6" w:rsidRPr="00AA4FE6" w:rsidRDefault="00AA4FE6" w:rsidP="006F5008">
            <w:pPr>
              <w:pStyle w:val="TableText0"/>
            </w:pPr>
            <w:r w:rsidRPr="00AA4FE6">
              <w:t xml:space="preserve">Van Wessel 2020 was a multicentre retrospective cohort study of PFIC2 patients including </w:t>
            </w:r>
            <w:r w:rsidRPr="003E18C7">
              <w:rPr>
                <w:i/>
                <w:iCs/>
              </w:rPr>
              <w:t>BSEP1</w:t>
            </w:r>
            <w:r w:rsidRPr="00AA4FE6">
              <w:t xml:space="preserve">, </w:t>
            </w:r>
            <w:r w:rsidRPr="003E18C7">
              <w:rPr>
                <w:i/>
                <w:iCs/>
              </w:rPr>
              <w:t>2</w:t>
            </w:r>
            <w:r w:rsidRPr="00AA4FE6">
              <w:t xml:space="preserve">, and </w:t>
            </w:r>
            <w:r w:rsidRPr="003E18C7">
              <w:rPr>
                <w:i/>
                <w:iCs/>
              </w:rPr>
              <w:t>3</w:t>
            </w:r>
            <w:r w:rsidRPr="00AA4FE6">
              <w:t xml:space="preserve"> from the NAPPED database. The total PFIC cohort in the NAPPED database was 590, of which 264/590 (44.8%) patients had confirmed PFIC2 subtype, of whom 56/264 (21.2%) had the </w:t>
            </w:r>
            <w:r w:rsidRPr="003E18C7">
              <w:rPr>
                <w:i/>
                <w:iCs/>
              </w:rPr>
              <w:t>BSEP3</w:t>
            </w:r>
            <w:r w:rsidRPr="00AA4FE6">
              <w:t xml:space="preserve"> subtype.  </w:t>
            </w:r>
          </w:p>
        </w:tc>
        <w:tc>
          <w:tcPr>
            <w:tcW w:w="2015" w:type="pct"/>
            <w:shd w:val="clear" w:color="auto" w:fill="auto"/>
          </w:tcPr>
          <w:p w14:paraId="3D6B5389" w14:textId="4A062D56" w:rsidR="00AA4FE6" w:rsidRPr="00B146C3" w:rsidRDefault="00AA4FE6" w:rsidP="006F5008">
            <w:pPr>
              <w:pStyle w:val="TableText0"/>
              <w:rPr>
                <w:szCs w:val="20"/>
              </w:rPr>
            </w:pPr>
            <w:r w:rsidRPr="00B146C3">
              <w:rPr>
                <w:szCs w:val="20"/>
              </w:rPr>
              <w:t xml:space="preserve">The proposed restriction criteria did not exclude patients according to PFIC subtype. If PFIC subtypes are excluded, then genetic testing is required to identify eligible patients. Genetic testing was not considered and likely underestimated the financial estimates (it is acknowledged that MBS items for PFIC genetic testing were not available). </w:t>
            </w:r>
            <w:r w:rsidR="00340E2F" w:rsidRPr="00B146C3">
              <w:rPr>
                <w:szCs w:val="20"/>
              </w:rPr>
              <w:t xml:space="preserve"> DUSC agreed that without genetic testing, patients with these subtypes </w:t>
            </w:r>
            <w:r w:rsidR="002B5E07">
              <w:rPr>
                <w:szCs w:val="20"/>
              </w:rPr>
              <w:t>we</w:t>
            </w:r>
            <w:r w:rsidR="00340E2F" w:rsidRPr="00B146C3">
              <w:rPr>
                <w:szCs w:val="20"/>
              </w:rPr>
              <w:t>re likely to initiate but not respond after three months of treatment. DUSC considered these estimates could instead inform continuation rates.</w:t>
            </w:r>
          </w:p>
          <w:p w14:paraId="597079EC" w14:textId="77777777" w:rsidR="00AA4FE6" w:rsidRPr="00B146C3" w:rsidRDefault="00AA4FE6" w:rsidP="006F5008">
            <w:pPr>
              <w:pStyle w:val="TableText0"/>
              <w:rPr>
                <w:szCs w:val="20"/>
              </w:rPr>
            </w:pPr>
          </w:p>
          <w:p w14:paraId="6B7FCD14" w14:textId="77777777" w:rsidR="00AA4FE6" w:rsidRPr="00B146C3" w:rsidRDefault="00AA4FE6" w:rsidP="006F5008">
            <w:pPr>
              <w:pStyle w:val="TableText0"/>
              <w:rPr>
                <w:szCs w:val="20"/>
              </w:rPr>
            </w:pPr>
            <w:r w:rsidRPr="00B146C3">
              <w:rPr>
                <w:szCs w:val="20"/>
              </w:rPr>
              <w:t xml:space="preserve">Justification for informing PFIC2 subtype rates using Alsohaibani 2023 was not clear. Van Wessel 2020 provided a complete single source for estimating PFIC2 </w:t>
            </w:r>
            <w:r w:rsidRPr="00B146C3">
              <w:rPr>
                <w:i/>
                <w:iCs/>
                <w:szCs w:val="20"/>
              </w:rPr>
              <w:t>BSEP3</w:t>
            </w:r>
            <w:r w:rsidRPr="00B146C3">
              <w:rPr>
                <w:szCs w:val="20"/>
              </w:rPr>
              <w:t xml:space="preserve"> patients. The NAPPED data was considered robust and representative of PFIC and estimated 9.5% PFIC2 </w:t>
            </w:r>
            <w:r w:rsidRPr="00B146C3">
              <w:rPr>
                <w:i/>
                <w:iCs/>
                <w:szCs w:val="20"/>
              </w:rPr>
              <w:t>BSEP3</w:t>
            </w:r>
            <w:r w:rsidRPr="00B146C3">
              <w:rPr>
                <w:szCs w:val="20"/>
              </w:rPr>
              <w:t xml:space="preserve"> patients (44.8% × 21.2%). </w:t>
            </w:r>
          </w:p>
          <w:p w14:paraId="04F7DFA7" w14:textId="77777777" w:rsidR="00340E2F" w:rsidRPr="00B146C3" w:rsidRDefault="00340E2F" w:rsidP="006F5008">
            <w:pPr>
              <w:pStyle w:val="TableText0"/>
              <w:rPr>
                <w:szCs w:val="20"/>
              </w:rPr>
            </w:pPr>
          </w:p>
          <w:p w14:paraId="4B0233B1" w14:textId="0E1AB24E" w:rsidR="00340E2F" w:rsidRPr="00B146C3" w:rsidRDefault="00340E2F" w:rsidP="006F5008">
            <w:pPr>
              <w:keepNext/>
              <w:jc w:val="left"/>
            </w:pPr>
            <w:r w:rsidRPr="00B146C3">
              <w:rPr>
                <w:rFonts w:ascii="Arial Narrow" w:eastAsiaTheme="majorEastAsia" w:hAnsi="Arial Narrow" w:cstheme="majorBidi"/>
                <w:bCs/>
                <w:sz w:val="20"/>
                <w:szCs w:val="20"/>
              </w:rPr>
              <w:t>Overall, DUSC considered the approach underestimated eligible patients.</w:t>
            </w:r>
          </w:p>
        </w:tc>
      </w:tr>
      <w:tr w:rsidR="00AA4FE6" w:rsidRPr="00AA4FE6" w14:paraId="492D23B6" w14:textId="77777777" w:rsidTr="006F5008">
        <w:trPr>
          <w:cantSplit/>
        </w:trPr>
        <w:tc>
          <w:tcPr>
            <w:tcW w:w="663" w:type="pct"/>
            <w:shd w:val="clear" w:color="auto" w:fill="auto"/>
          </w:tcPr>
          <w:p w14:paraId="62405EE7" w14:textId="77777777" w:rsidR="00AA4FE6" w:rsidRPr="00AA4FE6" w:rsidRDefault="00AA4FE6" w:rsidP="006F5008">
            <w:pPr>
              <w:pStyle w:val="TableText0"/>
              <w:keepLines/>
            </w:pPr>
            <w:r w:rsidRPr="00AA4FE6">
              <w:t>Prior PEBD and LT</w:t>
            </w:r>
          </w:p>
        </w:tc>
        <w:tc>
          <w:tcPr>
            <w:tcW w:w="2322" w:type="pct"/>
            <w:shd w:val="clear" w:color="auto" w:fill="auto"/>
          </w:tcPr>
          <w:p w14:paraId="5A85B5BC" w14:textId="77777777" w:rsidR="00AA4FE6" w:rsidRPr="00AA4FE6" w:rsidRDefault="00AA4FE6" w:rsidP="006F5008">
            <w:pPr>
              <w:pStyle w:val="TableText0"/>
              <w:keepLines/>
            </w:pPr>
            <w:r w:rsidRPr="00AA4FE6">
              <w:t xml:space="preserve">The submission stated that odevixibat is not intended for patients who have already undergone PEBD or LT, therefore excluded these patients. Based on Sponsor assumption: </w:t>
            </w:r>
          </w:p>
          <w:p w14:paraId="5699C3C3" w14:textId="77777777" w:rsidR="00AA4FE6" w:rsidRPr="00AA4FE6" w:rsidRDefault="00AA4FE6" w:rsidP="006F5008">
            <w:pPr>
              <w:pStyle w:val="TableText0"/>
              <w:keepLines/>
              <w:numPr>
                <w:ilvl w:val="0"/>
                <w:numId w:val="18"/>
              </w:numPr>
              <w:ind w:left="360"/>
            </w:pPr>
            <w:r w:rsidRPr="00AA4FE6">
              <w:t xml:space="preserve">% who have undergone previous PEBD = 50% </w:t>
            </w:r>
          </w:p>
          <w:p w14:paraId="63F80134" w14:textId="77777777" w:rsidR="00AA4FE6" w:rsidRPr="00AA4FE6" w:rsidRDefault="00AA4FE6" w:rsidP="006F5008">
            <w:pPr>
              <w:pStyle w:val="TableText0"/>
              <w:keepLines/>
              <w:numPr>
                <w:ilvl w:val="0"/>
                <w:numId w:val="18"/>
              </w:numPr>
              <w:ind w:left="360"/>
            </w:pPr>
            <w:r w:rsidRPr="00AA4FE6">
              <w:t>% who have undergone previous LT = 80%</w:t>
            </w:r>
          </w:p>
          <w:p w14:paraId="3C532146" w14:textId="77777777" w:rsidR="00AA4FE6" w:rsidRPr="00AA4FE6" w:rsidRDefault="00AA4FE6" w:rsidP="006F5008">
            <w:pPr>
              <w:pStyle w:val="TableText0"/>
              <w:keepLines/>
            </w:pPr>
            <w:r w:rsidRPr="00AA4FE6">
              <w:lastRenderedPageBreak/>
              <w:t>Applied to the prevalent patients.</w:t>
            </w:r>
          </w:p>
        </w:tc>
        <w:tc>
          <w:tcPr>
            <w:tcW w:w="2015" w:type="pct"/>
            <w:shd w:val="clear" w:color="auto" w:fill="auto"/>
          </w:tcPr>
          <w:p w14:paraId="3A033BCD" w14:textId="2BD65BE0" w:rsidR="00331F77" w:rsidRPr="00B146C3" w:rsidRDefault="00AA4FE6" w:rsidP="006F5008">
            <w:pPr>
              <w:pStyle w:val="TableText0"/>
              <w:keepLines/>
              <w:rPr>
                <w:szCs w:val="20"/>
              </w:rPr>
            </w:pPr>
            <w:r w:rsidRPr="00B146C3">
              <w:rPr>
                <w:szCs w:val="20"/>
              </w:rPr>
              <w:lastRenderedPageBreak/>
              <w:t xml:space="preserve">The proposed restriction did not exclude patients according to prior PEBD or LT. </w:t>
            </w:r>
            <w:r w:rsidR="00331F77" w:rsidRPr="00B146C3">
              <w:rPr>
                <w:szCs w:val="20"/>
              </w:rPr>
              <w:t>DUSC considered th</w:t>
            </w:r>
            <w:r w:rsidR="00212689" w:rsidRPr="00B146C3">
              <w:rPr>
                <w:szCs w:val="20"/>
              </w:rPr>
              <w:t>e submission’s approach</w:t>
            </w:r>
            <w:r w:rsidR="00331F77" w:rsidRPr="00B146C3">
              <w:rPr>
                <w:szCs w:val="20"/>
              </w:rPr>
              <w:t xml:space="preserve"> underestimated the number of patients who would be treated.</w:t>
            </w:r>
            <w:r w:rsidR="002B5E07">
              <w:rPr>
                <w:szCs w:val="20"/>
              </w:rPr>
              <w:t xml:space="preserve"> Further, </w:t>
            </w:r>
            <w:r w:rsidR="00331F77" w:rsidRPr="00B146C3">
              <w:rPr>
                <w:szCs w:val="20"/>
              </w:rPr>
              <w:t xml:space="preserve">DUSC noted that patients who have already undergone PEBD </w:t>
            </w:r>
            <w:r w:rsidR="00331F77" w:rsidRPr="00B146C3">
              <w:rPr>
                <w:szCs w:val="20"/>
              </w:rPr>
              <w:lastRenderedPageBreak/>
              <w:t>were not excluded from the PEDFIC1 trial and considered it may not be reasonable to exclude these patients from the estimates.</w:t>
            </w:r>
          </w:p>
          <w:p w14:paraId="0F304089" w14:textId="77777777" w:rsidR="00331F77" w:rsidRPr="00B146C3" w:rsidRDefault="00331F77" w:rsidP="006F5008">
            <w:pPr>
              <w:pStyle w:val="TableText0"/>
              <w:keepLines/>
              <w:rPr>
                <w:szCs w:val="20"/>
              </w:rPr>
            </w:pPr>
          </w:p>
          <w:p w14:paraId="7AC7419D" w14:textId="4A44635F" w:rsidR="00AA4FE6" w:rsidRPr="00B146C3" w:rsidRDefault="00331F77" w:rsidP="006F5008">
            <w:pPr>
              <w:pStyle w:val="TableText0"/>
              <w:keepLines/>
              <w:rPr>
                <w:szCs w:val="20"/>
              </w:rPr>
            </w:pPr>
            <w:r w:rsidRPr="00B146C3">
              <w:rPr>
                <w:szCs w:val="20"/>
              </w:rPr>
              <w:t xml:space="preserve">DUSC agreed that it was reasonable to exclude LT patients, but considered the submission’s estimate that 80% had undergone prior LT was likely an overestimate, particularly for the paediatric population. DUSC noted van Wessel 2020 stated 45.5% of patients had prior LT, </w:t>
            </w:r>
            <w:r w:rsidR="00212689" w:rsidRPr="00B146C3">
              <w:rPr>
                <w:szCs w:val="20"/>
              </w:rPr>
              <w:t xml:space="preserve">and considered </w:t>
            </w:r>
            <w:r w:rsidR="0080576C" w:rsidRPr="00B146C3">
              <w:rPr>
                <w:szCs w:val="20"/>
              </w:rPr>
              <w:t>that an</w:t>
            </w:r>
            <w:r w:rsidR="00212689" w:rsidRPr="00B146C3">
              <w:rPr>
                <w:szCs w:val="20"/>
              </w:rPr>
              <w:t xml:space="preserve"> estimate of </w:t>
            </w:r>
            <w:r w:rsidRPr="00B146C3">
              <w:rPr>
                <w:szCs w:val="20"/>
              </w:rPr>
              <w:t xml:space="preserve">45.5% should be applied to the </w:t>
            </w:r>
            <w:r w:rsidR="00212689" w:rsidRPr="00B146C3">
              <w:rPr>
                <w:szCs w:val="20"/>
              </w:rPr>
              <w:t xml:space="preserve">proportion of </w:t>
            </w:r>
            <w:r w:rsidRPr="00B146C3">
              <w:rPr>
                <w:szCs w:val="20"/>
              </w:rPr>
              <w:t>patients under the age of 20 years</w:t>
            </w:r>
            <w:r w:rsidR="00212689" w:rsidRPr="00B146C3">
              <w:rPr>
                <w:szCs w:val="20"/>
              </w:rPr>
              <w:t xml:space="preserve"> having undergone prior LT</w:t>
            </w:r>
            <w:r w:rsidRPr="00B146C3">
              <w:rPr>
                <w:szCs w:val="20"/>
              </w:rPr>
              <w:t>.</w:t>
            </w:r>
          </w:p>
        </w:tc>
      </w:tr>
      <w:tr w:rsidR="00AA4FE6" w:rsidRPr="00AA4FE6" w14:paraId="5BACBE34" w14:textId="77777777" w:rsidTr="006F5008">
        <w:trPr>
          <w:cantSplit/>
        </w:trPr>
        <w:tc>
          <w:tcPr>
            <w:tcW w:w="663" w:type="pct"/>
            <w:shd w:val="clear" w:color="auto" w:fill="auto"/>
          </w:tcPr>
          <w:p w14:paraId="63BFEABC" w14:textId="77777777" w:rsidR="00AA4FE6" w:rsidRPr="00AA4FE6" w:rsidRDefault="00AA4FE6" w:rsidP="006F5008">
            <w:pPr>
              <w:pStyle w:val="TableText0"/>
            </w:pPr>
            <w:r w:rsidRPr="00AA4FE6">
              <w:lastRenderedPageBreak/>
              <w:t>Eligible patients</w:t>
            </w:r>
          </w:p>
        </w:tc>
        <w:tc>
          <w:tcPr>
            <w:tcW w:w="2322" w:type="pct"/>
            <w:shd w:val="clear" w:color="auto" w:fill="auto"/>
          </w:tcPr>
          <w:p w14:paraId="549D2488" w14:textId="77777777" w:rsidR="00AA4FE6" w:rsidRPr="00AA4FE6" w:rsidRDefault="00AA4FE6" w:rsidP="006F5008">
            <w:pPr>
              <w:pStyle w:val="TableText0"/>
            </w:pPr>
            <w:r w:rsidRPr="00AA4FE6">
              <w:t>The submission stated patients are either in the initiating or continuing treatment phase:</w:t>
            </w:r>
          </w:p>
          <w:p w14:paraId="2B8F6760" w14:textId="598F7D82" w:rsidR="00AA4FE6" w:rsidRPr="00AA4FE6" w:rsidRDefault="00AA4FE6" w:rsidP="006F5008">
            <w:pPr>
              <w:pStyle w:val="ListParagraph"/>
              <w:spacing w:after="0"/>
              <w:ind w:left="360"/>
              <w:jc w:val="left"/>
              <w:rPr>
                <w:rFonts w:ascii="Arial Narrow" w:hAnsi="Arial Narrow"/>
                <w:sz w:val="20"/>
                <w:szCs w:val="20"/>
              </w:rPr>
            </w:pPr>
            <w:r w:rsidRPr="00AA4FE6">
              <w:rPr>
                <w:rFonts w:ascii="Arial Narrow" w:hAnsi="Arial Narrow"/>
                <w:sz w:val="20"/>
                <w:szCs w:val="20"/>
              </w:rPr>
              <w:t>The initiating phase reflected patients in their first three months of treatment at the low dose (40</w:t>
            </w:r>
            <w:r w:rsidR="007B3159">
              <w:rPr>
                <w:rFonts w:ascii="Arial Narrow" w:hAnsi="Arial Narrow"/>
                <w:sz w:val="20"/>
                <w:szCs w:val="20"/>
              </w:rPr>
              <w:t> </w:t>
            </w:r>
            <w:r w:rsidRPr="00AA4FE6">
              <w:rPr>
                <w:rFonts w:ascii="Arial Narrow" w:hAnsi="Arial Narrow"/>
                <w:sz w:val="20"/>
                <w:szCs w:val="20"/>
              </w:rPr>
              <w:t xml:space="preserve">mcg/kg) and </w:t>
            </w:r>
          </w:p>
          <w:p w14:paraId="377D8BEB" w14:textId="0DE85FAD" w:rsidR="00AA4FE6" w:rsidRPr="00AA4FE6" w:rsidRDefault="00AA4FE6" w:rsidP="006F5008">
            <w:pPr>
              <w:pStyle w:val="ListParagraph"/>
              <w:spacing w:after="0"/>
              <w:ind w:left="360"/>
              <w:jc w:val="left"/>
              <w:rPr>
                <w:rFonts w:ascii="Arial Narrow" w:hAnsi="Arial Narrow"/>
                <w:sz w:val="20"/>
                <w:szCs w:val="16"/>
              </w:rPr>
            </w:pPr>
            <w:r w:rsidRPr="00AA4FE6">
              <w:rPr>
                <w:rFonts w:ascii="Arial Narrow" w:hAnsi="Arial Narrow"/>
                <w:sz w:val="20"/>
                <w:szCs w:val="16"/>
              </w:rPr>
              <w:t>The continuing phase reflected patients who either (i) responded to the low dose and continued at 40</w:t>
            </w:r>
            <w:r w:rsidR="007B3159">
              <w:rPr>
                <w:rFonts w:ascii="Arial Narrow" w:hAnsi="Arial Narrow"/>
                <w:sz w:val="20"/>
                <w:szCs w:val="16"/>
              </w:rPr>
              <w:t> </w:t>
            </w:r>
            <w:r w:rsidRPr="00AA4FE6">
              <w:rPr>
                <w:rFonts w:ascii="Arial Narrow" w:hAnsi="Arial Narrow"/>
                <w:sz w:val="20"/>
                <w:szCs w:val="16"/>
              </w:rPr>
              <w:t>mcg/kg, or (ii) who escalated to the high dose (</w:t>
            </w:r>
            <w:r w:rsidR="007B3159" w:rsidRPr="00AA4FE6">
              <w:rPr>
                <w:rFonts w:ascii="Arial Narrow" w:hAnsi="Arial Narrow"/>
                <w:sz w:val="20"/>
                <w:szCs w:val="16"/>
              </w:rPr>
              <w:t>120</w:t>
            </w:r>
            <w:r w:rsidR="007B3159">
              <w:rPr>
                <w:rFonts w:ascii="Arial Narrow" w:hAnsi="Arial Narrow"/>
                <w:sz w:val="20"/>
                <w:szCs w:val="16"/>
              </w:rPr>
              <w:t> </w:t>
            </w:r>
            <w:r w:rsidRPr="00AA4FE6">
              <w:rPr>
                <w:rFonts w:ascii="Arial Narrow" w:hAnsi="Arial Narrow"/>
                <w:sz w:val="20"/>
                <w:szCs w:val="16"/>
              </w:rPr>
              <w:t xml:space="preserve">mcg/kg) due to non-response at the low dose, and then subsequently responded and continued at </w:t>
            </w:r>
            <w:r w:rsidR="007B3159" w:rsidRPr="00AA4FE6">
              <w:rPr>
                <w:rFonts w:ascii="Arial Narrow" w:hAnsi="Arial Narrow"/>
                <w:sz w:val="20"/>
                <w:szCs w:val="16"/>
              </w:rPr>
              <w:t>120</w:t>
            </w:r>
            <w:r w:rsidR="007B3159">
              <w:rPr>
                <w:rFonts w:ascii="Arial Narrow" w:hAnsi="Arial Narrow"/>
                <w:sz w:val="20"/>
                <w:szCs w:val="16"/>
              </w:rPr>
              <w:t> </w:t>
            </w:r>
            <w:r w:rsidRPr="00AA4FE6">
              <w:rPr>
                <w:rFonts w:ascii="Arial Narrow" w:hAnsi="Arial Narrow"/>
                <w:sz w:val="20"/>
                <w:szCs w:val="16"/>
              </w:rPr>
              <w:t xml:space="preserve">mcg/kg. </w:t>
            </w:r>
          </w:p>
          <w:p w14:paraId="666D7921" w14:textId="4F2D3656" w:rsidR="00AA4FE6" w:rsidRPr="00AA4FE6" w:rsidRDefault="00AA4FE6" w:rsidP="006F5008">
            <w:pPr>
              <w:pStyle w:val="TableText0"/>
              <w:rPr>
                <w:sz w:val="16"/>
                <w:szCs w:val="16"/>
              </w:rPr>
            </w:pPr>
            <w:r w:rsidRPr="00AA4FE6">
              <w:t xml:space="preserve">Of </w:t>
            </w:r>
            <w:r w:rsidR="0066157F" w:rsidRPr="0066157F">
              <w:rPr>
                <w:color w:val="000000"/>
                <w:spacing w:val="52"/>
                <w:shd w:val="solid" w:color="000000" w:fill="000000"/>
                <w:fitText w:val="330" w:id="-894208255"/>
                <w14:textFill>
                  <w14:solidFill>
                    <w14:srgbClr w14:val="000000">
                      <w14:alpha w14:val="100000"/>
                    </w14:srgbClr>
                  </w14:solidFill>
                </w14:textFill>
              </w:rPr>
              <w:t>|||</w:t>
            </w:r>
            <w:r w:rsidR="0066157F" w:rsidRPr="0066157F">
              <w:rPr>
                <w:color w:val="000000"/>
                <w:spacing w:val="2"/>
                <w:shd w:val="solid" w:color="000000" w:fill="000000"/>
                <w:fitText w:val="330" w:id="-894208255"/>
                <w14:textFill>
                  <w14:solidFill>
                    <w14:srgbClr w14:val="000000">
                      <w14:alpha w14:val="100000"/>
                    </w14:srgbClr>
                  </w14:solidFill>
                </w14:textFill>
              </w:rPr>
              <w:t>|</w:t>
            </w:r>
            <w:r w:rsidR="00F63401">
              <w:rPr>
                <w:vertAlign w:val="superscript"/>
              </w:rPr>
              <w:t xml:space="preserve"> 1</w:t>
            </w:r>
            <w:r w:rsidRPr="00AA4FE6">
              <w:t xml:space="preserve"> prevalent patients identified only </w:t>
            </w:r>
            <w:r w:rsidR="0066157F" w:rsidRPr="0066157F">
              <w:rPr>
                <w:color w:val="000000"/>
                <w:spacing w:val="52"/>
                <w:shd w:val="solid" w:color="000000" w:fill="000000"/>
                <w:fitText w:val="330" w:id="-894208254"/>
                <w14:textFill>
                  <w14:solidFill>
                    <w14:srgbClr w14:val="000000">
                      <w14:alpha w14:val="100000"/>
                    </w14:srgbClr>
                  </w14:solidFill>
                </w14:textFill>
              </w:rPr>
              <w:t>|||</w:t>
            </w:r>
            <w:r w:rsidR="0066157F" w:rsidRPr="0066157F">
              <w:rPr>
                <w:color w:val="000000"/>
                <w:spacing w:val="2"/>
                <w:shd w:val="solid" w:color="000000" w:fill="000000"/>
                <w:fitText w:val="330" w:id="-894208254"/>
                <w14:textFill>
                  <w14:solidFill>
                    <w14:srgbClr w14:val="000000">
                      <w14:alpha w14:val="100000"/>
                    </w14:srgbClr>
                  </w14:solidFill>
                </w14:textFill>
              </w:rPr>
              <w:t>|</w:t>
            </w:r>
            <w:r w:rsidR="00F63401">
              <w:rPr>
                <w:vertAlign w:val="superscript"/>
              </w:rPr>
              <w:t xml:space="preserve"> 1</w:t>
            </w:r>
            <w:r w:rsidRPr="00AA4FE6">
              <w:t xml:space="preserve"> assumed to be eligible for treatment. </w:t>
            </w:r>
          </w:p>
        </w:tc>
        <w:tc>
          <w:tcPr>
            <w:tcW w:w="2015" w:type="pct"/>
            <w:shd w:val="clear" w:color="auto" w:fill="auto"/>
          </w:tcPr>
          <w:p w14:paraId="1EE53EF3" w14:textId="49055134" w:rsidR="00AA4FE6" w:rsidRPr="00B146C3" w:rsidRDefault="00340E2F" w:rsidP="006F5008">
            <w:pPr>
              <w:pStyle w:val="Tabletext"/>
              <w:rPr>
                <w:szCs w:val="20"/>
              </w:rPr>
            </w:pPr>
            <w:r w:rsidRPr="00B146C3">
              <w:rPr>
                <w:szCs w:val="20"/>
              </w:rPr>
              <w:t xml:space="preserve">DUSC noted it was reasonable to assume that all eligible prevalent patients will be treated in the first year of listing, as patients are likely already managed by specialists. DUSC agreed that it was reasonable to only count prevalent patients in Year 1, and to only count incident patients for Year 2 onwards. </w:t>
            </w:r>
          </w:p>
        </w:tc>
      </w:tr>
      <w:tr w:rsidR="00AA4FE6" w:rsidRPr="00AA4FE6" w14:paraId="02919F86" w14:textId="77777777" w:rsidTr="006F5008">
        <w:trPr>
          <w:cantSplit/>
        </w:trPr>
        <w:tc>
          <w:tcPr>
            <w:tcW w:w="663" w:type="pct"/>
            <w:shd w:val="clear" w:color="auto" w:fill="auto"/>
          </w:tcPr>
          <w:p w14:paraId="0D09A723" w14:textId="77777777" w:rsidR="00AA4FE6" w:rsidRPr="00AA4FE6" w:rsidRDefault="00AA4FE6" w:rsidP="006F5008">
            <w:pPr>
              <w:pStyle w:val="TableText0"/>
            </w:pPr>
            <w:r w:rsidRPr="00AA4FE6">
              <w:t>Dosing protocol</w:t>
            </w:r>
          </w:p>
        </w:tc>
        <w:tc>
          <w:tcPr>
            <w:tcW w:w="2322" w:type="pct"/>
            <w:shd w:val="clear" w:color="auto" w:fill="auto"/>
          </w:tcPr>
          <w:p w14:paraId="465D9FD0" w14:textId="0D2C67B3" w:rsidR="00AA4FE6" w:rsidRPr="00AA4FE6" w:rsidRDefault="00AA4FE6" w:rsidP="006F5008">
            <w:pPr>
              <w:pStyle w:val="TableText0"/>
            </w:pPr>
            <w:r w:rsidRPr="00AA4FE6">
              <w:t>The submission follows the weight-based dosing regimen from the draft PI. Patients at the low dose (</w:t>
            </w:r>
            <w:r w:rsidR="007B3159" w:rsidRPr="00AA4FE6">
              <w:t>40</w:t>
            </w:r>
            <w:r w:rsidR="007B3159">
              <w:t> </w:t>
            </w:r>
            <w:r w:rsidRPr="00AA4FE6">
              <w:t>mcg/kg</w:t>
            </w:r>
            <w:r w:rsidR="002B5E07">
              <w:t>/day</w:t>
            </w:r>
            <w:r w:rsidRPr="00AA4FE6">
              <w:t>) receive 200 mcg or 400 mcg capsules. Patients at the high dose (120 mcg/kg</w:t>
            </w:r>
            <w:r w:rsidR="002B5E07">
              <w:t>/day</w:t>
            </w:r>
            <w:r w:rsidRPr="00AA4FE6">
              <w:t xml:space="preserve">) receive </w:t>
            </w:r>
            <w:r w:rsidR="007B3159" w:rsidRPr="00AA4FE6">
              <w:t>600</w:t>
            </w:r>
            <w:r w:rsidR="007B3159">
              <w:t> </w:t>
            </w:r>
            <w:r w:rsidRPr="00AA4FE6">
              <w:t xml:space="preserve">mcg or 1200 mcg capsules. Patients who weigh &lt;19.5 kg initiate </w:t>
            </w:r>
            <w:r w:rsidR="002B5E07">
              <w:t>on the</w:t>
            </w:r>
            <w:r w:rsidR="002B5E07" w:rsidRPr="00AA4FE6">
              <w:t xml:space="preserve"> </w:t>
            </w:r>
            <w:r w:rsidRPr="00AA4FE6">
              <w:t>200 mcg capsules and then progress to 600 mcg</w:t>
            </w:r>
            <w:r w:rsidR="002B5E07">
              <w:t xml:space="preserve"> capsules</w:t>
            </w:r>
            <w:r w:rsidRPr="00AA4FE6">
              <w:t xml:space="preserve"> if they dose escalate. Patients ≥19.5 kg initiate </w:t>
            </w:r>
            <w:r w:rsidR="002B5E07">
              <w:t xml:space="preserve">on the </w:t>
            </w:r>
            <w:r w:rsidRPr="00AA4FE6">
              <w:t xml:space="preserve">400 mcg capsules and then progress to 1200 mcg capsules if they dose escalate. </w:t>
            </w:r>
          </w:p>
        </w:tc>
        <w:tc>
          <w:tcPr>
            <w:tcW w:w="2015" w:type="pct"/>
            <w:shd w:val="clear" w:color="auto" w:fill="auto"/>
          </w:tcPr>
          <w:p w14:paraId="10C8CDF3" w14:textId="5A2EC6C7" w:rsidR="00AA4FE6" w:rsidRPr="00B146C3" w:rsidRDefault="003134D2" w:rsidP="006F5008">
            <w:pPr>
              <w:pStyle w:val="TableText0"/>
              <w:rPr>
                <w:szCs w:val="20"/>
              </w:rPr>
            </w:pPr>
            <w:r w:rsidRPr="00B146C3">
              <w:rPr>
                <w:szCs w:val="20"/>
              </w:rPr>
              <w:t xml:space="preserve">DUSC </w:t>
            </w:r>
            <w:r w:rsidR="003B7333" w:rsidRPr="00B146C3">
              <w:rPr>
                <w:szCs w:val="20"/>
              </w:rPr>
              <w:t xml:space="preserve">considered </w:t>
            </w:r>
            <w:r w:rsidRPr="00B146C3">
              <w:rPr>
                <w:szCs w:val="20"/>
              </w:rPr>
              <w:t>this was reasonable</w:t>
            </w:r>
            <w:r w:rsidR="003B7333" w:rsidRPr="00B146C3">
              <w:rPr>
                <w:szCs w:val="20"/>
              </w:rPr>
              <w:t>.</w:t>
            </w:r>
          </w:p>
        </w:tc>
      </w:tr>
      <w:tr w:rsidR="00AA4FE6" w:rsidRPr="00AA4FE6" w14:paraId="3FC62C49" w14:textId="77777777" w:rsidTr="006F5008">
        <w:trPr>
          <w:cantSplit/>
        </w:trPr>
        <w:tc>
          <w:tcPr>
            <w:tcW w:w="663" w:type="pct"/>
            <w:shd w:val="clear" w:color="auto" w:fill="auto"/>
          </w:tcPr>
          <w:p w14:paraId="27A18CA8" w14:textId="77777777" w:rsidR="00AA4FE6" w:rsidRPr="00AA4FE6" w:rsidRDefault="00AA4FE6" w:rsidP="006F5008">
            <w:pPr>
              <w:pStyle w:val="TableText0"/>
            </w:pPr>
            <w:r w:rsidRPr="00AA4FE6">
              <w:t xml:space="preserve">Responders and non-responders </w:t>
            </w:r>
          </w:p>
        </w:tc>
        <w:tc>
          <w:tcPr>
            <w:tcW w:w="2322" w:type="pct"/>
            <w:shd w:val="clear" w:color="auto" w:fill="auto"/>
          </w:tcPr>
          <w:p w14:paraId="7B9DCC9E" w14:textId="77777777" w:rsidR="00AA4FE6" w:rsidRPr="00AA4FE6" w:rsidRDefault="00AA4FE6" w:rsidP="006F5008">
            <w:pPr>
              <w:pStyle w:val="TableText0"/>
              <w:keepNext w:val="0"/>
            </w:pPr>
            <w:r w:rsidRPr="00AA4FE6">
              <w:t>The submission stated presented three potential treatment pathways for patients. These are summarised below.</w:t>
            </w:r>
          </w:p>
          <w:tbl>
            <w:tblPr>
              <w:tblStyle w:val="TableGrid"/>
              <w:tblW w:w="5000" w:type="pct"/>
              <w:tblLayout w:type="fixed"/>
              <w:tblCellMar>
                <w:left w:w="0" w:type="dxa"/>
                <w:right w:w="0" w:type="dxa"/>
              </w:tblCellMar>
              <w:tblLook w:val="04A0" w:firstRow="1" w:lastRow="0" w:firstColumn="1" w:lastColumn="0" w:noHBand="0" w:noVBand="1"/>
            </w:tblPr>
            <w:tblGrid>
              <w:gridCol w:w="1632"/>
              <w:gridCol w:w="434"/>
              <w:gridCol w:w="2055"/>
            </w:tblGrid>
            <w:tr w:rsidR="00AA4FE6" w:rsidRPr="00AA4FE6" w14:paraId="09CF714A" w14:textId="77777777" w:rsidTr="004E2A54">
              <w:trPr>
                <w:trHeight w:val="20"/>
              </w:trPr>
              <w:tc>
                <w:tcPr>
                  <w:tcW w:w="1632" w:type="dxa"/>
                </w:tcPr>
                <w:p w14:paraId="6FBFB418" w14:textId="77777777" w:rsidR="00AA4FE6" w:rsidRPr="00AE5025" w:rsidRDefault="00AA4FE6" w:rsidP="00341A2B">
                  <w:pPr>
                    <w:pStyle w:val="Tabletext"/>
                    <w:framePr w:hSpace="180" w:wrap="around" w:vAnchor="text" w:hAnchor="text" w:y="1"/>
                    <w:suppressOverlap/>
                    <w:rPr>
                      <w:b/>
                      <w:bCs/>
                      <w:sz w:val="18"/>
                      <w:szCs w:val="18"/>
                    </w:rPr>
                  </w:pPr>
                  <w:r w:rsidRPr="00AE5025">
                    <w:rPr>
                      <w:b/>
                      <w:bCs/>
                      <w:sz w:val="18"/>
                      <w:szCs w:val="18"/>
                    </w:rPr>
                    <w:t>Pathway</w:t>
                  </w:r>
                </w:p>
              </w:tc>
              <w:tc>
                <w:tcPr>
                  <w:tcW w:w="434" w:type="dxa"/>
                </w:tcPr>
                <w:p w14:paraId="286CEFBC" w14:textId="41864ED4" w:rsidR="004E2A54" w:rsidRPr="00AE5025" w:rsidRDefault="00AA4FE6" w:rsidP="00341A2B">
                  <w:pPr>
                    <w:pStyle w:val="Tabletext"/>
                    <w:framePr w:hSpace="180" w:wrap="around" w:vAnchor="text" w:hAnchor="text" w:y="1"/>
                    <w:suppressOverlap/>
                    <w:rPr>
                      <w:b/>
                      <w:bCs/>
                      <w:sz w:val="18"/>
                      <w:szCs w:val="18"/>
                    </w:rPr>
                  </w:pPr>
                  <w:r w:rsidRPr="00AE5025">
                    <w:rPr>
                      <w:b/>
                      <w:bCs/>
                      <w:sz w:val="18"/>
                      <w:szCs w:val="18"/>
                    </w:rPr>
                    <w:t>Value</w:t>
                  </w:r>
                </w:p>
              </w:tc>
              <w:tc>
                <w:tcPr>
                  <w:tcW w:w="2055" w:type="dxa"/>
                </w:tcPr>
                <w:p w14:paraId="7635D23D" w14:textId="77777777" w:rsidR="00AA4FE6" w:rsidRPr="00AE5025" w:rsidRDefault="00AA4FE6" w:rsidP="00341A2B">
                  <w:pPr>
                    <w:pStyle w:val="Tabletext"/>
                    <w:framePr w:hSpace="180" w:wrap="around" w:vAnchor="text" w:hAnchor="text" w:y="1"/>
                    <w:suppressOverlap/>
                    <w:rPr>
                      <w:b/>
                      <w:bCs/>
                      <w:sz w:val="18"/>
                      <w:szCs w:val="18"/>
                    </w:rPr>
                  </w:pPr>
                  <w:r w:rsidRPr="00AE5025">
                    <w:rPr>
                      <w:b/>
                      <w:bCs/>
                      <w:sz w:val="18"/>
                      <w:szCs w:val="18"/>
                    </w:rPr>
                    <w:t>Source</w:t>
                  </w:r>
                </w:p>
              </w:tc>
            </w:tr>
            <w:tr w:rsidR="00AA4FE6" w:rsidRPr="00AA4FE6" w14:paraId="53540329" w14:textId="77777777" w:rsidTr="004E2A54">
              <w:trPr>
                <w:trHeight w:val="20"/>
              </w:trPr>
              <w:tc>
                <w:tcPr>
                  <w:tcW w:w="1632" w:type="dxa"/>
                  <w:vAlign w:val="center"/>
                </w:tcPr>
                <w:p w14:paraId="7639D28F" w14:textId="77777777" w:rsidR="00AA4FE6" w:rsidRPr="00AE5025" w:rsidRDefault="00AA4FE6" w:rsidP="00341A2B">
                  <w:pPr>
                    <w:pStyle w:val="Tabletext"/>
                    <w:framePr w:hSpace="180" w:wrap="around" w:vAnchor="text" w:hAnchor="text" w:y="1"/>
                    <w:suppressOverlap/>
                    <w:rPr>
                      <w:sz w:val="18"/>
                      <w:szCs w:val="18"/>
                    </w:rPr>
                  </w:pPr>
                  <w:r w:rsidRPr="00AE5025">
                    <w:rPr>
                      <w:sz w:val="18"/>
                      <w:szCs w:val="18"/>
                    </w:rPr>
                    <w:t>1. Respond to low dose (40 mcg/kg) and continue</w:t>
                  </w:r>
                </w:p>
              </w:tc>
              <w:tc>
                <w:tcPr>
                  <w:tcW w:w="434" w:type="dxa"/>
                  <w:vAlign w:val="center"/>
                </w:tcPr>
                <w:p w14:paraId="234FBE5F" w14:textId="77777777" w:rsidR="00AA4FE6" w:rsidRPr="00AE5025" w:rsidRDefault="00AA4FE6" w:rsidP="00341A2B">
                  <w:pPr>
                    <w:pStyle w:val="Tabletext"/>
                    <w:framePr w:hSpace="180" w:wrap="around" w:vAnchor="text" w:hAnchor="text" w:y="1"/>
                    <w:suppressOverlap/>
                    <w:rPr>
                      <w:sz w:val="18"/>
                      <w:szCs w:val="18"/>
                    </w:rPr>
                  </w:pPr>
                  <w:r w:rsidRPr="00AE5025">
                    <w:rPr>
                      <w:sz w:val="18"/>
                      <w:szCs w:val="18"/>
                    </w:rPr>
                    <w:t>43.5%</w:t>
                  </w:r>
                </w:p>
              </w:tc>
              <w:tc>
                <w:tcPr>
                  <w:tcW w:w="2055" w:type="dxa"/>
                  <w:vAlign w:val="center"/>
                </w:tcPr>
                <w:p w14:paraId="45471741" w14:textId="77777777" w:rsidR="00AA4FE6" w:rsidRPr="00AE5025" w:rsidRDefault="00AA4FE6" w:rsidP="00341A2B">
                  <w:pPr>
                    <w:pStyle w:val="Tabletext"/>
                    <w:framePr w:hSpace="180" w:wrap="around" w:vAnchor="text" w:hAnchor="text" w:y="1"/>
                    <w:suppressOverlap/>
                    <w:rPr>
                      <w:sz w:val="18"/>
                      <w:szCs w:val="18"/>
                    </w:rPr>
                  </w:pPr>
                  <w:r w:rsidRPr="00AE5025">
                    <w:rPr>
                      <w:sz w:val="18"/>
                      <w:szCs w:val="18"/>
                    </w:rPr>
                    <w:t>Response rate in 40 mcg/kg arm in PEDFIC 1</w:t>
                  </w:r>
                </w:p>
              </w:tc>
            </w:tr>
            <w:tr w:rsidR="00AA4FE6" w:rsidRPr="00AA4FE6" w14:paraId="4B98CF0D" w14:textId="77777777" w:rsidTr="004E2A54">
              <w:trPr>
                <w:trHeight w:val="20"/>
              </w:trPr>
              <w:tc>
                <w:tcPr>
                  <w:tcW w:w="1632" w:type="dxa"/>
                  <w:vAlign w:val="center"/>
                </w:tcPr>
                <w:p w14:paraId="590A20F9" w14:textId="77777777" w:rsidR="00AA4FE6" w:rsidRPr="00AE5025" w:rsidRDefault="00AA4FE6" w:rsidP="00341A2B">
                  <w:pPr>
                    <w:pStyle w:val="Tabletext"/>
                    <w:framePr w:hSpace="180" w:wrap="around" w:vAnchor="text" w:hAnchor="text" w:y="1"/>
                    <w:suppressOverlap/>
                    <w:rPr>
                      <w:sz w:val="18"/>
                      <w:szCs w:val="18"/>
                    </w:rPr>
                  </w:pPr>
                  <w:r w:rsidRPr="00AE5025">
                    <w:rPr>
                      <w:sz w:val="18"/>
                      <w:szCs w:val="18"/>
                    </w:rPr>
                    <w:t>2. No response to low dose at three months, but then respond to high dose at six months (120 mcg/kg) and continue</w:t>
                  </w:r>
                </w:p>
              </w:tc>
              <w:tc>
                <w:tcPr>
                  <w:tcW w:w="434" w:type="dxa"/>
                  <w:vAlign w:val="center"/>
                </w:tcPr>
                <w:p w14:paraId="749FCB91" w14:textId="77777777" w:rsidR="00AA4FE6" w:rsidRPr="00AE5025" w:rsidRDefault="00AA4FE6" w:rsidP="00341A2B">
                  <w:pPr>
                    <w:pStyle w:val="Tabletext"/>
                    <w:framePr w:hSpace="180" w:wrap="around" w:vAnchor="text" w:hAnchor="text" w:y="1"/>
                    <w:suppressOverlap/>
                    <w:rPr>
                      <w:sz w:val="18"/>
                      <w:szCs w:val="18"/>
                    </w:rPr>
                  </w:pPr>
                  <w:r w:rsidRPr="00AE5025">
                    <w:rPr>
                      <w:sz w:val="18"/>
                      <w:szCs w:val="18"/>
                    </w:rPr>
                    <w:t xml:space="preserve">14.5% </w:t>
                  </w:r>
                </w:p>
              </w:tc>
              <w:tc>
                <w:tcPr>
                  <w:tcW w:w="2055" w:type="dxa"/>
                  <w:vAlign w:val="center"/>
                </w:tcPr>
                <w:p w14:paraId="31517515" w14:textId="77777777" w:rsidR="00AA4FE6" w:rsidRPr="00AE5025" w:rsidRDefault="00AA4FE6" w:rsidP="00341A2B">
                  <w:pPr>
                    <w:pStyle w:val="Tabletext"/>
                    <w:framePr w:hSpace="180" w:wrap="around" w:vAnchor="text" w:hAnchor="text" w:y="1"/>
                    <w:suppressOverlap/>
                    <w:rPr>
                      <w:sz w:val="18"/>
                      <w:szCs w:val="18"/>
                    </w:rPr>
                  </w:pPr>
                  <w:r w:rsidRPr="00AE5025">
                    <w:rPr>
                      <w:sz w:val="18"/>
                      <w:szCs w:val="18"/>
                    </w:rPr>
                    <w:t>Calculated as 24.5% x 58%</w:t>
                  </w:r>
                </w:p>
                <w:p w14:paraId="1D0586C4" w14:textId="77777777" w:rsidR="00AA4FE6" w:rsidRPr="00AE5025" w:rsidRDefault="00AA4FE6" w:rsidP="00341A2B">
                  <w:pPr>
                    <w:pStyle w:val="Tabletext"/>
                    <w:framePr w:hSpace="180" w:wrap="around" w:vAnchor="text" w:hAnchor="text" w:y="1"/>
                    <w:suppressOverlap/>
                    <w:rPr>
                      <w:sz w:val="18"/>
                      <w:szCs w:val="18"/>
                    </w:rPr>
                  </w:pPr>
                </w:p>
                <w:p w14:paraId="780FC266" w14:textId="77777777" w:rsidR="00AA4FE6" w:rsidRPr="00AE5025" w:rsidRDefault="00AA4FE6" w:rsidP="00341A2B">
                  <w:pPr>
                    <w:pStyle w:val="Tabletext"/>
                    <w:framePr w:hSpace="180" w:wrap="around" w:vAnchor="text" w:hAnchor="text" w:y="1"/>
                    <w:suppressOverlap/>
                    <w:rPr>
                      <w:sz w:val="18"/>
                      <w:szCs w:val="18"/>
                    </w:rPr>
                  </w:pPr>
                  <w:r w:rsidRPr="00AE5025">
                    <w:rPr>
                      <w:sz w:val="18"/>
                      <w:szCs w:val="18"/>
                    </w:rPr>
                    <w:t>24.5% = % high dose (internal data and PEDFIC response)</w:t>
                  </w:r>
                </w:p>
                <w:p w14:paraId="0FA1C1E9" w14:textId="77777777" w:rsidR="00AA4FE6" w:rsidRPr="00AE5025" w:rsidRDefault="00AA4FE6" w:rsidP="00341A2B">
                  <w:pPr>
                    <w:pStyle w:val="Tabletext"/>
                    <w:framePr w:hSpace="180" w:wrap="around" w:vAnchor="text" w:hAnchor="text" w:y="1"/>
                    <w:suppressOverlap/>
                    <w:rPr>
                      <w:sz w:val="18"/>
                      <w:szCs w:val="18"/>
                    </w:rPr>
                  </w:pPr>
                  <w:r w:rsidRPr="00AE5025">
                    <w:rPr>
                      <w:sz w:val="18"/>
                      <w:szCs w:val="18"/>
                    </w:rPr>
                    <w:t>58% = total responders</w:t>
                  </w:r>
                </w:p>
              </w:tc>
            </w:tr>
            <w:tr w:rsidR="00AA4FE6" w:rsidRPr="00AA4FE6" w14:paraId="09CE542A" w14:textId="77777777" w:rsidTr="00B720D1">
              <w:trPr>
                <w:cantSplit/>
                <w:trHeight w:val="20"/>
              </w:trPr>
              <w:tc>
                <w:tcPr>
                  <w:tcW w:w="1632" w:type="dxa"/>
                  <w:vAlign w:val="center"/>
                </w:tcPr>
                <w:p w14:paraId="404C0388" w14:textId="77777777" w:rsidR="00AA4FE6" w:rsidRPr="00AE5025" w:rsidRDefault="00AA4FE6" w:rsidP="00341A2B">
                  <w:pPr>
                    <w:pStyle w:val="Tabletext"/>
                    <w:keepNext/>
                    <w:keepLines/>
                    <w:framePr w:hSpace="180" w:wrap="around" w:vAnchor="text" w:hAnchor="text" w:y="1"/>
                    <w:suppressOverlap/>
                    <w:rPr>
                      <w:sz w:val="18"/>
                      <w:szCs w:val="18"/>
                    </w:rPr>
                  </w:pPr>
                  <w:r w:rsidRPr="00AE5025">
                    <w:rPr>
                      <w:sz w:val="18"/>
                      <w:szCs w:val="18"/>
                    </w:rPr>
                    <w:t>3. No response to low dose, and no response to high dose and discontinue</w:t>
                  </w:r>
                </w:p>
              </w:tc>
              <w:tc>
                <w:tcPr>
                  <w:tcW w:w="434" w:type="dxa"/>
                  <w:vAlign w:val="center"/>
                </w:tcPr>
                <w:p w14:paraId="3F306221" w14:textId="77777777" w:rsidR="00AA4FE6" w:rsidRPr="00AE5025" w:rsidRDefault="00AA4FE6" w:rsidP="00341A2B">
                  <w:pPr>
                    <w:pStyle w:val="Tabletext"/>
                    <w:keepNext/>
                    <w:keepLines/>
                    <w:framePr w:hSpace="180" w:wrap="around" w:vAnchor="text" w:hAnchor="text" w:y="1"/>
                    <w:suppressOverlap/>
                    <w:rPr>
                      <w:sz w:val="18"/>
                      <w:szCs w:val="18"/>
                    </w:rPr>
                  </w:pPr>
                  <w:r w:rsidRPr="00AE5025">
                    <w:rPr>
                      <w:sz w:val="18"/>
                      <w:szCs w:val="18"/>
                    </w:rPr>
                    <w:t>42%</w:t>
                  </w:r>
                </w:p>
              </w:tc>
              <w:tc>
                <w:tcPr>
                  <w:tcW w:w="2055" w:type="dxa"/>
                  <w:vAlign w:val="center"/>
                </w:tcPr>
                <w:p w14:paraId="3E317124" w14:textId="77777777" w:rsidR="00AA4FE6" w:rsidRPr="00AE5025" w:rsidRDefault="00AA4FE6" w:rsidP="00341A2B">
                  <w:pPr>
                    <w:pStyle w:val="Tabletext"/>
                    <w:keepNext/>
                    <w:keepLines/>
                    <w:framePr w:hSpace="180" w:wrap="around" w:vAnchor="text" w:hAnchor="text" w:y="1"/>
                    <w:suppressOverlap/>
                    <w:rPr>
                      <w:sz w:val="18"/>
                      <w:szCs w:val="18"/>
                    </w:rPr>
                  </w:pPr>
                  <w:r w:rsidRPr="00AE5025">
                    <w:rPr>
                      <w:sz w:val="18"/>
                      <w:szCs w:val="18"/>
                    </w:rPr>
                    <w:t>Calculated as 100% - 57.63% (total responders).</w:t>
                  </w:r>
                </w:p>
              </w:tc>
            </w:tr>
          </w:tbl>
          <w:p w14:paraId="7B1CF0EF" w14:textId="32EAF8EF" w:rsidR="00AA4FE6" w:rsidRPr="00AA4FE6" w:rsidRDefault="00AA4FE6" w:rsidP="006F5008">
            <w:pPr>
              <w:pStyle w:val="TableFigureFooter"/>
              <w:spacing w:after="0"/>
              <w:jc w:val="left"/>
            </w:pPr>
          </w:p>
        </w:tc>
        <w:tc>
          <w:tcPr>
            <w:tcW w:w="2015" w:type="pct"/>
            <w:shd w:val="clear" w:color="auto" w:fill="auto"/>
          </w:tcPr>
          <w:p w14:paraId="2053ECF3" w14:textId="7B5CC6B5" w:rsidR="00AA4FE6" w:rsidRPr="00B146C3" w:rsidRDefault="00AA4FE6" w:rsidP="006F5008">
            <w:pPr>
              <w:pStyle w:val="TableText0"/>
              <w:rPr>
                <w:szCs w:val="20"/>
              </w:rPr>
            </w:pPr>
            <w:r w:rsidRPr="00B146C3">
              <w:rPr>
                <w:szCs w:val="20"/>
              </w:rPr>
              <w:t>The dose escalation and discontinuation rules in the financials followed the draft PI; however, these were not specified in the proposed restriction. The basis for the three-month initial treatment period was unclear given that patients in PEDFIC 1 escalated dose after ~22 weeks.</w:t>
            </w:r>
          </w:p>
          <w:p w14:paraId="4EB5DDF3" w14:textId="77777777" w:rsidR="00AA4FE6" w:rsidRPr="00B146C3" w:rsidRDefault="00AA4FE6" w:rsidP="006F5008">
            <w:pPr>
              <w:pStyle w:val="TableText0"/>
              <w:rPr>
                <w:szCs w:val="20"/>
              </w:rPr>
            </w:pPr>
          </w:p>
          <w:p w14:paraId="1B075824" w14:textId="4ED58832" w:rsidR="00AA4FE6" w:rsidRPr="00B146C3" w:rsidRDefault="00AA4FE6" w:rsidP="006F5008">
            <w:pPr>
              <w:pStyle w:val="TableText0"/>
              <w:rPr>
                <w:szCs w:val="20"/>
              </w:rPr>
            </w:pPr>
            <w:r w:rsidRPr="00B146C3">
              <w:rPr>
                <w:szCs w:val="20"/>
              </w:rPr>
              <w:t>PEDFIC 1 response rates to 40 mcg/kg/day dosage were reasonable. However, these inputs were not consistent with the economic model base case</w:t>
            </w:r>
            <w:r w:rsidR="00323798" w:rsidRPr="00B146C3">
              <w:rPr>
                <w:szCs w:val="20"/>
              </w:rPr>
              <w:t>,</w:t>
            </w:r>
            <w:r w:rsidRPr="00B146C3">
              <w:rPr>
                <w:szCs w:val="20"/>
              </w:rPr>
              <w:t xml:space="preserve"> which relied on OvEC inputs (49.4% response rate). There was uncertainty in the proportion of patients who received high dose odevixibat (24.5%) as the response of patients who up-titrated could not be verified</w:t>
            </w:r>
            <w:r w:rsidR="001C4410">
              <w:rPr>
                <w:szCs w:val="20"/>
              </w:rPr>
              <w:t>.</w:t>
            </w:r>
          </w:p>
          <w:p w14:paraId="3BBE9465" w14:textId="77777777" w:rsidR="003134D2" w:rsidRPr="00B146C3" w:rsidRDefault="003134D2" w:rsidP="006F5008">
            <w:pPr>
              <w:pStyle w:val="TableText0"/>
              <w:rPr>
                <w:szCs w:val="20"/>
              </w:rPr>
            </w:pPr>
          </w:p>
          <w:p w14:paraId="5D39148A" w14:textId="77777777" w:rsidR="003134D2" w:rsidRPr="00B146C3" w:rsidRDefault="003134D2" w:rsidP="006F5008">
            <w:pPr>
              <w:pStyle w:val="TableText0"/>
              <w:rPr>
                <w:szCs w:val="20"/>
              </w:rPr>
            </w:pPr>
          </w:p>
          <w:p w14:paraId="71D5E43F" w14:textId="7A401F15" w:rsidR="003134D2" w:rsidRPr="00B146C3" w:rsidRDefault="003134D2" w:rsidP="006F5008">
            <w:pPr>
              <w:pStyle w:val="TableText0"/>
              <w:rPr>
                <w:szCs w:val="20"/>
              </w:rPr>
            </w:pPr>
            <w:r w:rsidRPr="00B146C3">
              <w:rPr>
                <w:szCs w:val="20"/>
              </w:rPr>
              <w:t>DUSC noted that:</w:t>
            </w:r>
          </w:p>
          <w:p w14:paraId="35A2373A" w14:textId="1DADF795" w:rsidR="003134D2" w:rsidRPr="00B146C3" w:rsidRDefault="003134D2" w:rsidP="006F5008">
            <w:pPr>
              <w:pStyle w:val="TableText0"/>
              <w:rPr>
                <w:szCs w:val="20"/>
              </w:rPr>
            </w:pPr>
            <w:r w:rsidRPr="00B146C3">
              <w:rPr>
                <w:szCs w:val="20"/>
              </w:rPr>
              <w:lastRenderedPageBreak/>
              <w:t>• patients with other subtypes with unknown response will be eligible to initiate treatment thus</w:t>
            </w:r>
            <w:r w:rsidR="002B5E07">
              <w:rPr>
                <w:szCs w:val="20"/>
              </w:rPr>
              <w:t>,</w:t>
            </w:r>
            <w:r w:rsidRPr="00B146C3">
              <w:rPr>
                <w:szCs w:val="20"/>
              </w:rPr>
              <w:t xml:space="preserve"> 43.5% might be an overestimate</w:t>
            </w:r>
          </w:p>
          <w:p w14:paraId="2B2D8D1B" w14:textId="67396E79" w:rsidR="003134D2" w:rsidRPr="00B146C3" w:rsidRDefault="003134D2" w:rsidP="006F5008">
            <w:pPr>
              <w:pStyle w:val="TableText0"/>
              <w:rPr>
                <w:szCs w:val="20"/>
              </w:rPr>
            </w:pPr>
            <w:r w:rsidRPr="00B146C3">
              <w:rPr>
                <w:szCs w:val="20"/>
              </w:rPr>
              <w:t xml:space="preserve">• the </w:t>
            </w:r>
            <w:r w:rsidR="002B5E07">
              <w:rPr>
                <w:szCs w:val="20"/>
              </w:rPr>
              <w:t>3</w:t>
            </w:r>
            <w:r w:rsidRPr="00B146C3">
              <w:rPr>
                <w:szCs w:val="20"/>
              </w:rPr>
              <w:t xml:space="preserve"> month response rates were based on </w:t>
            </w:r>
            <w:r w:rsidR="003E2508" w:rsidRPr="00B146C3">
              <w:rPr>
                <w:szCs w:val="20"/>
              </w:rPr>
              <w:t>22</w:t>
            </w:r>
            <w:r w:rsidR="003E2508">
              <w:rPr>
                <w:szCs w:val="20"/>
              </w:rPr>
              <w:t> </w:t>
            </w:r>
            <w:r w:rsidRPr="00B146C3">
              <w:rPr>
                <w:szCs w:val="20"/>
              </w:rPr>
              <w:t xml:space="preserve">week response rates from PEDFIC 1, in the </w:t>
            </w:r>
            <w:r w:rsidR="003E2508" w:rsidRPr="00B146C3">
              <w:rPr>
                <w:szCs w:val="20"/>
              </w:rPr>
              <w:t>40</w:t>
            </w:r>
            <w:r w:rsidR="003E2508">
              <w:rPr>
                <w:szCs w:val="20"/>
              </w:rPr>
              <w:t> </w:t>
            </w:r>
            <w:r w:rsidRPr="00B146C3">
              <w:rPr>
                <w:szCs w:val="20"/>
              </w:rPr>
              <w:t>mcg group only (43.5%) – response rates might be lower at 12 weeks (3 months)</w:t>
            </w:r>
          </w:p>
          <w:p w14:paraId="0D8B00E8" w14:textId="03E6135D" w:rsidR="003134D2" w:rsidRPr="00B146C3" w:rsidRDefault="003134D2" w:rsidP="006F5008">
            <w:pPr>
              <w:pStyle w:val="TableText0"/>
              <w:rPr>
                <w:szCs w:val="20"/>
              </w:rPr>
            </w:pPr>
            <w:r w:rsidRPr="00B146C3">
              <w:rPr>
                <w:szCs w:val="20"/>
              </w:rPr>
              <w:t xml:space="preserve">• patients initiated on 120 mcg/kg did not respond as well at 22 weeks </w:t>
            </w:r>
            <w:r w:rsidR="00BF1128" w:rsidRPr="00B146C3">
              <w:rPr>
                <w:szCs w:val="20"/>
              </w:rPr>
              <w:t>(</w:t>
            </w:r>
            <w:r w:rsidRPr="00B146C3">
              <w:rPr>
                <w:szCs w:val="20"/>
              </w:rPr>
              <w:t>21.1%</w:t>
            </w:r>
            <w:r w:rsidR="00BF1128" w:rsidRPr="00B146C3">
              <w:rPr>
                <w:szCs w:val="20"/>
              </w:rPr>
              <w:t>)</w:t>
            </w:r>
            <w:r w:rsidRPr="00B146C3">
              <w:rPr>
                <w:szCs w:val="20"/>
              </w:rPr>
              <w:t>, and</w:t>
            </w:r>
          </w:p>
          <w:p w14:paraId="32108B8B" w14:textId="2DB02B9E" w:rsidR="003134D2" w:rsidRPr="00B146C3" w:rsidRDefault="003134D2" w:rsidP="006F5008">
            <w:pPr>
              <w:pStyle w:val="TableText0"/>
              <w:rPr>
                <w:szCs w:val="20"/>
              </w:rPr>
            </w:pPr>
            <w:r w:rsidRPr="00B146C3">
              <w:rPr>
                <w:szCs w:val="20"/>
              </w:rPr>
              <w:t>• the response of patients who up-titrated could not be verified, which increases uncertainty.</w:t>
            </w:r>
          </w:p>
        </w:tc>
      </w:tr>
      <w:tr w:rsidR="00AA4FE6" w:rsidRPr="00AA4FE6" w14:paraId="29DC7A59" w14:textId="77777777" w:rsidTr="006F5008">
        <w:trPr>
          <w:cantSplit/>
        </w:trPr>
        <w:tc>
          <w:tcPr>
            <w:tcW w:w="663" w:type="pct"/>
            <w:shd w:val="clear" w:color="auto" w:fill="auto"/>
          </w:tcPr>
          <w:p w14:paraId="309DCFBA" w14:textId="77777777" w:rsidR="00AA4FE6" w:rsidRPr="00AA4FE6" w:rsidRDefault="00AA4FE6" w:rsidP="006F5008">
            <w:pPr>
              <w:pStyle w:val="TableText0"/>
            </w:pPr>
            <w:r w:rsidRPr="00AA4FE6">
              <w:lastRenderedPageBreak/>
              <w:t xml:space="preserve">Treatment duration </w:t>
            </w:r>
          </w:p>
        </w:tc>
        <w:tc>
          <w:tcPr>
            <w:tcW w:w="2322" w:type="pct"/>
            <w:shd w:val="clear" w:color="auto" w:fill="auto"/>
          </w:tcPr>
          <w:p w14:paraId="3136D8EE" w14:textId="77777777" w:rsidR="00AA4FE6" w:rsidRPr="00AA4FE6" w:rsidRDefault="00AA4FE6" w:rsidP="006F5008">
            <w:pPr>
              <w:pStyle w:val="TableText0"/>
            </w:pPr>
            <w:r w:rsidRPr="00AA4FE6">
              <w:t>The following treatment durations for the three treatment scenarios were assumed:</w:t>
            </w:r>
          </w:p>
          <w:p w14:paraId="202CEB72" w14:textId="15A25243" w:rsidR="00AA4FE6" w:rsidRPr="00AA4FE6" w:rsidRDefault="00AA4FE6" w:rsidP="006F5008">
            <w:pPr>
              <w:pStyle w:val="TableText0"/>
              <w:numPr>
                <w:ilvl w:val="0"/>
                <w:numId w:val="16"/>
              </w:numPr>
              <w:ind w:left="360"/>
            </w:pPr>
            <w:r w:rsidRPr="00AA4FE6">
              <w:t xml:space="preserve">Responders at low dose: initial treatment </w:t>
            </w:r>
            <w:r w:rsidR="003801E0" w:rsidRPr="00AA4FE6">
              <w:t>3</w:t>
            </w:r>
            <w:r w:rsidR="003801E0">
              <w:t> </w:t>
            </w:r>
            <w:r w:rsidRPr="00AA4FE6">
              <w:t xml:space="preserve">months, then continue treatment for </w:t>
            </w:r>
            <w:r w:rsidR="003801E0" w:rsidRPr="00AA4FE6">
              <w:t>72</w:t>
            </w:r>
            <w:r w:rsidR="003801E0">
              <w:t> </w:t>
            </w:r>
            <w:r w:rsidRPr="00AA4FE6">
              <w:t>months</w:t>
            </w:r>
          </w:p>
          <w:p w14:paraId="765124BD" w14:textId="0F3AA03F" w:rsidR="00AA4FE6" w:rsidRPr="00AA4FE6" w:rsidRDefault="00AA4FE6" w:rsidP="006F5008">
            <w:pPr>
              <w:pStyle w:val="TableText0"/>
              <w:numPr>
                <w:ilvl w:val="0"/>
                <w:numId w:val="16"/>
              </w:numPr>
              <w:ind w:left="360"/>
            </w:pPr>
            <w:r w:rsidRPr="00AA4FE6">
              <w:t>Responders at high dose: continue treatment for 72</w:t>
            </w:r>
            <w:r w:rsidR="00F9187D">
              <w:t> </w:t>
            </w:r>
            <w:r w:rsidRPr="00AA4FE6">
              <w:t>months</w:t>
            </w:r>
          </w:p>
          <w:p w14:paraId="21FB6CEF" w14:textId="57224470" w:rsidR="00AA4FE6" w:rsidRPr="00AA4FE6" w:rsidRDefault="00AA4FE6" w:rsidP="006F5008">
            <w:pPr>
              <w:pStyle w:val="TableText0"/>
              <w:numPr>
                <w:ilvl w:val="0"/>
                <w:numId w:val="16"/>
              </w:numPr>
              <w:ind w:left="360"/>
            </w:pPr>
            <w:r w:rsidRPr="00AA4FE6">
              <w:t xml:space="preserve">Non-responders at all doses: continue treatment for </w:t>
            </w:r>
            <w:r w:rsidR="003801E0" w:rsidRPr="00AA4FE6">
              <w:t>6</w:t>
            </w:r>
            <w:r w:rsidR="003801E0">
              <w:t> </w:t>
            </w:r>
            <w:r w:rsidRPr="00AA4FE6">
              <w:t>months</w:t>
            </w:r>
          </w:p>
          <w:p w14:paraId="458ED37B" w14:textId="77777777" w:rsidR="00AA4FE6" w:rsidRPr="00AA4FE6" w:rsidRDefault="00AA4FE6" w:rsidP="006F5008">
            <w:pPr>
              <w:pStyle w:val="TableText0"/>
            </w:pPr>
            <w:r w:rsidRPr="00AA4FE6">
              <w:t>The patients assumed to be receiving treatment are summarised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76"/>
              <w:gridCol w:w="440"/>
              <w:gridCol w:w="441"/>
              <w:gridCol w:w="441"/>
              <w:gridCol w:w="441"/>
              <w:gridCol w:w="441"/>
              <w:gridCol w:w="441"/>
            </w:tblGrid>
            <w:tr w:rsidR="00AA4FE6" w:rsidRPr="00AA4FE6" w14:paraId="29BD7919" w14:textId="77777777" w:rsidTr="003801E0">
              <w:trPr>
                <w:trHeight w:val="113"/>
              </w:trPr>
              <w:tc>
                <w:tcPr>
                  <w:tcW w:w="1476" w:type="dxa"/>
                  <w:shd w:val="clear" w:color="auto" w:fill="auto"/>
                  <w:noWrap/>
                  <w:vAlign w:val="center"/>
                  <w:hideMark/>
                </w:tcPr>
                <w:p w14:paraId="1353FA8A" w14:textId="77777777" w:rsidR="00AA4FE6" w:rsidRPr="00AA4FE6" w:rsidRDefault="00AA4FE6" w:rsidP="00341A2B">
                  <w:pPr>
                    <w:pStyle w:val="Tabletext"/>
                    <w:framePr w:hSpace="180" w:wrap="around" w:vAnchor="text" w:hAnchor="text" w:y="1"/>
                    <w:suppressOverlap/>
                    <w:rPr>
                      <w:b/>
                      <w:bCs/>
                      <w:szCs w:val="20"/>
                    </w:rPr>
                  </w:pPr>
                  <w:r w:rsidRPr="00AA4FE6">
                    <w:rPr>
                      <w:b/>
                      <w:bCs/>
                      <w:szCs w:val="20"/>
                    </w:rPr>
                    <w:t xml:space="preserve">Patients  </w:t>
                  </w:r>
                </w:p>
              </w:tc>
              <w:tc>
                <w:tcPr>
                  <w:tcW w:w="440" w:type="dxa"/>
                  <w:shd w:val="clear" w:color="auto" w:fill="auto"/>
                  <w:noWrap/>
                  <w:vAlign w:val="center"/>
                  <w:hideMark/>
                </w:tcPr>
                <w:p w14:paraId="17BF4658" w14:textId="77777777" w:rsidR="00AA4FE6" w:rsidRPr="00AA4FE6" w:rsidRDefault="00AA4FE6" w:rsidP="00341A2B">
                  <w:pPr>
                    <w:pStyle w:val="Tabletext"/>
                    <w:framePr w:hSpace="180" w:wrap="around" w:vAnchor="text" w:hAnchor="text" w:y="1"/>
                    <w:suppressOverlap/>
                    <w:rPr>
                      <w:b/>
                      <w:bCs/>
                      <w:szCs w:val="20"/>
                    </w:rPr>
                  </w:pPr>
                  <w:r w:rsidRPr="00AA4FE6">
                    <w:rPr>
                      <w:b/>
                      <w:bCs/>
                      <w:szCs w:val="20"/>
                    </w:rPr>
                    <w:t>2024</w:t>
                  </w:r>
                </w:p>
              </w:tc>
              <w:tc>
                <w:tcPr>
                  <w:tcW w:w="441" w:type="dxa"/>
                  <w:shd w:val="clear" w:color="auto" w:fill="auto"/>
                  <w:noWrap/>
                  <w:vAlign w:val="center"/>
                  <w:hideMark/>
                </w:tcPr>
                <w:p w14:paraId="1FFA5904" w14:textId="77777777" w:rsidR="00AA4FE6" w:rsidRPr="00AA4FE6" w:rsidRDefault="00AA4FE6" w:rsidP="00341A2B">
                  <w:pPr>
                    <w:pStyle w:val="Tabletext"/>
                    <w:framePr w:hSpace="180" w:wrap="around" w:vAnchor="text" w:hAnchor="text" w:y="1"/>
                    <w:suppressOverlap/>
                    <w:rPr>
                      <w:b/>
                      <w:bCs/>
                      <w:szCs w:val="20"/>
                    </w:rPr>
                  </w:pPr>
                  <w:r w:rsidRPr="00AA4FE6">
                    <w:rPr>
                      <w:b/>
                      <w:bCs/>
                      <w:szCs w:val="20"/>
                    </w:rPr>
                    <w:t>2025</w:t>
                  </w:r>
                </w:p>
              </w:tc>
              <w:tc>
                <w:tcPr>
                  <w:tcW w:w="441" w:type="dxa"/>
                  <w:shd w:val="clear" w:color="auto" w:fill="auto"/>
                  <w:noWrap/>
                  <w:vAlign w:val="center"/>
                  <w:hideMark/>
                </w:tcPr>
                <w:p w14:paraId="6235A706" w14:textId="77777777" w:rsidR="00AA4FE6" w:rsidRPr="00AA4FE6" w:rsidRDefault="00AA4FE6" w:rsidP="00341A2B">
                  <w:pPr>
                    <w:pStyle w:val="Tabletext"/>
                    <w:framePr w:hSpace="180" w:wrap="around" w:vAnchor="text" w:hAnchor="text" w:y="1"/>
                    <w:suppressOverlap/>
                    <w:rPr>
                      <w:b/>
                      <w:bCs/>
                      <w:szCs w:val="20"/>
                    </w:rPr>
                  </w:pPr>
                  <w:r w:rsidRPr="00AA4FE6">
                    <w:rPr>
                      <w:b/>
                      <w:bCs/>
                      <w:szCs w:val="20"/>
                    </w:rPr>
                    <w:t>2026</w:t>
                  </w:r>
                </w:p>
              </w:tc>
              <w:tc>
                <w:tcPr>
                  <w:tcW w:w="441" w:type="dxa"/>
                  <w:shd w:val="clear" w:color="auto" w:fill="auto"/>
                  <w:noWrap/>
                  <w:vAlign w:val="center"/>
                  <w:hideMark/>
                </w:tcPr>
                <w:p w14:paraId="3F557057" w14:textId="77777777" w:rsidR="00AA4FE6" w:rsidRPr="00AA4FE6" w:rsidRDefault="00AA4FE6" w:rsidP="00341A2B">
                  <w:pPr>
                    <w:pStyle w:val="Tabletext"/>
                    <w:framePr w:hSpace="180" w:wrap="around" w:vAnchor="text" w:hAnchor="text" w:y="1"/>
                    <w:suppressOverlap/>
                    <w:rPr>
                      <w:b/>
                      <w:bCs/>
                      <w:szCs w:val="20"/>
                    </w:rPr>
                  </w:pPr>
                  <w:r w:rsidRPr="00AA4FE6">
                    <w:rPr>
                      <w:b/>
                      <w:bCs/>
                      <w:szCs w:val="20"/>
                    </w:rPr>
                    <w:t>2027</w:t>
                  </w:r>
                </w:p>
              </w:tc>
              <w:tc>
                <w:tcPr>
                  <w:tcW w:w="441" w:type="dxa"/>
                  <w:shd w:val="clear" w:color="auto" w:fill="auto"/>
                  <w:noWrap/>
                  <w:vAlign w:val="center"/>
                  <w:hideMark/>
                </w:tcPr>
                <w:p w14:paraId="4BC3874E" w14:textId="77777777" w:rsidR="00AA4FE6" w:rsidRPr="00AA4FE6" w:rsidRDefault="00AA4FE6" w:rsidP="00341A2B">
                  <w:pPr>
                    <w:pStyle w:val="Tabletext"/>
                    <w:framePr w:hSpace="180" w:wrap="around" w:vAnchor="text" w:hAnchor="text" w:y="1"/>
                    <w:suppressOverlap/>
                    <w:rPr>
                      <w:b/>
                      <w:bCs/>
                      <w:szCs w:val="20"/>
                    </w:rPr>
                  </w:pPr>
                  <w:r w:rsidRPr="00AA4FE6">
                    <w:rPr>
                      <w:b/>
                      <w:bCs/>
                      <w:szCs w:val="20"/>
                    </w:rPr>
                    <w:t>2028</w:t>
                  </w:r>
                </w:p>
              </w:tc>
              <w:tc>
                <w:tcPr>
                  <w:tcW w:w="441" w:type="dxa"/>
                  <w:shd w:val="clear" w:color="auto" w:fill="auto"/>
                  <w:noWrap/>
                  <w:vAlign w:val="center"/>
                  <w:hideMark/>
                </w:tcPr>
                <w:p w14:paraId="272AA30A" w14:textId="77777777" w:rsidR="00AA4FE6" w:rsidRPr="00AA4FE6" w:rsidRDefault="00AA4FE6" w:rsidP="00341A2B">
                  <w:pPr>
                    <w:pStyle w:val="Tabletext"/>
                    <w:framePr w:hSpace="180" w:wrap="around" w:vAnchor="text" w:hAnchor="text" w:y="1"/>
                    <w:suppressOverlap/>
                    <w:rPr>
                      <w:b/>
                      <w:bCs/>
                      <w:szCs w:val="20"/>
                    </w:rPr>
                  </w:pPr>
                  <w:r w:rsidRPr="00AA4FE6">
                    <w:rPr>
                      <w:b/>
                      <w:bCs/>
                      <w:szCs w:val="20"/>
                    </w:rPr>
                    <w:t>2029</w:t>
                  </w:r>
                </w:p>
              </w:tc>
            </w:tr>
            <w:tr w:rsidR="00AA4FE6" w:rsidRPr="00AA4FE6" w14:paraId="534DF7CD" w14:textId="77777777" w:rsidTr="003801E0">
              <w:trPr>
                <w:trHeight w:val="113"/>
              </w:trPr>
              <w:tc>
                <w:tcPr>
                  <w:tcW w:w="1476" w:type="dxa"/>
                  <w:tcBorders>
                    <w:top w:val="single" w:sz="4" w:space="0" w:color="auto"/>
                    <w:left w:val="single" w:sz="4" w:space="0" w:color="auto"/>
                    <w:bottom w:val="single" w:sz="4" w:space="0" w:color="auto"/>
                    <w:right w:val="nil"/>
                  </w:tcBorders>
                  <w:shd w:val="clear" w:color="auto" w:fill="auto"/>
                  <w:vAlign w:val="center"/>
                </w:tcPr>
                <w:p w14:paraId="64DB6BFA" w14:textId="77777777" w:rsidR="00AA4FE6" w:rsidRPr="00AA4FE6" w:rsidRDefault="00AA4FE6" w:rsidP="00341A2B">
                  <w:pPr>
                    <w:pStyle w:val="Tabletext"/>
                    <w:framePr w:hSpace="180" w:wrap="around" w:vAnchor="text" w:hAnchor="text" w:y="1"/>
                    <w:suppressOverlap/>
                    <w:rPr>
                      <w:b/>
                      <w:bCs/>
                      <w:szCs w:val="20"/>
                    </w:rPr>
                  </w:pPr>
                  <w:r w:rsidRPr="00AA4FE6">
                    <w:rPr>
                      <w:b/>
                      <w:bCs/>
                      <w:szCs w:val="20"/>
                    </w:rPr>
                    <w:t>Prevalent patients</w:t>
                  </w:r>
                </w:p>
              </w:tc>
              <w:tc>
                <w:tcPr>
                  <w:tcW w:w="440" w:type="dxa"/>
                  <w:tcBorders>
                    <w:top w:val="single" w:sz="4" w:space="0" w:color="auto"/>
                    <w:left w:val="nil"/>
                    <w:bottom w:val="single" w:sz="4" w:space="0" w:color="auto"/>
                    <w:right w:val="nil"/>
                  </w:tcBorders>
                  <w:shd w:val="clear" w:color="auto" w:fill="auto"/>
                  <w:noWrap/>
                  <w:vAlign w:val="center"/>
                </w:tcPr>
                <w:p w14:paraId="50CA42FD" w14:textId="77777777" w:rsidR="00AA4FE6" w:rsidRPr="00AA4FE6" w:rsidRDefault="00AA4FE6" w:rsidP="00341A2B">
                  <w:pPr>
                    <w:pStyle w:val="Tabletext"/>
                    <w:framePr w:hSpace="180" w:wrap="around" w:vAnchor="text" w:hAnchor="text" w:y="1"/>
                    <w:suppressOverlap/>
                    <w:rPr>
                      <w:szCs w:val="20"/>
                    </w:rPr>
                  </w:pPr>
                </w:p>
              </w:tc>
              <w:tc>
                <w:tcPr>
                  <w:tcW w:w="441" w:type="dxa"/>
                  <w:tcBorders>
                    <w:top w:val="single" w:sz="4" w:space="0" w:color="auto"/>
                    <w:left w:val="nil"/>
                    <w:bottom w:val="single" w:sz="4" w:space="0" w:color="auto"/>
                    <w:right w:val="nil"/>
                  </w:tcBorders>
                  <w:shd w:val="clear" w:color="auto" w:fill="auto"/>
                  <w:noWrap/>
                  <w:vAlign w:val="center"/>
                </w:tcPr>
                <w:p w14:paraId="7A78D6B2" w14:textId="77777777" w:rsidR="00AA4FE6" w:rsidRPr="00AA4FE6" w:rsidRDefault="00AA4FE6" w:rsidP="00341A2B">
                  <w:pPr>
                    <w:pStyle w:val="Tabletext"/>
                    <w:framePr w:hSpace="180" w:wrap="around" w:vAnchor="text" w:hAnchor="text" w:y="1"/>
                    <w:suppressOverlap/>
                    <w:rPr>
                      <w:szCs w:val="20"/>
                    </w:rPr>
                  </w:pPr>
                </w:p>
              </w:tc>
              <w:tc>
                <w:tcPr>
                  <w:tcW w:w="441" w:type="dxa"/>
                  <w:tcBorders>
                    <w:top w:val="single" w:sz="4" w:space="0" w:color="auto"/>
                    <w:left w:val="nil"/>
                    <w:bottom w:val="single" w:sz="4" w:space="0" w:color="auto"/>
                    <w:right w:val="nil"/>
                  </w:tcBorders>
                  <w:shd w:val="clear" w:color="auto" w:fill="auto"/>
                  <w:noWrap/>
                  <w:vAlign w:val="center"/>
                </w:tcPr>
                <w:p w14:paraId="08D1755C" w14:textId="77777777" w:rsidR="00AA4FE6" w:rsidRPr="00AA4FE6" w:rsidRDefault="00AA4FE6" w:rsidP="00341A2B">
                  <w:pPr>
                    <w:pStyle w:val="Tabletext"/>
                    <w:framePr w:hSpace="180" w:wrap="around" w:vAnchor="text" w:hAnchor="text" w:y="1"/>
                    <w:suppressOverlap/>
                    <w:rPr>
                      <w:szCs w:val="20"/>
                    </w:rPr>
                  </w:pPr>
                </w:p>
              </w:tc>
              <w:tc>
                <w:tcPr>
                  <w:tcW w:w="441" w:type="dxa"/>
                  <w:tcBorders>
                    <w:top w:val="single" w:sz="4" w:space="0" w:color="auto"/>
                    <w:left w:val="nil"/>
                    <w:bottom w:val="single" w:sz="4" w:space="0" w:color="auto"/>
                    <w:right w:val="nil"/>
                  </w:tcBorders>
                  <w:shd w:val="clear" w:color="auto" w:fill="auto"/>
                  <w:noWrap/>
                  <w:vAlign w:val="center"/>
                </w:tcPr>
                <w:p w14:paraId="6690064A" w14:textId="77777777" w:rsidR="00AA4FE6" w:rsidRPr="00AA4FE6" w:rsidRDefault="00AA4FE6" w:rsidP="00341A2B">
                  <w:pPr>
                    <w:pStyle w:val="Tabletext"/>
                    <w:framePr w:hSpace="180" w:wrap="around" w:vAnchor="text" w:hAnchor="text" w:y="1"/>
                    <w:suppressOverlap/>
                    <w:rPr>
                      <w:szCs w:val="20"/>
                    </w:rPr>
                  </w:pPr>
                </w:p>
              </w:tc>
              <w:tc>
                <w:tcPr>
                  <w:tcW w:w="441" w:type="dxa"/>
                  <w:tcBorders>
                    <w:top w:val="single" w:sz="4" w:space="0" w:color="auto"/>
                    <w:left w:val="nil"/>
                    <w:bottom w:val="single" w:sz="4" w:space="0" w:color="auto"/>
                    <w:right w:val="nil"/>
                  </w:tcBorders>
                  <w:shd w:val="clear" w:color="auto" w:fill="auto"/>
                  <w:noWrap/>
                  <w:vAlign w:val="center"/>
                </w:tcPr>
                <w:p w14:paraId="3E4E23BE" w14:textId="77777777" w:rsidR="00AA4FE6" w:rsidRPr="00AA4FE6" w:rsidRDefault="00AA4FE6" w:rsidP="00341A2B">
                  <w:pPr>
                    <w:pStyle w:val="Tabletext"/>
                    <w:framePr w:hSpace="180" w:wrap="around" w:vAnchor="text" w:hAnchor="text" w:y="1"/>
                    <w:suppressOverlap/>
                    <w:rPr>
                      <w:szCs w:val="20"/>
                    </w:rPr>
                  </w:pPr>
                </w:p>
              </w:tc>
              <w:tc>
                <w:tcPr>
                  <w:tcW w:w="441" w:type="dxa"/>
                  <w:tcBorders>
                    <w:top w:val="single" w:sz="4" w:space="0" w:color="auto"/>
                    <w:left w:val="nil"/>
                    <w:bottom w:val="single" w:sz="4" w:space="0" w:color="auto"/>
                    <w:right w:val="single" w:sz="4" w:space="0" w:color="auto"/>
                  </w:tcBorders>
                  <w:shd w:val="clear" w:color="auto" w:fill="auto"/>
                  <w:noWrap/>
                  <w:vAlign w:val="center"/>
                </w:tcPr>
                <w:p w14:paraId="56BE0837" w14:textId="77777777" w:rsidR="00AA4FE6" w:rsidRPr="00AA4FE6" w:rsidRDefault="00AA4FE6" w:rsidP="00341A2B">
                  <w:pPr>
                    <w:pStyle w:val="Tabletext"/>
                    <w:framePr w:hSpace="180" w:wrap="around" w:vAnchor="text" w:hAnchor="text" w:y="1"/>
                    <w:suppressOverlap/>
                    <w:rPr>
                      <w:szCs w:val="20"/>
                    </w:rPr>
                  </w:pPr>
                </w:p>
              </w:tc>
            </w:tr>
            <w:tr w:rsidR="003801E0" w:rsidRPr="00AA4FE6" w14:paraId="61EC50F1" w14:textId="77777777" w:rsidTr="003801E0">
              <w:trPr>
                <w:trHeight w:val="113"/>
              </w:trPr>
              <w:tc>
                <w:tcPr>
                  <w:tcW w:w="1476" w:type="dxa"/>
                  <w:tcBorders>
                    <w:top w:val="single" w:sz="4" w:space="0" w:color="auto"/>
                  </w:tcBorders>
                  <w:shd w:val="clear" w:color="auto" w:fill="auto"/>
                  <w:vAlign w:val="center"/>
                </w:tcPr>
                <w:p w14:paraId="71285ACC" w14:textId="77777777" w:rsidR="003801E0" w:rsidRPr="00AA4FE6" w:rsidRDefault="003801E0" w:rsidP="00341A2B">
                  <w:pPr>
                    <w:pStyle w:val="Tabletext"/>
                    <w:framePr w:hSpace="180" w:wrap="around" w:vAnchor="text" w:hAnchor="text" w:y="1"/>
                    <w:suppressOverlap/>
                    <w:rPr>
                      <w:szCs w:val="20"/>
                    </w:rPr>
                  </w:pPr>
                  <w:r w:rsidRPr="00AA4FE6">
                    <w:rPr>
                      <w:szCs w:val="20"/>
                    </w:rPr>
                    <w:t>Prevalent initiating</w:t>
                  </w:r>
                </w:p>
              </w:tc>
              <w:tc>
                <w:tcPr>
                  <w:tcW w:w="440" w:type="dxa"/>
                  <w:tcBorders>
                    <w:top w:val="single" w:sz="4" w:space="0" w:color="auto"/>
                  </w:tcBorders>
                  <w:shd w:val="clear" w:color="auto" w:fill="auto"/>
                  <w:noWrap/>
                </w:tcPr>
                <w:p w14:paraId="34303075" w14:textId="646B9BF4"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53"/>
                      <w14:textFill>
                        <w14:solidFill>
                          <w14:srgbClr w14:val="000000">
                            <w14:alpha w14:val="100000"/>
                          </w14:srgbClr>
                        </w14:solidFill>
                      </w14:textFill>
                    </w:rPr>
                    <w:t xml:space="preserve">　</w:t>
                  </w:r>
                  <w:r w:rsidRPr="0066157F">
                    <w:rPr>
                      <w:color w:val="000000"/>
                      <w:spacing w:val="74"/>
                      <w:szCs w:val="20"/>
                      <w:shd w:val="solid" w:color="000000" w:fill="000000"/>
                      <w:fitText w:val="160" w:id="-894208252"/>
                      <w14:textFill>
                        <w14:solidFill>
                          <w14:srgbClr w14:val="000000">
                            <w14:alpha w14:val="100000"/>
                          </w14:srgbClr>
                        </w14:solidFill>
                      </w14:textFill>
                    </w:rPr>
                    <w:t>|</w:t>
                  </w:r>
                  <w:r w:rsidRPr="0066157F">
                    <w:rPr>
                      <w:color w:val="000000"/>
                      <w:spacing w:val="1"/>
                      <w:szCs w:val="20"/>
                      <w:shd w:val="solid" w:color="000000" w:fill="000000"/>
                      <w:fitText w:val="160" w:id="-894208252"/>
                      <w14:textFill>
                        <w14:solidFill>
                          <w14:srgbClr w14:val="000000">
                            <w14:alpha w14:val="100000"/>
                          </w14:srgbClr>
                        </w14:solidFill>
                      </w14:textFill>
                    </w:rPr>
                    <w:t>|</w:t>
                  </w:r>
                  <w:r w:rsidR="003801E0">
                    <w:rPr>
                      <w:vertAlign w:val="superscript"/>
                    </w:rPr>
                    <w:t xml:space="preserve"> 1</w:t>
                  </w:r>
                </w:p>
              </w:tc>
              <w:tc>
                <w:tcPr>
                  <w:tcW w:w="441" w:type="dxa"/>
                  <w:tcBorders>
                    <w:top w:val="single" w:sz="4" w:space="0" w:color="auto"/>
                  </w:tcBorders>
                  <w:shd w:val="clear" w:color="auto" w:fill="auto"/>
                  <w:noWrap/>
                </w:tcPr>
                <w:p w14:paraId="37BFC528" w14:textId="2BDF218F"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51"/>
                      <w14:textFill>
                        <w14:solidFill>
                          <w14:srgbClr w14:val="000000">
                            <w14:alpha w14:val="100000"/>
                          </w14:srgbClr>
                        </w14:solidFill>
                      </w14:textFill>
                    </w:rPr>
                    <w:t xml:space="preserve">　</w:t>
                  </w:r>
                  <w:r w:rsidRPr="0066157F">
                    <w:rPr>
                      <w:color w:val="000000"/>
                      <w:spacing w:val="74"/>
                      <w:szCs w:val="20"/>
                      <w:shd w:val="solid" w:color="000000" w:fill="000000"/>
                      <w:fitText w:val="160" w:id="-894208250"/>
                      <w14:textFill>
                        <w14:solidFill>
                          <w14:srgbClr w14:val="000000">
                            <w14:alpha w14:val="100000"/>
                          </w14:srgbClr>
                        </w14:solidFill>
                      </w14:textFill>
                    </w:rPr>
                    <w:t>|</w:t>
                  </w:r>
                  <w:r w:rsidRPr="0066157F">
                    <w:rPr>
                      <w:color w:val="000000"/>
                      <w:spacing w:val="1"/>
                      <w:szCs w:val="20"/>
                      <w:shd w:val="solid" w:color="000000" w:fill="000000"/>
                      <w:fitText w:val="160" w:id="-894208250"/>
                      <w14:textFill>
                        <w14:solidFill>
                          <w14:srgbClr w14:val="000000">
                            <w14:alpha w14:val="100000"/>
                          </w14:srgbClr>
                        </w14:solidFill>
                      </w14:textFill>
                    </w:rPr>
                    <w:t>|</w:t>
                  </w:r>
                  <w:r w:rsidR="003801E0" w:rsidRPr="00AA4FE6">
                    <w:rPr>
                      <w:szCs w:val="20"/>
                    </w:rPr>
                    <w:t xml:space="preserve"> </w:t>
                  </w:r>
                  <w:r w:rsidR="003801E0">
                    <w:rPr>
                      <w:vertAlign w:val="superscript"/>
                    </w:rPr>
                    <w:t>1</w:t>
                  </w:r>
                </w:p>
              </w:tc>
              <w:tc>
                <w:tcPr>
                  <w:tcW w:w="441" w:type="dxa"/>
                  <w:tcBorders>
                    <w:top w:val="single" w:sz="4" w:space="0" w:color="auto"/>
                  </w:tcBorders>
                  <w:shd w:val="clear" w:color="auto" w:fill="auto"/>
                  <w:noWrap/>
                </w:tcPr>
                <w:p w14:paraId="52FB6267" w14:textId="64218546"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9"/>
                      <w14:textFill>
                        <w14:solidFill>
                          <w14:srgbClr w14:val="000000">
                            <w14:alpha w14:val="100000"/>
                          </w14:srgbClr>
                        </w14:solidFill>
                      </w14:textFill>
                    </w:rPr>
                    <w:t xml:space="preserve">　</w:t>
                  </w:r>
                  <w:r w:rsidRPr="0066157F">
                    <w:rPr>
                      <w:color w:val="000000"/>
                      <w:spacing w:val="74"/>
                      <w:szCs w:val="20"/>
                      <w:shd w:val="solid" w:color="000000" w:fill="000000"/>
                      <w:fitText w:val="160" w:id="-894208248"/>
                      <w14:textFill>
                        <w14:solidFill>
                          <w14:srgbClr w14:val="000000">
                            <w14:alpha w14:val="100000"/>
                          </w14:srgbClr>
                        </w14:solidFill>
                      </w14:textFill>
                    </w:rPr>
                    <w:t>|</w:t>
                  </w:r>
                  <w:r w:rsidRPr="0066157F">
                    <w:rPr>
                      <w:color w:val="000000"/>
                      <w:spacing w:val="1"/>
                      <w:szCs w:val="20"/>
                      <w:shd w:val="solid" w:color="000000" w:fill="000000"/>
                      <w:fitText w:val="160" w:id="-894208248"/>
                      <w14:textFill>
                        <w14:solidFill>
                          <w14:srgbClr w14:val="000000">
                            <w14:alpha w14:val="100000"/>
                          </w14:srgbClr>
                        </w14:solidFill>
                      </w14:textFill>
                    </w:rPr>
                    <w:t>|</w:t>
                  </w:r>
                  <w:r w:rsidR="003801E0" w:rsidRPr="00686D39">
                    <w:rPr>
                      <w:szCs w:val="20"/>
                    </w:rPr>
                    <w:t xml:space="preserve"> </w:t>
                  </w:r>
                  <w:r w:rsidR="003801E0" w:rsidRPr="00686D39">
                    <w:rPr>
                      <w:vertAlign w:val="superscript"/>
                    </w:rPr>
                    <w:t>1</w:t>
                  </w:r>
                </w:p>
              </w:tc>
              <w:tc>
                <w:tcPr>
                  <w:tcW w:w="441" w:type="dxa"/>
                  <w:tcBorders>
                    <w:top w:val="single" w:sz="4" w:space="0" w:color="auto"/>
                  </w:tcBorders>
                  <w:shd w:val="clear" w:color="auto" w:fill="auto"/>
                  <w:noWrap/>
                </w:tcPr>
                <w:p w14:paraId="10FADF37" w14:textId="4D0F2639"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7"/>
                      <w14:textFill>
                        <w14:solidFill>
                          <w14:srgbClr w14:val="000000">
                            <w14:alpha w14:val="100000"/>
                          </w14:srgbClr>
                        </w14:solidFill>
                      </w14:textFill>
                    </w:rPr>
                    <w:t xml:space="preserve">　</w:t>
                  </w:r>
                  <w:r w:rsidRPr="0066157F">
                    <w:rPr>
                      <w:color w:val="000000"/>
                      <w:spacing w:val="74"/>
                      <w:szCs w:val="20"/>
                      <w:shd w:val="solid" w:color="000000" w:fill="000000"/>
                      <w:fitText w:val="160" w:id="-894208246"/>
                      <w14:textFill>
                        <w14:solidFill>
                          <w14:srgbClr w14:val="000000">
                            <w14:alpha w14:val="100000"/>
                          </w14:srgbClr>
                        </w14:solidFill>
                      </w14:textFill>
                    </w:rPr>
                    <w:t>|</w:t>
                  </w:r>
                  <w:r w:rsidRPr="0066157F">
                    <w:rPr>
                      <w:color w:val="000000"/>
                      <w:spacing w:val="1"/>
                      <w:szCs w:val="20"/>
                      <w:shd w:val="solid" w:color="000000" w:fill="000000"/>
                      <w:fitText w:val="160" w:id="-894208246"/>
                      <w14:textFill>
                        <w14:solidFill>
                          <w14:srgbClr w14:val="000000">
                            <w14:alpha w14:val="100000"/>
                          </w14:srgbClr>
                        </w14:solidFill>
                      </w14:textFill>
                    </w:rPr>
                    <w:t>|</w:t>
                  </w:r>
                  <w:r w:rsidR="003801E0" w:rsidRPr="00686D39">
                    <w:rPr>
                      <w:szCs w:val="20"/>
                    </w:rPr>
                    <w:t xml:space="preserve"> </w:t>
                  </w:r>
                  <w:r w:rsidR="003801E0" w:rsidRPr="00686D39">
                    <w:rPr>
                      <w:vertAlign w:val="superscript"/>
                    </w:rPr>
                    <w:t>1</w:t>
                  </w:r>
                </w:p>
              </w:tc>
              <w:tc>
                <w:tcPr>
                  <w:tcW w:w="441" w:type="dxa"/>
                  <w:tcBorders>
                    <w:top w:val="single" w:sz="4" w:space="0" w:color="auto"/>
                  </w:tcBorders>
                  <w:shd w:val="clear" w:color="auto" w:fill="auto"/>
                  <w:noWrap/>
                </w:tcPr>
                <w:p w14:paraId="0351F3A3" w14:textId="7E3510F7"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5"/>
                      <w14:textFill>
                        <w14:solidFill>
                          <w14:srgbClr w14:val="000000">
                            <w14:alpha w14:val="100000"/>
                          </w14:srgbClr>
                        </w14:solidFill>
                      </w14:textFill>
                    </w:rPr>
                    <w:t xml:space="preserve">　</w:t>
                  </w:r>
                  <w:r w:rsidRPr="0066157F">
                    <w:rPr>
                      <w:color w:val="000000"/>
                      <w:spacing w:val="74"/>
                      <w:szCs w:val="20"/>
                      <w:shd w:val="solid" w:color="000000" w:fill="000000"/>
                      <w:fitText w:val="160" w:id="-894208244"/>
                      <w14:textFill>
                        <w14:solidFill>
                          <w14:srgbClr w14:val="000000">
                            <w14:alpha w14:val="100000"/>
                          </w14:srgbClr>
                        </w14:solidFill>
                      </w14:textFill>
                    </w:rPr>
                    <w:t>|</w:t>
                  </w:r>
                  <w:r w:rsidRPr="0066157F">
                    <w:rPr>
                      <w:color w:val="000000"/>
                      <w:spacing w:val="1"/>
                      <w:szCs w:val="20"/>
                      <w:shd w:val="solid" w:color="000000" w:fill="000000"/>
                      <w:fitText w:val="160" w:id="-894208244"/>
                      <w14:textFill>
                        <w14:solidFill>
                          <w14:srgbClr w14:val="000000">
                            <w14:alpha w14:val="100000"/>
                          </w14:srgbClr>
                        </w14:solidFill>
                      </w14:textFill>
                    </w:rPr>
                    <w:t>|</w:t>
                  </w:r>
                  <w:r w:rsidR="003801E0" w:rsidRPr="00686D39">
                    <w:rPr>
                      <w:szCs w:val="20"/>
                    </w:rPr>
                    <w:t xml:space="preserve"> </w:t>
                  </w:r>
                  <w:r w:rsidR="003801E0" w:rsidRPr="00686D39">
                    <w:rPr>
                      <w:vertAlign w:val="superscript"/>
                    </w:rPr>
                    <w:t>1</w:t>
                  </w:r>
                </w:p>
              </w:tc>
              <w:tc>
                <w:tcPr>
                  <w:tcW w:w="441" w:type="dxa"/>
                  <w:tcBorders>
                    <w:top w:val="single" w:sz="4" w:space="0" w:color="auto"/>
                  </w:tcBorders>
                  <w:shd w:val="clear" w:color="auto" w:fill="auto"/>
                  <w:noWrap/>
                </w:tcPr>
                <w:p w14:paraId="79FC5F98" w14:textId="7B0977B7"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3"/>
                      <w14:textFill>
                        <w14:solidFill>
                          <w14:srgbClr w14:val="000000">
                            <w14:alpha w14:val="100000"/>
                          </w14:srgbClr>
                        </w14:solidFill>
                      </w14:textFill>
                    </w:rPr>
                    <w:t xml:space="preserve">　</w:t>
                  </w:r>
                  <w:r w:rsidRPr="0066157F">
                    <w:rPr>
                      <w:color w:val="000000"/>
                      <w:spacing w:val="74"/>
                      <w:szCs w:val="20"/>
                      <w:shd w:val="solid" w:color="000000" w:fill="000000"/>
                      <w:fitText w:val="160" w:id="-894208242"/>
                      <w14:textFill>
                        <w14:solidFill>
                          <w14:srgbClr w14:val="000000">
                            <w14:alpha w14:val="100000"/>
                          </w14:srgbClr>
                        </w14:solidFill>
                      </w14:textFill>
                    </w:rPr>
                    <w:t>|</w:t>
                  </w:r>
                  <w:r w:rsidRPr="0066157F">
                    <w:rPr>
                      <w:color w:val="000000"/>
                      <w:spacing w:val="1"/>
                      <w:szCs w:val="20"/>
                      <w:shd w:val="solid" w:color="000000" w:fill="000000"/>
                      <w:fitText w:val="160" w:id="-894208242"/>
                      <w14:textFill>
                        <w14:solidFill>
                          <w14:srgbClr w14:val="000000">
                            <w14:alpha w14:val="100000"/>
                          </w14:srgbClr>
                        </w14:solidFill>
                      </w14:textFill>
                    </w:rPr>
                    <w:t>|</w:t>
                  </w:r>
                  <w:r w:rsidR="003801E0" w:rsidRPr="00686D39">
                    <w:rPr>
                      <w:szCs w:val="20"/>
                    </w:rPr>
                    <w:t xml:space="preserve"> </w:t>
                  </w:r>
                  <w:r w:rsidR="003801E0" w:rsidRPr="00686D39">
                    <w:rPr>
                      <w:vertAlign w:val="superscript"/>
                    </w:rPr>
                    <w:t>1</w:t>
                  </w:r>
                </w:p>
              </w:tc>
            </w:tr>
            <w:tr w:rsidR="00AA4FE6" w:rsidRPr="00AA4FE6" w14:paraId="6E92BE3D" w14:textId="77777777" w:rsidTr="003801E0">
              <w:trPr>
                <w:trHeight w:val="113"/>
              </w:trPr>
              <w:tc>
                <w:tcPr>
                  <w:tcW w:w="1476" w:type="dxa"/>
                  <w:shd w:val="clear" w:color="auto" w:fill="auto"/>
                  <w:vAlign w:val="center"/>
                </w:tcPr>
                <w:p w14:paraId="41EA0EBC" w14:textId="77777777" w:rsidR="00AA4FE6" w:rsidRPr="00AA4FE6" w:rsidRDefault="00AA4FE6" w:rsidP="00341A2B">
                  <w:pPr>
                    <w:pStyle w:val="Tabletext"/>
                    <w:framePr w:hSpace="180" w:wrap="around" w:vAnchor="text" w:hAnchor="text" w:y="1"/>
                    <w:suppressOverlap/>
                    <w:rPr>
                      <w:szCs w:val="20"/>
                    </w:rPr>
                  </w:pPr>
                  <w:r w:rsidRPr="00AA4FE6">
                    <w:rPr>
                      <w:szCs w:val="20"/>
                    </w:rPr>
                    <w:t>Prevalent continuing</w:t>
                  </w:r>
                </w:p>
              </w:tc>
              <w:tc>
                <w:tcPr>
                  <w:tcW w:w="440" w:type="dxa"/>
                  <w:shd w:val="clear" w:color="auto" w:fill="auto"/>
                  <w:noWrap/>
                </w:tcPr>
                <w:p w14:paraId="4B440C53" w14:textId="6D0ECDC3" w:rsidR="00AA4FE6"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1"/>
                      <w14:textFill>
                        <w14:solidFill>
                          <w14:srgbClr w14:val="000000">
                            <w14:alpha w14:val="100000"/>
                          </w14:srgbClr>
                        </w14:solidFill>
                      </w14:textFill>
                    </w:rPr>
                    <w:t xml:space="preserve">　</w:t>
                  </w:r>
                  <w:r w:rsidRPr="0066157F">
                    <w:rPr>
                      <w:color w:val="000000"/>
                      <w:spacing w:val="74"/>
                      <w:szCs w:val="20"/>
                      <w:shd w:val="solid" w:color="000000" w:fill="000000"/>
                      <w:fitText w:val="160" w:id="-894208240"/>
                      <w14:textFill>
                        <w14:solidFill>
                          <w14:srgbClr w14:val="000000">
                            <w14:alpha w14:val="100000"/>
                          </w14:srgbClr>
                        </w14:solidFill>
                      </w14:textFill>
                    </w:rPr>
                    <w:t>|</w:t>
                  </w:r>
                  <w:r w:rsidRPr="0066157F">
                    <w:rPr>
                      <w:color w:val="000000"/>
                      <w:spacing w:val="1"/>
                      <w:szCs w:val="20"/>
                      <w:shd w:val="solid" w:color="000000" w:fill="000000"/>
                      <w:fitText w:val="160" w:id="-894208240"/>
                      <w14:textFill>
                        <w14:solidFill>
                          <w14:srgbClr w14:val="000000">
                            <w14:alpha w14:val="100000"/>
                          </w14:srgbClr>
                        </w14:solidFill>
                      </w14:textFill>
                    </w:rPr>
                    <w:t>|</w:t>
                  </w:r>
                  <w:r w:rsidR="00AA4FE6" w:rsidRPr="00AA4FE6">
                    <w:rPr>
                      <w:szCs w:val="20"/>
                    </w:rPr>
                    <w:t xml:space="preserve"> </w:t>
                  </w:r>
                  <w:r w:rsidR="003801E0">
                    <w:rPr>
                      <w:vertAlign w:val="superscript"/>
                    </w:rPr>
                    <w:t>1</w:t>
                  </w:r>
                </w:p>
              </w:tc>
              <w:tc>
                <w:tcPr>
                  <w:tcW w:w="441" w:type="dxa"/>
                  <w:shd w:val="clear" w:color="auto" w:fill="auto"/>
                  <w:noWrap/>
                </w:tcPr>
                <w:p w14:paraId="0C99B7AE" w14:textId="2C307C5E" w:rsidR="00AA4FE6"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56"/>
                      <w14:textFill>
                        <w14:solidFill>
                          <w14:srgbClr w14:val="000000">
                            <w14:alpha w14:val="100000"/>
                          </w14:srgbClr>
                        </w14:solidFill>
                      </w14:textFill>
                    </w:rPr>
                    <w:t xml:space="preserve">　</w:t>
                  </w:r>
                  <w:r w:rsidRPr="0066157F">
                    <w:rPr>
                      <w:color w:val="000000"/>
                      <w:spacing w:val="74"/>
                      <w:szCs w:val="20"/>
                      <w:shd w:val="solid" w:color="000000" w:fill="000000"/>
                      <w:fitText w:val="160" w:id="-894208255"/>
                      <w14:textFill>
                        <w14:solidFill>
                          <w14:srgbClr w14:val="000000">
                            <w14:alpha w14:val="100000"/>
                          </w14:srgbClr>
                        </w14:solidFill>
                      </w14:textFill>
                    </w:rPr>
                    <w:t>|</w:t>
                  </w:r>
                  <w:r w:rsidRPr="0066157F">
                    <w:rPr>
                      <w:color w:val="000000"/>
                      <w:spacing w:val="1"/>
                      <w:szCs w:val="20"/>
                      <w:shd w:val="solid" w:color="000000" w:fill="000000"/>
                      <w:fitText w:val="160" w:id="-894208255"/>
                      <w14:textFill>
                        <w14:solidFill>
                          <w14:srgbClr w14:val="000000">
                            <w14:alpha w14:val="100000"/>
                          </w14:srgbClr>
                        </w14:solidFill>
                      </w14:textFill>
                    </w:rPr>
                    <w:t>|</w:t>
                  </w:r>
                  <w:r w:rsidR="00AA4FE6" w:rsidRPr="00AA4FE6">
                    <w:rPr>
                      <w:szCs w:val="20"/>
                    </w:rPr>
                    <w:t xml:space="preserve"> </w:t>
                  </w:r>
                  <w:r w:rsidR="003801E0">
                    <w:rPr>
                      <w:vertAlign w:val="superscript"/>
                    </w:rPr>
                    <w:t>1</w:t>
                  </w:r>
                </w:p>
              </w:tc>
              <w:tc>
                <w:tcPr>
                  <w:tcW w:w="441" w:type="dxa"/>
                  <w:shd w:val="clear" w:color="auto" w:fill="auto"/>
                  <w:noWrap/>
                </w:tcPr>
                <w:p w14:paraId="0028346E" w14:textId="3A9E3AF2" w:rsidR="00AA4FE6"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54"/>
                      <w14:textFill>
                        <w14:solidFill>
                          <w14:srgbClr w14:val="000000">
                            <w14:alpha w14:val="100000"/>
                          </w14:srgbClr>
                        </w14:solidFill>
                      </w14:textFill>
                    </w:rPr>
                    <w:t xml:space="preserve">　</w:t>
                  </w:r>
                  <w:r w:rsidRPr="0066157F">
                    <w:rPr>
                      <w:color w:val="000000"/>
                      <w:spacing w:val="74"/>
                      <w:szCs w:val="20"/>
                      <w:shd w:val="solid" w:color="000000" w:fill="000000"/>
                      <w:fitText w:val="160" w:id="-894208253"/>
                      <w14:textFill>
                        <w14:solidFill>
                          <w14:srgbClr w14:val="000000">
                            <w14:alpha w14:val="100000"/>
                          </w14:srgbClr>
                        </w14:solidFill>
                      </w14:textFill>
                    </w:rPr>
                    <w:t>|</w:t>
                  </w:r>
                  <w:r w:rsidRPr="0066157F">
                    <w:rPr>
                      <w:color w:val="000000"/>
                      <w:spacing w:val="1"/>
                      <w:szCs w:val="20"/>
                      <w:shd w:val="solid" w:color="000000" w:fill="000000"/>
                      <w:fitText w:val="160" w:id="-894208253"/>
                      <w14:textFill>
                        <w14:solidFill>
                          <w14:srgbClr w14:val="000000">
                            <w14:alpha w14:val="100000"/>
                          </w14:srgbClr>
                        </w14:solidFill>
                      </w14:textFill>
                    </w:rPr>
                    <w:t>|</w:t>
                  </w:r>
                  <w:r w:rsidR="00AA4FE6" w:rsidRPr="00AA4FE6">
                    <w:rPr>
                      <w:szCs w:val="20"/>
                    </w:rPr>
                    <w:t xml:space="preserve"> </w:t>
                  </w:r>
                  <w:r w:rsidR="003801E0">
                    <w:rPr>
                      <w:vertAlign w:val="superscript"/>
                    </w:rPr>
                    <w:t>1</w:t>
                  </w:r>
                </w:p>
              </w:tc>
              <w:tc>
                <w:tcPr>
                  <w:tcW w:w="441" w:type="dxa"/>
                  <w:shd w:val="clear" w:color="auto" w:fill="auto"/>
                  <w:noWrap/>
                </w:tcPr>
                <w:p w14:paraId="21700581" w14:textId="7CA4CE28" w:rsidR="00AA4FE6"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52"/>
                      <w14:textFill>
                        <w14:solidFill>
                          <w14:srgbClr w14:val="000000">
                            <w14:alpha w14:val="100000"/>
                          </w14:srgbClr>
                        </w14:solidFill>
                      </w14:textFill>
                    </w:rPr>
                    <w:t xml:space="preserve">　</w:t>
                  </w:r>
                  <w:r w:rsidRPr="0066157F">
                    <w:rPr>
                      <w:color w:val="000000"/>
                      <w:spacing w:val="74"/>
                      <w:szCs w:val="20"/>
                      <w:shd w:val="solid" w:color="000000" w:fill="000000"/>
                      <w:fitText w:val="160" w:id="-894208251"/>
                      <w14:textFill>
                        <w14:solidFill>
                          <w14:srgbClr w14:val="000000">
                            <w14:alpha w14:val="100000"/>
                          </w14:srgbClr>
                        </w14:solidFill>
                      </w14:textFill>
                    </w:rPr>
                    <w:t>|</w:t>
                  </w:r>
                  <w:r w:rsidRPr="0066157F">
                    <w:rPr>
                      <w:color w:val="000000"/>
                      <w:spacing w:val="1"/>
                      <w:szCs w:val="20"/>
                      <w:shd w:val="solid" w:color="000000" w:fill="000000"/>
                      <w:fitText w:val="160" w:id="-894208251"/>
                      <w14:textFill>
                        <w14:solidFill>
                          <w14:srgbClr w14:val="000000">
                            <w14:alpha w14:val="100000"/>
                          </w14:srgbClr>
                        </w14:solidFill>
                      </w14:textFill>
                    </w:rPr>
                    <w:t>|</w:t>
                  </w:r>
                  <w:r w:rsidR="00AA4FE6" w:rsidRPr="00AA4FE6">
                    <w:rPr>
                      <w:szCs w:val="20"/>
                    </w:rPr>
                    <w:t xml:space="preserve"> </w:t>
                  </w:r>
                  <w:r w:rsidR="003801E0">
                    <w:rPr>
                      <w:vertAlign w:val="superscript"/>
                    </w:rPr>
                    <w:t>1</w:t>
                  </w:r>
                </w:p>
              </w:tc>
              <w:tc>
                <w:tcPr>
                  <w:tcW w:w="441" w:type="dxa"/>
                  <w:shd w:val="clear" w:color="auto" w:fill="auto"/>
                  <w:noWrap/>
                </w:tcPr>
                <w:p w14:paraId="618FD96A" w14:textId="0E6035F3" w:rsidR="00AA4FE6"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50"/>
                      <w14:textFill>
                        <w14:solidFill>
                          <w14:srgbClr w14:val="000000">
                            <w14:alpha w14:val="100000"/>
                          </w14:srgbClr>
                        </w14:solidFill>
                      </w14:textFill>
                    </w:rPr>
                    <w:t xml:space="preserve">　</w:t>
                  </w:r>
                  <w:r w:rsidRPr="0066157F">
                    <w:rPr>
                      <w:color w:val="000000"/>
                      <w:spacing w:val="74"/>
                      <w:szCs w:val="20"/>
                      <w:shd w:val="solid" w:color="000000" w:fill="000000"/>
                      <w:fitText w:val="160" w:id="-894208249"/>
                      <w14:textFill>
                        <w14:solidFill>
                          <w14:srgbClr w14:val="000000">
                            <w14:alpha w14:val="100000"/>
                          </w14:srgbClr>
                        </w14:solidFill>
                      </w14:textFill>
                    </w:rPr>
                    <w:t>|</w:t>
                  </w:r>
                  <w:r w:rsidRPr="0066157F">
                    <w:rPr>
                      <w:color w:val="000000"/>
                      <w:spacing w:val="1"/>
                      <w:szCs w:val="20"/>
                      <w:shd w:val="solid" w:color="000000" w:fill="000000"/>
                      <w:fitText w:val="160" w:id="-894208249"/>
                      <w14:textFill>
                        <w14:solidFill>
                          <w14:srgbClr w14:val="000000">
                            <w14:alpha w14:val="100000"/>
                          </w14:srgbClr>
                        </w14:solidFill>
                      </w14:textFill>
                    </w:rPr>
                    <w:t>|</w:t>
                  </w:r>
                  <w:r w:rsidR="00AA4FE6" w:rsidRPr="00AA4FE6">
                    <w:rPr>
                      <w:szCs w:val="20"/>
                    </w:rPr>
                    <w:t xml:space="preserve"> </w:t>
                  </w:r>
                  <w:r w:rsidR="003801E0">
                    <w:rPr>
                      <w:vertAlign w:val="superscript"/>
                    </w:rPr>
                    <w:t>1</w:t>
                  </w:r>
                </w:p>
              </w:tc>
              <w:tc>
                <w:tcPr>
                  <w:tcW w:w="441" w:type="dxa"/>
                  <w:shd w:val="clear" w:color="auto" w:fill="auto"/>
                  <w:noWrap/>
                </w:tcPr>
                <w:p w14:paraId="66949E88" w14:textId="3591260E" w:rsidR="00AA4FE6"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8"/>
                      <w14:textFill>
                        <w14:solidFill>
                          <w14:srgbClr w14:val="000000">
                            <w14:alpha w14:val="100000"/>
                          </w14:srgbClr>
                        </w14:solidFill>
                      </w14:textFill>
                    </w:rPr>
                    <w:t xml:space="preserve">　</w:t>
                  </w:r>
                  <w:r w:rsidRPr="0066157F">
                    <w:rPr>
                      <w:color w:val="000000"/>
                      <w:spacing w:val="74"/>
                      <w:szCs w:val="20"/>
                      <w:shd w:val="solid" w:color="000000" w:fill="000000"/>
                      <w:fitText w:val="160" w:id="-894208247"/>
                      <w14:textFill>
                        <w14:solidFill>
                          <w14:srgbClr w14:val="000000">
                            <w14:alpha w14:val="100000"/>
                          </w14:srgbClr>
                        </w14:solidFill>
                      </w14:textFill>
                    </w:rPr>
                    <w:t>|</w:t>
                  </w:r>
                  <w:r w:rsidRPr="0066157F">
                    <w:rPr>
                      <w:color w:val="000000"/>
                      <w:spacing w:val="1"/>
                      <w:szCs w:val="20"/>
                      <w:shd w:val="solid" w:color="000000" w:fill="000000"/>
                      <w:fitText w:val="160" w:id="-894208247"/>
                      <w14:textFill>
                        <w14:solidFill>
                          <w14:srgbClr w14:val="000000">
                            <w14:alpha w14:val="100000"/>
                          </w14:srgbClr>
                        </w14:solidFill>
                      </w14:textFill>
                    </w:rPr>
                    <w:t>|</w:t>
                  </w:r>
                  <w:r w:rsidR="00AA4FE6" w:rsidRPr="00AA4FE6">
                    <w:rPr>
                      <w:szCs w:val="20"/>
                    </w:rPr>
                    <w:t xml:space="preserve"> </w:t>
                  </w:r>
                  <w:r w:rsidR="003801E0">
                    <w:rPr>
                      <w:vertAlign w:val="superscript"/>
                    </w:rPr>
                    <w:t>1</w:t>
                  </w:r>
                </w:p>
              </w:tc>
            </w:tr>
            <w:tr w:rsidR="003801E0" w:rsidRPr="00AA4FE6" w14:paraId="2FBD58D5" w14:textId="77777777" w:rsidTr="003801E0">
              <w:trPr>
                <w:trHeight w:val="113"/>
              </w:trPr>
              <w:tc>
                <w:tcPr>
                  <w:tcW w:w="1476" w:type="dxa"/>
                  <w:shd w:val="clear" w:color="auto" w:fill="auto"/>
                  <w:vAlign w:val="center"/>
                </w:tcPr>
                <w:p w14:paraId="0E992D83" w14:textId="77777777" w:rsidR="003801E0" w:rsidRPr="00AA4FE6" w:rsidRDefault="003801E0" w:rsidP="00341A2B">
                  <w:pPr>
                    <w:pStyle w:val="Tabletext"/>
                    <w:framePr w:hSpace="180" w:wrap="around" w:vAnchor="text" w:hAnchor="text" w:y="1"/>
                    <w:suppressOverlap/>
                    <w:rPr>
                      <w:szCs w:val="20"/>
                    </w:rPr>
                  </w:pPr>
                  <w:r w:rsidRPr="00AA4FE6">
                    <w:rPr>
                      <w:szCs w:val="20"/>
                    </w:rPr>
                    <w:t xml:space="preserve">At low </w:t>
                  </w:r>
                </w:p>
              </w:tc>
              <w:tc>
                <w:tcPr>
                  <w:tcW w:w="440" w:type="dxa"/>
                  <w:shd w:val="clear" w:color="auto" w:fill="auto"/>
                  <w:noWrap/>
                </w:tcPr>
                <w:p w14:paraId="2573BE1A" w14:textId="4C370A1F"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6"/>
                      <w14:textFill>
                        <w14:solidFill>
                          <w14:srgbClr w14:val="000000">
                            <w14:alpha w14:val="100000"/>
                          </w14:srgbClr>
                        </w14:solidFill>
                      </w14:textFill>
                    </w:rPr>
                    <w:t xml:space="preserve">　</w:t>
                  </w:r>
                  <w:r w:rsidRPr="0066157F">
                    <w:rPr>
                      <w:color w:val="000000"/>
                      <w:spacing w:val="74"/>
                      <w:szCs w:val="20"/>
                      <w:shd w:val="solid" w:color="000000" w:fill="000000"/>
                      <w:fitText w:val="160" w:id="-894208245"/>
                      <w14:textFill>
                        <w14:solidFill>
                          <w14:srgbClr w14:val="000000">
                            <w14:alpha w14:val="100000"/>
                          </w14:srgbClr>
                        </w14:solidFill>
                      </w14:textFill>
                    </w:rPr>
                    <w:t>|</w:t>
                  </w:r>
                  <w:r w:rsidRPr="0066157F">
                    <w:rPr>
                      <w:color w:val="000000"/>
                      <w:spacing w:val="1"/>
                      <w:szCs w:val="20"/>
                      <w:shd w:val="solid" w:color="000000" w:fill="000000"/>
                      <w:fitText w:val="160" w:id="-894208245"/>
                      <w14:textFill>
                        <w14:solidFill>
                          <w14:srgbClr w14:val="000000">
                            <w14:alpha w14:val="100000"/>
                          </w14:srgbClr>
                        </w14:solidFill>
                      </w14:textFill>
                    </w:rPr>
                    <w:t>|</w:t>
                  </w:r>
                  <w:r w:rsidR="003801E0" w:rsidRPr="00AA4FE6">
                    <w:rPr>
                      <w:szCs w:val="20"/>
                    </w:rPr>
                    <w:t xml:space="preserve"> </w:t>
                  </w:r>
                  <w:r w:rsidR="003801E0">
                    <w:rPr>
                      <w:vertAlign w:val="superscript"/>
                    </w:rPr>
                    <w:t>1</w:t>
                  </w:r>
                </w:p>
              </w:tc>
              <w:tc>
                <w:tcPr>
                  <w:tcW w:w="441" w:type="dxa"/>
                  <w:shd w:val="clear" w:color="auto" w:fill="auto"/>
                  <w:noWrap/>
                </w:tcPr>
                <w:p w14:paraId="6450B82C" w14:textId="3D0F9245"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4"/>
                      <w14:textFill>
                        <w14:solidFill>
                          <w14:srgbClr w14:val="000000">
                            <w14:alpha w14:val="100000"/>
                          </w14:srgbClr>
                        </w14:solidFill>
                      </w14:textFill>
                    </w:rPr>
                    <w:t xml:space="preserve">　</w:t>
                  </w:r>
                  <w:r w:rsidRPr="0066157F">
                    <w:rPr>
                      <w:color w:val="000000"/>
                      <w:spacing w:val="74"/>
                      <w:szCs w:val="20"/>
                      <w:shd w:val="solid" w:color="000000" w:fill="000000"/>
                      <w:fitText w:val="160" w:id="-894208243"/>
                      <w14:textFill>
                        <w14:solidFill>
                          <w14:srgbClr w14:val="000000">
                            <w14:alpha w14:val="100000"/>
                          </w14:srgbClr>
                        </w14:solidFill>
                      </w14:textFill>
                    </w:rPr>
                    <w:t>|</w:t>
                  </w:r>
                  <w:r w:rsidRPr="0066157F">
                    <w:rPr>
                      <w:color w:val="000000"/>
                      <w:spacing w:val="1"/>
                      <w:szCs w:val="20"/>
                      <w:shd w:val="solid" w:color="000000" w:fill="000000"/>
                      <w:fitText w:val="160" w:id="-894208243"/>
                      <w14:textFill>
                        <w14:solidFill>
                          <w14:srgbClr w14:val="000000">
                            <w14:alpha w14:val="100000"/>
                          </w14:srgbClr>
                        </w14:solidFill>
                      </w14:textFill>
                    </w:rPr>
                    <w:t>|</w:t>
                  </w:r>
                  <w:r w:rsidR="003801E0" w:rsidRPr="00AA4FE6">
                    <w:rPr>
                      <w:szCs w:val="20"/>
                    </w:rPr>
                    <w:t xml:space="preserve"> </w:t>
                  </w:r>
                  <w:r w:rsidR="003801E0">
                    <w:rPr>
                      <w:vertAlign w:val="superscript"/>
                    </w:rPr>
                    <w:t>1</w:t>
                  </w:r>
                </w:p>
              </w:tc>
              <w:tc>
                <w:tcPr>
                  <w:tcW w:w="441" w:type="dxa"/>
                  <w:shd w:val="clear" w:color="auto" w:fill="auto"/>
                  <w:noWrap/>
                </w:tcPr>
                <w:p w14:paraId="07B649D4" w14:textId="64326645"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2"/>
                      <w14:textFill>
                        <w14:solidFill>
                          <w14:srgbClr w14:val="000000">
                            <w14:alpha w14:val="100000"/>
                          </w14:srgbClr>
                        </w14:solidFill>
                      </w14:textFill>
                    </w:rPr>
                    <w:t xml:space="preserve">　</w:t>
                  </w:r>
                  <w:r w:rsidRPr="0066157F">
                    <w:rPr>
                      <w:color w:val="000000"/>
                      <w:spacing w:val="74"/>
                      <w:szCs w:val="20"/>
                      <w:shd w:val="solid" w:color="000000" w:fill="000000"/>
                      <w:fitText w:val="160" w:id="-894208241"/>
                      <w14:textFill>
                        <w14:solidFill>
                          <w14:srgbClr w14:val="000000">
                            <w14:alpha w14:val="100000"/>
                          </w14:srgbClr>
                        </w14:solidFill>
                      </w14:textFill>
                    </w:rPr>
                    <w:t>|</w:t>
                  </w:r>
                  <w:r w:rsidRPr="0066157F">
                    <w:rPr>
                      <w:color w:val="000000"/>
                      <w:spacing w:val="1"/>
                      <w:szCs w:val="20"/>
                      <w:shd w:val="solid" w:color="000000" w:fill="000000"/>
                      <w:fitText w:val="160" w:id="-894208241"/>
                      <w14:textFill>
                        <w14:solidFill>
                          <w14:srgbClr w14:val="000000">
                            <w14:alpha w14:val="100000"/>
                          </w14:srgbClr>
                        </w14:solidFill>
                      </w14:textFill>
                    </w:rPr>
                    <w:t>|</w:t>
                  </w:r>
                  <w:r w:rsidR="003801E0" w:rsidRPr="005D2484">
                    <w:rPr>
                      <w:szCs w:val="20"/>
                    </w:rPr>
                    <w:t xml:space="preserve"> </w:t>
                  </w:r>
                  <w:r w:rsidR="003801E0" w:rsidRPr="005D2484">
                    <w:rPr>
                      <w:vertAlign w:val="superscript"/>
                    </w:rPr>
                    <w:t>1</w:t>
                  </w:r>
                </w:p>
              </w:tc>
              <w:tc>
                <w:tcPr>
                  <w:tcW w:w="441" w:type="dxa"/>
                  <w:shd w:val="clear" w:color="auto" w:fill="auto"/>
                  <w:noWrap/>
                </w:tcPr>
                <w:p w14:paraId="773AF552" w14:textId="46431D04"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0"/>
                      <w14:textFill>
                        <w14:solidFill>
                          <w14:srgbClr w14:val="000000">
                            <w14:alpha w14:val="100000"/>
                          </w14:srgbClr>
                        </w14:solidFill>
                      </w14:textFill>
                    </w:rPr>
                    <w:t xml:space="preserve">　</w:t>
                  </w:r>
                  <w:r w:rsidRPr="0066157F">
                    <w:rPr>
                      <w:color w:val="000000"/>
                      <w:spacing w:val="74"/>
                      <w:szCs w:val="20"/>
                      <w:shd w:val="solid" w:color="000000" w:fill="000000"/>
                      <w:fitText w:val="160" w:id="-894208256"/>
                      <w14:textFill>
                        <w14:solidFill>
                          <w14:srgbClr w14:val="000000">
                            <w14:alpha w14:val="100000"/>
                          </w14:srgbClr>
                        </w14:solidFill>
                      </w14:textFill>
                    </w:rPr>
                    <w:t>|</w:t>
                  </w:r>
                  <w:r w:rsidRPr="0066157F">
                    <w:rPr>
                      <w:color w:val="000000"/>
                      <w:spacing w:val="1"/>
                      <w:szCs w:val="20"/>
                      <w:shd w:val="solid" w:color="000000" w:fill="000000"/>
                      <w:fitText w:val="160" w:id="-894208256"/>
                      <w14:textFill>
                        <w14:solidFill>
                          <w14:srgbClr w14:val="000000">
                            <w14:alpha w14:val="100000"/>
                          </w14:srgbClr>
                        </w14:solidFill>
                      </w14:textFill>
                    </w:rPr>
                    <w:t>|</w:t>
                  </w:r>
                  <w:r w:rsidR="003801E0" w:rsidRPr="005D2484">
                    <w:rPr>
                      <w:szCs w:val="20"/>
                    </w:rPr>
                    <w:t xml:space="preserve"> </w:t>
                  </w:r>
                  <w:r w:rsidR="003801E0" w:rsidRPr="005D2484">
                    <w:rPr>
                      <w:vertAlign w:val="superscript"/>
                    </w:rPr>
                    <w:t>1</w:t>
                  </w:r>
                </w:p>
              </w:tc>
              <w:tc>
                <w:tcPr>
                  <w:tcW w:w="441" w:type="dxa"/>
                  <w:shd w:val="clear" w:color="auto" w:fill="auto"/>
                  <w:noWrap/>
                </w:tcPr>
                <w:p w14:paraId="2BE24A8B" w14:textId="5EA72570"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55"/>
                      <w14:textFill>
                        <w14:solidFill>
                          <w14:srgbClr w14:val="000000">
                            <w14:alpha w14:val="100000"/>
                          </w14:srgbClr>
                        </w14:solidFill>
                      </w14:textFill>
                    </w:rPr>
                    <w:t xml:space="preserve">　</w:t>
                  </w:r>
                  <w:r w:rsidRPr="0066157F">
                    <w:rPr>
                      <w:color w:val="000000"/>
                      <w:spacing w:val="74"/>
                      <w:szCs w:val="20"/>
                      <w:shd w:val="solid" w:color="000000" w:fill="000000"/>
                      <w:fitText w:val="160" w:id="-894208254"/>
                      <w14:textFill>
                        <w14:solidFill>
                          <w14:srgbClr w14:val="000000">
                            <w14:alpha w14:val="100000"/>
                          </w14:srgbClr>
                        </w14:solidFill>
                      </w14:textFill>
                    </w:rPr>
                    <w:t>|</w:t>
                  </w:r>
                  <w:r w:rsidRPr="0066157F">
                    <w:rPr>
                      <w:color w:val="000000"/>
                      <w:spacing w:val="1"/>
                      <w:szCs w:val="20"/>
                      <w:shd w:val="solid" w:color="000000" w:fill="000000"/>
                      <w:fitText w:val="160" w:id="-894208254"/>
                      <w14:textFill>
                        <w14:solidFill>
                          <w14:srgbClr w14:val="000000">
                            <w14:alpha w14:val="100000"/>
                          </w14:srgbClr>
                        </w14:solidFill>
                      </w14:textFill>
                    </w:rPr>
                    <w:t>|</w:t>
                  </w:r>
                  <w:r w:rsidR="003801E0" w:rsidRPr="005D2484">
                    <w:rPr>
                      <w:szCs w:val="20"/>
                    </w:rPr>
                    <w:t xml:space="preserve"> </w:t>
                  </w:r>
                  <w:r w:rsidR="003801E0" w:rsidRPr="005D2484">
                    <w:rPr>
                      <w:vertAlign w:val="superscript"/>
                    </w:rPr>
                    <w:t>1</w:t>
                  </w:r>
                </w:p>
              </w:tc>
              <w:tc>
                <w:tcPr>
                  <w:tcW w:w="441" w:type="dxa"/>
                  <w:shd w:val="clear" w:color="auto" w:fill="auto"/>
                  <w:noWrap/>
                </w:tcPr>
                <w:p w14:paraId="235284CC" w14:textId="04AB52E6"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53"/>
                      <w14:textFill>
                        <w14:solidFill>
                          <w14:srgbClr w14:val="000000">
                            <w14:alpha w14:val="100000"/>
                          </w14:srgbClr>
                        </w14:solidFill>
                      </w14:textFill>
                    </w:rPr>
                    <w:t xml:space="preserve">　</w:t>
                  </w:r>
                  <w:r w:rsidRPr="0066157F">
                    <w:rPr>
                      <w:color w:val="000000"/>
                      <w:spacing w:val="74"/>
                      <w:szCs w:val="20"/>
                      <w:shd w:val="solid" w:color="000000" w:fill="000000"/>
                      <w:fitText w:val="160" w:id="-894208252"/>
                      <w14:textFill>
                        <w14:solidFill>
                          <w14:srgbClr w14:val="000000">
                            <w14:alpha w14:val="100000"/>
                          </w14:srgbClr>
                        </w14:solidFill>
                      </w14:textFill>
                    </w:rPr>
                    <w:t>|</w:t>
                  </w:r>
                  <w:r w:rsidRPr="0066157F">
                    <w:rPr>
                      <w:color w:val="000000"/>
                      <w:spacing w:val="1"/>
                      <w:szCs w:val="20"/>
                      <w:shd w:val="solid" w:color="000000" w:fill="000000"/>
                      <w:fitText w:val="160" w:id="-894208252"/>
                      <w14:textFill>
                        <w14:solidFill>
                          <w14:srgbClr w14:val="000000">
                            <w14:alpha w14:val="100000"/>
                          </w14:srgbClr>
                        </w14:solidFill>
                      </w14:textFill>
                    </w:rPr>
                    <w:t>|</w:t>
                  </w:r>
                  <w:r w:rsidR="003801E0" w:rsidRPr="005D2484">
                    <w:rPr>
                      <w:szCs w:val="20"/>
                    </w:rPr>
                    <w:t xml:space="preserve"> </w:t>
                  </w:r>
                  <w:r w:rsidR="003801E0" w:rsidRPr="005D2484">
                    <w:rPr>
                      <w:vertAlign w:val="superscript"/>
                    </w:rPr>
                    <w:t>1</w:t>
                  </w:r>
                </w:p>
              </w:tc>
            </w:tr>
            <w:tr w:rsidR="003801E0" w:rsidRPr="00AA4FE6" w14:paraId="7B1ADD74" w14:textId="77777777" w:rsidTr="003801E0">
              <w:trPr>
                <w:trHeight w:val="113"/>
              </w:trPr>
              <w:tc>
                <w:tcPr>
                  <w:tcW w:w="1476" w:type="dxa"/>
                  <w:shd w:val="clear" w:color="auto" w:fill="auto"/>
                  <w:vAlign w:val="center"/>
                </w:tcPr>
                <w:p w14:paraId="0E05AB3D" w14:textId="77777777" w:rsidR="003801E0" w:rsidRPr="00AA4FE6" w:rsidRDefault="003801E0" w:rsidP="00341A2B">
                  <w:pPr>
                    <w:pStyle w:val="Tabletext"/>
                    <w:framePr w:hSpace="180" w:wrap="around" w:vAnchor="text" w:hAnchor="text" w:y="1"/>
                    <w:suppressOverlap/>
                    <w:rPr>
                      <w:szCs w:val="20"/>
                    </w:rPr>
                  </w:pPr>
                  <w:r w:rsidRPr="00AA4FE6">
                    <w:rPr>
                      <w:szCs w:val="20"/>
                    </w:rPr>
                    <w:t xml:space="preserve">At high </w:t>
                  </w:r>
                </w:p>
              </w:tc>
              <w:tc>
                <w:tcPr>
                  <w:tcW w:w="440" w:type="dxa"/>
                  <w:shd w:val="clear" w:color="auto" w:fill="auto"/>
                  <w:noWrap/>
                </w:tcPr>
                <w:p w14:paraId="0A86FE0F" w14:textId="2607406F"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51"/>
                      <w14:textFill>
                        <w14:solidFill>
                          <w14:srgbClr w14:val="000000">
                            <w14:alpha w14:val="100000"/>
                          </w14:srgbClr>
                        </w14:solidFill>
                      </w14:textFill>
                    </w:rPr>
                    <w:t xml:space="preserve">　</w:t>
                  </w:r>
                  <w:r w:rsidRPr="0066157F">
                    <w:rPr>
                      <w:color w:val="000000"/>
                      <w:spacing w:val="74"/>
                      <w:szCs w:val="20"/>
                      <w:shd w:val="solid" w:color="000000" w:fill="000000"/>
                      <w:fitText w:val="160" w:id="-894208250"/>
                      <w14:textFill>
                        <w14:solidFill>
                          <w14:srgbClr w14:val="000000">
                            <w14:alpha w14:val="100000"/>
                          </w14:srgbClr>
                        </w14:solidFill>
                      </w14:textFill>
                    </w:rPr>
                    <w:t>|</w:t>
                  </w:r>
                  <w:r w:rsidRPr="0066157F">
                    <w:rPr>
                      <w:color w:val="000000"/>
                      <w:spacing w:val="1"/>
                      <w:szCs w:val="20"/>
                      <w:shd w:val="solid" w:color="000000" w:fill="000000"/>
                      <w:fitText w:val="160" w:id="-894208250"/>
                      <w14:textFill>
                        <w14:solidFill>
                          <w14:srgbClr w14:val="000000">
                            <w14:alpha w14:val="100000"/>
                          </w14:srgbClr>
                        </w14:solidFill>
                      </w14:textFill>
                    </w:rPr>
                    <w:t>|</w:t>
                  </w:r>
                  <w:r w:rsidR="003801E0" w:rsidRPr="00AA4FE6">
                    <w:rPr>
                      <w:szCs w:val="20"/>
                    </w:rPr>
                    <w:t xml:space="preserve"> </w:t>
                  </w:r>
                  <w:r w:rsidR="003801E0">
                    <w:rPr>
                      <w:vertAlign w:val="superscript"/>
                    </w:rPr>
                    <w:t>1</w:t>
                  </w:r>
                </w:p>
              </w:tc>
              <w:tc>
                <w:tcPr>
                  <w:tcW w:w="441" w:type="dxa"/>
                  <w:shd w:val="clear" w:color="auto" w:fill="auto"/>
                  <w:noWrap/>
                </w:tcPr>
                <w:p w14:paraId="77CD3015" w14:textId="2EE3238E"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9"/>
                      <w14:textFill>
                        <w14:solidFill>
                          <w14:srgbClr w14:val="000000">
                            <w14:alpha w14:val="100000"/>
                          </w14:srgbClr>
                        </w14:solidFill>
                      </w14:textFill>
                    </w:rPr>
                    <w:t xml:space="preserve">　</w:t>
                  </w:r>
                  <w:r w:rsidRPr="0066157F">
                    <w:rPr>
                      <w:color w:val="000000"/>
                      <w:spacing w:val="74"/>
                      <w:szCs w:val="20"/>
                      <w:shd w:val="solid" w:color="000000" w:fill="000000"/>
                      <w:fitText w:val="160" w:id="-894208248"/>
                      <w14:textFill>
                        <w14:solidFill>
                          <w14:srgbClr w14:val="000000">
                            <w14:alpha w14:val="100000"/>
                          </w14:srgbClr>
                        </w14:solidFill>
                      </w14:textFill>
                    </w:rPr>
                    <w:t>|</w:t>
                  </w:r>
                  <w:r w:rsidRPr="0066157F">
                    <w:rPr>
                      <w:color w:val="000000"/>
                      <w:spacing w:val="1"/>
                      <w:szCs w:val="20"/>
                      <w:shd w:val="solid" w:color="000000" w:fill="000000"/>
                      <w:fitText w:val="160" w:id="-894208248"/>
                      <w14:textFill>
                        <w14:solidFill>
                          <w14:srgbClr w14:val="000000">
                            <w14:alpha w14:val="100000"/>
                          </w14:srgbClr>
                        </w14:solidFill>
                      </w14:textFill>
                    </w:rPr>
                    <w:t>|</w:t>
                  </w:r>
                  <w:r w:rsidR="003801E0" w:rsidRPr="00AA4FE6">
                    <w:rPr>
                      <w:szCs w:val="20"/>
                    </w:rPr>
                    <w:t xml:space="preserve"> </w:t>
                  </w:r>
                  <w:r w:rsidR="003801E0">
                    <w:rPr>
                      <w:vertAlign w:val="superscript"/>
                    </w:rPr>
                    <w:t>1</w:t>
                  </w:r>
                </w:p>
              </w:tc>
              <w:tc>
                <w:tcPr>
                  <w:tcW w:w="441" w:type="dxa"/>
                  <w:shd w:val="clear" w:color="auto" w:fill="auto"/>
                  <w:noWrap/>
                </w:tcPr>
                <w:p w14:paraId="15BA7D08" w14:textId="168CEB75"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7"/>
                      <w14:textFill>
                        <w14:solidFill>
                          <w14:srgbClr w14:val="000000">
                            <w14:alpha w14:val="100000"/>
                          </w14:srgbClr>
                        </w14:solidFill>
                      </w14:textFill>
                    </w:rPr>
                    <w:t xml:space="preserve">　</w:t>
                  </w:r>
                  <w:r w:rsidRPr="0066157F">
                    <w:rPr>
                      <w:color w:val="000000"/>
                      <w:spacing w:val="74"/>
                      <w:szCs w:val="20"/>
                      <w:shd w:val="solid" w:color="000000" w:fill="000000"/>
                      <w:fitText w:val="160" w:id="-894208246"/>
                      <w14:textFill>
                        <w14:solidFill>
                          <w14:srgbClr w14:val="000000">
                            <w14:alpha w14:val="100000"/>
                          </w14:srgbClr>
                        </w14:solidFill>
                      </w14:textFill>
                    </w:rPr>
                    <w:t>|</w:t>
                  </w:r>
                  <w:r w:rsidRPr="0066157F">
                    <w:rPr>
                      <w:color w:val="000000"/>
                      <w:spacing w:val="1"/>
                      <w:szCs w:val="20"/>
                      <w:shd w:val="solid" w:color="000000" w:fill="000000"/>
                      <w:fitText w:val="160" w:id="-894208246"/>
                      <w14:textFill>
                        <w14:solidFill>
                          <w14:srgbClr w14:val="000000">
                            <w14:alpha w14:val="100000"/>
                          </w14:srgbClr>
                        </w14:solidFill>
                      </w14:textFill>
                    </w:rPr>
                    <w:t>|</w:t>
                  </w:r>
                  <w:r w:rsidR="003801E0" w:rsidRPr="00AA4FE6">
                    <w:rPr>
                      <w:szCs w:val="20"/>
                    </w:rPr>
                    <w:t xml:space="preserve"> </w:t>
                  </w:r>
                  <w:r w:rsidR="003801E0">
                    <w:rPr>
                      <w:vertAlign w:val="superscript"/>
                    </w:rPr>
                    <w:t>1</w:t>
                  </w:r>
                </w:p>
              </w:tc>
              <w:tc>
                <w:tcPr>
                  <w:tcW w:w="441" w:type="dxa"/>
                  <w:shd w:val="clear" w:color="auto" w:fill="auto"/>
                  <w:noWrap/>
                </w:tcPr>
                <w:p w14:paraId="2E5B68DC" w14:textId="4C68B80A"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5"/>
                      <w14:textFill>
                        <w14:solidFill>
                          <w14:srgbClr w14:val="000000">
                            <w14:alpha w14:val="100000"/>
                          </w14:srgbClr>
                        </w14:solidFill>
                      </w14:textFill>
                    </w:rPr>
                    <w:t xml:space="preserve">　</w:t>
                  </w:r>
                  <w:r w:rsidRPr="0066157F">
                    <w:rPr>
                      <w:color w:val="000000"/>
                      <w:spacing w:val="74"/>
                      <w:szCs w:val="20"/>
                      <w:shd w:val="solid" w:color="000000" w:fill="000000"/>
                      <w:fitText w:val="160" w:id="-894208244"/>
                      <w14:textFill>
                        <w14:solidFill>
                          <w14:srgbClr w14:val="000000">
                            <w14:alpha w14:val="100000"/>
                          </w14:srgbClr>
                        </w14:solidFill>
                      </w14:textFill>
                    </w:rPr>
                    <w:t>|</w:t>
                  </w:r>
                  <w:r w:rsidRPr="0066157F">
                    <w:rPr>
                      <w:color w:val="000000"/>
                      <w:spacing w:val="1"/>
                      <w:szCs w:val="20"/>
                      <w:shd w:val="solid" w:color="000000" w:fill="000000"/>
                      <w:fitText w:val="160" w:id="-894208244"/>
                      <w14:textFill>
                        <w14:solidFill>
                          <w14:srgbClr w14:val="000000">
                            <w14:alpha w14:val="100000"/>
                          </w14:srgbClr>
                        </w14:solidFill>
                      </w14:textFill>
                    </w:rPr>
                    <w:t>|</w:t>
                  </w:r>
                  <w:r w:rsidR="003801E0" w:rsidRPr="00AA4FE6">
                    <w:rPr>
                      <w:szCs w:val="20"/>
                    </w:rPr>
                    <w:t xml:space="preserve"> </w:t>
                  </w:r>
                  <w:r w:rsidR="003801E0">
                    <w:rPr>
                      <w:vertAlign w:val="superscript"/>
                    </w:rPr>
                    <w:t>1</w:t>
                  </w:r>
                </w:p>
              </w:tc>
              <w:tc>
                <w:tcPr>
                  <w:tcW w:w="441" w:type="dxa"/>
                  <w:shd w:val="clear" w:color="auto" w:fill="auto"/>
                  <w:noWrap/>
                </w:tcPr>
                <w:p w14:paraId="03D2884E" w14:textId="2D81E430"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3"/>
                      <w14:textFill>
                        <w14:solidFill>
                          <w14:srgbClr w14:val="000000">
                            <w14:alpha w14:val="100000"/>
                          </w14:srgbClr>
                        </w14:solidFill>
                      </w14:textFill>
                    </w:rPr>
                    <w:t xml:space="preserve">　</w:t>
                  </w:r>
                  <w:r w:rsidRPr="0066157F">
                    <w:rPr>
                      <w:color w:val="000000"/>
                      <w:spacing w:val="74"/>
                      <w:szCs w:val="20"/>
                      <w:shd w:val="solid" w:color="000000" w:fill="000000"/>
                      <w:fitText w:val="160" w:id="-894208242"/>
                      <w14:textFill>
                        <w14:solidFill>
                          <w14:srgbClr w14:val="000000">
                            <w14:alpha w14:val="100000"/>
                          </w14:srgbClr>
                        </w14:solidFill>
                      </w14:textFill>
                    </w:rPr>
                    <w:t>|</w:t>
                  </w:r>
                  <w:r w:rsidRPr="0066157F">
                    <w:rPr>
                      <w:color w:val="000000"/>
                      <w:spacing w:val="1"/>
                      <w:szCs w:val="20"/>
                      <w:shd w:val="solid" w:color="000000" w:fill="000000"/>
                      <w:fitText w:val="160" w:id="-894208242"/>
                      <w14:textFill>
                        <w14:solidFill>
                          <w14:srgbClr w14:val="000000">
                            <w14:alpha w14:val="100000"/>
                          </w14:srgbClr>
                        </w14:solidFill>
                      </w14:textFill>
                    </w:rPr>
                    <w:t>|</w:t>
                  </w:r>
                  <w:r w:rsidR="003801E0" w:rsidRPr="00AA4FE6">
                    <w:rPr>
                      <w:szCs w:val="20"/>
                    </w:rPr>
                    <w:t xml:space="preserve"> </w:t>
                  </w:r>
                  <w:r w:rsidR="003801E0">
                    <w:rPr>
                      <w:vertAlign w:val="superscript"/>
                    </w:rPr>
                    <w:t>1</w:t>
                  </w:r>
                </w:p>
              </w:tc>
              <w:tc>
                <w:tcPr>
                  <w:tcW w:w="441" w:type="dxa"/>
                  <w:shd w:val="clear" w:color="auto" w:fill="auto"/>
                  <w:noWrap/>
                </w:tcPr>
                <w:p w14:paraId="3EC3DDA5" w14:textId="55CEA5CC"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1"/>
                      <w14:textFill>
                        <w14:solidFill>
                          <w14:srgbClr w14:val="000000">
                            <w14:alpha w14:val="100000"/>
                          </w14:srgbClr>
                        </w14:solidFill>
                      </w14:textFill>
                    </w:rPr>
                    <w:t xml:space="preserve">　</w:t>
                  </w:r>
                  <w:r w:rsidRPr="0066157F">
                    <w:rPr>
                      <w:color w:val="000000"/>
                      <w:spacing w:val="74"/>
                      <w:szCs w:val="20"/>
                      <w:shd w:val="solid" w:color="000000" w:fill="000000"/>
                      <w:fitText w:val="160" w:id="-894208240"/>
                      <w14:textFill>
                        <w14:solidFill>
                          <w14:srgbClr w14:val="000000">
                            <w14:alpha w14:val="100000"/>
                          </w14:srgbClr>
                        </w14:solidFill>
                      </w14:textFill>
                    </w:rPr>
                    <w:t>|</w:t>
                  </w:r>
                  <w:r w:rsidRPr="0066157F">
                    <w:rPr>
                      <w:color w:val="000000"/>
                      <w:spacing w:val="1"/>
                      <w:szCs w:val="20"/>
                      <w:shd w:val="solid" w:color="000000" w:fill="000000"/>
                      <w:fitText w:val="160" w:id="-894208240"/>
                      <w14:textFill>
                        <w14:solidFill>
                          <w14:srgbClr w14:val="000000">
                            <w14:alpha w14:val="100000"/>
                          </w14:srgbClr>
                        </w14:solidFill>
                      </w14:textFill>
                    </w:rPr>
                    <w:t>|</w:t>
                  </w:r>
                  <w:r w:rsidR="003801E0" w:rsidRPr="00AA4FE6">
                    <w:rPr>
                      <w:szCs w:val="20"/>
                    </w:rPr>
                    <w:t xml:space="preserve"> </w:t>
                  </w:r>
                  <w:r w:rsidR="003801E0">
                    <w:rPr>
                      <w:vertAlign w:val="superscript"/>
                    </w:rPr>
                    <w:t>1</w:t>
                  </w:r>
                </w:p>
              </w:tc>
            </w:tr>
            <w:tr w:rsidR="003801E0" w:rsidRPr="00AA4FE6" w14:paraId="541C127C" w14:textId="77777777" w:rsidTr="003801E0">
              <w:trPr>
                <w:trHeight w:val="113"/>
              </w:trPr>
              <w:tc>
                <w:tcPr>
                  <w:tcW w:w="1476" w:type="dxa"/>
                  <w:shd w:val="clear" w:color="auto" w:fill="auto"/>
                  <w:vAlign w:val="center"/>
                </w:tcPr>
                <w:p w14:paraId="50AE952A" w14:textId="77777777" w:rsidR="003801E0" w:rsidRPr="00AA4FE6" w:rsidRDefault="003801E0" w:rsidP="00341A2B">
                  <w:pPr>
                    <w:pStyle w:val="Tabletext"/>
                    <w:framePr w:hSpace="180" w:wrap="around" w:vAnchor="text" w:hAnchor="text" w:y="1"/>
                    <w:suppressOverlap/>
                    <w:rPr>
                      <w:szCs w:val="20"/>
                    </w:rPr>
                  </w:pPr>
                  <w:r w:rsidRPr="00AA4FE6">
                    <w:rPr>
                      <w:szCs w:val="20"/>
                    </w:rPr>
                    <w:t>At high but NR</w:t>
                  </w:r>
                </w:p>
              </w:tc>
              <w:tc>
                <w:tcPr>
                  <w:tcW w:w="440" w:type="dxa"/>
                  <w:shd w:val="clear" w:color="auto" w:fill="auto"/>
                  <w:noWrap/>
                </w:tcPr>
                <w:p w14:paraId="549D46FF" w14:textId="5227AC71"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56"/>
                      <w14:textFill>
                        <w14:solidFill>
                          <w14:srgbClr w14:val="000000">
                            <w14:alpha w14:val="100000"/>
                          </w14:srgbClr>
                        </w14:solidFill>
                      </w14:textFill>
                    </w:rPr>
                    <w:t xml:space="preserve">　</w:t>
                  </w:r>
                  <w:r w:rsidRPr="0066157F">
                    <w:rPr>
                      <w:color w:val="000000"/>
                      <w:spacing w:val="74"/>
                      <w:szCs w:val="20"/>
                      <w:shd w:val="solid" w:color="000000" w:fill="000000"/>
                      <w:fitText w:val="160" w:id="-894208255"/>
                      <w14:textFill>
                        <w14:solidFill>
                          <w14:srgbClr w14:val="000000">
                            <w14:alpha w14:val="100000"/>
                          </w14:srgbClr>
                        </w14:solidFill>
                      </w14:textFill>
                    </w:rPr>
                    <w:t>|</w:t>
                  </w:r>
                  <w:r w:rsidRPr="0066157F">
                    <w:rPr>
                      <w:color w:val="000000"/>
                      <w:spacing w:val="1"/>
                      <w:szCs w:val="20"/>
                      <w:shd w:val="solid" w:color="000000" w:fill="000000"/>
                      <w:fitText w:val="160" w:id="-894208255"/>
                      <w14:textFill>
                        <w14:solidFill>
                          <w14:srgbClr w14:val="000000">
                            <w14:alpha w14:val="100000"/>
                          </w14:srgbClr>
                        </w14:solidFill>
                      </w14:textFill>
                    </w:rPr>
                    <w:t>|</w:t>
                  </w:r>
                  <w:r w:rsidR="003801E0">
                    <w:rPr>
                      <w:vertAlign w:val="superscript"/>
                    </w:rPr>
                    <w:t xml:space="preserve"> 1</w:t>
                  </w:r>
                </w:p>
              </w:tc>
              <w:tc>
                <w:tcPr>
                  <w:tcW w:w="441" w:type="dxa"/>
                  <w:shd w:val="clear" w:color="auto" w:fill="auto"/>
                  <w:noWrap/>
                </w:tcPr>
                <w:p w14:paraId="30B97D34" w14:textId="3C279B54"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54"/>
                      <w14:textFill>
                        <w14:solidFill>
                          <w14:srgbClr w14:val="000000">
                            <w14:alpha w14:val="100000"/>
                          </w14:srgbClr>
                        </w14:solidFill>
                      </w14:textFill>
                    </w:rPr>
                    <w:t xml:space="preserve">　</w:t>
                  </w:r>
                  <w:r w:rsidRPr="0066157F">
                    <w:rPr>
                      <w:color w:val="000000"/>
                      <w:spacing w:val="74"/>
                      <w:szCs w:val="20"/>
                      <w:shd w:val="solid" w:color="000000" w:fill="000000"/>
                      <w:fitText w:val="160" w:id="-894208253"/>
                      <w14:textFill>
                        <w14:solidFill>
                          <w14:srgbClr w14:val="000000">
                            <w14:alpha w14:val="100000"/>
                          </w14:srgbClr>
                        </w14:solidFill>
                      </w14:textFill>
                    </w:rPr>
                    <w:t>|</w:t>
                  </w:r>
                  <w:r w:rsidRPr="0066157F">
                    <w:rPr>
                      <w:color w:val="000000"/>
                      <w:spacing w:val="1"/>
                      <w:szCs w:val="20"/>
                      <w:shd w:val="solid" w:color="000000" w:fill="000000"/>
                      <w:fitText w:val="160" w:id="-894208253"/>
                      <w14:textFill>
                        <w14:solidFill>
                          <w14:srgbClr w14:val="000000">
                            <w14:alpha w14:val="100000"/>
                          </w14:srgbClr>
                        </w14:solidFill>
                      </w14:textFill>
                    </w:rPr>
                    <w:t>|</w:t>
                  </w:r>
                  <w:r w:rsidR="003801E0" w:rsidRPr="00D7650D">
                    <w:rPr>
                      <w:szCs w:val="20"/>
                    </w:rPr>
                    <w:t xml:space="preserve"> </w:t>
                  </w:r>
                  <w:r w:rsidR="003801E0" w:rsidRPr="00D7650D">
                    <w:rPr>
                      <w:vertAlign w:val="superscript"/>
                    </w:rPr>
                    <w:t>1</w:t>
                  </w:r>
                </w:p>
              </w:tc>
              <w:tc>
                <w:tcPr>
                  <w:tcW w:w="441" w:type="dxa"/>
                  <w:shd w:val="clear" w:color="auto" w:fill="auto"/>
                  <w:noWrap/>
                </w:tcPr>
                <w:p w14:paraId="57050231" w14:textId="5254F77E"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52"/>
                      <w14:textFill>
                        <w14:solidFill>
                          <w14:srgbClr w14:val="000000">
                            <w14:alpha w14:val="100000"/>
                          </w14:srgbClr>
                        </w14:solidFill>
                      </w14:textFill>
                    </w:rPr>
                    <w:t xml:space="preserve">　</w:t>
                  </w:r>
                  <w:r w:rsidRPr="0066157F">
                    <w:rPr>
                      <w:color w:val="000000"/>
                      <w:spacing w:val="74"/>
                      <w:szCs w:val="20"/>
                      <w:shd w:val="solid" w:color="000000" w:fill="000000"/>
                      <w:fitText w:val="160" w:id="-894208251"/>
                      <w14:textFill>
                        <w14:solidFill>
                          <w14:srgbClr w14:val="000000">
                            <w14:alpha w14:val="100000"/>
                          </w14:srgbClr>
                        </w14:solidFill>
                      </w14:textFill>
                    </w:rPr>
                    <w:t>|</w:t>
                  </w:r>
                  <w:r w:rsidRPr="0066157F">
                    <w:rPr>
                      <w:color w:val="000000"/>
                      <w:spacing w:val="1"/>
                      <w:szCs w:val="20"/>
                      <w:shd w:val="solid" w:color="000000" w:fill="000000"/>
                      <w:fitText w:val="160" w:id="-894208251"/>
                      <w14:textFill>
                        <w14:solidFill>
                          <w14:srgbClr w14:val="000000">
                            <w14:alpha w14:val="100000"/>
                          </w14:srgbClr>
                        </w14:solidFill>
                      </w14:textFill>
                    </w:rPr>
                    <w:t>|</w:t>
                  </w:r>
                  <w:r w:rsidR="003801E0" w:rsidRPr="00D7650D">
                    <w:rPr>
                      <w:szCs w:val="20"/>
                    </w:rPr>
                    <w:t xml:space="preserve"> </w:t>
                  </w:r>
                  <w:r w:rsidR="003801E0" w:rsidRPr="00D7650D">
                    <w:rPr>
                      <w:vertAlign w:val="superscript"/>
                    </w:rPr>
                    <w:t>1</w:t>
                  </w:r>
                </w:p>
              </w:tc>
              <w:tc>
                <w:tcPr>
                  <w:tcW w:w="441" w:type="dxa"/>
                  <w:shd w:val="clear" w:color="auto" w:fill="auto"/>
                  <w:noWrap/>
                </w:tcPr>
                <w:p w14:paraId="7631E485" w14:textId="5B14613F"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50"/>
                      <w14:textFill>
                        <w14:solidFill>
                          <w14:srgbClr w14:val="000000">
                            <w14:alpha w14:val="100000"/>
                          </w14:srgbClr>
                        </w14:solidFill>
                      </w14:textFill>
                    </w:rPr>
                    <w:t xml:space="preserve">　</w:t>
                  </w:r>
                  <w:r w:rsidRPr="0066157F">
                    <w:rPr>
                      <w:color w:val="000000"/>
                      <w:spacing w:val="74"/>
                      <w:szCs w:val="20"/>
                      <w:shd w:val="solid" w:color="000000" w:fill="000000"/>
                      <w:fitText w:val="160" w:id="-894208249"/>
                      <w14:textFill>
                        <w14:solidFill>
                          <w14:srgbClr w14:val="000000">
                            <w14:alpha w14:val="100000"/>
                          </w14:srgbClr>
                        </w14:solidFill>
                      </w14:textFill>
                    </w:rPr>
                    <w:t>|</w:t>
                  </w:r>
                  <w:r w:rsidRPr="0066157F">
                    <w:rPr>
                      <w:color w:val="000000"/>
                      <w:spacing w:val="1"/>
                      <w:szCs w:val="20"/>
                      <w:shd w:val="solid" w:color="000000" w:fill="000000"/>
                      <w:fitText w:val="160" w:id="-894208249"/>
                      <w14:textFill>
                        <w14:solidFill>
                          <w14:srgbClr w14:val="000000">
                            <w14:alpha w14:val="100000"/>
                          </w14:srgbClr>
                        </w14:solidFill>
                      </w14:textFill>
                    </w:rPr>
                    <w:t>|</w:t>
                  </w:r>
                  <w:r w:rsidR="003801E0" w:rsidRPr="00D7650D">
                    <w:rPr>
                      <w:szCs w:val="20"/>
                    </w:rPr>
                    <w:t xml:space="preserve"> </w:t>
                  </w:r>
                  <w:r w:rsidR="003801E0" w:rsidRPr="00D7650D">
                    <w:rPr>
                      <w:vertAlign w:val="superscript"/>
                    </w:rPr>
                    <w:t>1</w:t>
                  </w:r>
                </w:p>
              </w:tc>
              <w:tc>
                <w:tcPr>
                  <w:tcW w:w="441" w:type="dxa"/>
                  <w:shd w:val="clear" w:color="auto" w:fill="auto"/>
                  <w:noWrap/>
                </w:tcPr>
                <w:p w14:paraId="7318B088" w14:textId="37C983FD"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8"/>
                      <w14:textFill>
                        <w14:solidFill>
                          <w14:srgbClr w14:val="000000">
                            <w14:alpha w14:val="100000"/>
                          </w14:srgbClr>
                        </w14:solidFill>
                      </w14:textFill>
                    </w:rPr>
                    <w:t xml:space="preserve">　</w:t>
                  </w:r>
                  <w:r w:rsidRPr="0066157F">
                    <w:rPr>
                      <w:color w:val="000000"/>
                      <w:spacing w:val="74"/>
                      <w:szCs w:val="20"/>
                      <w:shd w:val="solid" w:color="000000" w:fill="000000"/>
                      <w:fitText w:val="160" w:id="-894208247"/>
                      <w14:textFill>
                        <w14:solidFill>
                          <w14:srgbClr w14:val="000000">
                            <w14:alpha w14:val="100000"/>
                          </w14:srgbClr>
                        </w14:solidFill>
                      </w14:textFill>
                    </w:rPr>
                    <w:t>|</w:t>
                  </w:r>
                  <w:r w:rsidRPr="0066157F">
                    <w:rPr>
                      <w:color w:val="000000"/>
                      <w:spacing w:val="1"/>
                      <w:szCs w:val="20"/>
                      <w:shd w:val="solid" w:color="000000" w:fill="000000"/>
                      <w:fitText w:val="160" w:id="-894208247"/>
                      <w14:textFill>
                        <w14:solidFill>
                          <w14:srgbClr w14:val="000000">
                            <w14:alpha w14:val="100000"/>
                          </w14:srgbClr>
                        </w14:solidFill>
                      </w14:textFill>
                    </w:rPr>
                    <w:t>|</w:t>
                  </w:r>
                  <w:r w:rsidR="003801E0" w:rsidRPr="00D7650D">
                    <w:rPr>
                      <w:szCs w:val="20"/>
                    </w:rPr>
                    <w:t xml:space="preserve"> </w:t>
                  </w:r>
                  <w:r w:rsidR="003801E0" w:rsidRPr="00D7650D">
                    <w:rPr>
                      <w:vertAlign w:val="superscript"/>
                    </w:rPr>
                    <w:t>1</w:t>
                  </w:r>
                </w:p>
              </w:tc>
              <w:tc>
                <w:tcPr>
                  <w:tcW w:w="441" w:type="dxa"/>
                  <w:shd w:val="clear" w:color="auto" w:fill="auto"/>
                  <w:noWrap/>
                </w:tcPr>
                <w:p w14:paraId="1539591B" w14:textId="38FEEBE8"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6"/>
                      <w14:textFill>
                        <w14:solidFill>
                          <w14:srgbClr w14:val="000000">
                            <w14:alpha w14:val="100000"/>
                          </w14:srgbClr>
                        </w14:solidFill>
                      </w14:textFill>
                    </w:rPr>
                    <w:t xml:space="preserve">　</w:t>
                  </w:r>
                  <w:r w:rsidRPr="0066157F">
                    <w:rPr>
                      <w:color w:val="000000"/>
                      <w:spacing w:val="74"/>
                      <w:szCs w:val="20"/>
                      <w:shd w:val="solid" w:color="000000" w:fill="000000"/>
                      <w:fitText w:val="160" w:id="-894208245"/>
                      <w14:textFill>
                        <w14:solidFill>
                          <w14:srgbClr w14:val="000000">
                            <w14:alpha w14:val="100000"/>
                          </w14:srgbClr>
                        </w14:solidFill>
                      </w14:textFill>
                    </w:rPr>
                    <w:t>|</w:t>
                  </w:r>
                  <w:r w:rsidRPr="0066157F">
                    <w:rPr>
                      <w:color w:val="000000"/>
                      <w:spacing w:val="1"/>
                      <w:szCs w:val="20"/>
                      <w:shd w:val="solid" w:color="000000" w:fill="000000"/>
                      <w:fitText w:val="160" w:id="-894208245"/>
                      <w14:textFill>
                        <w14:solidFill>
                          <w14:srgbClr w14:val="000000">
                            <w14:alpha w14:val="100000"/>
                          </w14:srgbClr>
                        </w14:solidFill>
                      </w14:textFill>
                    </w:rPr>
                    <w:t>|</w:t>
                  </w:r>
                  <w:r w:rsidR="003801E0" w:rsidRPr="00D7650D">
                    <w:rPr>
                      <w:szCs w:val="20"/>
                    </w:rPr>
                    <w:t xml:space="preserve"> </w:t>
                  </w:r>
                  <w:r w:rsidR="003801E0" w:rsidRPr="00D7650D">
                    <w:rPr>
                      <w:vertAlign w:val="superscript"/>
                    </w:rPr>
                    <w:t>1</w:t>
                  </w:r>
                </w:p>
              </w:tc>
            </w:tr>
            <w:tr w:rsidR="00AA4FE6" w:rsidRPr="00AA4FE6" w14:paraId="7D0966F7" w14:textId="77777777" w:rsidTr="003801E0">
              <w:trPr>
                <w:trHeight w:val="113"/>
              </w:trPr>
              <w:tc>
                <w:tcPr>
                  <w:tcW w:w="1476" w:type="dxa"/>
                  <w:tcBorders>
                    <w:top w:val="single" w:sz="4" w:space="0" w:color="auto"/>
                    <w:left w:val="single" w:sz="4" w:space="0" w:color="auto"/>
                    <w:bottom w:val="single" w:sz="4" w:space="0" w:color="auto"/>
                    <w:right w:val="nil"/>
                  </w:tcBorders>
                  <w:shd w:val="clear" w:color="auto" w:fill="auto"/>
                  <w:vAlign w:val="center"/>
                </w:tcPr>
                <w:p w14:paraId="53FE094B" w14:textId="77777777" w:rsidR="00AA4FE6" w:rsidRPr="00AA4FE6" w:rsidRDefault="00AA4FE6" w:rsidP="00341A2B">
                  <w:pPr>
                    <w:pStyle w:val="Tabletext"/>
                    <w:framePr w:hSpace="180" w:wrap="around" w:vAnchor="text" w:hAnchor="text" w:y="1"/>
                    <w:suppressOverlap/>
                    <w:rPr>
                      <w:b/>
                      <w:bCs/>
                      <w:szCs w:val="20"/>
                    </w:rPr>
                  </w:pPr>
                  <w:r w:rsidRPr="00AA4FE6">
                    <w:rPr>
                      <w:b/>
                      <w:bCs/>
                      <w:szCs w:val="20"/>
                    </w:rPr>
                    <w:t>Incident patients</w:t>
                  </w:r>
                </w:p>
              </w:tc>
              <w:tc>
                <w:tcPr>
                  <w:tcW w:w="440" w:type="dxa"/>
                  <w:tcBorders>
                    <w:top w:val="single" w:sz="4" w:space="0" w:color="auto"/>
                    <w:left w:val="nil"/>
                    <w:bottom w:val="single" w:sz="4" w:space="0" w:color="auto"/>
                    <w:right w:val="nil"/>
                  </w:tcBorders>
                  <w:shd w:val="clear" w:color="auto" w:fill="auto"/>
                  <w:noWrap/>
                  <w:vAlign w:val="center"/>
                </w:tcPr>
                <w:p w14:paraId="53B771D0" w14:textId="77777777" w:rsidR="00AA4FE6" w:rsidRPr="00AA4FE6" w:rsidRDefault="00AA4FE6" w:rsidP="00341A2B">
                  <w:pPr>
                    <w:pStyle w:val="Tabletext"/>
                    <w:framePr w:hSpace="180" w:wrap="around" w:vAnchor="text" w:hAnchor="text" w:y="1"/>
                    <w:suppressOverlap/>
                    <w:rPr>
                      <w:szCs w:val="20"/>
                    </w:rPr>
                  </w:pPr>
                </w:p>
              </w:tc>
              <w:tc>
                <w:tcPr>
                  <w:tcW w:w="441" w:type="dxa"/>
                  <w:tcBorders>
                    <w:top w:val="single" w:sz="4" w:space="0" w:color="auto"/>
                    <w:left w:val="nil"/>
                    <w:bottom w:val="single" w:sz="4" w:space="0" w:color="auto"/>
                    <w:right w:val="nil"/>
                  </w:tcBorders>
                  <w:shd w:val="clear" w:color="auto" w:fill="auto"/>
                  <w:noWrap/>
                  <w:vAlign w:val="center"/>
                </w:tcPr>
                <w:p w14:paraId="3F962429" w14:textId="77777777" w:rsidR="00AA4FE6" w:rsidRPr="00AA4FE6" w:rsidRDefault="00AA4FE6" w:rsidP="00341A2B">
                  <w:pPr>
                    <w:pStyle w:val="Tabletext"/>
                    <w:framePr w:hSpace="180" w:wrap="around" w:vAnchor="text" w:hAnchor="text" w:y="1"/>
                    <w:suppressOverlap/>
                    <w:rPr>
                      <w:szCs w:val="20"/>
                    </w:rPr>
                  </w:pPr>
                </w:p>
              </w:tc>
              <w:tc>
                <w:tcPr>
                  <w:tcW w:w="441" w:type="dxa"/>
                  <w:tcBorders>
                    <w:top w:val="single" w:sz="4" w:space="0" w:color="auto"/>
                    <w:left w:val="nil"/>
                    <w:bottom w:val="single" w:sz="4" w:space="0" w:color="auto"/>
                    <w:right w:val="nil"/>
                  </w:tcBorders>
                  <w:shd w:val="clear" w:color="auto" w:fill="auto"/>
                  <w:noWrap/>
                  <w:vAlign w:val="center"/>
                </w:tcPr>
                <w:p w14:paraId="7DF60C70" w14:textId="77777777" w:rsidR="00AA4FE6" w:rsidRPr="00AA4FE6" w:rsidRDefault="00AA4FE6" w:rsidP="00341A2B">
                  <w:pPr>
                    <w:pStyle w:val="Tabletext"/>
                    <w:framePr w:hSpace="180" w:wrap="around" w:vAnchor="text" w:hAnchor="text" w:y="1"/>
                    <w:suppressOverlap/>
                    <w:rPr>
                      <w:szCs w:val="20"/>
                    </w:rPr>
                  </w:pPr>
                </w:p>
              </w:tc>
              <w:tc>
                <w:tcPr>
                  <w:tcW w:w="441" w:type="dxa"/>
                  <w:tcBorders>
                    <w:top w:val="single" w:sz="4" w:space="0" w:color="auto"/>
                    <w:left w:val="nil"/>
                    <w:bottom w:val="single" w:sz="4" w:space="0" w:color="auto"/>
                    <w:right w:val="nil"/>
                  </w:tcBorders>
                  <w:shd w:val="clear" w:color="auto" w:fill="auto"/>
                  <w:noWrap/>
                  <w:vAlign w:val="center"/>
                </w:tcPr>
                <w:p w14:paraId="634812D5" w14:textId="77777777" w:rsidR="00AA4FE6" w:rsidRPr="00AA4FE6" w:rsidRDefault="00AA4FE6" w:rsidP="00341A2B">
                  <w:pPr>
                    <w:pStyle w:val="Tabletext"/>
                    <w:framePr w:hSpace="180" w:wrap="around" w:vAnchor="text" w:hAnchor="text" w:y="1"/>
                    <w:suppressOverlap/>
                    <w:rPr>
                      <w:szCs w:val="20"/>
                    </w:rPr>
                  </w:pPr>
                </w:p>
              </w:tc>
              <w:tc>
                <w:tcPr>
                  <w:tcW w:w="441" w:type="dxa"/>
                  <w:tcBorders>
                    <w:top w:val="single" w:sz="4" w:space="0" w:color="auto"/>
                    <w:left w:val="nil"/>
                    <w:bottom w:val="single" w:sz="4" w:space="0" w:color="auto"/>
                    <w:right w:val="nil"/>
                  </w:tcBorders>
                  <w:shd w:val="clear" w:color="auto" w:fill="auto"/>
                  <w:noWrap/>
                  <w:vAlign w:val="center"/>
                </w:tcPr>
                <w:p w14:paraId="5F074FD1" w14:textId="77777777" w:rsidR="00AA4FE6" w:rsidRPr="00AA4FE6" w:rsidRDefault="00AA4FE6" w:rsidP="00341A2B">
                  <w:pPr>
                    <w:pStyle w:val="Tabletext"/>
                    <w:framePr w:hSpace="180" w:wrap="around" w:vAnchor="text" w:hAnchor="text" w:y="1"/>
                    <w:suppressOverlap/>
                    <w:rPr>
                      <w:szCs w:val="20"/>
                    </w:rPr>
                  </w:pPr>
                </w:p>
              </w:tc>
              <w:tc>
                <w:tcPr>
                  <w:tcW w:w="441" w:type="dxa"/>
                  <w:tcBorders>
                    <w:top w:val="single" w:sz="4" w:space="0" w:color="auto"/>
                    <w:left w:val="nil"/>
                    <w:bottom w:val="single" w:sz="4" w:space="0" w:color="auto"/>
                    <w:right w:val="single" w:sz="4" w:space="0" w:color="auto"/>
                  </w:tcBorders>
                  <w:shd w:val="clear" w:color="auto" w:fill="auto"/>
                  <w:noWrap/>
                  <w:vAlign w:val="center"/>
                </w:tcPr>
                <w:p w14:paraId="368DE7FB" w14:textId="77777777" w:rsidR="00AA4FE6" w:rsidRPr="00AA4FE6" w:rsidRDefault="00AA4FE6" w:rsidP="00341A2B">
                  <w:pPr>
                    <w:pStyle w:val="Tabletext"/>
                    <w:framePr w:hSpace="180" w:wrap="around" w:vAnchor="text" w:hAnchor="text" w:y="1"/>
                    <w:suppressOverlap/>
                    <w:rPr>
                      <w:szCs w:val="20"/>
                    </w:rPr>
                  </w:pPr>
                </w:p>
              </w:tc>
            </w:tr>
            <w:tr w:rsidR="003801E0" w:rsidRPr="00AA4FE6" w14:paraId="5A15FBD6" w14:textId="77777777" w:rsidTr="003801E0">
              <w:trPr>
                <w:trHeight w:val="113"/>
              </w:trPr>
              <w:tc>
                <w:tcPr>
                  <w:tcW w:w="1476" w:type="dxa"/>
                  <w:shd w:val="clear" w:color="auto" w:fill="auto"/>
                  <w:vAlign w:val="center"/>
                </w:tcPr>
                <w:p w14:paraId="6CC00950" w14:textId="77777777" w:rsidR="003801E0" w:rsidRPr="00AA4FE6" w:rsidRDefault="003801E0" w:rsidP="00341A2B">
                  <w:pPr>
                    <w:pStyle w:val="Tabletext"/>
                    <w:framePr w:hSpace="180" w:wrap="around" w:vAnchor="text" w:hAnchor="text" w:y="1"/>
                    <w:suppressOverlap/>
                    <w:rPr>
                      <w:szCs w:val="20"/>
                    </w:rPr>
                  </w:pPr>
                  <w:r w:rsidRPr="00AA4FE6">
                    <w:rPr>
                      <w:szCs w:val="20"/>
                    </w:rPr>
                    <w:t>Incident initiating</w:t>
                  </w:r>
                </w:p>
              </w:tc>
              <w:tc>
                <w:tcPr>
                  <w:tcW w:w="440" w:type="dxa"/>
                  <w:shd w:val="clear" w:color="auto" w:fill="auto"/>
                  <w:noWrap/>
                </w:tcPr>
                <w:p w14:paraId="1E323E5F" w14:textId="665316C5"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4"/>
                      <w14:textFill>
                        <w14:solidFill>
                          <w14:srgbClr w14:val="000000">
                            <w14:alpha w14:val="100000"/>
                          </w14:srgbClr>
                        </w14:solidFill>
                      </w14:textFill>
                    </w:rPr>
                    <w:t xml:space="preserve">　</w:t>
                  </w:r>
                  <w:r w:rsidRPr="0066157F">
                    <w:rPr>
                      <w:color w:val="000000"/>
                      <w:spacing w:val="74"/>
                      <w:szCs w:val="20"/>
                      <w:shd w:val="solid" w:color="000000" w:fill="000000"/>
                      <w:fitText w:val="160" w:id="-894208243"/>
                      <w14:textFill>
                        <w14:solidFill>
                          <w14:srgbClr w14:val="000000">
                            <w14:alpha w14:val="100000"/>
                          </w14:srgbClr>
                        </w14:solidFill>
                      </w14:textFill>
                    </w:rPr>
                    <w:t>|</w:t>
                  </w:r>
                  <w:r w:rsidRPr="0066157F">
                    <w:rPr>
                      <w:color w:val="000000"/>
                      <w:spacing w:val="1"/>
                      <w:szCs w:val="20"/>
                      <w:shd w:val="solid" w:color="000000" w:fill="000000"/>
                      <w:fitText w:val="160" w:id="-894208243"/>
                      <w14:textFill>
                        <w14:solidFill>
                          <w14:srgbClr w14:val="000000">
                            <w14:alpha w14:val="100000"/>
                          </w14:srgbClr>
                        </w14:solidFill>
                      </w14:textFill>
                    </w:rPr>
                    <w:t>|</w:t>
                  </w:r>
                  <w:r w:rsidR="003801E0" w:rsidRPr="00525E32">
                    <w:rPr>
                      <w:szCs w:val="20"/>
                    </w:rPr>
                    <w:t xml:space="preserve"> </w:t>
                  </w:r>
                  <w:r w:rsidR="003801E0" w:rsidRPr="00525E32">
                    <w:rPr>
                      <w:vertAlign w:val="superscript"/>
                    </w:rPr>
                    <w:t>1</w:t>
                  </w:r>
                </w:p>
              </w:tc>
              <w:tc>
                <w:tcPr>
                  <w:tcW w:w="441" w:type="dxa"/>
                  <w:shd w:val="clear" w:color="auto" w:fill="auto"/>
                  <w:noWrap/>
                </w:tcPr>
                <w:p w14:paraId="088F832E" w14:textId="74437399"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2"/>
                      <w14:textFill>
                        <w14:solidFill>
                          <w14:srgbClr w14:val="000000">
                            <w14:alpha w14:val="100000"/>
                          </w14:srgbClr>
                        </w14:solidFill>
                      </w14:textFill>
                    </w:rPr>
                    <w:t xml:space="preserve">　</w:t>
                  </w:r>
                  <w:r w:rsidRPr="0066157F">
                    <w:rPr>
                      <w:color w:val="000000"/>
                      <w:spacing w:val="74"/>
                      <w:szCs w:val="20"/>
                      <w:shd w:val="solid" w:color="000000" w:fill="000000"/>
                      <w:fitText w:val="160" w:id="-894208241"/>
                      <w14:textFill>
                        <w14:solidFill>
                          <w14:srgbClr w14:val="000000">
                            <w14:alpha w14:val="100000"/>
                          </w14:srgbClr>
                        </w14:solidFill>
                      </w14:textFill>
                    </w:rPr>
                    <w:t>|</w:t>
                  </w:r>
                  <w:r w:rsidRPr="0066157F">
                    <w:rPr>
                      <w:color w:val="000000"/>
                      <w:spacing w:val="1"/>
                      <w:szCs w:val="20"/>
                      <w:shd w:val="solid" w:color="000000" w:fill="000000"/>
                      <w:fitText w:val="160" w:id="-894208241"/>
                      <w14:textFill>
                        <w14:solidFill>
                          <w14:srgbClr w14:val="000000">
                            <w14:alpha w14:val="100000"/>
                          </w14:srgbClr>
                        </w14:solidFill>
                      </w14:textFill>
                    </w:rPr>
                    <w:t>|</w:t>
                  </w:r>
                  <w:r w:rsidR="003801E0" w:rsidRPr="00AA4FE6">
                    <w:rPr>
                      <w:szCs w:val="20"/>
                    </w:rPr>
                    <w:t xml:space="preserve"> </w:t>
                  </w:r>
                  <w:r w:rsidR="003801E0">
                    <w:rPr>
                      <w:vertAlign w:val="superscript"/>
                    </w:rPr>
                    <w:t>1</w:t>
                  </w:r>
                </w:p>
              </w:tc>
              <w:tc>
                <w:tcPr>
                  <w:tcW w:w="441" w:type="dxa"/>
                  <w:shd w:val="clear" w:color="auto" w:fill="auto"/>
                  <w:noWrap/>
                </w:tcPr>
                <w:p w14:paraId="04A825D3" w14:textId="5D637630"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0"/>
                      <w14:textFill>
                        <w14:solidFill>
                          <w14:srgbClr w14:val="000000">
                            <w14:alpha w14:val="100000"/>
                          </w14:srgbClr>
                        </w14:solidFill>
                      </w14:textFill>
                    </w:rPr>
                    <w:t xml:space="preserve">　</w:t>
                  </w:r>
                  <w:r w:rsidRPr="0066157F">
                    <w:rPr>
                      <w:color w:val="000000"/>
                      <w:spacing w:val="74"/>
                      <w:szCs w:val="20"/>
                      <w:shd w:val="solid" w:color="000000" w:fill="000000"/>
                      <w:fitText w:val="160" w:id="-894208256"/>
                      <w14:textFill>
                        <w14:solidFill>
                          <w14:srgbClr w14:val="000000">
                            <w14:alpha w14:val="100000"/>
                          </w14:srgbClr>
                        </w14:solidFill>
                      </w14:textFill>
                    </w:rPr>
                    <w:t>|</w:t>
                  </w:r>
                  <w:r w:rsidRPr="0066157F">
                    <w:rPr>
                      <w:color w:val="000000"/>
                      <w:spacing w:val="1"/>
                      <w:szCs w:val="20"/>
                      <w:shd w:val="solid" w:color="000000" w:fill="000000"/>
                      <w:fitText w:val="160" w:id="-894208256"/>
                      <w14:textFill>
                        <w14:solidFill>
                          <w14:srgbClr w14:val="000000">
                            <w14:alpha w14:val="100000"/>
                          </w14:srgbClr>
                        </w14:solidFill>
                      </w14:textFill>
                    </w:rPr>
                    <w:t>|</w:t>
                  </w:r>
                  <w:r w:rsidR="003801E0" w:rsidRPr="00AA4FE6">
                    <w:rPr>
                      <w:szCs w:val="20"/>
                    </w:rPr>
                    <w:t xml:space="preserve"> </w:t>
                  </w:r>
                  <w:r w:rsidR="003801E0">
                    <w:rPr>
                      <w:vertAlign w:val="superscript"/>
                    </w:rPr>
                    <w:t>1</w:t>
                  </w:r>
                </w:p>
              </w:tc>
              <w:tc>
                <w:tcPr>
                  <w:tcW w:w="441" w:type="dxa"/>
                  <w:shd w:val="clear" w:color="auto" w:fill="auto"/>
                  <w:noWrap/>
                </w:tcPr>
                <w:p w14:paraId="41BFC646" w14:textId="70619127"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55"/>
                      <w14:textFill>
                        <w14:solidFill>
                          <w14:srgbClr w14:val="000000">
                            <w14:alpha w14:val="100000"/>
                          </w14:srgbClr>
                        </w14:solidFill>
                      </w14:textFill>
                    </w:rPr>
                    <w:t xml:space="preserve">　</w:t>
                  </w:r>
                  <w:r w:rsidRPr="0066157F">
                    <w:rPr>
                      <w:color w:val="000000"/>
                      <w:spacing w:val="74"/>
                      <w:szCs w:val="20"/>
                      <w:shd w:val="solid" w:color="000000" w:fill="000000"/>
                      <w:fitText w:val="160" w:id="-894208254"/>
                      <w14:textFill>
                        <w14:solidFill>
                          <w14:srgbClr w14:val="000000">
                            <w14:alpha w14:val="100000"/>
                          </w14:srgbClr>
                        </w14:solidFill>
                      </w14:textFill>
                    </w:rPr>
                    <w:t>|</w:t>
                  </w:r>
                  <w:r w:rsidRPr="0066157F">
                    <w:rPr>
                      <w:color w:val="000000"/>
                      <w:spacing w:val="1"/>
                      <w:szCs w:val="20"/>
                      <w:shd w:val="solid" w:color="000000" w:fill="000000"/>
                      <w:fitText w:val="160" w:id="-894208254"/>
                      <w14:textFill>
                        <w14:solidFill>
                          <w14:srgbClr w14:val="000000">
                            <w14:alpha w14:val="100000"/>
                          </w14:srgbClr>
                        </w14:solidFill>
                      </w14:textFill>
                    </w:rPr>
                    <w:t>|</w:t>
                  </w:r>
                  <w:r w:rsidR="003801E0" w:rsidRPr="00AA4FE6">
                    <w:rPr>
                      <w:szCs w:val="20"/>
                    </w:rPr>
                    <w:t xml:space="preserve"> </w:t>
                  </w:r>
                  <w:r w:rsidR="003801E0">
                    <w:rPr>
                      <w:vertAlign w:val="superscript"/>
                    </w:rPr>
                    <w:t>1</w:t>
                  </w:r>
                </w:p>
              </w:tc>
              <w:tc>
                <w:tcPr>
                  <w:tcW w:w="441" w:type="dxa"/>
                  <w:shd w:val="clear" w:color="auto" w:fill="auto"/>
                  <w:noWrap/>
                </w:tcPr>
                <w:p w14:paraId="7526553A" w14:textId="18851C3C"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53"/>
                      <w14:textFill>
                        <w14:solidFill>
                          <w14:srgbClr w14:val="000000">
                            <w14:alpha w14:val="100000"/>
                          </w14:srgbClr>
                        </w14:solidFill>
                      </w14:textFill>
                    </w:rPr>
                    <w:t xml:space="preserve">　</w:t>
                  </w:r>
                  <w:r w:rsidRPr="0066157F">
                    <w:rPr>
                      <w:color w:val="000000"/>
                      <w:spacing w:val="74"/>
                      <w:szCs w:val="20"/>
                      <w:shd w:val="solid" w:color="000000" w:fill="000000"/>
                      <w:fitText w:val="160" w:id="-894208252"/>
                      <w14:textFill>
                        <w14:solidFill>
                          <w14:srgbClr w14:val="000000">
                            <w14:alpha w14:val="100000"/>
                          </w14:srgbClr>
                        </w14:solidFill>
                      </w14:textFill>
                    </w:rPr>
                    <w:t>|</w:t>
                  </w:r>
                  <w:r w:rsidRPr="0066157F">
                    <w:rPr>
                      <w:color w:val="000000"/>
                      <w:spacing w:val="1"/>
                      <w:szCs w:val="20"/>
                      <w:shd w:val="solid" w:color="000000" w:fill="000000"/>
                      <w:fitText w:val="160" w:id="-894208252"/>
                      <w14:textFill>
                        <w14:solidFill>
                          <w14:srgbClr w14:val="000000">
                            <w14:alpha w14:val="100000"/>
                          </w14:srgbClr>
                        </w14:solidFill>
                      </w14:textFill>
                    </w:rPr>
                    <w:t>|</w:t>
                  </w:r>
                  <w:r w:rsidR="003801E0" w:rsidRPr="00AA4FE6">
                    <w:rPr>
                      <w:szCs w:val="20"/>
                    </w:rPr>
                    <w:t xml:space="preserve"> </w:t>
                  </w:r>
                  <w:r w:rsidR="003801E0">
                    <w:rPr>
                      <w:vertAlign w:val="superscript"/>
                    </w:rPr>
                    <w:t>1</w:t>
                  </w:r>
                </w:p>
              </w:tc>
              <w:tc>
                <w:tcPr>
                  <w:tcW w:w="441" w:type="dxa"/>
                  <w:shd w:val="clear" w:color="auto" w:fill="auto"/>
                  <w:noWrap/>
                </w:tcPr>
                <w:p w14:paraId="5AA07E31" w14:textId="75238E38"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51"/>
                      <w14:textFill>
                        <w14:solidFill>
                          <w14:srgbClr w14:val="000000">
                            <w14:alpha w14:val="100000"/>
                          </w14:srgbClr>
                        </w14:solidFill>
                      </w14:textFill>
                    </w:rPr>
                    <w:t xml:space="preserve">　</w:t>
                  </w:r>
                  <w:r w:rsidRPr="0066157F">
                    <w:rPr>
                      <w:color w:val="000000"/>
                      <w:spacing w:val="74"/>
                      <w:szCs w:val="20"/>
                      <w:shd w:val="solid" w:color="000000" w:fill="000000"/>
                      <w:fitText w:val="160" w:id="-894208250"/>
                      <w14:textFill>
                        <w14:solidFill>
                          <w14:srgbClr w14:val="000000">
                            <w14:alpha w14:val="100000"/>
                          </w14:srgbClr>
                        </w14:solidFill>
                      </w14:textFill>
                    </w:rPr>
                    <w:t>|</w:t>
                  </w:r>
                  <w:r w:rsidRPr="0066157F">
                    <w:rPr>
                      <w:color w:val="000000"/>
                      <w:spacing w:val="1"/>
                      <w:szCs w:val="20"/>
                      <w:shd w:val="solid" w:color="000000" w:fill="000000"/>
                      <w:fitText w:val="160" w:id="-894208250"/>
                      <w14:textFill>
                        <w14:solidFill>
                          <w14:srgbClr w14:val="000000">
                            <w14:alpha w14:val="100000"/>
                          </w14:srgbClr>
                        </w14:solidFill>
                      </w14:textFill>
                    </w:rPr>
                    <w:t>|</w:t>
                  </w:r>
                  <w:r w:rsidR="003801E0" w:rsidRPr="00AA4FE6">
                    <w:rPr>
                      <w:szCs w:val="20"/>
                    </w:rPr>
                    <w:t xml:space="preserve"> </w:t>
                  </w:r>
                  <w:r w:rsidR="003801E0">
                    <w:rPr>
                      <w:vertAlign w:val="superscript"/>
                    </w:rPr>
                    <w:t>1</w:t>
                  </w:r>
                </w:p>
              </w:tc>
            </w:tr>
            <w:tr w:rsidR="003801E0" w:rsidRPr="00AA4FE6" w14:paraId="6724273E" w14:textId="77777777" w:rsidTr="003801E0">
              <w:trPr>
                <w:trHeight w:val="113"/>
              </w:trPr>
              <w:tc>
                <w:tcPr>
                  <w:tcW w:w="1476" w:type="dxa"/>
                  <w:shd w:val="clear" w:color="auto" w:fill="auto"/>
                  <w:vAlign w:val="center"/>
                </w:tcPr>
                <w:p w14:paraId="186B1903" w14:textId="77777777" w:rsidR="003801E0" w:rsidRPr="00AA4FE6" w:rsidRDefault="003801E0" w:rsidP="00341A2B">
                  <w:pPr>
                    <w:pStyle w:val="Tabletext"/>
                    <w:framePr w:hSpace="180" w:wrap="around" w:vAnchor="text" w:hAnchor="text" w:y="1"/>
                    <w:suppressOverlap/>
                    <w:rPr>
                      <w:szCs w:val="20"/>
                    </w:rPr>
                  </w:pPr>
                  <w:r w:rsidRPr="00AA4FE6">
                    <w:rPr>
                      <w:szCs w:val="20"/>
                    </w:rPr>
                    <w:t xml:space="preserve">Incident continuing </w:t>
                  </w:r>
                </w:p>
              </w:tc>
              <w:tc>
                <w:tcPr>
                  <w:tcW w:w="440" w:type="dxa"/>
                  <w:shd w:val="clear" w:color="auto" w:fill="auto"/>
                  <w:noWrap/>
                </w:tcPr>
                <w:p w14:paraId="5FAB3A84" w14:textId="3BB73BB3"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9"/>
                      <w14:textFill>
                        <w14:solidFill>
                          <w14:srgbClr w14:val="000000">
                            <w14:alpha w14:val="100000"/>
                          </w14:srgbClr>
                        </w14:solidFill>
                      </w14:textFill>
                    </w:rPr>
                    <w:t xml:space="preserve">　</w:t>
                  </w:r>
                  <w:r w:rsidRPr="0066157F">
                    <w:rPr>
                      <w:color w:val="000000"/>
                      <w:spacing w:val="74"/>
                      <w:szCs w:val="20"/>
                      <w:shd w:val="solid" w:color="000000" w:fill="000000"/>
                      <w:fitText w:val="160" w:id="-894208248"/>
                      <w14:textFill>
                        <w14:solidFill>
                          <w14:srgbClr w14:val="000000">
                            <w14:alpha w14:val="100000"/>
                          </w14:srgbClr>
                        </w14:solidFill>
                      </w14:textFill>
                    </w:rPr>
                    <w:t>|</w:t>
                  </w:r>
                  <w:r w:rsidRPr="0066157F">
                    <w:rPr>
                      <w:color w:val="000000"/>
                      <w:spacing w:val="1"/>
                      <w:szCs w:val="20"/>
                      <w:shd w:val="solid" w:color="000000" w:fill="000000"/>
                      <w:fitText w:val="160" w:id="-894208248"/>
                      <w14:textFill>
                        <w14:solidFill>
                          <w14:srgbClr w14:val="000000">
                            <w14:alpha w14:val="100000"/>
                          </w14:srgbClr>
                        </w14:solidFill>
                      </w14:textFill>
                    </w:rPr>
                    <w:t>|</w:t>
                  </w:r>
                  <w:r w:rsidR="003801E0" w:rsidRPr="00525E32">
                    <w:rPr>
                      <w:szCs w:val="20"/>
                    </w:rPr>
                    <w:t xml:space="preserve"> </w:t>
                  </w:r>
                  <w:r w:rsidR="003801E0" w:rsidRPr="00525E32">
                    <w:rPr>
                      <w:vertAlign w:val="superscript"/>
                    </w:rPr>
                    <w:t>1</w:t>
                  </w:r>
                </w:p>
              </w:tc>
              <w:tc>
                <w:tcPr>
                  <w:tcW w:w="441" w:type="dxa"/>
                  <w:shd w:val="clear" w:color="auto" w:fill="auto"/>
                  <w:noWrap/>
                </w:tcPr>
                <w:p w14:paraId="46F0BD28" w14:textId="5D7497ED"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7"/>
                      <w14:textFill>
                        <w14:solidFill>
                          <w14:srgbClr w14:val="000000">
                            <w14:alpha w14:val="100000"/>
                          </w14:srgbClr>
                        </w14:solidFill>
                      </w14:textFill>
                    </w:rPr>
                    <w:t xml:space="preserve">　</w:t>
                  </w:r>
                  <w:r w:rsidRPr="0066157F">
                    <w:rPr>
                      <w:color w:val="000000"/>
                      <w:spacing w:val="74"/>
                      <w:szCs w:val="20"/>
                      <w:shd w:val="solid" w:color="000000" w:fill="000000"/>
                      <w:fitText w:val="160" w:id="-894208246"/>
                      <w14:textFill>
                        <w14:solidFill>
                          <w14:srgbClr w14:val="000000">
                            <w14:alpha w14:val="100000"/>
                          </w14:srgbClr>
                        </w14:solidFill>
                      </w14:textFill>
                    </w:rPr>
                    <w:t>|</w:t>
                  </w:r>
                  <w:r w:rsidRPr="0066157F">
                    <w:rPr>
                      <w:color w:val="000000"/>
                      <w:spacing w:val="1"/>
                      <w:szCs w:val="20"/>
                      <w:shd w:val="solid" w:color="000000" w:fill="000000"/>
                      <w:fitText w:val="160" w:id="-894208246"/>
                      <w14:textFill>
                        <w14:solidFill>
                          <w14:srgbClr w14:val="000000">
                            <w14:alpha w14:val="100000"/>
                          </w14:srgbClr>
                        </w14:solidFill>
                      </w14:textFill>
                    </w:rPr>
                    <w:t>|</w:t>
                  </w:r>
                  <w:r w:rsidR="003801E0">
                    <w:rPr>
                      <w:vertAlign w:val="superscript"/>
                    </w:rPr>
                    <w:t xml:space="preserve"> 1</w:t>
                  </w:r>
                </w:p>
              </w:tc>
              <w:tc>
                <w:tcPr>
                  <w:tcW w:w="441" w:type="dxa"/>
                  <w:shd w:val="clear" w:color="auto" w:fill="auto"/>
                  <w:noWrap/>
                </w:tcPr>
                <w:p w14:paraId="1C959441" w14:textId="053C85AF"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5"/>
                      <w14:textFill>
                        <w14:solidFill>
                          <w14:srgbClr w14:val="000000">
                            <w14:alpha w14:val="100000"/>
                          </w14:srgbClr>
                        </w14:solidFill>
                      </w14:textFill>
                    </w:rPr>
                    <w:t xml:space="preserve">　</w:t>
                  </w:r>
                  <w:r w:rsidRPr="0066157F">
                    <w:rPr>
                      <w:color w:val="000000"/>
                      <w:spacing w:val="74"/>
                      <w:szCs w:val="20"/>
                      <w:shd w:val="solid" w:color="000000" w:fill="000000"/>
                      <w:fitText w:val="160" w:id="-894208244"/>
                      <w14:textFill>
                        <w14:solidFill>
                          <w14:srgbClr w14:val="000000">
                            <w14:alpha w14:val="100000"/>
                          </w14:srgbClr>
                        </w14:solidFill>
                      </w14:textFill>
                    </w:rPr>
                    <w:t>|</w:t>
                  </w:r>
                  <w:r w:rsidRPr="0066157F">
                    <w:rPr>
                      <w:color w:val="000000"/>
                      <w:spacing w:val="1"/>
                      <w:szCs w:val="20"/>
                      <w:shd w:val="solid" w:color="000000" w:fill="000000"/>
                      <w:fitText w:val="160" w:id="-894208244"/>
                      <w14:textFill>
                        <w14:solidFill>
                          <w14:srgbClr w14:val="000000">
                            <w14:alpha w14:val="100000"/>
                          </w14:srgbClr>
                        </w14:solidFill>
                      </w14:textFill>
                    </w:rPr>
                    <w:t>|</w:t>
                  </w:r>
                  <w:r w:rsidR="003801E0" w:rsidRPr="00AA4FE6">
                    <w:rPr>
                      <w:szCs w:val="20"/>
                    </w:rPr>
                    <w:t xml:space="preserve"> </w:t>
                  </w:r>
                  <w:r w:rsidR="003801E0">
                    <w:rPr>
                      <w:vertAlign w:val="superscript"/>
                    </w:rPr>
                    <w:t>1</w:t>
                  </w:r>
                </w:p>
              </w:tc>
              <w:tc>
                <w:tcPr>
                  <w:tcW w:w="441" w:type="dxa"/>
                  <w:shd w:val="clear" w:color="auto" w:fill="auto"/>
                  <w:noWrap/>
                </w:tcPr>
                <w:p w14:paraId="31654A98" w14:textId="23968CD2"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3"/>
                      <w14:textFill>
                        <w14:solidFill>
                          <w14:srgbClr w14:val="000000">
                            <w14:alpha w14:val="100000"/>
                          </w14:srgbClr>
                        </w14:solidFill>
                      </w14:textFill>
                    </w:rPr>
                    <w:t xml:space="preserve">　</w:t>
                  </w:r>
                  <w:r w:rsidRPr="0066157F">
                    <w:rPr>
                      <w:color w:val="000000"/>
                      <w:spacing w:val="74"/>
                      <w:szCs w:val="20"/>
                      <w:shd w:val="solid" w:color="000000" w:fill="000000"/>
                      <w:fitText w:val="160" w:id="-894208242"/>
                      <w14:textFill>
                        <w14:solidFill>
                          <w14:srgbClr w14:val="000000">
                            <w14:alpha w14:val="100000"/>
                          </w14:srgbClr>
                        </w14:solidFill>
                      </w14:textFill>
                    </w:rPr>
                    <w:t>|</w:t>
                  </w:r>
                  <w:r w:rsidRPr="0066157F">
                    <w:rPr>
                      <w:color w:val="000000"/>
                      <w:spacing w:val="1"/>
                      <w:szCs w:val="20"/>
                      <w:shd w:val="solid" w:color="000000" w:fill="000000"/>
                      <w:fitText w:val="160" w:id="-894208242"/>
                      <w14:textFill>
                        <w14:solidFill>
                          <w14:srgbClr w14:val="000000">
                            <w14:alpha w14:val="100000"/>
                          </w14:srgbClr>
                        </w14:solidFill>
                      </w14:textFill>
                    </w:rPr>
                    <w:t>|</w:t>
                  </w:r>
                  <w:r w:rsidR="003801E0" w:rsidRPr="00AA4FE6">
                    <w:rPr>
                      <w:szCs w:val="20"/>
                    </w:rPr>
                    <w:t xml:space="preserve"> </w:t>
                  </w:r>
                  <w:r w:rsidR="003801E0">
                    <w:rPr>
                      <w:vertAlign w:val="superscript"/>
                    </w:rPr>
                    <w:t>1</w:t>
                  </w:r>
                </w:p>
              </w:tc>
              <w:tc>
                <w:tcPr>
                  <w:tcW w:w="441" w:type="dxa"/>
                  <w:shd w:val="clear" w:color="auto" w:fill="auto"/>
                  <w:noWrap/>
                </w:tcPr>
                <w:p w14:paraId="15EB7FEA" w14:textId="2461896F"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1"/>
                      <w14:textFill>
                        <w14:solidFill>
                          <w14:srgbClr w14:val="000000">
                            <w14:alpha w14:val="100000"/>
                          </w14:srgbClr>
                        </w14:solidFill>
                      </w14:textFill>
                    </w:rPr>
                    <w:t xml:space="preserve">　</w:t>
                  </w:r>
                  <w:r w:rsidRPr="0066157F">
                    <w:rPr>
                      <w:color w:val="000000"/>
                      <w:spacing w:val="74"/>
                      <w:szCs w:val="20"/>
                      <w:shd w:val="solid" w:color="000000" w:fill="000000"/>
                      <w:fitText w:val="160" w:id="-894208240"/>
                      <w14:textFill>
                        <w14:solidFill>
                          <w14:srgbClr w14:val="000000">
                            <w14:alpha w14:val="100000"/>
                          </w14:srgbClr>
                        </w14:solidFill>
                      </w14:textFill>
                    </w:rPr>
                    <w:t>|</w:t>
                  </w:r>
                  <w:r w:rsidRPr="0066157F">
                    <w:rPr>
                      <w:color w:val="000000"/>
                      <w:spacing w:val="1"/>
                      <w:szCs w:val="20"/>
                      <w:shd w:val="solid" w:color="000000" w:fill="000000"/>
                      <w:fitText w:val="160" w:id="-894208240"/>
                      <w14:textFill>
                        <w14:solidFill>
                          <w14:srgbClr w14:val="000000">
                            <w14:alpha w14:val="100000"/>
                          </w14:srgbClr>
                        </w14:solidFill>
                      </w14:textFill>
                    </w:rPr>
                    <w:t>|</w:t>
                  </w:r>
                  <w:r w:rsidR="003801E0" w:rsidRPr="00AA4FE6">
                    <w:rPr>
                      <w:szCs w:val="20"/>
                    </w:rPr>
                    <w:t xml:space="preserve"> </w:t>
                  </w:r>
                  <w:r w:rsidR="003801E0">
                    <w:rPr>
                      <w:vertAlign w:val="superscript"/>
                    </w:rPr>
                    <w:t>1</w:t>
                  </w:r>
                </w:p>
              </w:tc>
              <w:tc>
                <w:tcPr>
                  <w:tcW w:w="441" w:type="dxa"/>
                  <w:shd w:val="clear" w:color="auto" w:fill="auto"/>
                  <w:noWrap/>
                </w:tcPr>
                <w:p w14:paraId="0696ED8E" w14:textId="48754711"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56"/>
                      <w14:textFill>
                        <w14:solidFill>
                          <w14:srgbClr w14:val="000000">
                            <w14:alpha w14:val="100000"/>
                          </w14:srgbClr>
                        </w14:solidFill>
                      </w14:textFill>
                    </w:rPr>
                    <w:t xml:space="preserve">　</w:t>
                  </w:r>
                  <w:r w:rsidRPr="0066157F">
                    <w:rPr>
                      <w:color w:val="000000"/>
                      <w:spacing w:val="74"/>
                      <w:szCs w:val="20"/>
                      <w:shd w:val="solid" w:color="000000" w:fill="000000"/>
                      <w:fitText w:val="160" w:id="-894208255"/>
                      <w14:textFill>
                        <w14:solidFill>
                          <w14:srgbClr w14:val="000000">
                            <w14:alpha w14:val="100000"/>
                          </w14:srgbClr>
                        </w14:solidFill>
                      </w14:textFill>
                    </w:rPr>
                    <w:t>|</w:t>
                  </w:r>
                  <w:r w:rsidRPr="0066157F">
                    <w:rPr>
                      <w:color w:val="000000"/>
                      <w:spacing w:val="1"/>
                      <w:szCs w:val="20"/>
                      <w:shd w:val="solid" w:color="000000" w:fill="000000"/>
                      <w:fitText w:val="160" w:id="-894208255"/>
                      <w14:textFill>
                        <w14:solidFill>
                          <w14:srgbClr w14:val="000000">
                            <w14:alpha w14:val="100000"/>
                          </w14:srgbClr>
                        </w14:solidFill>
                      </w14:textFill>
                    </w:rPr>
                    <w:t>|</w:t>
                  </w:r>
                  <w:r w:rsidR="003801E0" w:rsidRPr="00AA4FE6">
                    <w:rPr>
                      <w:szCs w:val="20"/>
                    </w:rPr>
                    <w:t xml:space="preserve"> </w:t>
                  </w:r>
                  <w:r w:rsidR="003801E0">
                    <w:rPr>
                      <w:vertAlign w:val="superscript"/>
                    </w:rPr>
                    <w:t>1</w:t>
                  </w:r>
                </w:p>
              </w:tc>
            </w:tr>
            <w:tr w:rsidR="003801E0" w:rsidRPr="00AA4FE6" w14:paraId="40091FE3" w14:textId="77777777" w:rsidTr="003801E0">
              <w:trPr>
                <w:trHeight w:val="113"/>
              </w:trPr>
              <w:tc>
                <w:tcPr>
                  <w:tcW w:w="1476" w:type="dxa"/>
                  <w:shd w:val="clear" w:color="auto" w:fill="auto"/>
                  <w:vAlign w:val="center"/>
                </w:tcPr>
                <w:p w14:paraId="71025A60" w14:textId="77777777" w:rsidR="003801E0" w:rsidRPr="00AA4FE6" w:rsidRDefault="003801E0" w:rsidP="00341A2B">
                  <w:pPr>
                    <w:pStyle w:val="Tabletext"/>
                    <w:framePr w:hSpace="180" w:wrap="around" w:vAnchor="text" w:hAnchor="text" w:y="1"/>
                    <w:suppressOverlap/>
                    <w:rPr>
                      <w:szCs w:val="20"/>
                    </w:rPr>
                  </w:pPr>
                  <w:r w:rsidRPr="00AA4FE6">
                    <w:rPr>
                      <w:szCs w:val="20"/>
                    </w:rPr>
                    <w:t xml:space="preserve">At low </w:t>
                  </w:r>
                </w:p>
              </w:tc>
              <w:tc>
                <w:tcPr>
                  <w:tcW w:w="440" w:type="dxa"/>
                  <w:shd w:val="clear" w:color="auto" w:fill="auto"/>
                  <w:noWrap/>
                </w:tcPr>
                <w:p w14:paraId="02520173" w14:textId="36F0B066"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54"/>
                      <w14:textFill>
                        <w14:solidFill>
                          <w14:srgbClr w14:val="000000">
                            <w14:alpha w14:val="100000"/>
                          </w14:srgbClr>
                        </w14:solidFill>
                      </w14:textFill>
                    </w:rPr>
                    <w:t xml:space="preserve">　</w:t>
                  </w:r>
                  <w:r w:rsidRPr="0066157F">
                    <w:rPr>
                      <w:color w:val="000000"/>
                      <w:spacing w:val="74"/>
                      <w:szCs w:val="20"/>
                      <w:shd w:val="solid" w:color="000000" w:fill="000000"/>
                      <w:fitText w:val="160" w:id="-894208253"/>
                      <w14:textFill>
                        <w14:solidFill>
                          <w14:srgbClr w14:val="000000">
                            <w14:alpha w14:val="100000"/>
                          </w14:srgbClr>
                        </w14:solidFill>
                      </w14:textFill>
                    </w:rPr>
                    <w:t>|</w:t>
                  </w:r>
                  <w:r w:rsidRPr="0066157F">
                    <w:rPr>
                      <w:color w:val="000000"/>
                      <w:spacing w:val="1"/>
                      <w:szCs w:val="20"/>
                      <w:shd w:val="solid" w:color="000000" w:fill="000000"/>
                      <w:fitText w:val="160" w:id="-894208253"/>
                      <w14:textFill>
                        <w14:solidFill>
                          <w14:srgbClr w14:val="000000">
                            <w14:alpha w14:val="100000"/>
                          </w14:srgbClr>
                        </w14:solidFill>
                      </w14:textFill>
                    </w:rPr>
                    <w:t>|</w:t>
                  </w:r>
                  <w:r w:rsidR="003801E0" w:rsidRPr="00525E32">
                    <w:rPr>
                      <w:szCs w:val="20"/>
                    </w:rPr>
                    <w:t xml:space="preserve"> </w:t>
                  </w:r>
                  <w:r w:rsidR="003801E0" w:rsidRPr="00525E32">
                    <w:rPr>
                      <w:vertAlign w:val="superscript"/>
                    </w:rPr>
                    <w:t>1</w:t>
                  </w:r>
                </w:p>
              </w:tc>
              <w:tc>
                <w:tcPr>
                  <w:tcW w:w="441" w:type="dxa"/>
                  <w:shd w:val="clear" w:color="auto" w:fill="auto"/>
                  <w:noWrap/>
                </w:tcPr>
                <w:p w14:paraId="1F0E53E6" w14:textId="34E5B3A6"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52"/>
                      <w14:textFill>
                        <w14:solidFill>
                          <w14:srgbClr w14:val="000000">
                            <w14:alpha w14:val="100000"/>
                          </w14:srgbClr>
                        </w14:solidFill>
                      </w14:textFill>
                    </w:rPr>
                    <w:t xml:space="preserve">　</w:t>
                  </w:r>
                  <w:r w:rsidRPr="0066157F">
                    <w:rPr>
                      <w:color w:val="000000"/>
                      <w:spacing w:val="74"/>
                      <w:szCs w:val="20"/>
                      <w:shd w:val="solid" w:color="000000" w:fill="000000"/>
                      <w:fitText w:val="160" w:id="-894208251"/>
                      <w14:textFill>
                        <w14:solidFill>
                          <w14:srgbClr w14:val="000000">
                            <w14:alpha w14:val="100000"/>
                          </w14:srgbClr>
                        </w14:solidFill>
                      </w14:textFill>
                    </w:rPr>
                    <w:t>|</w:t>
                  </w:r>
                  <w:r w:rsidRPr="0066157F">
                    <w:rPr>
                      <w:color w:val="000000"/>
                      <w:spacing w:val="1"/>
                      <w:szCs w:val="20"/>
                      <w:shd w:val="solid" w:color="000000" w:fill="000000"/>
                      <w:fitText w:val="160" w:id="-894208251"/>
                      <w14:textFill>
                        <w14:solidFill>
                          <w14:srgbClr w14:val="000000">
                            <w14:alpha w14:val="100000"/>
                          </w14:srgbClr>
                        </w14:solidFill>
                      </w14:textFill>
                    </w:rPr>
                    <w:t>|</w:t>
                  </w:r>
                  <w:r w:rsidR="003801E0" w:rsidRPr="00AA4FE6">
                    <w:rPr>
                      <w:szCs w:val="20"/>
                    </w:rPr>
                    <w:t xml:space="preserve"> </w:t>
                  </w:r>
                  <w:r w:rsidR="003801E0">
                    <w:rPr>
                      <w:vertAlign w:val="superscript"/>
                    </w:rPr>
                    <w:t>1</w:t>
                  </w:r>
                </w:p>
              </w:tc>
              <w:tc>
                <w:tcPr>
                  <w:tcW w:w="441" w:type="dxa"/>
                  <w:shd w:val="clear" w:color="auto" w:fill="auto"/>
                  <w:noWrap/>
                </w:tcPr>
                <w:p w14:paraId="03B55E1A" w14:textId="74CA4225"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50"/>
                      <w14:textFill>
                        <w14:solidFill>
                          <w14:srgbClr w14:val="000000">
                            <w14:alpha w14:val="100000"/>
                          </w14:srgbClr>
                        </w14:solidFill>
                      </w14:textFill>
                    </w:rPr>
                    <w:t xml:space="preserve">　</w:t>
                  </w:r>
                  <w:r w:rsidRPr="0066157F">
                    <w:rPr>
                      <w:color w:val="000000"/>
                      <w:spacing w:val="74"/>
                      <w:szCs w:val="20"/>
                      <w:shd w:val="solid" w:color="000000" w:fill="000000"/>
                      <w:fitText w:val="160" w:id="-894208249"/>
                      <w14:textFill>
                        <w14:solidFill>
                          <w14:srgbClr w14:val="000000">
                            <w14:alpha w14:val="100000"/>
                          </w14:srgbClr>
                        </w14:solidFill>
                      </w14:textFill>
                    </w:rPr>
                    <w:t>|</w:t>
                  </w:r>
                  <w:r w:rsidRPr="0066157F">
                    <w:rPr>
                      <w:color w:val="000000"/>
                      <w:spacing w:val="1"/>
                      <w:szCs w:val="20"/>
                      <w:shd w:val="solid" w:color="000000" w:fill="000000"/>
                      <w:fitText w:val="160" w:id="-894208249"/>
                      <w14:textFill>
                        <w14:solidFill>
                          <w14:srgbClr w14:val="000000">
                            <w14:alpha w14:val="100000"/>
                          </w14:srgbClr>
                        </w14:solidFill>
                      </w14:textFill>
                    </w:rPr>
                    <w:t>|</w:t>
                  </w:r>
                  <w:r w:rsidR="003801E0">
                    <w:rPr>
                      <w:vertAlign w:val="superscript"/>
                    </w:rPr>
                    <w:t xml:space="preserve"> 1</w:t>
                  </w:r>
                </w:p>
              </w:tc>
              <w:tc>
                <w:tcPr>
                  <w:tcW w:w="441" w:type="dxa"/>
                  <w:shd w:val="clear" w:color="auto" w:fill="auto"/>
                  <w:noWrap/>
                </w:tcPr>
                <w:p w14:paraId="5FE7B0C2" w14:textId="58D8ECA4"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8"/>
                      <w14:textFill>
                        <w14:solidFill>
                          <w14:srgbClr w14:val="000000">
                            <w14:alpha w14:val="100000"/>
                          </w14:srgbClr>
                        </w14:solidFill>
                      </w14:textFill>
                    </w:rPr>
                    <w:t xml:space="preserve">　</w:t>
                  </w:r>
                  <w:r w:rsidRPr="0066157F">
                    <w:rPr>
                      <w:color w:val="000000"/>
                      <w:spacing w:val="74"/>
                      <w:szCs w:val="20"/>
                      <w:shd w:val="solid" w:color="000000" w:fill="000000"/>
                      <w:fitText w:val="160" w:id="-894208247"/>
                      <w14:textFill>
                        <w14:solidFill>
                          <w14:srgbClr w14:val="000000">
                            <w14:alpha w14:val="100000"/>
                          </w14:srgbClr>
                        </w14:solidFill>
                      </w14:textFill>
                    </w:rPr>
                    <w:t>|</w:t>
                  </w:r>
                  <w:r w:rsidRPr="0066157F">
                    <w:rPr>
                      <w:color w:val="000000"/>
                      <w:spacing w:val="1"/>
                      <w:szCs w:val="20"/>
                      <w:shd w:val="solid" w:color="000000" w:fill="000000"/>
                      <w:fitText w:val="160" w:id="-894208247"/>
                      <w14:textFill>
                        <w14:solidFill>
                          <w14:srgbClr w14:val="000000">
                            <w14:alpha w14:val="100000"/>
                          </w14:srgbClr>
                        </w14:solidFill>
                      </w14:textFill>
                    </w:rPr>
                    <w:t>|</w:t>
                  </w:r>
                  <w:r w:rsidR="003801E0" w:rsidRPr="00AA4FE6">
                    <w:rPr>
                      <w:szCs w:val="20"/>
                    </w:rPr>
                    <w:t xml:space="preserve"> </w:t>
                  </w:r>
                  <w:r w:rsidR="003801E0">
                    <w:rPr>
                      <w:vertAlign w:val="superscript"/>
                    </w:rPr>
                    <w:t>1</w:t>
                  </w:r>
                </w:p>
              </w:tc>
              <w:tc>
                <w:tcPr>
                  <w:tcW w:w="441" w:type="dxa"/>
                  <w:shd w:val="clear" w:color="auto" w:fill="auto"/>
                  <w:noWrap/>
                </w:tcPr>
                <w:p w14:paraId="5674EDD9" w14:textId="29FC6267"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6"/>
                      <w14:textFill>
                        <w14:solidFill>
                          <w14:srgbClr w14:val="000000">
                            <w14:alpha w14:val="100000"/>
                          </w14:srgbClr>
                        </w14:solidFill>
                      </w14:textFill>
                    </w:rPr>
                    <w:t xml:space="preserve">　</w:t>
                  </w:r>
                  <w:r w:rsidRPr="0066157F">
                    <w:rPr>
                      <w:color w:val="000000"/>
                      <w:spacing w:val="74"/>
                      <w:szCs w:val="20"/>
                      <w:shd w:val="solid" w:color="000000" w:fill="000000"/>
                      <w:fitText w:val="160" w:id="-894208245"/>
                      <w14:textFill>
                        <w14:solidFill>
                          <w14:srgbClr w14:val="000000">
                            <w14:alpha w14:val="100000"/>
                          </w14:srgbClr>
                        </w14:solidFill>
                      </w14:textFill>
                    </w:rPr>
                    <w:t>|</w:t>
                  </w:r>
                  <w:r w:rsidRPr="0066157F">
                    <w:rPr>
                      <w:color w:val="000000"/>
                      <w:spacing w:val="1"/>
                      <w:szCs w:val="20"/>
                      <w:shd w:val="solid" w:color="000000" w:fill="000000"/>
                      <w:fitText w:val="160" w:id="-894208245"/>
                      <w14:textFill>
                        <w14:solidFill>
                          <w14:srgbClr w14:val="000000">
                            <w14:alpha w14:val="100000"/>
                          </w14:srgbClr>
                        </w14:solidFill>
                      </w14:textFill>
                    </w:rPr>
                    <w:t>|</w:t>
                  </w:r>
                  <w:r w:rsidR="003801E0" w:rsidRPr="00AA4FE6">
                    <w:rPr>
                      <w:szCs w:val="20"/>
                    </w:rPr>
                    <w:t xml:space="preserve"> </w:t>
                  </w:r>
                  <w:r w:rsidR="003801E0">
                    <w:rPr>
                      <w:vertAlign w:val="superscript"/>
                    </w:rPr>
                    <w:t>1</w:t>
                  </w:r>
                </w:p>
              </w:tc>
              <w:tc>
                <w:tcPr>
                  <w:tcW w:w="441" w:type="dxa"/>
                  <w:shd w:val="clear" w:color="auto" w:fill="auto"/>
                  <w:noWrap/>
                </w:tcPr>
                <w:p w14:paraId="5ED582D5" w14:textId="53A165F0"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4"/>
                      <w14:textFill>
                        <w14:solidFill>
                          <w14:srgbClr w14:val="000000">
                            <w14:alpha w14:val="100000"/>
                          </w14:srgbClr>
                        </w14:solidFill>
                      </w14:textFill>
                    </w:rPr>
                    <w:t xml:space="preserve">　</w:t>
                  </w:r>
                  <w:r w:rsidRPr="0066157F">
                    <w:rPr>
                      <w:color w:val="000000"/>
                      <w:spacing w:val="74"/>
                      <w:szCs w:val="20"/>
                      <w:shd w:val="solid" w:color="000000" w:fill="000000"/>
                      <w:fitText w:val="160" w:id="-894208243"/>
                      <w14:textFill>
                        <w14:solidFill>
                          <w14:srgbClr w14:val="000000">
                            <w14:alpha w14:val="100000"/>
                          </w14:srgbClr>
                        </w14:solidFill>
                      </w14:textFill>
                    </w:rPr>
                    <w:t>|</w:t>
                  </w:r>
                  <w:r w:rsidRPr="0066157F">
                    <w:rPr>
                      <w:color w:val="000000"/>
                      <w:spacing w:val="1"/>
                      <w:szCs w:val="20"/>
                      <w:shd w:val="solid" w:color="000000" w:fill="000000"/>
                      <w:fitText w:val="160" w:id="-894208243"/>
                      <w14:textFill>
                        <w14:solidFill>
                          <w14:srgbClr w14:val="000000">
                            <w14:alpha w14:val="100000"/>
                          </w14:srgbClr>
                        </w14:solidFill>
                      </w14:textFill>
                    </w:rPr>
                    <w:t>|</w:t>
                  </w:r>
                  <w:r w:rsidR="003801E0" w:rsidRPr="00AA4FE6">
                    <w:rPr>
                      <w:szCs w:val="20"/>
                    </w:rPr>
                    <w:t xml:space="preserve"> </w:t>
                  </w:r>
                  <w:r w:rsidR="003801E0">
                    <w:rPr>
                      <w:vertAlign w:val="superscript"/>
                    </w:rPr>
                    <w:t>1</w:t>
                  </w:r>
                </w:p>
              </w:tc>
            </w:tr>
            <w:tr w:rsidR="003801E0" w:rsidRPr="00AA4FE6" w14:paraId="4BB9E67F" w14:textId="77777777" w:rsidTr="003801E0">
              <w:trPr>
                <w:trHeight w:val="113"/>
              </w:trPr>
              <w:tc>
                <w:tcPr>
                  <w:tcW w:w="1476" w:type="dxa"/>
                  <w:shd w:val="clear" w:color="auto" w:fill="auto"/>
                  <w:vAlign w:val="center"/>
                </w:tcPr>
                <w:p w14:paraId="391920A1" w14:textId="77777777" w:rsidR="003801E0" w:rsidRPr="00AA4FE6" w:rsidRDefault="003801E0" w:rsidP="00341A2B">
                  <w:pPr>
                    <w:pStyle w:val="Tabletext"/>
                    <w:framePr w:hSpace="180" w:wrap="around" w:vAnchor="text" w:hAnchor="text" w:y="1"/>
                    <w:suppressOverlap/>
                    <w:rPr>
                      <w:szCs w:val="20"/>
                    </w:rPr>
                  </w:pPr>
                  <w:r w:rsidRPr="00AA4FE6">
                    <w:rPr>
                      <w:szCs w:val="20"/>
                    </w:rPr>
                    <w:t xml:space="preserve">At high </w:t>
                  </w:r>
                </w:p>
              </w:tc>
              <w:tc>
                <w:tcPr>
                  <w:tcW w:w="440" w:type="dxa"/>
                  <w:shd w:val="clear" w:color="auto" w:fill="auto"/>
                  <w:noWrap/>
                </w:tcPr>
                <w:p w14:paraId="1405A02D" w14:textId="5F0B75D9"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2"/>
                      <w14:textFill>
                        <w14:solidFill>
                          <w14:srgbClr w14:val="000000">
                            <w14:alpha w14:val="100000"/>
                          </w14:srgbClr>
                        </w14:solidFill>
                      </w14:textFill>
                    </w:rPr>
                    <w:t xml:space="preserve">　</w:t>
                  </w:r>
                  <w:r w:rsidRPr="0066157F">
                    <w:rPr>
                      <w:color w:val="000000"/>
                      <w:spacing w:val="74"/>
                      <w:szCs w:val="20"/>
                      <w:shd w:val="solid" w:color="000000" w:fill="000000"/>
                      <w:fitText w:val="160" w:id="-894208241"/>
                      <w14:textFill>
                        <w14:solidFill>
                          <w14:srgbClr w14:val="000000">
                            <w14:alpha w14:val="100000"/>
                          </w14:srgbClr>
                        </w14:solidFill>
                      </w14:textFill>
                    </w:rPr>
                    <w:t>|</w:t>
                  </w:r>
                  <w:r w:rsidRPr="0066157F">
                    <w:rPr>
                      <w:color w:val="000000"/>
                      <w:spacing w:val="1"/>
                      <w:szCs w:val="20"/>
                      <w:shd w:val="solid" w:color="000000" w:fill="000000"/>
                      <w:fitText w:val="160" w:id="-894208241"/>
                      <w14:textFill>
                        <w14:solidFill>
                          <w14:srgbClr w14:val="000000">
                            <w14:alpha w14:val="100000"/>
                          </w14:srgbClr>
                        </w14:solidFill>
                      </w14:textFill>
                    </w:rPr>
                    <w:t>|</w:t>
                  </w:r>
                  <w:r w:rsidR="003801E0" w:rsidRPr="00525E32">
                    <w:rPr>
                      <w:szCs w:val="20"/>
                    </w:rPr>
                    <w:t xml:space="preserve"> </w:t>
                  </w:r>
                  <w:r w:rsidR="003801E0" w:rsidRPr="00525E32">
                    <w:rPr>
                      <w:vertAlign w:val="superscript"/>
                    </w:rPr>
                    <w:t>1</w:t>
                  </w:r>
                </w:p>
              </w:tc>
              <w:tc>
                <w:tcPr>
                  <w:tcW w:w="441" w:type="dxa"/>
                  <w:shd w:val="clear" w:color="auto" w:fill="auto"/>
                  <w:noWrap/>
                </w:tcPr>
                <w:p w14:paraId="36DE901A" w14:textId="4B9BDC14"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0"/>
                      <w14:textFill>
                        <w14:solidFill>
                          <w14:srgbClr w14:val="000000">
                            <w14:alpha w14:val="100000"/>
                          </w14:srgbClr>
                        </w14:solidFill>
                      </w14:textFill>
                    </w:rPr>
                    <w:t xml:space="preserve">　</w:t>
                  </w:r>
                  <w:r w:rsidRPr="0066157F">
                    <w:rPr>
                      <w:color w:val="000000"/>
                      <w:spacing w:val="74"/>
                      <w:szCs w:val="20"/>
                      <w:shd w:val="solid" w:color="000000" w:fill="000000"/>
                      <w:fitText w:val="160" w:id="-894208256"/>
                      <w14:textFill>
                        <w14:solidFill>
                          <w14:srgbClr w14:val="000000">
                            <w14:alpha w14:val="100000"/>
                          </w14:srgbClr>
                        </w14:solidFill>
                      </w14:textFill>
                    </w:rPr>
                    <w:t>|</w:t>
                  </w:r>
                  <w:r w:rsidRPr="0066157F">
                    <w:rPr>
                      <w:color w:val="000000"/>
                      <w:spacing w:val="1"/>
                      <w:szCs w:val="20"/>
                      <w:shd w:val="solid" w:color="000000" w:fill="000000"/>
                      <w:fitText w:val="160" w:id="-894208256"/>
                      <w14:textFill>
                        <w14:solidFill>
                          <w14:srgbClr w14:val="000000">
                            <w14:alpha w14:val="100000"/>
                          </w14:srgbClr>
                        </w14:solidFill>
                      </w14:textFill>
                    </w:rPr>
                    <w:t>|</w:t>
                  </w:r>
                  <w:r w:rsidR="003801E0" w:rsidRPr="00AA4FE6">
                    <w:rPr>
                      <w:szCs w:val="20"/>
                    </w:rPr>
                    <w:t xml:space="preserve"> </w:t>
                  </w:r>
                  <w:r w:rsidR="003801E0">
                    <w:rPr>
                      <w:vertAlign w:val="superscript"/>
                    </w:rPr>
                    <w:t>1</w:t>
                  </w:r>
                </w:p>
              </w:tc>
              <w:tc>
                <w:tcPr>
                  <w:tcW w:w="441" w:type="dxa"/>
                  <w:shd w:val="clear" w:color="auto" w:fill="auto"/>
                  <w:noWrap/>
                </w:tcPr>
                <w:p w14:paraId="134B004D" w14:textId="34B36569"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55"/>
                      <w14:textFill>
                        <w14:solidFill>
                          <w14:srgbClr w14:val="000000">
                            <w14:alpha w14:val="100000"/>
                          </w14:srgbClr>
                        </w14:solidFill>
                      </w14:textFill>
                    </w:rPr>
                    <w:t xml:space="preserve">　</w:t>
                  </w:r>
                  <w:r w:rsidRPr="0066157F">
                    <w:rPr>
                      <w:color w:val="000000"/>
                      <w:spacing w:val="74"/>
                      <w:szCs w:val="20"/>
                      <w:shd w:val="solid" w:color="000000" w:fill="000000"/>
                      <w:fitText w:val="160" w:id="-894208254"/>
                      <w14:textFill>
                        <w14:solidFill>
                          <w14:srgbClr w14:val="000000">
                            <w14:alpha w14:val="100000"/>
                          </w14:srgbClr>
                        </w14:solidFill>
                      </w14:textFill>
                    </w:rPr>
                    <w:t>|</w:t>
                  </w:r>
                  <w:r w:rsidRPr="0066157F">
                    <w:rPr>
                      <w:color w:val="000000"/>
                      <w:spacing w:val="1"/>
                      <w:szCs w:val="20"/>
                      <w:shd w:val="solid" w:color="000000" w:fill="000000"/>
                      <w:fitText w:val="160" w:id="-894208254"/>
                      <w14:textFill>
                        <w14:solidFill>
                          <w14:srgbClr w14:val="000000">
                            <w14:alpha w14:val="100000"/>
                          </w14:srgbClr>
                        </w14:solidFill>
                      </w14:textFill>
                    </w:rPr>
                    <w:t>|</w:t>
                  </w:r>
                  <w:r w:rsidR="003801E0" w:rsidRPr="00AA4FE6">
                    <w:rPr>
                      <w:szCs w:val="20"/>
                    </w:rPr>
                    <w:t xml:space="preserve"> </w:t>
                  </w:r>
                  <w:r w:rsidR="003801E0">
                    <w:rPr>
                      <w:vertAlign w:val="superscript"/>
                    </w:rPr>
                    <w:t>1</w:t>
                  </w:r>
                </w:p>
              </w:tc>
              <w:tc>
                <w:tcPr>
                  <w:tcW w:w="441" w:type="dxa"/>
                  <w:shd w:val="clear" w:color="auto" w:fill="auto"/>
                  <w:noWrap/>
                </w:tcPr>
                <w:p w14:paraId="3F574F0F" w14:textId="217012C1"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53"/>
                      <w14:textFill>
                        <w14:solidFill>
                          <w14:srgbClr w14:val="000000">
                            <w14:alpha w14:val="100000"/>
                          </w14:srgbClr>
                        </w14:solidFill>
                      </w14:textFill>
                    </w:rPr>
                    <w:t xml:space="preserve">　</w:t>
                  </w:r>
                  <w:r w:rsidRPr="0066157F">
                    <w:rPr>
                      <w:color w:val="000000"/>
                      <w:spacing w:val="74"/>
                      <w:szCs w:val="20"/>
                      <w:shd w:val="solid" w:color="000000" w:fill="000000"/>
                      <w:fitText w:val="160" w:id="-894208252"/>
                      <w14:textFill>
                        <w14:solidFill>
                          <w14:srgbClr w14:val="000000">
                            <w14:alpha w14:val="100000"/>
                          </w14:srgbClr>
                        </w14:solidFill>
                      </w14:textFill>
                    </w:rPr>
                    <w:t>|</w:t>
                  </w:r>
                  <w:r w:rsidRPr="0066157F">
                    <w:rPr>
                      <w:color w:val="000000"/>
                      <w:spacing w:val="1"/>
                      <w:szCs w:val="20"/>
                      <w:shd w:val="solid" w:color="000000" w:fill="000000"/>
                      <w:fitText w:val="160" w:id="-894208252"/>
                      <w14:textFill>
                        <w14:solidFill>
                          <w14:srgbClr w14:val="000000">
                            <w14:alpha w14:val="100000"/>
                          </w14:srgbClr>
                        </w14:solidFill>
                      </w14:textFill>
                    </w:rPr>
                    <w:t>|</w:t>
                  </w:r>
                  <w:r w:rsidR="003801E0" w:rsidRPr="00AA4FE6">
                    <w:rPr>
                      <w:szCs w:val="20"/>
                    </w:rPr>
                    <w:t xml:space="preserve"> </w:t>
                  </w:r>
                  <w:r w:rsidR="003801E0">
                    <w:rPr>
                      <w:vertAlign w:val="superscript"/>
                    </w:rPr>
                    <w:t>1</w:t>
                  </w:r>
                </w:p>
              </w:tc>
              <w:tc>
                <w:tcPr>
                  <w:tcW w:w="441" w:type="dxa"/>
                  <w:shd w:val="clear" w:color="auto" w:fill="auto"/>
                  <w:noWrap/>
                </w:tcPr>
                <w:p w14:paraId="1380B810" w14:textId="4CE50AF5"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51"/>
                      <w14:textFill>
                        <w14:solidFill>
                          <w14:srgbClr w14:val="000000">
                            <w14:alpha w14:val="100000"/>
                          </w14:srgbClr>
                        </w14:solidFill>
                      </w14:textFill>
                    </w:rPr>
                    <w:t xml:space="preserve">　</w:t>
                  </w:r>
                  <w:r w:rsidRPr="0066157F">
                    <w:rPr>
                      <w:color w:val="000000"/>
                      <w:spacing w:val="74"/>
                      <w:szCs w:val="20"/>
                      <w:shd w:val="solid" w:color="000000" w:fill="000000"/>
                      <w:fitText w:val="160" w:id="-894208250"/>
                      <w14:textFill>
                        <w14:solidFill>
                          <w14:srgbClr w14:val="000000">
                            <w14:alpha w14:val="100000"/>
                          </w14:srgbClr>
                        </w14:solidFill>
                      </w14:textFill>
                    </w:rPr>
                    <w:t>|</w:t>
                  </w:r>
                  <w:r w:rsidRPr="0066157F">
                    <w:rPr>
                      <w:color w:val="000000"/>
                      <w:spacing w:val="1"/>
                      <w:szCs w:val="20"/>
                      <w:shd w:val="solid" w:color="000000" w:fill="000000"/>
                      <w:fitText w:val="160" w:id="-894208250"/>
                      <w14:textFill>
                        <w14:solidFill>
                          <w14:srgbClr w14:val="000000">
                            <w14:alpha w14:val="100000"/>
                          </w14:srgbClr>
                        </w14:solidFill>
                      </w14:textFill>
                    </w:rPr>
                    <w:t>|</w:t>
                  </w:r>
                  <w:r w:rsidR="003801E0" w:rsidRPr="00AA4FE6">
                    <w:rPr>
                      <w:szCs w:val="20"/>
                    </w:rPr>
                    <w:t xml:space="preserve"> </w:t>
                  </w:r>
                  <w:r w:rsidR="003801E0">
                    <w:rPr>
                      <w:vertAlign w:val="superscript"/>
                    </w:rPr>
                    <w:t>1</w:t>
                  </w:r>
                </w:p>
              </w:tc>
              <w:tc>
                <w:tcPr>
                  <w:tcW w:w="441" w:type="dxa"/>
                  <w:shd w:val="clear" w:color="auto" w:fill="auto"/>
                  <w:noWrap/>
                </w:tcPr>
                <w:p w14:paraId="4C21E779" w14:textId="73E5BB59"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9"/>
                      <w14:textFill>
                        <w14:solidFill>
                          <w14:srgbClr w14:val="000000">
                            <w14:alpha w14:val="100000"/>
                          </w14:srgbClr>
                        </w14:solidFill>
                      </w14:textFill>
                    </w:rPr>
                    <w:t xml:space="preserve">　</w:t>
                  </w:r>
                  <w:r w:rsidRPr="0066157F">
                    <w:rPr>
                      <w:color w:val="000000"/>
                      <w:spacing w:val="74"/>
                      <w:szCs w:val="20"/>
                      <w:shd w:val="solid" w:color="000000" w:fill="000000"/>
                      <w:fitText w:val="160" w:id="-894208248"/>
                      <w14:textFill>
                        <w14:solidFill>
                          <w14:srgbClr w14:val="000000">
                            <w14:alpha w14:val="100000"/>
                          </w14:srgbClr>
                        </w14:solidFill>
                      </w14:textFill>
                    </w:rPr>
                    <w:t>|</w:t>
                  </w:r>
                  <w:r w:rsidRPr="0066157F">
                    <w:rPr>
                      <w:color w:val="000000"/>
                      <w:spacing w:val="1"/>
                      <w:szCs w:val="20"/>
                      <w:shd w:val="solid" w:color="000000" w:fill="000000"/>
                      <w:fitText w:val="160" w:id="-894208248"/>
                      <w14:textFill>
                        <w14:solidFill>
                          <w14:srgbClr w14:val="000000">
                            <w14:alpha w14:val="100000"/>
                          </w14:srgbClr>
                        </w14:solidFill>
                      </w14:textFill>
                    </w:rPr>
                    <w:t>|</w:t>
                  </w:r>
                  <w:r w:rsidR="003801E0">
                    <w:rPr>
                      <w:vertAlign w:val="superscript"/>
                    </w:rPr>
                    <w:t xml:space="preserve"> 1</w:t>
                  </w:r>
                </w:p>
              </w:tc>
            </w:tr>
            <w:tr w:rsidR="003801E0" w:rsidRPr="00AA4FE6" w14:paraId="78297387" w14:textId="77777777" w:rsidTr="003801E0">
              <w:trPr>
                <w:trHeight w:val="113"/>
              </w:trPr>
              <w:tc>
                <w:tcPr>
                  <w:tcW w:w="1476" w:type="dxa"/>
                  <w:shd w:val="clear" w:color="auto" w:fill="auto"/>
                  <w:vAlign w:val="center"/>
                </w:tcPr>
                <w:p w14:paraId="35CC724D" w14:textId="77777777" w:rsidR="003801E0" w:rsidRPr="00AA4FE6" w:rsidRDefault="003801E0" w:rsidP="00341A2B">
                  <w:pPr>
                    <w:pStyle w:val="Tabletext"/>
                    <w:framePr w:hSpace="180" w:wrap="around" w:vAnchor="text" w:hAnchor="text" w:y="1"/>
                    <w:suppressOverlap/>
                    <w:rPr>
                      <w:szCs w:val="20"/>
                    </w:rPr>
                  </w:pPr>
                  <w:r w:rsidRPr="00AA4FE6">
                    <w:rPr>
                      <w:szCs w:val="20"/>
                    </w:rPr>
                    <w:t>At high but NR</w:t>
                  </w:r>
                </w:p>
              </w:tc>
              <w:tc>
                <w:tcPr>
                  <w:tcW w:w="440" w:type="dxa"/>
                  <w:shd w:val="clear" w:color="auto" w:fill="auto"/>
                  <w:noWrap/>
                </w:tcPr>
                <w:p w14:paraId="7F49B77B" w14:textId="40270E6D"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7"/>
                      <w14:textFill>
                        <w14:solidFill>
                          <w14:srgbClr w14:val="000000">
                            <w14:alpha w14:val="100000"/>
                          </w14:srgbClr>
                        </w14:solidFill>
                      </w14:textFill>
                    </w:rPr>
                    <w:t xml:space="preserve">　</w:t>
                  </w:r>
                  <w:r w:rsidRPr="0066157F">
                    <w:rPr>
                      <w:color w:val="000000"/>
                      <w:spacing w:val="74"/>
                      <w:szCs w:val="20"/>
                      <w:shd w:val="solid" w:color="000000" w:fill="000000"/>
                      <w:fitText w:val="160" w:id="-894208246"/>
                      <w14:textFill>
                        <w14:solidFill>
                          <w14:srgbClr w14:val="000000">
                            <w14:alpha w14:val="100000"/>
                          </w14:srgbClr>
                        </w14:solidFill>
                      </w14:textFill>
                    </w:rPr>
                    <w:t>|</w:t>
                  </w:r>
                  <w:r w:rsidRPr="0066157F">
                    <w:rPr>
                      <w:color w:val="000000"/>
                      <w:spacing w:val="1"/>
                      <w:szCs w:val="20"/>
                      <w:shd w:val="solid" w:color="000000" w:fill="000000"/>
                      <w:fitText w:val="160" w:id="-894208246"/>
                      <w14:textFill>
                        <w14:solidFill>
                          <w14:srgbClr w14:val="000000">
                            <w14:alpha w14:val="100000"/>
                          </w14:srgbClr>
                        </w14:solidFill>
                      </w14:textFill>
                    </w:rPr>
                    <w:t>|</w:t>
                  </w:r>
                  <w:r w:rsidR="003801E0" w:rsidRPr="00525E32">
                    <w:rPr>
                      <w:szCs w:val="20"/>
                    </w:rPr>
                    <w:t xml:space="preserve"> </w:t>
                  </w:r>
                  <w:r w:rsidR="003801E0" w:rsidRPr="00525E32">
                    <w:rPr>
                      <w:vertAlign w:val="superscript"/>
                    </w:rPr>
                    <w:t>1</w:t>
                  </w:r>
                </w:p>
              </w:tc>
              <w:tc>
                <w:tcPr>
                  <w:tcW w:w="441" w:type="dxa"/>
                  <w:shd w:val="clear" w:color="auto" w:fill="auto"/>
                  <w:noWrap/>
                </w:tcPr>
                <w:p w14:paraId="4A10DCC6" w14:textId="53683BBA"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5"/>
                      <w14:textFill>
                        <w14:solidFill>
                          <w14:srgbClr w14:val="000000">
                            <w14:alpha w14:val="100000"/>
                          </w14:srgbClr>
                        </w14:solidFill>
                      </w14:textFill>
                    </w:rPr>
                    <w:t xml:space="preserve">　</w:t>
                  </w:r>
                  <w:r w:rsidRPr="0066157F">
                    <w:rPr>
                      <w:color w:val="000000"/>
                      <w:spacing w:val="74"/>
                      <w:szCs w:val="20"/>
                      <w:shd w:val="solid" w:color="000000" w:fill="000000"/>
                      <w:fitText w:val="160" w:id="-894208244"/>
                      <w14:textFill>
                        <w14:solidFill>
                          <w14:srgbClr w14:val="000000">
                            <w14:alpha w14:val="100000"/>
                          </w14:srgbClr>
                        </w14:solidFill>
                      </w14:textFill>
                    </w:rPr>
                    <w:t>|</w:t>
                  </w:r>
                  <w:r w:rsidRPr="0066157F">
                    <w:rPr>
                      <w:color w:val="000000"/>
                      <w:spacing w:val="1"/>
                      <w:szCs w:val="20"/>
                      <w:shd w:val="solid" w:color="000000" w:fill="000000"/>
                      <w:fitText w:val="160" w:id="-894208244"/>
                      <w14:textFill>
                        <w14:solidFill>
                          <w14:srgbClr w14:val="000000">
                            <w14:alpha w14:val="100000"/>
                          </w14:srgbClr>
                        </w14:solidFill>
                      </w14:textFill>
                    </w:rPr>
                    <w:t>|</w:t>
                  </w:r>
                  <w:r w:rsidR="003801E0" w:rsidRPr="00AA4FE6">
                    <w:rPr>
                      <w:szCs w:val="20"/>
                    </w:rPr>
                    <w:t xml:space="preserve"> </w:t>
                  </w:r>
                  <w:r w:rsidR="003801E0">
                    <w:rPr>
                      <w:vertAlign w:val="superscript"/>
                    </w:rPr>
                    <w:t>1</w:t>
                  </w:r>
                </w:p>
              </w:tc>
              <w:tc>
                <w:tcPr>
                  <w:tcW w:w="441" w:type="dxa"/>
                  <w:shd w:val="clear" w:color="auto" w:fill="auto"/>
                  <w:noWrap/>
                </w:tcPr>
                <w:p w14:paraId="03F271C6" w14:textId="0B0C2ADD"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3"/>
                      <w14:textFill>
                        <w14:solidFill>
                          <w14:srgbClr w14:val="000000">
                            <w14:alpha w14:val="100000"/>
                          </w14:srgbClr>
                        </w14:solidFill>
                      </w14:textFill>
                    </w:rPr>
                    <w:t xml:space="preserve">　</w:t>
                  </w:r>
                  <w:r w:rsidRPr="0066157F">
                    <w:rPr>
                      <w:color w:val="000000"/>
                      <w:spacing w:val="74"/>
                      <w:szCs w:val="20"/>
                      <w:shd w:val="solid" w:color="000000" w:fill="000000"/>
                      <w:fitText w:val="160" w:id="-894208242"/>
                      <w14:textFill>
                        <w14:solidFill>
                          <w14:srgbClr w14:val="000000">
                            <w14:alpha w14:val="100000"/>
                          </w14:srgbClr>
                        </w14:solidFill>
                      </w14:textFill>
                    </w:rPr>
                    <w:t>|</w:t>
                  </w:r>
                  <w:r w:rsidRPr="0066157F">
                    <w:rPr>
                      <w:color w:val="000000"/>
                      <w:spacing w:val="1"/>
                      <w:szCs w:val="20"/>
                      <w:shd w:val="solid" w:color="000000" w:fill="000000"/>
                      <w:fitText w:val="160" w:id="-894208242"/>
                      <w14:textFill>
                        <w14:solidFill>
                          <w14:srgbClr w14:val="000000">
                            <w14:alpha w14:val="100000"/>
                          </w14:srgbClr>
                        </w14:solidFill>
                      </w14:textFill>
                    </w:rPr>
                    <w:t>|</w:t>
                  </w:r>
                  <w:r w:rsidR="003801E0" w:rsidRPr="00AA4FE6">
                    <w:rPr>
                      <w:szCs w:val="20"/>
                    </w:rPr>
                    <w:t xml:space="preserve"> </w:t>
                  </w:r>
                  <w:r w:rsidR="003801E0">
                    <w:rPr>
                      <w:vertAlign w:val="superscript"/>
                    </w:rPr>
                    <w:t>1</w:t>
                  </w:r>
                </w:p>
              </w:tc>
              <w:tc>
                <w:tcPr>
                  <w:tcW w:w="441" w:type="dxa"/>
                  <w:shd w:val="clear" w:color="auto" w:fill="auto"/>
                  <w:noWrap/>
                </w:tcPr>
                <w:p w14:paraId="0703643E" w14:textId="0762A68D"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41"/>
                      <w14:textFill>
                        <w14:solidFill>
                          <w14:srgbClr w14:val="000000">
                            <w14:alpha w14:val="100000"/>
                          </w14:srgbClr>
                        </w14:solidFill>
                      </w14:textFill>
                    </w:rPr>
                    <w:t xml:space="preserve">　</w:t>
                  </w:r>
                  <w:r w:rsidRPr="0066157F">
                    <w:rPr>
                      <w:color w:val="000000"/>
                      <w:spacing w:val="74"/>
                      <w:szCs w:val="20"/>
                      <w:shd w:val="solid" w:color="000000" w:fill="000000"/>
                      <w:fitText w:val="160" w:id="-894208240"/>
                      <w14:textFill>
                        <w14:solidFill>
                          <w14:srgbClr w14:val="000000">
                            <w14:alpha w14:val="100000"/>
                          </w14:srgbClr>
                        </w14:solidFill>
                      </w14:textFill>
                    </w:rPr>
                    <w:t>|</w:t>
                  </w:r>
                  <w:r w:rsidRPr="0066157F">
                    <w:rPr>
                      <w:color w:val="000000"/>
                      <w:spacing w:val="1"/>
                      <w:szCs w:val="20"/>
                      <w:shd w:val="solid" w:color="000000" w:fill="000000"/>
                      <w:fitText w:val="160" w:id="-894208240"/>
                      <w14:textFill>
                        <w14:solidFill>
                          <w14:srgbClr w14:val="000000">
                            <w14:alpha w14:val="100000"/>
                          </w14:srgbClr>
                        </w14:solidFill>
                      </w14:textFill>
                    </w:rPr>
                    <w:t>|</w:t>
                  </w:r>
                  <w:r w:rsidR="003801E0" w:rsidRPr="00AA4FE6">
                    <w:rPr>
                      <w:szCs w:val="20"/>
                    </w:rPr>
                    <w:t xml:space="preserve"> </w:t>
                  </w:r>
                  <w:r w:rsidR="003801E0">
                    <w:rPr>
                      <w:vertAlign w:val="superscript"/>
                    </w:rPr>
                    <w:t>1</w:t>
                  </w:r>
                </w:p>
              </w:tc>
              <w:tc>
                <w:tcPr>
                  <w:tcW w:w="441" w:type="dxa"/>
                  <w:shd w:val="clear" w:color="auto" w:fill="auto"/>
                  <w:noWrap/>
                </w:tcPr>
                <w:p w14:paraId="2829518D" w14:textId="5B919C40"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56"/>
                      <w14:textFill>
                        <w14:solidFill>
                          <w14:srgbClr w14:val="000000">
                            <w14:alpha w14:val="100000"/>
                          </w14:srgbClr>
                        </w14:solidFill>
                      </w14:textFill>
                    </w:rPr>
                    <w:t xml:space="preserve">　</w:t>
                  </w:r>
                  <w:r w:rsidRPr="0066157F">
                    <w:rPr>
                      <w:color w:val="000000"/>
                      <w:spacing w:val="74"/>
                      <w:szCs w:val="20"/>
                      <w:shd w:val="solid" w:color="000000" w:fill="000000"/>
                      <w:fitText w:val="160" w:id="-894208255"/>
                      <w14:textFill>
                        <w14:solidFill>
                          <w14:srgbClr w14:val="000000">
                            <w14:alpha w14:val="100000"/>
                          </w14:srgbClr>
                        </w14:solidFill>
                      </w14:textFill>
                    </w:rPr>
                    <w:t>|</w:t>
                  </w:r>
                  <w:r w:rsidRPr="0066157F">
                    <w:rPr>
                      <w:color w:val="000000"/>
                      <w:spacing w:val="1"/>
                      <w:szCs w:val="20"/>
                      <w:shd w:val="solid" w:color="000000" w:fill="000000"/>
                      <w:fitText w:val="160" w:id="-894208255"/>
                      <w14:textFill>
                        <w14:solidFill>
                          <w14:srgbClr w14:val="000000">
                            <w14:alpha w14:val="100000"/>
                          </w14:srgbClr>
                        </w14:solidFill>
                      </w14:textFill>
                    </w:rPr>
                    <w:t>|</w:t>
                  </w:r>
                  <w:r w:rsidR="003801E0" w:rsidRPr="00AA4FE6">
                    <w:rPr>
                      <w:szCs w:val="20"/>
                    </w:rPr>
                    <w:t xml:space="preserve"> </w:t>
                  </w:r>
                  <w:r w:rsidR="003801E0">
                    <w:rPr>
                      <w:vertAlign w:val="superscript"/>
                    </w:rPr>
                    <w:t>1</w:t>
                  </w:r>
                </w:p>
              </w:tc>
              <w:tc>
                <w:tcPr>
                  <w:tcW w:w="441" w:type="dxa"/>
                  <w:shd w:val="clear" w:color="auto" w:fill="auto"/>
                  <w:noWrap/>
                </w:tcPr>
                <w:p w14:paraId="542A5C72" w14:textId="6A4B228F" w:rsidR="003801E0" w:rsidRPr="00AA4FE6" w:rsidRDefault="0066157F" w:rsidP="00341A2B">
                  <w:pPr>
                    <w:pStyle w:val="Tabletext"/>
                    <w:framePr w:hSpace="180" w:wrap="around" w:vAnchor="text" w:hAnchor="text" w:y="1"/>
                    <w:suppressOverlap/>
                    <w:rPr>
                      <w:szCs w:val="20"/>
                    </w:rPr>
                  </w:pPr>
                  <w:r w:rsidRPr="0066157F">
                    <w:rPr>
                      <w:rFonts w:hint="eastAsia"/>
                      <w:color w:val="000000"/>
                      <w:spacing w:val="63"/>
                      <w:w w:val="24"/>
                      <w:szCs w:val="20"/>
                      <w:shd w:val="solid" w:color="000000" w:fill="000000"/>
                      <w:fitText w:val="110" w:id="-894208254"/>
                      <w14:textFill>
                        <w14:solidFill>
                          <w14:srgbClr w14:val="000000">
                            <w14:alpha w14:val="100000"/>
                          </w14:srgbClr>
                        </w14:solidFill>
                      </w14:textFill>
                    </w:rPr>
                    <w:t xml:space="preserve">　</w:t>
                  </w:r>
                  <w:r w:rsidRPr="0066157F">
                    <w:rPr>
                      <w:color w:val="000000"/>
                      <w:spacing w:val="74"/>
                      <w:szCs w:val="20"/>
                      <w:shd w:val="solid" w:color="000000" w:fill="000000"/>
                      <w:fitText w:val="160" w:id="-894208253"/>
                      <w14:textFill>
                        <w14:solidFill>
                          <w14:srgbClr w14:val="000000">
                            <w14:alpha w14:val="100000"/>
                          </w14:srgbClr>
                        </w14:solidFill>
                      </w14:textFill>
                    </w:rPr>
                    <w:t>|</w:t>
                  </w:r>
                  <w:r w:rsidRPr="0066157F">
                    <w:rPr>
                      <w:color w:val="000000"/>
                      <w:spacing w:val="1"/>
                      <w:szCs w:val="20"/>
                      <w:shd w:val="solid" w:color="000000" w:fill="000000"/>
                      <w:fitText w:val="160" w:id="-894208253"/>
                      <w14:textFill>
                        <w14:solidFill>
                          <w14:srgbClr w14:val="000000">
                            <w14:alpha w14:val="100000"/>
                          </w14:srgbClr>
                        </w14:solidFill>
                      </w14:textFill>
                    </w:rPr>
                    <w:t>|</w:t>
                  </w:r>
                  <w:r w:rsidR="003801E0" w:rsidRPr="00AA4FE6">
                    <w:rPr>
                      <w:szCs w:val="20"/>
                    </w:rPr>
                    <w:t xml:space="preserve"> </w:t>
                  </w:r>
                  <w:r w:rsidR="003801E0">
                    <w:rPr>
                      <w:vertAlign w:val="superscript"/>
                    </w:rPr>
                    <w:t>1</w:t>
                  </w:r>
                </w:p>
              </w:tc>
            </w:tr>
          </w:tbl>
          <w:p w14:paraId="6941F462" w14:textId="77777777" w:rsidR="00AA4FE6" w:rsidRPr="00AA4FE6" w:rsidRDefault="00AA4FE6" w:rsidP="006F5008">
            <w:pPr>
              <w:pStyle w:val="TableFigureFooter"/>
              <w:jc w:val="left"/>
            </w:pPr>
            <w:r w:rsidRPr="00AA4FE6">
              <w:t>Source: Table 4-7, p181 of the submission, sheet 2.d, submissions financial workbook</w:t>
            </w:r>
          </w:p>
          <w:p w14:paraId="224934A3" w14:textId="5A86221D" w:rsidR="00AA4FE6" w:rsidRPr="00AA4FE6" w:rsidRDefault="00AA4FE6" w:rsidP="006F5008">
            <w:pPr>
              <w:pStyle w:val="TableFigureFooter"/>
              <w:spacing w:after="0"/>
              <w:jc w:val="left"/>
            </w:pPr>
            <w:r w:rsidRPr="00AA4FE6">
              <w:t>NR = no response</w:t>
            </w:r>
          </w:p>
          <w:p w14:paraId="6D750D4E" w14:textId="732C4CD7" w:rsidR="00AA4FE6" w:rsidRPr="00AA4FE6" w:rsidRDefault="00AA4FE6" w:rsidP="006F5008">
            <w:pPr>
              <w:pStyle w:val="TableFigureFooter"/>
              <w:spacing w:after="0"/>
              <w:jc w:val="left"/>
            </w:pPr>
            <w:r w:rsidRPr="00AA4FE6">
              <w:t>patients in each treatment category each year were extracted from the ‘2.d Patients - DTG’ worksheet. The sum of patients within each treatment pathway for prevalent and incident patients w</w:t>
            </w:r>
            <w:r w:rsidR="00661EBF">
              <w:t>ere</w:t>
            </w:r>
            <w:r w:rsidRPr="00AA4FE6">
              <w:t xml:space="preserve"> calculated.</w:t>
            </w:r>
          </w:p>
        </w:tc>
        <w:tc>
          <w:tcPr>
            <w:tcW w:w="2015" w:type="pct"/>
            <w:shd w:val="clear" w:color="auto" w:fill="auto"/>
          </w:tcPr>
          <w:p w14:paraId="3E8C5D1A" w14:textId="04180FF3" w:rsidR="00AA4FE6" w:rsidRPr="00B146C3" w:rsidRDefault="00AA4FE6" w:rsidP="006F5008">
            <w:pPr>
              <w:pStyle w:val="TableText0"/>
              <w:rPr>
                <w:szCs w:val="20"/>
              </w:rPr>
            </w:pPr>
            <w:r w:rsidRPr="00B146C3">
              <w:rPr>
                <w:szCs w:val="20"/>
              </w:rPr>
              <w:t>Initial and continuing treatment durations were not specified in the proposed restriction and may not be reasonable</w:t>
            </w:r>
            <w:r w:rsidR="00661EBF" w:rsidRPr="00B146C3">
              <w:rPr>
                <w:szCs w:val="20"/>
              </w:rPr>
              <w:t>.</w:t>
            </w:r>
          </w:p>
        </w:tc>
      </w:tr>
      <w:tr w:rsidR="00AA4FE6" w:rsidRPr="00AA4FE6" w14:paraId="74EB9411" w14:textId="77777777" w:rsidTr="006F5008">
        <w:trPr>
          <w:cantSplit/>
          <w:trHeight w:val="2494"/>
        </w:trPr>
        <w:tc>
          <w:tcPr>
            <w:tcW w:w="663" w:type="pct"/>
            <w:shd w:val="clear" w:color="auto" w:fill="auto"/>
          </w:tcPr>
          <w:p w14:paraId="0A4E8240" w14:textId="77777777" w:rsidR="00AA4FE6" w:rsidRPr="00AA4FE6" w:rsidRDefault="00AA4FE6" w:rsidP="006F5008">
            <w:pPr>
              <w:pStyle w:val="TableText0"/>
            </w:pPr>
            <w:r w:rsidRPr="00AA4FE6">
              <w:t>Units dispensed</w:t>
            </w:r>
          </w:p>
        </w:tc>
        <w:tc>
          <w:tcPr>
            <w:tcW w:w="2322" w:type="pct"/>
            <w:shd w:val="clear" w:color="auto" w:fill="auto"/>
          </w:tcPr>
          <w:p w14:paraId="00E78388" w14:textId="211D057C" w:rsidR="00AA4FE6" w:rsidRPr="00AA4FE6" w:rsidRDefault="00AA4FE6" w:rsidP="006F5008">
            <w:pPr>
              <w:pStyle w:val="TableText0"/>
            </w:pPr>
            <w:r w:rsidRPr="00AA4FE6">
              <w:t>The weighted average number of units per strength was based on patient weight and weight distribution data. The submission assumed the mean age of prevalent patients was 12 years and for incident patients it was 4</w:t>
            </w:r>
            <w:r w:rsidR="002A6584">
              <w:t> </w:t>
            </w:r>
            <w:r w:rsidRPr="00AA4FE6">
              <w:t xml:space="preserve">years (assumed from the model). The submission then estimated the corresponding weight distributions for these mean ages from the model. The submission estimated that the proportion of patients initiating at a low and high strength based on the weight distribution around the mean age of 12 and 4 years. The submission then estimated the weighted average number of capsules for prevalent and incident patients who initiate </w:t>
            </w:r>
            <w:r w:rsidRPr="00AA4FE6">
              <w:lastRenderedPageBreak/>
              <w:t>at low (200 mcg) or high strengths (400 mcg) based on the weight distribution data and the recommended capsules at each weight category.</w:t>
            </w:r>
          </w:p>
          <w:p w14:paraId="4CADA750" w14:textId="77777777" w:rsidR="00AA4FE6" w:rsidRPr="00AA4FE6" w:rsidRDefault="00AA4FE6" w:rsidP="006F5008">
            <w:pPr>
              <w:pStyle w:val="TableText0"/>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1"/>
              <w:gridCol w:w="651"/>
              <w:gridCol w:w="652"/>
              <w:gridCol w:w="961"/>
              <w:gridCol w:w="756"/>
            </w:tblGrid>
            <w:tr w:rsidR="00AA4FE6" w:rsidRPr="007D63BF" w14:paraId="0B4787F9" w14:textId="77777777" w:rsidTr="00173384">
              <w:trPr>
                <w:trHeight w:val="20"/>
              </w:trPr>
              <w:tc>
                <w:tcPr>
                  <w:tcW w:w="1232" w:type="dxa"/>
                  <w:vMerge w:val="restart"/>
                  <w:shd w:val="clear" w:color="auto" w:fill="auto"/>
                  <w:noWrap/>
                  <w:vAlign w:val="center"/>
                  <w:hideMark/>
                </w:tcPr>
                <w:p w14:paraId="3CF876AA" w14:textId="77777777" w:rsidR="00AA4FE6" w:rsidRPr="007D63BF" w:rsidRDefault="00AA4FE6" w:rsidP="006F5008">
                  <w:pPr>
                    <w:pStyle w:val="Tabletext"/>
                    <w:rPr>
                      <w:sz w:val="18"/>
                      <w:szCs w:val="18"/>
                    </w:rPr>
                  </w:pPr>
                </w:p>
              </w:tc>
              <w:tc>
                <w:tcPr>
                  <w:tcW w:w="1457" w:type="dxa"/>
                  <w:gridSpan w:val="2"/>
                  <w:shd w:val="clear" w:color="auto" w:fill="auto"/>
                  <w:noWrap/>
                  <w:vAlign w:val="center"/>
                  <w:hideMark/>
                </w:tcPr>
                <w:p w14:paraId="22ED2B74" w14:textId="77777777" w:rsidR="00AA4FE6" w:rsidRPr="007D63BF" w:rsidRDefault="00AA4FE6" w:rsidP="006F5008">
                  <w:pPr>
                    <w:pStyle w:val="Tabletext"/>
                    <w:rPr>
                      <w:b/>
                      <w:bCs/>
                      <w:sz w:val="18"/>
                      <w:szCs w:val="18"/>
                    </w:rPr>
                  </w:pPr>
                  <w:r w:rsidRPr="007D63BF">
                    <w:rPr>
                      <w:b/>
                      <w:bCs/>
                      <w:sz w:val="18"/>
                      <w:szCs w:val="18"/>
                    </w:rPr>
                    <w:t>% initiating at</w:t>
                  </w:r>
                </w:p>
              </w:tc>
              <w:tc>
                <w:tcPr>
                  <w:tcW w:w="1921" w:type="dxa"/>
                  <w:gridSpan w:val="2"/>
                  <w:shd w:val="clear" w:color="auto" w:fill="auto"/>
                  <w:noWrap/>
                  <w:vAlign w:val="center"/>
                  <w:hideMark/>
                </w:tcPr>
                <w:p w14:paraId="7FA8D6DB" w14:textId="0044CBA0" w:rsidR="00AA4FE6" w:rsidRPr="007D63BF" w:rsidRDefault="00AA4FE6" w:rsidP="006F5008">
                  <w:pPr>
                    <w:pStyle w:val="Tabletext"/>
                    <w:rPr>
                      <w:b/>
                      <w:bCs/>
                      <w:sz w:val="18"/>
                      <w:szCs w:val="18"/>
                    </w:rPr>
                  </w:pPr>
                  <w:r w:rsidRPr="007D63BF">
                    <w:rPr>
                      <w:b/>
                      <w:bCs/>
                      <w:sz w:val="18"/>
                      <w:szCs w:val="18"/>
                    </w:rPr>
                    <w:t>Av</w:t>
                  </w:r>
                  <w:r w:rsidR="00DE7B08" w:rsidRPr="007D63BF">
                    <w:rPr>
                      <w:b/>
                      <w:bCs/>
                      <w:sz w:val="18"/>
                      <w:szCs w:val="18"/>
                    </w:rPr>
                    <w:t>erage</w:t>
                  </w:r>
                  <w:r w:rsidRPr="007D63BF">
                    <w:rPr>
                      <w:b/>
                      <w:bCs/>
                      <w:sz w:val="18"/>
                      <w:szCs w:val="18"/>
                    </w:rPr>
                    <w:t xml:space="preserve"> no. of capsules/day</w:t>
                  </w:r>
                </w:p>
              </w:tc>
            </w:tr>
            <w:tr w:rsidR="00AA4FE6" w:rsidRPr="007D63BF" w14:paraId="46E5B522" w14:textId="77777777" w:rsidTr="00173384">
              <w:trPr>
                <w:trHeight w:val="20"/>
              </w:trPr>
              <w:tc>
                <w:tcPr>
                  <w:tcW w:w="1232" w:type="dxa"/>
                  <w:vMerge/>
                  <w:shd w:val="clear" w:color="auto" w:fill="auto"/>
                  <w:noWrap/>
                  <w:vAlign w:val="center"/>
                </w:tcPr>
                <w:p w14:paraId="52380B09" w14:textId="77777777" w:rsidR="00AA4FE6" w:rsidRPr="007D63BF" w:rsidRDefault="00AA4FE6" w:rsidP="006F5008">
                  <w:pPr>
                    <w:pStyle w:val="Tabletext"/>
                    <w:rPr>
                      <w:sz w:val="18"/>
                      <w:szCs w:val="18"/>
                    </w:rPr>
                  </w:pPr>
                </w:p>
              </w:tc>
              <w:tc>
                <w:tcPr>
                  <w:tcW w:w="728" w:type="dxa"/>
                  <w:shd w:val="clear" w:color="auto" w:fill="auto"/>
                  <w:noWrap/>
                  <w:vAlign w:val="center"/>
                </w:tcPr>
                <w:p w14:paraId="4B0C3F38" w14:textId="77777777" w:rsidR="00AA4FE6" w:rsidRPr="007D63BF" w:rsidRDefault="00AA4FE6" w:rsidP="006F5008">
                  <w:pPr>
                    <w:pStyle w:val="Tabletext"/>
                    <w:rPr>
                      <w:b/>
                      <w:bCs/>
                      <w:sz w:val="18"/>
                      <w:szCs w:val="18"/>
                    </w:rPr>
                  </w:pPr>
                  <w:r w:rsidRPr="007D63BF">
                    <w:rPr>
                      <w:b/>
                      <w:bCs/>
                      <w:sz w:val="18"/>
                      <w:szCs w:val="18"/>
                    </w:rPr>
                    <w:t>Low</w:t>
                  </w:r>
                </w:p>
              </w:tc>
              <w:tc>
                <w:tcPr>
                  <w:tcW w:w="729" w:type="dxa"/>
                  <w:shd w:val="clear" w:color="auto" w:fill="auto"/>
                  <w:noWrap/>
                  <w:vAlign w:val="center"/>
                </w:tcPr>
                <w:p w14:paraId="2FE23737" w14:textId="77777777" w:rsidR="00AA4FE6" w:rsidRPr="007D63BF" w:rsidRDefault="00AA4FE6" w:rsidP="006F5008">
                  <w:pPr>
                    <w:pStyle w:val="Tabletext"/>
                    <w:rPr>
                      <w:b/>
                      <w:bCs/>
                      <w:sz w:val="18"/>
                      <w:szCs w:val="18"/>
                    </w:rPr>
                  </w:pPr>
                  <w:r w:rsidRPr="007D63BF">
                    <w:rPr>
                      <w:b/>
                      <w:bCs/>
                      <w:sz w:val="18"/>
                      <w:szCs w:val="18"/>
                    </w:rPr>
                    <w:t>High</w:t>
                  </w:r>
                </w:p>
              </w:tc>
              <w:tc>
                <w:tcPr>
                  <w:tcW w:w="1076" w:type="dxa"/>
                  <w:shd w:val="clear" w:color="auto" w:fill="auto"/>
                  <w:noWrap/>
                  <w:vAlign w:val="center"/>
                </w:tcPr>
                <w:p w14:paraId="146CF3BA" w14:textId="77777777" w:rsidR="00AA4FE6" w:rsidRPr="007D63BF" w:rsidRDefault="00AA4FE6" w:rsidP="006F5008">
                  <w:pPr>
                    <w:pStyle w:val="Tabletext"/>
                    <w:rPr>
                      <w:b/>
                      <w:bCs/>
                      <w:sz w:val="18"/>
                      <w:szCs w:val="18"/>
                    </w:rPr>
                  </w:pPr>
                  <w:r w:rsidRPr="007D63BF">
                    <w:rPr>
                      <w:b/>
                      <w:bCs/>
                      <w:sz w:val="18"/>
                      <w:szCs w:val="18"/>
                    </w:rPr>
                    <w:t>Low</w:t>
                  </w:r>
                </w:p>
              </w:tc>
              <w:tc>
                <w:tcPr>
                  <w:tcW w:w="845" w:type="dxa"/>
                  <w:shd w:val="clear" w:color="auto" w:fill="auto"/>
                  <w:noWrap/>
                  <w:vAlign w:val="center"/>
                </w:tcPr>
                <w:p w14:paraId="32CEE9A2" w14:textId="77777777" w:rsidR="00AA4FE6" w:rsidRPr="007D63BF" w:rsidRDefault="00AA4FE6" w:rsidP="006F5008">
                  <w:pPr>
                    <w:pStyle w:val="Tabletext"/>
                    <w:rPr>
                      <w:b/>
                      <w:bCs/>
                      <w:sz w:val="18"/>
                      <w:szCs w:val="18"/>
                    </w:rPr>
                  </w:pPr>
                  <w:r w:rsidRPr="007D63BF">
                    <w:rPr>
                      <w:b/>
                      <w:bCs/>
                      <w:sz w:val="18"/>
                      <w:szCs w:val="18"/>
                    </w:rPr>
                    <w:t>High</w:t>
                  </w:r>
                </w:p>
              </w:tc>
            </w:tr>
            <w:tr w:rsidR="00AA4FE6" w:rsidRPr="007D63BF" w14:paraId="48EE4465" w14:textId="77777777" w:rsidTr="00173384">
              <w:trPr>
                <w:trHeight w:val="20"/>
              </w:trPr>
              <w:tc>
                <w:tcPr>
                  <w:tcW w:w="1232" w:type="dxa"/>
                  <w:shd w:val="clear" w:color="auto" w:fill="auto"/>
                  <w:noWrap/>
                  <w:vAlign w:val="center"/>
                  <w:hideMark/>
                </w:tcPr>
                <w:p w14:paraId="7562A58D" w14:textId="716828F5" w:rsidR="00AA4FE6" w:rsidRPr="007D63BF" w:rsidRDefault="00AA4FE6" w:rsidP="006F5008">
                  <w:pPr>
                    <w:pStyle w:val="Tabletext"/>
                    <w:rPr>
                      <w:sz w:val="18"/>
                      <w:szCs w:val="18"/>
                    </w:rPr>
                  </w:pPr>
                  <w:r w:rsidRPr="007D63BF">
                    <w:rPr>
                      <w:sz w:val="18"/>
                      <w:szCs w:val="18"/>
                    </w:rPr>
                    <w:t xml:space="preserve">Prevalent </w:t>
                  </w:r>
                  <w:r w:rsidR="00D20BCC" w:rsidRPr="007D63BF">
                    <w:rPr>
                      <w:sz w:val="18"/>
                      <w:szCs w:val="18"/>
                    </w:rPr>
                    <w:t>12 </w:t>
                  </w:r>
                  <w:r w:rsidRPr="007D63BF">
                    <w:rPr>
                      <w:sz w:val="18"/>
                      <w:szCs w:val="18"/>
                    </w:rPr>
                    <w:t>y</w:t>
                  </w:r>
                  <w:r w:rsidR="0097408E" w:rsidRPr="007D63BF">
                    <w:rPr>
                      <w:sz w:val="18"/>
                      <w:szCs w:val="18"/>
                    </w:rPr>
                    <w:t>ea</w:t>
                  </w:r>
                  <w:r w:rsidRPr="007D63BF">
                    <w:rPr>
                      <w:sz w:val="18"/>
                      <w:szCs w:val="18"/>
                    </w:rPr>
                    <w:t>rs</w:t>
                  </w:r>
                </w:p>
              </w:tc>
              <w:tc>
                <w:tcPr>
                  <w:tcW w:w="728" w:type="dxa"/>
                  <w:shd w:val="clear" w:color="auto" w:fill="auto"/>
                  <w:noWrap/>
                  <w:vAlign w:val="center"/>
                  <w:hideMark/>
                </w:tcPr>
                <w:p w14:paraId="64760802" w14:textId="77777777" w:rsidR="00AA4FE6" w:rsidRPr="007D63BF" w:rsidRDefault="00AA4FE6" w:rsidP="006F5008">
                  <w:pPr>
                    <w:pStyle w:val="Tabletext"/>
                    <w:rPr>
                      <w:sz w:val="18"/>
                      <w:szCs w:val="18"/>
                    </w:rPr>
                  </w:pPr>
                  <w:r w:rsidRPr="007D63BF">
                    <w:rPr>
                      <w:sz w:val="18"/>
                      <w:szCs w:val="18"/>
                    </w:rPr>
                    <w:t>0.13%</w:t>
                  </w:r>
                </w:p>
              </w:tc>
              <w:tc>
                <w:tcPr>
                  <w:tcW w:w="729" w:type="dxa"/>
                  <w:shd w:val="clear" w:color="auto" w:fill="auto"/>
                  <w:noWrap/>
                  <w:vAlign w:val="center"/>
                  <w:hideMark/>
                </w:tcPr>
                <w:p w14:paraId="1F1E2340" w14:textId="77777777" w:rsidR="00AA4FE6" w:rsidRPr="007D63BF" w:rsidRDefault="00AA4FE6" w:rsidP="006F5008">
                  <w:pPr>
                    <w:pStyle w:val="Tabletext"/>
                    <w:rPr>
                      <w:sz w:val="18"/>
                      <w:szCs w:val="18"/>
                    </w:rPr>
                  </w:pPr>
                  <w:r w:rsidRPr="007D63BF">
                    <w:rPr>
                      <w:sz w:val="18"/>
                      <w:szCs w:val="18"/>
                    </w:rPr>
                    <w:t>99.87%</w:t>
                  </w:r>
                </w:p>
              </w:tc>
              <w:tc>
                <w:tcPr>
                  <w:tcW w:w="1076" w:type="dxa"/>
                  <w:shd w:val="clear" w:color="auto" w:fill="auto"/>
                  <w:noWrap/>
                  <w:vAlign w:val="center"/>
                  <w:hideMark/>
                </w:tcPr>
                <w:p w14:paraId="623AFEA7" w14:textId="77777777" w:rsidR="00AA4FE6" w:rsidRPr="007D63BF" w:rsidRDefault="00AA4FE6" w:rsidP="006F5008">
                  <w:pPr>
                    <w:pStyle w:val="Tabletext"/>
                    <w:rPr>
                      <w:sz w:val="18"/>
                      <w:szCs w:val="18"/>
                    </w:rPr>
                  </w:pPr>
                  <w:r w:rsidRPr="007D63BF">
                    <w:rPr>
                      <w:sz w:val="18"/>
                      <w:szCs w:val="18"/>
                    </w:rPr>
                    <w:t>3.45/day</w:t>
                  </w:r>
                </w:p>
              </w:tc>
              <w:tc>
                <w:tcPr>
                  <w:tcW w:w="845" w:type="dxa"/>
                  <w:shd w:val="clear" w:color="auto" w:fill="auto"/>
                  <w:noWrap/>
                  <w:vAlign w:val="center"/>
                  <w:hideMark/>
                </w:tcPr>
                <w:p w14:paraId="0C48338C" w14:textId="77777777" w:rsidR="00AA4FE6" w:rsidRPr="007D63BF" w:rsidRDefault="00AA4FE6" w:rsidP="006F5008">
                  <w:pPr>
                    <w:pStyle w:val="Tabletext"/>
                    <w:rPr>
                      <w:sz w:val="18"/>
                      <w:szCs w:val="18"/>
                    </w:rPr>
                  </w:pPr>
                  <w:r w:rsidRPr="007D63BF">
                    <w:rPr>
                      <w:sz w:val="18"/>
                      <w:szCs w:val="18"/>
                    </w:rPr>
                    <w:t>4.96/day</w:t>
                  </w:r>
                </w:p>
              </w:tc>
            </w:tr>
            <w:tr w:rsidR="00AA4FE6" w:rsidRPr="007D63BF" w14:paraId="3E035CD6" w14:textId="77777777" w:rsidTr="00173384">
              <w:trPr>
                <w:trHeight w:val="20"/>
              </w:trPr>
              <w:tc>
                <w:tcPr>
                  <w:tcW w:w="1232" w:type="dxa"/>
                  <w:shd w:val="clear" w:color="auto" w:fill="auto"/>
                  <w:noWrap/>
                  <w:vAlign w:val="center"/>
                  <w:hideMark/>
                </w:tcPr>
                <w:p w14:paraId="77C2BBEB" w14:textId="43F820B6" w:rsidR="00AA4FE6" w:rsidRPr="007D63BF" w:rsidRDefault="00AA4FE6" w:rsidP="006F5008">
                  <w:pPr>
                    <w:pStyle w:val="Tabletext"/>
                    <w:rPr>
                      <w:sz w:val="18"/>
                      <w:szCs w:val="18"/>
                    </w:rPr>
                  </w:pPr>
                  <w:r w:rsidRPr="007D63BF">
                    <w:rPr>
                      <w:sz w:val="18"/>
                      <w:szCs w:val="18"/>
                    </w:rPr>
                    <w:t>Incident 4</w:t>
                  </w:r>
                  <w:r w:rsidR="00D20BCC" w:rsidRPr="007D63BF">
                    <w:rPr>
                      <w:sz w:val="18"/>
                      <w:szCs w:val="18"/>
                    </w:rPr>
                    <w:t> </w:t>
                  </w:r>
                  <w:r w:rsidRPr="007D63BF">
                    <w:rPr>
                      <w:sz w:val="18"/>
                      <w:szCs w:val="18"/>
                    </w:rPr>
                    <w:t>y</w:t>
                  </w:r>
                  <w:r w:rsidR="0097408E" w:rsidRPr="007D63BF">
                    <w:rPr>
                      <w:sz w:val="18"/>
                      <w:szCs w:val="18"/>
                    </w:rPr>
                    <w:t>ea</w:t>
                  </w:r>
                  <w:r w:rsidRPr="007D63BF">
                    <w:rPr>
                      <w:sz w:val="18"/>
                      <w:szCs w:val="18"/>
                    </w:rPr>
                    <w:t>rs</w:t>
                  </w:r>
                </w:p>
              </w:tc>
              <w:tc>
                <w:tcPr>
                  <w:tcW w:w="728" w:type="dxa"/>
                  <w:shd w:val="clear" w:color="auto" w:fill="auto"/>
                  <w:noWrap/>
                  <w:vAlign w:val="center"/>
                  <w:hideMark/>
                </w:tcPr>
                <w:p w14:paraId="04B00F6D" w14:textId="77777777" w:rsidR="00AA4FE6" w:rsidRPr="007D63BF" w:rsidRDefault="00AA4FE6" w:rsidP="006F5008">
                  <w:pPr>
                    <w:pStyle w:val="Tabletext"/>
                    <w:rPr>
                      <w:sz w:val="18"/>
                      <w:szCs w:val="18"/>
                    </w:rPr>
                  </w:pPr>
                  <w:r w:rsidRPr="007D63BF">
                    <w:rPr>
                      <w:sz w:val="18"/>
                      <w:szCs w:val="18"/>
                    </w:rPr>
                    <w:t>38.60%</w:t>
                  </w:r>
                </w:p>
              </w:tc>
              <w:tc>
                <w:tcPr>
                  <w:tcW w:w="729" w:type="dxa"/>
                  <w:shd w:val="clear" w:color="auto" w:fill="auto"/>
                  <w:noWrap/>
                  <w:vAlign w:val="center"/>
                  <w:hideMark/>
                </w:tcPr>
                <w:p w14:paraId="714C6F2F" w14:textId="77777777" w:rsidR="00AA4FE6" w:rsidRPr="007D63BF" w:rsidRDefault="00AA4FE6" w:rsidP="006F5008">
                  <w:pPr>
                    <w:pStyle w:val="Tabletext"/>
                    <w:rPr>
                      <w:sz w:val="18"/>
                      <w:szCs w:val="18"/>
                    </w:rPr>
                  </w:pPr>
                  <w:r w:rsidRPr="007D63BF">
                    <w:rPr>
                      <w:sz w:val="18"/>
                      <w:szCs w:val="18"/>
                    </w:rPr>
                    <w:t>61.40%</w:t>
                  </w:r>
                </w:p>
              </w:tc>
              <w:tc>
                <w:tcPr>
                  <w:tcW w:w="1076" w:type="dxa"/>
                  <w:shd w:val="clear" w:color="auto" w:fill="auto"/>
                  <w:noWrap/>
                  <w:vAlign w:val="center"/>
                  <w:hideMark/>
                </w:tcPr>
                <w:p w14:paraId="1C524CD2" w14:textId="77777777" w:rsidR="00AA4FE6" w:rsidRPr="007D63BF" w:rsidRDefault="00AA4FE6" w:rsidP="006F5008">
                  <w:pPr>
                    <w:pStyle w:val="Tabletext"/>
                    <w:rPr>
                      <w:sz w:val="18"/>
                      <w:szCs w:val="18"/>
                    </w:rPr>
                  </w:pPr>
                  <w:r w:rsidRPr="007D63BF">
                    <w:rPr>
                      <w:sz w:val="18"/>
                      <w:szCs w:val="18"/>
                    </w:rPr>
                    <w:t>3.36/day</w:t>
                  </w:r>
                </w:p>
              </w:tc>
              <w:tc>
                <w:tcPr>
                  <w:tcW w:w="845" w:type="dxa"/>
                  <w:shd w:val="clear" w:color="auto" w:fill="auto"/>
                  <w:noWrap/>
                  <w:vAlign w:val="center"/>
                  <w:hideMark/>
                </w:tcPr>
                <w:p w14:paraId="1C59D9C0" w14:textId="77777777" w:rsidR="00AA4FE6" w:rsidRPr="007D63BF" w:rsidRDefault="00AA4FE6" w:rsidP="006F5008">
                  <w:pPr>
                    <w:pStyle w:val="Tabletext"/>
                    <w:rPr>
                      <w:sz w:val="18"/>
                      <w:szCs w:val="18"/>
                    </w:rPr>
                  </w:pPr>
                  <w:r w:rsidRPr="007D63BF">
                    <w:rPr>
                      <w:sz w:val="18"/>
                      <w:szCs w:val="18"/>
                    </w:rPr>
                    <w:t>2.44/day</w:t>
                  </w:r>
                </w:p>
              </w:tc>
            </w:tr>
          </w:tbl>
          <w:p w14:paraId="220D5F87" w14:textId="2A28806C" w:rsidR="00AA4FE6" w:rsidRPr="00AA4FE6" w:rsidRDefault="00AA4FE6" w:rsidP="006F5008">
            <w:pPr>
              <w:pStyle w:val="TableFigureFooter"/>
              <w:jc w:val="left"/>
            </w:pPr>
            <w:r w:rsidRPr="00AA4FE6">
              <w:t>Source: ‘General population’ worksheet from the economic model, CDC growth charts; ABS</w:t>
            </w:r>
          </w:p>
          <w:p w14:paraId="76167317" w14:textId="77777777" w:rsidR="00AA4FE6" w:rsidRPr="00AA4FE6" w:rsidRDefault="00AA4FE6" w:rsidP="006F5008">
            <w:pPr>
              <w:pStyle w:val="TableFigureFooter"/>
              <w:spacing w:after="0"/>
              <w:jc w:val="left"/>
            </w:pPr>
            <w:r w:rsidRPr="00AA4FE6">
              <w:t>Read as, for example, the 99.87% of prevalent patients initiating at the high strength will have 4.96 x 400 mcg capsules per day.</w:t>
            </w:r>
          </w:p>
        </w:tc>
        <w:tc>
          <w:tcPr>
            <w:tcW w:w="2015" w:type="pct"/>
            <w:shd w:val="clear" w:color="auto" w:fill="auto"/>
          </w:tcPr>
          <w:p w14:paraId="564A2A45" w14:textId="66F7C5A1" w:rsidR="00AA4FE6" w:rsidRPr="00B146C3" w:rsidRDefault="003134D2" w:rsidP="006F5008">
            <w:pPr>
              <w:pStyle w:val="TableText0"/>
              <w:rPr>
                <w:szCs w:val="20"/>
              </w:rPr>
            </w:pPr>
            <w:r w:rsidRPr="00B146C3">
              <w:rPr>
                <w:szCs w:val="20"/>
              </w:rPr>
              <w:lastRenderedPageBreak/>
              <w:t xml:space="preserve">DUSC noted that the median age in </w:t>
            </w:r>
            <w:r w:rsidR="003801E0" w:rsidRPr="00B146C3">
              <w:rPr>
                <w:szCs w:val="20"/>
              </w:rPr>
              <w:t>PEDFIC</w:t>
            </w:r>
            <w:r w:rsidR="003801E0">
              <w:rPr>
                <w:szCs w:val="20"/>
              </w:rPr>
              <w:t> </w:t>
            </w:r>
            <w:r w:rsidRPr="00B146C3">
              <w:rPr>
                <w:szCs w:val="20"/>
              </w:rPr>
              <w:t>1 was 3.2</w:t>
            </w:r>
            <w:r w:rsidR="00661EBF" w:rsidRPr="00B146C3">
              <w:rPr>
                <w:szCs w:val="20"/>
              </w:rPr>
              <w:t xml:space="preserve"> years.</w:t>
            </w:r>
            <w:r w:rsidRPr="00B146C3">
              <w:rPr>
                <w:szCs w:val="20"/>
              </w:rPr>
              <w:t xml:space="preserve"> </w:t>
            </w:r>
            <w:r w:rsidR="002B5E07">
              <w:rPr>
                <w:szCs w:val="20"/>
              </w:rPr>
              <w:t xml:space="preserve">Additionally, </w:t>
            </w:r>
            <w:r w:rsidR="00AA4FE6" w:rsidRPr="00B146C3">
              <w:rPr>
                <w:szCs w:val="20"/>
              </w:rPr>
              <w:t>it was unclear how the mean age of prevalent patients (</w:t>
            </w:r>
            <w:r w:rsidR="003801E0" w:rsidRPr="00B146C3">
              <w:rPr>
                <w:szCs w:val="20"/>
              </w:rPr>
              <w:t>12</w:t>
            </w:r>
            <w:r w:rsidR="003801E0">
              <w:rPr>
                <w:szCs w:val="20"/>
              </w:rPr>
              <w:t> </w:t>
            </w:r>
            <w:r w:rsidR="00AA4FE6" w:rsidRPr="00B146C3">
              <w:rPr>
                <w:szCs w:val="20"/>
              </w:rPr>
              <w:t xml:space="preserve">years) was informed from the model. If the submission </w:t>
            </w:r>
            <w:r w:rsidR="00661EBF" w:rsidRPr="00B146C3">
              <w:rPr>
                <w:szCs w:val="20"/>
              </w:rPr>
              <w:t>excluded</w:t>
            </w:r>
            <w:r w:rsidR="00AA4FE6" w:rsidRPr="00B146C3">
              <w:rPr>
                <w:szCs w:val="20"/>
              </w:rPr>
              <w:t xml:space="preserve"> patients who have had prior PEBD and LT, it is possible that the prevalent patients would be younger than 12</w:t>
            </w:r>
            <w:r w:rsidR="003801E0">
              <w:rPr>
                <w:szCs w:val="20"/>
              </w:rPr>
              <w:t> </w:t>
            </w:r>
            <w:r w:rsidR="00AA4FE6" w:rsidRPr="00B146C3">
              <w:rPr>
                <w:szCs w:val="20"/>
              </w:rPr>
              <w:t xml:space="preserve">years of age. </w:t>
            </w:r>
            <w:r w:rsidRPr="00B146C3">
              <w:rPr>
                <w:szCs w:val="20"/>
              </w:rPr>
              <w:t>DUSC noted that i</w:t>
            </w:r>
            <w:r w:rsidR="00AA4FE6" w:rsidRPr="00B146C3">
              <w:rPr>
                <w:szCs w:val="20"/>
              </w:rPr>
              <w:t xml:space="preserve">n </w:t>
            </w:r>
            <w:r w:rsidR="003801E0" w:rsidRPr="00B146C3">
              <w:rPr>
                <w:szCs w:val="20"/>
              </w:rPr>
              <w:t>PEDFIC</w:t>
            </w:r>
            <w:r w:rsidR="003801E0">
              <w:rPr>
                <w:szCs w:val="20"/>
              </w:rPr>
              <w:t> </w:t>
            </w:r>
            <w:r w:rsidR="00AA4FE6" w:rsidRPr="00B146C3">
              <w:rPr>
                <w:szCs w:val="20"/>
              </w:rPr>
              <w:t xml:space="preserve">2 </w:t>
            </w:r>
            <w:r w:rsidR="003801E0" w:rsidRPr="00B146C3">
              <w:rPr>
                <w:szCs w:val="20"/>
              </w:rPr>
              <w:t>Cohort</w:t>
            </w:r>
            <w:r w:rsidR="003801E0">
              <w:rPr>
                <w:szCs w:val="20"/>
              </w:rPr>
              <w:t> </w:t>
            </w:r>
            <w:r w:rsidR="00AA4FE6" w:rsidRPr="00B146C3">
              <w:rPr>
                <w:szCs w:val="20"/>
              </w:rPr>
              <w:t>2 the mean age of patients was 7.8 years.</w:t>
            </w:r>
          </w:p>
          <w:p w14:paraId="76448F13" w14:textId="77777777" w:rsidR="00AA4FE6" w:rsidRPr="00B146C3" w:rsidRDefault="00AA4FE6" w:rsidP="006F5008">
            <w:pPr>
              <w:pStyle w:val="TableText0"/>
              <w:rPr>
                <w:szCs w:val="20"/>
              </w:rPr>
            </w:pPr>
          </w:p>
          <w:p w14:paraId="32D8A5DF" w14:textId="1FC3030A" w:rsidR="00AA4FE6" w:rsidRPr="00B146C3" w:rsidRDefault="00661EBF" w:rsidP="006F5008">
            <w:pPr>
              <w:pStyle w:val="TableText0"/>
              <w:rPr>
                <w:szCs w:val="20"/>
              </w:rPr>
            </w:pPr>
            <w:r w:rsidRPr="00B146C3">
              <w:rPr>
                <w:szCs w:val="20"/>
              </w:rPr>
              <w:t>G</w:t>
            </w:r>
            <w:r w:rsidR="00AA4FE6" w:rsidRPr="00B146C3">
              <w:rPr>
                <w:szCs w:val="20"/>
              </w:rPr>
              <w:t>iven patients (especially incident patients, who will be at age 10</w:t>
            </w:r>
            <w:r w:rsidRPr="00B146C3">
              <w:rPr>
                <w:szCs w:val="20"/>
              </w:rPr>
              <w:t xml:space="preserve"> years</w:t>
            </w:r>
            <w:r w:rsidR="00AA4FE6" w:rsidRPr="00B146C3">
              <w:rPr>
                <w:szCs w:val="20"/>
              </w:rPr>
              <w:t xml:space="preserve"> at the end of 6 years of </w:t>
            </w:r>
            <w:r w:rsidR="00AA4FE6" w:rsidRPr="00B146C3">
              <w:rPr>
                <w:szCs w:val="20"/>
              </w:rPr>
              <w:lastRenderedPageBreak/>
              <w:t xml:space="preserve">treatment) may not have reached their full adult weight at the end of the financial estimates, the cost per patient per year of treatment was likely to continue to grow beyond the financial estimates. </w:t>
            </w:r>
          </w:p>
          <w:p w14:paraId="1316DE85" w14:textId="77777777" w:rsidR="003134D2" w:rsidRPr="00B146C3" w:rsidRDefault="003134D2" w:rsidP="006F5008">
            <w:pPr>
              <w:pStyle w:val="TableText0"/>
              <w:rPr>
                <w:szCs w:val="20"/>
              </w:rPr>
            </w:pPr>
          </w:p>
          <w:p w14:paraId="3F31CF54" w14:textId="6488CE8E" w:rsidR="003134D2" w:rsidRPr="00B146C3" w:rsidRDefault="003134D2" w:rsidP="006F5008">
            <w:pPr>
              <w:pStyle w:val="TableText0"/>
              <w:rPr>
                <w:szCs w:val="20"/>
              </w:rPr>
            </w:pPr>
            <w:r w:rsidRPr="00B146C3">
              <w:rPr>
                <w:szCs w:val="20"/>
              </w:rPr>
              <w:t>DUSC noted that reducing the mean age of prevalent patients from 12 to 8 years would reduce the net cost by 22%. DUSC considered using a mean age of 12</w:t>
            </w:r>
            <w:r w:rsidR="002B5E07">
              <w:rPr>
                <w:szCs w:val="20"/>
              </w:rPr>
              <w:t xml:space="preserve"> </w:t>
            </w:r>
            <w:r w:rsidRPr="00B146C3">
              <w:rPr>
                <w:szCs w:val="20"/>
              </w:rPr>
              <w:t>years may overestimate utilisation.</w:t>
            </w:r>
          </w:p>
        </w:tc>
      </w:tr>
      <w:tr w:rsidR="00AA4FE6" w:rsidRPr="00AA4FE6" w14:paraId="18AF7D80" w14:textId="77777777" w:rsidTr="006F5008">
        <w:trPr>
          <w:cantSplit/>
        </w:trPr>
        <w:tc>
          <w:tcPr>
            <w:tcW w:w="663" w:type="pct"/>
            <w:shd w:val="clear" w:color="auto" w:fill="auto"/>
          </w:tcPr>
          <w:p w14:paraId="0C9C461E" w14:textId="77777777" w:rsidR="00AA4FE6" w:rsidRPr="00AA4FE6" w:rsidRDefault="00AA4FE6" w:rsidP="006F5008">
            <w:pPr>
              <w:pStyle w:val="TableText0"/>
            </w:pPr>
            <w:r w:rsidRPr="00AA4FE6">
              <w:lastRenderedPageBreak/>
              <w:t xml:space="preserve">Compliance and uptake </w:t>
            </w:r>
          </w:p>
        </w:tc>
        <w:tc>
          <w:tcPr>
            <w:tcW w:w="2322" w:type="pct"/>
            <w:shd w:val="clear" w:color="auto" w:fill="auto"/>
          </w:tcPr>
          <w:p w14:paraId="623A9CC7" w14:textId="77777777" w:rsidR="00AA4FE6" w:rsidRPr="00AA4FE6" w:rsidRDefault="00AA4FE6" w:rsidP="006F5008">
            <w:pPr>
              <w:pStyle w:val="TableText0"/>
            </w:pPr>
            <w:r w:rsidRPr="00AA4FE6">
              <w:t>100% compliance and uptake rate assumed</w:t>
            </w:r>
          </w:p>
        </w:tc>
        <w:tc>
          <w:tcPr>
            <w:tcW w:w="2015" w:type="pct"/>
            <w:shd w:val="clear" w:color="auto" w:fill="auto"/>
          </w:tcPr>
          <w:p w14:paraId="7D9D5AC0" w14:textId="77777777" w:rsidR="00AA4FE6" w:rsidRPr="00B146C3" w:rsidRDefault="00AA4FE6" w:rsidP="006F5008">
            <w:pPr>
              <w:pStyle w:val="TableText0"/>
              <w:rPr>
                <w:szCs w:val="20"/>
              </w:rPr>
            </w:pPr>
            <w:r w:rsidRPr="00B146C3">
              <w:rPr>
                <w:szCs w:val="20"/>
              </w:rPr>
              <w:t xml:space="preserve">Likely conservative but reasonable and consistent with the model. No wastage was considered in the submission.  </w:t>
            </w:r>
          </w:p>
        </w:tc>
      </w:tr>
      <w:tr w:rsidR="00AA4FE6" w:rsidRPr="00AA4FE6" w14:paraId="4495CD69" w14:textId="77777777" w:rsidTr="006F5008">
        <w:trPr>
          <w:cantSplit/>
        </w:trPr>
        <w:tc>
          <w:tcPr>
            <w:tcW w:w="663" w:type="pct"/>
            <w:shd w:val="clear" w:color="auto" w:fill="auto"/>
          </w:tcPr>
          <w:p w14:paraId="1F6E53D2" w14:textId="77777777" w:rsidR="00AA4FE6" w:rsidRPr="00AA4FE6" w:rsidRDefault="00AA4FE6" w:rsidP="006F5008">
            <w:pPr>
              <w:pStyle w:val="TableText0"/>
            </w:pPr>
            <w:r w:rsidRPr="00AA4FE6">
              <w:t>Grandfathered patients</w:t>
            </w:r>
          </w:p>
        </w:tc>
        <w:tc>
          <w:tcPr>
            <w:tcW w:w="2322" w:type="pct"/>
            <w:shd w:val="clear" w:color="auto" w:fill="auto"/>
          </w:tcPr>
          <w:p w14:paraId="66925B3B" w14:textId="1E7CFCE8" w:rsidR="00AA4FE6" w:rsidRPr="00AA4FE6" w:rsidRDefault="00AA4FE6" w:rsidP="006F5008">
            <w:pPr>
              <w:pStyle w:val="TableText0"/>
            </w:pPr>
            <w:r w:rsidRPr="00AA4FE6">
              <w:t xml:space="preserve">The submission included </w:t>
            </w:r>
            <w:r w:rsidR="0066157F" w:rsidRPr="0066157F">
              <w:rPr>
                <w:color w:val="000000"/>
                <w:spacing w:val="52"/>
                <w:shd w:val="solid" w:color="000000" w:fill="000000"/>
                <w:fitText w:val="330" w:id="-894208252"/>
                <w14:textFill>
                  <w14:solidFill>
                    <w14:srgbClr w14:val="000000">
                      <w14:alpha w14:val="100000"/>
                    </w14:srgbClr>
                  </w14:solidFill>
                </w14:textFill>
              </w:rPr>
              <w:t>|||</w:t>
            </w:r>
            <w:r w:rsidR="0066157F" w:rsidRPr="0066157F">
              <w:rPr>
                <w:color w:val="000000"/>
                <w:spacing w:val="2"/>
                <w:shd w:val="solid" w:color="000000" w:fill="000000"/>
                <w:fitText w:val="330" w:id="-894208252"/>
                <w14:textFill>
                  <w14:solidFill>
                    <w14:srgbClr w14:val="000000">
                      <w14:alpha w14:val="100000"/>
                    </w14:srgbClr>
                  </w14:solidFill>
                </w14:textFill>
              </w:rPr>
              <w:t>|</w:t>
            </w:r>
            <w:r w:rsidR="00D20BCC" w:rsidRPr="00AA4FE6">
              <w:rPr>
                <w:szCs w:val="20"/>
              </w:rPr>
              <w:t xml:space="preserve"> </w:t>
            </w:r>
            <w:r w:rsidR="00D20BCC">
              <w:rPr>
                <w:vertAlign w:val="superscript"/>
              </w:rPr>
              <w:t>1</w:t>
            </w:r>
            <w:r w:rsidRPr="00AA4FE6">
              <w:t xml:space="preserve"> patients from a compassionate access program as part of the prevalent patients. The mean treatment duration for these patients was 3.2 months</w:t>
            </w:r>
            <w:r w:rsidR="002B5E07">
              <w:t>,</w:t>
            </w:r>
            <w:r w:rsidRPr="00AA4FE6">
              <w:t xml:space="preserve"> hence </w:t>
            </w:r>
            <w:r w:rsidR="002B5E07">
              <w:t xml:space="preserve">it was </w:t>
            </w:r>
            <w:r w:rsidRPr="00AA4FE6">
              <w:t xml:space="preserve">assumed all these patients would enter via the continuing treatment stage. </w:t>
            </w:r>
          </w:p>
          <w:p w14:paraId="17C2CC44" w14:textId="77777777" w:rsidR="00AA4FE6" w:rsidRPr="00AA4FE6" w:rsidRDefault="00AA4FE6" w:rsidP="006F5008">
            <w:pPr>
              <w:pStyle w:val="TableText0"/>
            </w:pPr>
          </w:p>
          <w:p w14:paraId="2722FA69" w14:textId="77777777" w:rsidR="00AA4FE6" w:rsidRPr="00AA4FE6" w:rsidRDefault="00AA4FE6" w:rsidP="006F5008">
            <w:pPr>
              <w:pStyle w:val="TableText0"/>
            </w:pPr>
            <w:r w:rsidRPr="00AA4FE6">
              <w:t>When calculating the scripts of prevalent patients in the initiating phase, the proportion of patients initiating treatment was reduced to 33.1% (1 – 12/18). This was applied to the prevalent patients who respond to low dose (40 mcg/kg) odevixibat and continued.</w:t>
            </w:r>
          </w:p>
        </w:tc>
        <w:tc>
          <w:tcPr>
            <w:tcW w:w="2015" w:type="pct"/>
            <w:shd w:val="clear" w:color="auto" w:fill="auto"/>
          </w:tcPr>
          <w:p w14:paraId="1A9D1F7E" w14:textId="7017CFC9" w:rsidR="00AA4FE6" w:rsidRPr="00B146C3" w:rsidRDefault="00D12975" w:rsidP="006F5008">
            <w:pPr>
              <w:pStyle w:val="TableText0"/>
              <w:rPr>
                <w:szCs w:val="20"/>
              </w:rPr>
            </w:pPr>
            <w:r w:rsidRPr="00B146C3">
              <w:rPr>
                <w:szCs w:val="20"/>
              </w:rPr>
              <w:t>The evaluation considered that</w:t>
            </w:r>
            <w:r w:rsidR="00AA4FE6" w:rsidRPr="00B146C3">
              <w:rPr>
                <w:szCs w:val="20"/>
              </w:rPr>
              <w:t xml:space="preserve"> grandfathered patients who have been treated for &lt;</w:t>
            </w:r>
            <w:r w:rsidR="00D20BCC">
              <w:rPr>
                <w:szCs w:val="20"/>
              </w:rPr>
              <w:t> </w:t>
            </w:r>
            <w:r w:rsidR="00AA4FE6" w:rsidRPr="00B146C3">
              <w:rPr>
                <w:szCs w:val="20"/>
              </w:rPr>
              <w:t>3</w:t>
            </w:r>
            <w:r w:rsidR="00D20BCC">
              <w:rPr>
                <w:szCs w:val="20"/>
              </w:rPr>
              <w:t> </w:t>
            </w:r>
            <w:r w:rsidR="00AA4FE6" w:rsidRPr="00B146C3">
              <w:rPr>
                <w:szCs w:val="20"/>
              </w:rPr>
              <w:t xml:space="preserve">months may receive a higher dose after 3 months. This was not considered and would underestimate financial estimates. </w:t>
            </w:r>
          </w:p>
          <w:p w14:paraId="2C0D7F80" w14:textId="77777777" w:rsidR="00D12975" w:rsidRPr="00B146C3" w:rsidRDefault="00D12975" w:rsidP="006F5008">
            <w:pPr>
              <w:pStyle w:val="TableText0"/>
              <w:rPr>
                <w:szCs w:val="20"/>
              </w:rPr>
            </w:pPr>
          </w:p>
          <w:p w14:paraId="03ED6058" w14:textId="5C8B5238" w:rsidR="00D12975" w:rsidRPr="00B146C3" w:rsidRDefault="00D12975" w:rsidP="006F5008">
            <w:pPr>
              <w:pStyle w:val="TableText0"/>
              <w:rPr>
                <w:szCs w:val="20"/>
              </w:rPr>
            </w:pPr>
            <w:r w:rsidRPr="00B146C3">
              <w:rPr>
                <w:szCs w:val="20"/>
              </w:rPr>
              <w:t>DUSC considered it was reasonable to assume that grandfathered patients will all continue treatment and that some may increase their dose to 120</w:t>
            </w:r>
            <w:r w:rsidR="00D20BCC">
              <w:rPr>
                <w:szCs w:val="20"/>
              </w:rPr>
              <w:t> </w:t>
            </w:r>
            <w:r w:rsidRPr="00B146C3">
              <w:rPr>
                <w:szCs w:val="20"/>
              </w:rPr>
              <w:t>mcg/kg.</w:t>
            </w:r>
          </w:p>
        </w:tc>
      </w:tr>
      <w:tr w:rsidR="00AA4FE6" w:rsidRPr="00AA4FE6" w14:paraId="4695BCBE" w14:textId="77777777" w:rsidTr="006F5008">
        <w:trPr>
          <w:cantSplit/>
        </w:trPr>
        <w:tc>
          <w:tcPr>
            <w:tcW w:w="663" w:type="pct"/>
            <w:shd w:val="clear" w:color="auto" w:fill="auto"/>
          </w:tcPr>
          <w:p w14:paraId="41F60CE3" w14:textId="77777777" w:rsidR="00AA4FE6" w:rsidRPr="00AA4FE6" w:rsidRDefault="00AA4FE6" w:rsidP="006F5008">
            <w:pPr>
              <w:pStyle w:val="TableText0"/>
            </w:pPr>
            <w:r w:rsidRPr="00AA4FE6">
              <w:t>Script numbers</w:t>
            </w:r>
          </w:p>
        </w:tc>
        <w:tc>
          <w:tcPr>
            <w:tcW w:w="2322" w:type="pct"/>
            <w:shd w:val="clear" w:color="auto" w:fill="auto"/>
          </w:tcPr>
          <w:p w14:paraId="17592ED8" w14:textId="77777777" w:rsidR="00AA4FE6" w:rsidRPr="00AA4FE6" w:rsidRDefault="00AA4FE6" w:rsidP="006F5008">
            <w:pPr>
              <w:pStyle w:val="TableText0"/>
            </w:pPr>
            <w:r w:rsidRPr="00AA4FE6">
              <w:t>The estimated annual scripts for odevixibat are shown below.</w:t>
            </w:r>
          </w:p>
          <w:tbl>
            <w:tblPr>
              <w:tblStyle w:val="Submissionstandard"/>
              <w:tblW w:w="5000" w:type="pct"/>
              <w:tblLayout w:type="fixed"/>
              <w:tblCellMar>
                <w:left w:w="0" w:type="dxa"/>
                <w:right w:w="0" w:type="dxa"/>
              </w:tblCellMar>
              <w:tblLook w:val="04A0" w:firstRow="1" w:lastRow="0" w:firstColumn="1" w:lastColumn="0" w:noHBand="0" w:noVBand="1"/>
            </w:tblPr>
            <w:tblGrid>
              <w:gridCol w:w="690"/>
              <w:gridCol w:w="472"/>
              <w:gridCol w:w="472"/>
              <w:gridCol w:w="472"/>
              <w:gridCol w:w="472"/>
              <w:gridCol w:w="472"/>
              <w:gridCol w:w="473"/>
              <w:gridCol w:w="598"/>
            </w:tblGrid>
            <w:tr w:rsidR="00AA4FE6" w:rsidRPr="00AA4FE6" w14:paraId="3ACAE806" w14:textId="77777777" w:rsidTr="00173384">
              <w:trPr>
                <w:cnfStyle w:val="100000000000" w:firstRow="1" w:lastRow="0" w:firstColumn="0" w:lastColumn="0" w:oddVBand="0" w:evenVBand="0" w:oddHBand="0" w:evenHBand="0" w:firstRowFirstColumn="0" w:firstRowLastColumn="0" w:lastRowFirstColumn="0" w:lastRowLastColumn="0"/>
              </w:trPr>
              <w:tc>
                <w:tcPr>
                  <w:tcW w:w="797" w:type="dxa"/>
                  <w:shd w:val="clear" w:color="auto" w:fill="auto"/>
                  <w:vAlign w:val="center"/>
                </w:tcPr>
                <w:p w14:paraId="5366C7CB" w14:textId="77777777" w:rsidR="00AA4FE6" w:rsidRPr="00B55018" w:rsidRDefault="00AA4FE6" w:rsidP="00341A2B">
                  <w:pPr>
                    <w:pStyle w:val="Tabletext"/>
                    <w:framePr w:hSpace="180" w:wrap="around" w:vAnchor="text" w:hAnchor="text" w:y="1"/>
                    <w:suppressOverlap/>
                    <w:rPr>
                      <w:sz w:val="18"/>
                      <w:szCs w:val="22"/>
                      <w:lang w:val="en-AU"/>
                    </w:rPr>
                  </w:pPr>
                </w:p>
              </w:tc>
              <w:tc>
                <w:tcPr>
                  <w:tcW w:w="544" w:type="dxa"/>
                  <w:shd w:val="clear" w:color="auto" w:fill="auto"/>
                  <w:vAlign w:val="center"/>
                </w:tcPr>
                <w:p w14:paraId="290BA0D9" w14:textId="77777777" w:rsidR="00AA4FE6" w:rsidRPr="00B55018" w:rsidRDefault="00AA4FE6" w:rsidP="00341A2B">
                  <w:pPr>
                    <w:pStyle w:val="Tabletext"/>
                    <w:framePr w:hSpace="180" w:wrap="around" w:vAnchor="text" w:hAnchor="text" w:y="1"/>
                    <w:suppressOverlap/>
                    <w:rPr>
                      <w:sz w:val="18"/>
                      <w:szCs w:val="22"/>
                      <w:lang w:val="en-AU"/>
                    </w:rPr>
                  </w:pPr>
                  <w:r w:rsidRPr="00B55018">
                    <w:rPr>
                      <w:sz w:val="18"/>
                      <w:szCs w:val="22"/>
                      <w:lang w:val="en-AU"/>
                    </w:rPr>
                    <w:t>2024</w:t>
                  </w:r>
                </w:p>
              </w:tc>
              <w:tc>
                <w:tcPr>
                  <w:tcW w:w="544" w:type="dxa"/>
                  <w:shd w:val="clear" w:color="auto" w:fill="auto"/>
                  <w:vAlign w:val="center"/>
                </w:tcPr>
                <w:p w14:paraId="3E26601A" w14:textId="77777777" w:rsidR="00AA4FE6" w:rsidRPr="00B55018" w:rsidRDefault="00AA4FE6" w:rsidP="00341A2B">
                  <w:pPr>
                    <w:pStyle w:val="Tabletext"/>
                    <w:framePr w:hSpace="180" w:wrap="around" w:vAnchor="text" w:hAnchor="text" w:y="1"/>
                    <w:suppressOverlap/>
                    <w:rPr>
                      <w:sz w:val="18"/>
                      <w:szCs w:val="22"/>
                      <w:lang w:val="en-AU"/>
                    </w:rPr>
                  </w:pPr>
                  <w:r w:rsidRPr="00B55018">
                    <w:rPr>
                      <w:sz w:val="18"/>
                      <w:szCs w:val="22"/>
                      <w:lang w:val="en-AU"/>
                    </w:rPr>
                    <w:t>2025</w:t>
                  </w:r>
                </w:p>
              </w:tc>
              <w:tc>
                <w:tcPr>
                  <w:tcW w:w="544" w:type="dxa"/>
                  <w:shd w:val="clear" w:color="auto" w:fill="auto"/>
                  <w:vAlign w:val="center"/>
                </w:tcPr>
                <w:p w14:paraId="614192EB" w14:textId="77777777" w:rsidR="00AA4FE6" w:rsidRPr="00B55018" w:rsidRDefault="00AA4FE6" w:rsidP="00341A2B">
                  <w:pPr>
                    <w:pStyle w:val="Tabletext"/>
                    <w:framePr w:hSpace="180" w:wrap="around" w:vAnchor="text" w:hAnchor="text" w:y="1"/>
                    <w:suppressOverlap/>
                    <w:rPr>
                      <w:sz w:val="18"/>
                      <w:szCs w:val="22"/>
                      <w:lang w:val="en-AU"/>
                    </w:rPr>
                  </w:pPr>
                  <w:r w:rsidRPr="00B55018">
                    <w:rPr>
                      <w:sz w:val="18"/>
                      <w:szCs w:val="22"/>
                      <w:lang w:val="en-AU"/>
                    </w:rPr>
                    <w:t>2026</w:t>
                  </w:r>
                </w:p>
              </w:tc>
              <w:tc>
                <w:tcPr>
                  <w:tcW w:w="544" w:type="dxa"/>
                  <w:shd w:val="clear" w:color="auto" w:fill="auto"/>
                  <w:vAlign w:val="center"/>
                </w:tcPr>
                <w:p w14:paraId="2BAE3A88" w14:textId="77777777" w:rsidR="00AA4FE6" w:rsidRPr="00B55018" w:rsidRDefault="00AA4FE6" w:rsidP="00341A2B">
                  <w:pPr>
                    <w:pStyle w:val="Tabletext"/>
                    <w:framePr w:hSpace="180" w:wrap="around" w:vAnchor="text" w:hAnchor="text" w:y="1"/>
                    <w:suppressOverlap/>
                    <w:rPr>
                      <w:sz w:val="18"/>
                      <w:szCs w:val="22"/>
                      <w:lang w:val="en-AU"/>
                    </w:rPr>
                  </w:pPr>
                  <w:r w:rsidRPr="00B55018">
                    <w:rPr>
                      <w:sz w:val="18"/>
                      <w:szCs w:val="22"/>
                      <w:lang w:val="en-AU"/>
                    </w:rPr>
                    <w:t>2027</w:t>
                  </w:r>
                </w:p>
              </w:tc>
              <w:tc>
                <w:tcPr>
                  <w:tcW w:w="544" w:type="dxa"/>
                  <w:shd w:val="clear" w:color="auto" w:fill="auto"/>
                  <w:vAlign w:val="center"/>
                </w:tcPr>
                <w:p w14:paraId="5608423B" w14:textId="77777777" w:rsidR="00AA4FE6" w:rsidRPr="00B55018" w:rsidRDefault="00AA4FE6" w:rsidP="00341A2B">
                  <w:pPr>
                    <w:pStyle w:val="Tabletext"/>
                    <w:framePr w:hSpace="180" w:wrap="around" w:vAnchor="text" w:hAnchor="text" w:y="1"/>
                    <w:suppressOverlap/>
                    <w:rPr>
                      <w:sz w:val="18"/>
                      <w:szCs w:val="22"/>
                      <w:lang w:val="en-AU"/>
                    </w:rPr>
                  </w:pPr>
                  <w:r w:rsidRPr="00B55018">
                    <w:rPr>
                      <w:sz w:val="18"/>
                      <w:szCs w:val="22"/>
                      <w:lang w:val="en-AU"/>
                    </w:rPr>
                    <w:t>2028</w:t>
                  </w:r>
                </w:p>
              </w:tc>
              <w:tc>
                <w:tcPr>
                  <w:tcW w:w="545" w:type="dxa"/>
                  <w:shd w:val="clear" w:color="auto" w:fill="auto"/>
                  <w:vAlign w:val="center"/>
                </w:tcPr>
                <w:p w14:paraId="15E1AE93" w14:textId="77777777" w:rsidR="00AA4FE6" w:rsidRPr="00B55018" w:rsidRDefault="00AA4FE6" w:rsidP="00341A2B">
                  <w:pPr>
                    <w:pStyle w:val="Tabletext"/>
                    <w:framePr w:hSpace="180" w:wrap="around" w:vAnchor="text" w:hAnchor="text" w:y="1"/>
                    <w:suppressOverlap/>
                    <w:rPr>
                      <w:sz w:val="18"/>
                      <w:szCs w:val="22"/>
                      <w:lang w:val="en-AU"/>
                    </w:rPr>
                  </w:pPr>
                  <w:r w:rsidRPr="00B55018">
                    <w:rPr>
                      <w:sz w:val="18"/>
                      <w:szCs w:val="22"/>
                      <w:lang w:val="en-AU"/>
                    </w:rPr>
                    <w:t>2029</w:t>
                  </w:r>
                </w:p>
              </w:tc>
              <w:tc>
                <w:tcPr>
                  <w:tcW w:w="691" w:type="dxa"/>
                  <w:shd w:val="clear" w:color="auto" w:fill="auto"/>
                </w:tcPr>
                <w:p w14:paraId="0DF2E86A" w14:textId="77777777" w:rsidR="00AA4FE6" w:rsidRPr="00B55018" w:rsidRDefault="00AA4FE6" w:rsidP="00341A2B">
                  <w:pPr>
                    <w:pStyle w:val="Tabletext"/>
                    <w:framePr w:hSpace="180" w:wrap="around" w:vAnchor="text" w:hAnchor="text" w:y="1"/>
                    <w:suppressOverlap/>
                    <w:rPr>
                      <w:sz w:val="18"/>
                      <w:szCs w:val="22"/>
                      <w:lang w:val="en-AU"/>
                    </w:rPr>
                  </w:pPr>
                  <w:r w:rsidRPr="00B55018">
                    <w:rPr>
                      <w:sz w:val="18"/>
                      <w:szCs w:val="22"/>
                      <w:lang w:val="en-AU"/>
                    </w:rPr>
                    <w:t>% total</w:t>
                  </w:r>
                </w:p>
              </w:tc>
            </w:tr>
            <w:tr w:rsidR="00AA4FE6" w:rsidRPr="00AA4FE6" w14:paraId="457C37CC" w14:textId="77777777" w:rsidTr="00173384">
              <w:tc>
                <w:tcPr>
                  <w:tcW w:w="797" w:type="dxa"/>
                  <w:shd w:val="clear" w:color="auto" w:fill="auto"/>
                </w:tcPr>
                <w:p w14:paraId="15340CE4" w14:textId="77777777" w:rsidR="00AA4FE6" w:rsidRPr="00B55018" w:rsidRDefault="00AA4FE6" w:rsidP="00341A2B">
                  <w:pPr>
                    <w:pStyle w:val="Tabletext"/>
                    <w:framePr w:hSpace="180" w:wrap="around" w:vAnchor="text" w:hAnchor="text" w:y="1"/>
                    <w:suppressOverlap/>
                    <w:rPr>
                      <w:sz w:val="18"/>
                      <w:szCs w:val="22"/>
                      <w:lang w:val="en-AU"/>
                    </w:rPr>
                  </w:pPr>
                  <w:r w:rsidRPr="00B55018">
                    <w:rPr>
                      <w:sz w:val="18"/>
                      <w:szCs w:val="22"/>
                      <w:lang w:val="en-AU"/>
                    </w:rPr>
                    <w:t>200 mcg</w:t>
                  </w:r>
                </w:p>
              </w:tc>
              <w:tc>
                <w:tcPr>
                  <w:tcW w:w="544" w:type="dxa"/>
                  <w:shd w:val="clear" w:color="auto" w:fill="auto"/>
                  <w:vAlign w:val="center"/>
                </w:tcPr>
                <w:p w14:paraId="08DF5116" w14:textId="409EDBC0" w:rsidR="00AA4FE6" w:rsidRPr="00B55018" w:rsidRDefault="0066157F" w:rsidP="00341A2B">
                  <w:pPr>
                    <w:pStyle w:val="Tabletext"/>
                    <w:framePr w:hSpace="180" w:wrap="around" w:vAnchor="text" w:hAnchor="text" w:y="1"/>
                    <w:suppressOverlap/>
                    <w:rPr>
                      <w:sz w:val="18"/>
                      <w:szCs w:val="22"/>
                      <w:lang w:val="en-AU"/>
                    </w:rPr>
                  </w:pPr>
                  <w:r w:rsidRPr="0066157F">
                    <w:rPr>
                      <w:color w:val="000000"/>
                      <w:spacing w:val="213"/>
                      <w:sz w:val="18"/>
                      <w:szCs w:val="22"/>
                      <w:shd w:val="solid" w:color="000000" w:fill="000000"/>
                      <w:fitText w:val="290" w:id="-894208251"/>
                      <w:lang w:val="en-AU"/>
                      <w14:textFill>
                        <w14:solidFill>
                          <w14:srgbClr w14:val="000000">
                            <w14:alpha w14:val="100000"/>
                          </w14:srgbClr>
                        </w14:solidFill>
                      </w14:textFill>
                    </w:rPr>
                    <w:t>|</w:t>
                  </w:r>
                  <w:r w:rsidRPr="0066157F">
                    <w:rPr>
                      <w:color w:val="000000"/>
                      <w:spacing w:val="1"/>
                      <w:sz w:val="18"/>
                      <w:szCs w:val="22"/>
                      <w:shd w:val="solid" w:color="000000" w:fill="000000"/>
                      <w:fitText w:val="290" w:id="-894208251"/>
                      <w:lang w:val="en-AU"/>
                      <w14:textFill>
                        <w14:solidFill>
                          <w14:srgbClr w14:val="000000">
                            <w14:alpha w14:val="100000"/>
                          </w14:srgbClr>
                        </w14:solidFill>
                      </w14:textFill>
                    </w:rPr>
                    <w:t>|</w:t>
                  </w:r>
                  <w:r w:rsidR="00CD254D" w:rsidRPr="00B55018">
                    <w:rPr>
                      <w:sz w:val="18"/>
                      <w:szCs w:val="22"/>
                    </w:rPr>
                    <w:t xml:space="preserve"> </w:t>
                  </w:r>
                  <w:r w:rsidR="00CD254D" w:rsidRPr="00B55018">
                    <w:rPr>
                      <w:sz w:val="18"/>
                      <w:szCs w:val="22"/>
                      <w:vertAlign w:val="superscript"/>
                    </w:rPr>
                    <w:t>1</w:t>
                  </w:r>
                </w:p>
              </w:tc>
              <w:tc>
                <w:tcPr>
                  <w:tcW w:w="544" w:type="dxa"/>
                  <w:shd w:val="clear" w:color="auto" w:fill="auto"/>
                  <w:vAlign w:val="center"/>
                </w:tcPr>
                <w:p w14:paraId="7A366CB1" w14:textId="2501D23A" w:rsidR="00AA4FE6" w:rsidRPr="00B55018" w:rsidRDefault="0066157F" w:rsidP="00341A2B">
                  <w:pPr>
                    <w:pStyle w:val="Tabletext"/>
                    <w:framePr w:hSpace="180" w:wrap="around" w:vAnchor="text" w:hAnchor="text" w:y="1"/>
                    <w:suppressOverlap/>
                    <w:rPr>
                      <w:sz w:val="18"/>
                      <w:szCs w:val="22"/>
                      <w:lang w:val="en-AU"/>
                    </w:rPr>
                  </w:pPr>
                  <w:r w:rsidRPr="0066157F">
                    <w:rPr>
                      <w:color w:val="000000"/>
                      <w:spacing w:val="213"/>
                      <w:sz w:val="18"/>
                      <w:szCs w:val="22"/>
                      <w:shd w:val="solid" w:color="000000" w:fill="000000"/>
                      <w:fitText w:val="290" w:id="-894208250"/>
                      <w:lang w:val="en-AU"/>
                      <w14:textFill>
                        <w14:solidFill>
                          <w14:srgbClr w14:val="000000">
                            <w14:alpha w14:val="100000"/>
                          </w14:srgbClr>
                        </w14:solidFill>
                      </w14:textFill>
                    </w:rPr>
                    <w:t>|</w:t>
                  </w:r>
                  <w:r w:rsidRPr="0066157F">
                    <w:rPr>
                      <w:color w:val="000000"/>
                      <w:spacing w:val="1"/>
                      <w:sz w:val="18"/>
                      <w:szCs w:val="22"/>
                      <w:shd w:val="solid" w:color="000000" w:fill="000000"/>
                      <w:fitText w:val="290" w:id="-894208250"/>
                      <w:lang w:val="en-AU"/>
                      <w14:textFill>
                        <w14:solidFill>
                          <w14:srgbClr w14:val="000000">
                            <w14:alpha w14:val="100000"/>
                          </w14:srgbClr>
                        </w14:solidFill>
                      </w14:textFill>
                    </w:rPr>
                    <w:t>|</w:t>
                  </w:r>
                  <w:r w:rsidR="00CD254D" w:rsidRPr="00B55018">
                    <w:rPr>
                      <w:sz w:val="18"/>
                      <w:szCs w:val="22"/>
                    </w:rPr>
                    <w:t xml:space="preserve"> </w:t>
                  </w:r>
                  <w:r w:rsidR="00CD254D" w:rsidRPr="00B55018">
                    <w:rPr>
                      <w:sz w:val="18"/>
                      <w:szCs w:val="22"/>
                      <w:vertAlign w:val="superscript"/>
                    </w:rPr>
                    <w:t>1</w:t>
                  </w:r>
                </w:p>
              </w:tc>
              <w:tc>
                <w:tcPr>
                  <w:tcW w:w="544" w:type="dxa"/>
                  <w:shd w:val="clear" w:color="auto" w:fill="auto"/>
                  <w:vAlign w:val="center"/>
                </w:tcPr>
                <w:p w14:paraId="14F4A8E1" w14:textId="22DD67C7" w:rsidR="00AA4FE6" w:rsidRPr="00B55018" w:rsidRDefault="0066157F" w:rsidP="00341A2B">
                  <w:pPr>
                    <w:pStyle w:val="Tabletext"/>
                    <w:framePr w:hSpace="180" w:wrap="around" w:vAnchor="text" w:hAnchor="text" w:y="1"/>
                    <w:suppressOverlap/>
                    <w:rPr>
                      <w:sz w:val="18"/>
                      <w:szCs w:val="22"/>
                      <w:lang w:val="en-AU"/>
                    </w:rPr>
                  </w:pPr>
                  <w:r w:rsidRPr="0066157F">
                    <w:rPr>
                      <w:color w:val="000000"/>
                      <w:spacing w:val="213"/>
                      <w:sz w:val="18"/>
                      <w:szCs w:val="22"/>
                      <w:shd w:val="solid" w:color="000000" w:fill="000000"/>
                      <w:fitText w:val="290" w:id="-894208249"/>
                      <w:lang w:val="en-AU"/>
                      <w14:textFill>
                        <w14:solidFill>
                          <w14:srgbClr w14:val="000000">
                            <w14:alpha w14:val="100000"/>
                          </w14:srgbClr>
                        </w14:solidFill>
                      </w14:textFill>
                    </w:rPr>
                    <w:t>|</w:t>
                  </w:r>
                  <w:r w:rsidRPr="0066157F">
                    <w:rPr>
                      <w:color w:val="000000"/>
                      <w:spacing w:val="1"/>
                      <w:sz w:val="18"/>
                      <w:szCs w:val="22"/>
                      <w:shd w:val="solid" w:color="000000" w:fill="000000"/>
                      <w:fitText w:val="290" w:id="-894208249"/>
                      <w:lang w:val="en-AU"/>
                      <w14:textFill>
                        <w14:solidFill>
                          <w14:srgbClr w14:val="000000">
                            <w14:alpha w14:val="100000"/>
                          </w14:srgbClr>
                        </w14:solidFill>
                      </w14:textFill>
                    </w:rPr>
                    <w:t>|</w:t>
                  </w:r>
                  <w:r w:rsidR="00CD254D" w:rsidRPr="00B55018">
                    <w:rPr>
                      <w:sz w:val="18"/>
                      <w:szCs w:val="22"/>
                    </w:rPr>
                    <w:t xml:space="preserve"> </w:t>
                  </w:r>
                  <w:r w:rsidR="00CD254D" w:rsidRPr="00B55018">
                    <w:rPr>
                      <w:sz w:val="18"/>
                      <w:szCs w:val="22"/>
                      <w:vertAlign w:val="superscript"/>
                    </w:rPr>
                    <w:t>1</w:t>
                  </w:r>
                </w:p>
              </w:tc>
              <w:tc>
                <w:tcPr>
                  <w:tcW w:w="544" w:type="dxa"/>
                  <w:shd w:val="clear" w:color="auto" w:fill="auto"/>
                  <w:vAlign w:val="center"/>
                </w:tcPr>
                <w:p w14:paraId="08FF8CD8" w14:textId="75DA4895" w:rsidR="00AA4FE6" w:rsidRPr="00B55018" w:rsidRDefault="0066157F" w:rsidP="00341A2B">
                  <w:pPr>
                    <w:pStyle w:val="Tabletext"/>
                    <w:framePr w:hSpace="180" w:wrap="around" w:vAnchor="text" w:hAnchor="text" w:y="1"/>
                    <w:suppressOverlap/>
                    <w:rPr>
                      <w:sz w:val="18"/>
                      <w:szCs w:val="22"/>
                      <w:lang w:val="en-AU"/>
                    </w:rPr>
                  </w:pPr>
                  <w:r w:rsidRPr="0066157F">
                    <w:rPr>
                      <w:color w:val="000000"/>
                      <w:spacing w:val="213"/>
                      <w:sz w:val="18"/>
                      <w:szCs w:val="22"/>
                      <w:shd w:val="solid" w:color="000000" w:fill="000000"/>
                      <w:fitText w:val="290" w:id="-894208248"/>
                      <w:lang w:val="en-AU"/>
                      <w14:textFill>
                        <w14:solidFill>
                          <w14:srgbClr w14:val="000000">
                            <w14:alpha w14:val="100000"/>
                          </w14:srgbClr>
                        </w14:solidFill>
                      </w14:textFill>
                    </w:rPr>
                    <w:t>|</w:t>
                  </w:r>
                  <w:r w:rsidRPr="0066157F">
                    <w:rPr>
                      <w:color w:val="000000"/>
                      <w:spacing w:val="1"/>
                      <w:sz w:val="18"/>
                      <w:szCs w:val="22"/>
                      <w:shd w:val="solid" w:color="000000" w:fill="000000"/>
                      <w:fitText w:val="290" w:id="-894208248"/>
                      <w:lang w:val="en-AU"/>
                      <w14:textFill>
                        <w14:solidFill>
                          <w14:srgbClr w14:val="000000">
                            <w14:alpha w14:val="100000"/>
                          </w14:srgbClr>
                        </w14:solidFill>
                      </w14:textFill>
                    </w:rPr>
                    <w:t>|</w:t>
                  </w:r>
                  <w:r w:rsidR="00CD254D" w:rsidRPr="00B55018">
                    <w:rPr>
                      <w:sz w:val="18"/>
                      <w:szCs w:val="22"/>
                    </w:rPr>
                    <w:t xml:space="preserve"> </w:t>
                  </w:r>
                  <w:r w:rsidR="00CD254D" w:rsidRPr="00B55018">
                    <w:rPr>
                      <w:sz w:val="18"/>
                      <w:szCs w:val="22"/>
                      <w:vertAlign w:val="superscript"/>
                    </w:rPr>
                    <w:t>1</w:t>
                  </w:r>
                </w:p>
              </w:tc>
              <w:tc>
                <w:tcPr>
                  <w:tcW w:w="544" w:type="dxa"/>
                  <w:shd w:val="clear" w:color="auto" w:fill="auto"/>
                  <w:vAlign w:val="center"/>
                </w:tcPr>
                <w:p w14:paraId="4ECAEA6C" w14:textId="1B147102" w:rsidR="00AA4FE6" w:rsidRPr="00B55018" w:rsidRDefault="0066157F" w:rsidP="00341A2B">
                  <w:pPr>
                    <w:pStyle w:val="Tabletext"/>
                    <w:framePr w:hSpace="180" w:wrap="around" w:vAnchor="text" w:hAnchor="text" w:y="1"/>
                    <w:suppressOverlap/>
                    <w:rPr>
                      <w:sz w:val="18"/>
                      <w:szCs w:val="22"/>
                      <w:lang w:val="en-AU"/>
                    </w:rPr>
                  </w:pPr>
                  <w:r w:rsidRPr="0066157F">
                    <w:rPr>
                      <w:color w:val="000000"/>
                      <w:spacing w:val="213"/>
                      <w:sz w:val="18"/>
                      <w:szCs w:val="22"/>
                      <w:shd w:val="solid" w:color="000000" w:fill="000000"/>
                      <w:fitText w:val="290" w:id="-894208247"/>
                      <w:lang w:val="en-AU"/>
                      <w14:textFill>
                        <w14:solidFill>
                          <w14:srgbClr w14:val="000000">
                            <w14:alpha w14:val="100000"/>
                          </w14:srgbClr>
                        </w14:solidFill>
                      </w14:textFill>
                    </w:rPr>
                    <w:t>|</w:t>
                  </w:r>
                  <w:r w:rsidRPr="0066157F">
                    <w:rPr>
                      <w:color w:val="000000"/>
                      <w:spacing w:val="1"/>
                      <w:sz w:val="18"/>
                      <w:szCs w:val="22"/>
                      <w:shd w:val="solid" w:color="000000" w:fill="000000"/>
                      <w:fitText w:val="290" w:id="-894208247"/>
                      <w:lang w:val="en-AU"/>
                      <w14:textFill>
                        <w14:solidFill>
                          <w14:srgbClr w14:val="000000">
                            <w14:alpha w14:val="100000"/>
                          </w14:srgbClr>
                        </w14:solidFill>
                      </w14:textFill>
                    </w:rPr>
                    <w:t>|</w:t>
                  </w:r>
                  <w:r w:rsidR="00CD254D" w:rsidRPr="00B55018">
                    <w:rPr>
                      <w:sz w:val="18"/>
                      <w:szCs w:val="22"/>
                    </w:rPr>
                    <w:t xml:space="preserve"> </w:t>
                  </w:r>
                  <w:r w:rsidR="00CD254D" w:rsidRPr="00B55018">
                    <w:rPr>
                      <w:sz w:val="18"/>
                      <w:szCs w:val="22"/>
                      <w:vertAlign w:val="superscript"/>
                    </w:rPr>
                    <w:t>1</w:t>
                  </w:r>
                </w:p>
              </w:tc>
              <w:tc>
                <w:tcPr>
                  <w:tcW w:w="545" w:type="dxa"/>
                  <w:shd w:val="clear" w:color="auto" w:fill="auto"/>
                  <w:vAlign w:val="center"/>
                </w:tcPr>
                <w:p w14:paraId="599014AA" w14:textId="113071BE" w:rsidR="00AA4FE6" w:rsidRPr="00B55018" w:rsidRDefault="0066157F" w:rsidP="00341A2B">
                  <w:pPr>
                    <w:pStyle w:val="Tabletext"/>
                    <w:framePr w:hSpace="180" w:wrap="around" w:vAnchor="text" w:hAnchor="text" w:y="1"/>
                    <w:suppressOverlap/>
                    <w:rPr>
                      <w:sz w:val="18"/>
                      <w:szCs w:val="22"/>
                      <w:lang w:val="en-AU"/>
                    </w:rPr>
                  </w:pPr>
                  <w:r w:rsidRPr="0066157F">
                    <w:rPr>
                      <w:color w:val="000000"/>
                      <w:spacing w:val="213"/>
                      <w:sz w:val="18"/>
                      <w:szCs w:val="22"/>
                      <w:shd w:val="solid" w:color="000000" w:fill="000000"/>
                      <w:fitText w:val="290" w:id="-894208246"/>
                      <w:lang w:val="en-AU"/>
                      <w14:textFill>
                        <w14:solidFill>
                          <w14:srgbClr w14:val="000000">
                            <w14:alpha w14:val="100000"/>
                          </w14:srgbClr>
                        </w14:solidFill>
                      </w14:textFill>
                    </w:rPr>
                    <w:t>|</w:t>
                  </w:r>
                  <w:r w:rsidRPr="0066157F">
                    <w:rPr>
                      <w:color w:val="000000"/>
                      <w:spacing w:val="1"/>
                      <w:sz w:val="18"/>
                      <w:szCs w:val="22"/>
                      <w:shd w:val="solid" w:color="000000" w:fill="000000"/>
                      <w:fitText w:val="290" w:id="-894208246"/>
                      <w:lang w:val="en-AU"/>
                      <w14:textFill>
                        <w14:solidFill>
                          <w14:srgbClr w14:val="000000">
                            <w14:alpha w14:val="100000"/>
                          </w14:srgbClr>
                        </w14:solidFill>
                      </w14:textFill>
                    </w:rPr>
                    <w:t>|</w:t>
                  </w:r>
                  <w:r w:rsidR="00CD254D" w:rsidRPr="00B55018">
                    <w:rPr>
                      <w:sz w:val="18"/>
                      <w:szCs w:val="22"/>
                    </w:rPr>
                    <w:t xml:space="preserve"> </w:t>
                  </w:r>
                  <w:r w:rsidR="00CD254D" w:rsidRPr="00B55018">
                    <w:rPr>
                      <w:sz w:val="18"/>
                      <w:szCs w:val="22"/>
                      <w:vertAlign w:val="superscript"/>
                    </w:rPr>
                    <w:t>1</w:t>
                  </w:r>
                </w:p>
              </w:tc>
              <w:tc>
                <w:tcPr>
                  <w:tcW w:w="691" w:type="dxa"/>
                  <w:vAlign w:val="center"/>
                </w:tcPr>
                <w:p w14:paraId="07759906" w14:textId="77777777" w:rsidR="00AA4FE6" w:rsidRPr="00B55018" w:rsidRDefault="00AA4FE6" w:rsidP="00341A2B">
                  <w:pPr>
                    <w:pStyle w:val="Tabletext"/>
                    <w:framePr w:hSpace="180" w:wrap="around" w:vAnchor="text" w:hAnchor="text" w:y="1"/>
                    <w:suppressOverlap/>
                    <w:rPr>
                      <w:sz w:val="18"/>
                      <w:szCs w:val="22"/>
                      <w:lang w:val="en-AU"/>
                    </w:rPr>
                  </w:pPr>
                  <w:r w:rsidRPr="00B55018">
                    <w:rPr>
                      <w:sz w:val="18"/>
                      <w:szCs w:val="22"/>
                      <w:lang w:val="en-AU"/>
                    </w:rPr>
                    <w:t>11%</w:t>
                  </w:r>
                </w:p>
              </w:tc>
            </w:tr>
            <w:tr w:rsidR="00AA4FE6" w:rsidRPr="00AA4FE6" w14:paraId="556C4EB5" w14:textId="77777777" w:rsidTr="00173384">
              <w:tc>
                <w:tcPr>
                  <w:tcW w:w="797" w:type="dxa"/>
                  <w:shd w:val="clear" w:color="auto" w:fill="auto"/>
                </w:tcPr>
                <w:p w14:paraId="497564ED" w14:textId="77777777" w:rsidR="00AA4FE6" w:rsidRPr="00B55018" w:rsidRDefault="00AA4FE6" w:rsidP="00341A2B">
                  <w:pPr>
                    <w:pStyle w:val="Tabletext"/>
                    <w:framePr w:hSpace="180" w:wrap="around" w:vAnchor="text" w:hAnchor="text" w:y="1"/>
                    <w:suppressOverlap/>
                    <w:rPr>
                      <w:sz w:val="18"/>
                      <w:szCs w:val="22"/>
                      <w:lang w:val="en-AU"/>
                    </w:rPr>
                  </w:pPr>
                  <w:r w:rsidRPr="00B55018">
                    <w:rPr>
                      <w:sz w:val="18"/>
                      <w:szCs w:val="22"/>
                      <w:lang w:val="en-AU"/>
                    </w:rPr>
                    <w:t>400 mcg</w:t>
                  </w:r>
                </w:p>
              </w:tc>
              <w:tc>
                <w:tcPr>
                  <w:tcW w:w="544" w:type="dxa"/>
                  <w:shd w:val="clear" w:color="auto" w:fill="auto"/>
                  <w:vAlign w:val="center"/>
                </w:tcPr>
                <w:p w14:paraId="37ADAD71" w14:textId="7BE6DEB0" w:rsidR="00AA4FE6" w:rsidRPr="00B55018" w:rsidRDefault="0066157F" w:rsidP="00341A2B">
                  <w:pPr>
                    <w:pStyle w:val="Tabletext"/>
                    <w:framePr w:hSpace="180" w:wrap="around" w:vAnchor="text" w:hAnchor="text" w:y="1"/>
                    <w:suppressOverlap/>
                    <w:rPr>
                      <w:sz w:val="18"/>
                      <w:szCs w:val="22"/>
                      <w:lang w:val="en-AU"/>
                    </w:rPr>
                  </w:pPr>
                  <w:r w:rsidRPr="0066157F">
                    <w:rPr>
                      <w:color w:val="000000"/>
                      <w:spacing w:val="213"/>
                      <w:sz w:val="18"/>
                      <w:szCs w:val="22"/>
                      <w:shd w:val="solid" w:color="000000" w:fill="000000"/>
                      <w:fitText w:val="290" w:id="-894208245"/>
                      <w:lang w:val="en-AU"/>
                      <w14:textFill>
                        <w14:solidFill>
                          <w14:srgbClr w14:val="000000">
                            <w14:alpha w14:val="100000"/>
                          </w14:srgbClr>
                        </w14:solidFill>
                      </w14:textFill>
                    </w:rPr>
                    <w:t>|</w:t>
                  </w:r>
                  <w:r w:rsidRPr="0066157F">
                    <w:rPr>
                      <w:color w:val="000000"/>
                      <w:spacing w:val="1"/>
                      <w:sz w:val="18"/>
                      <w:szCs w:val="22"/>
                      <w:shd w:val="solid" w:color="000000" w:fill="000000"/>
                      <w:fitText w:val="290" w:id="-894208245"/>
                      <w:lang w:val="en-AU"/>
                      <w14:textFill>
                        <w14:solidFill>
                          <w14:srgbClr w14:val="000000">
                            <w14:alpha w14:val="100000"/>
                          </w14:srgbClr>
                        </w14:solidFill>
                      </w14:textFill>
                    </w:rPr>
                    <w:t>|</w:t>
                  </w:r>
                  <w:r w:rsidR="00CD254D" w:rsidRPr="00B55018">
                    <w:rPr>
                      <w:sz w:val="18"/>
                      <w:szCs w:val="22"/>
                    </w:rPr>
                    <w:t xml:space="preserve"> </w:t>
                  </w:r>
                  <w:r w:rsidR="00CD254D" w:rsidRPr="00B55018">
                    <w:rPr>
                      <w:sz w:val="18"/>
                      <w:szCs w:val="22"/>
                      <w:vertAlign w:val="superscript"/>
                    </w:rPr>
                    <w:t>1</w:t>
                  </w:r>
                </w:p>
              </w:tc>
              <w:tc>
                <w:tcPr>
                  <w:tcW w:w="544" w:type="dxa"/>
                  <w:shd w:val="clear" w:color="auto" w:fill="auto"/>
                  <w:vAlign w:val="center"/>
                </w:tcPr>
                <w:p w14:paraId="1CE39D9F" w14:textId="0F47EBF0" w:rsidR="00AA4FE6" w:rsidRPr="00B55018" w:rsidRDefault="0066157F" w:rsidP="00341A2B">
                  <w:pPr>
                    <w:pStyle w:val="Tabletext"/>
                    <w:framePr w:hSpace="180" w:wrap="around" w:vAnchor="text" w:hAnchor="text" w:y="1"/>
                    <w:suppressOverlap/>
                    <w:rPr>
                      <w:sz w:val="18"/>
                      <w:szCs w:val="22"/>
                      <w:lang w:val="en-AU"/>
                    </w:rPr>
                  </w:pPr>
                  <w:r w:rsidRPr="0066157F">
                    <w:rPr>
                      <w:color w:val="000000"/>
                      <w:spacing w:val="213"/>
                      <w:sz w:val="18"/>
                      <w:szCs w:val="22"/>
                      <w:shd w:val="solid" w:color="000000" w:fill="000000"/>
                      <w:fitText w:val="290" w:id="-894208244"/>
                      <w:lang w:val="en-AU"/>
                      <w14:textFill>
                        <w14:solidFill>
                          <w14:srgbClr w14:val="000000">
                            <w14:alpha w14:val="100000"/>
                          </w14:srgbClr>
                        </w14:solidFill>
                      </w14:textFill>
                    </w:rPr>
                    <w:t>|</w:t>
                  </w:r>
                  <w:r w:rsidRPr="0066157F">
                    <w:rPr>
                      <w:color w:val="000000"/>
                      <w:spacing w:val="1"/>
                      <w:sz w:val="18"/>
                      <w:szCs w:val="22"/>
                      <w:shd w:val="solid" w:color="000000" w:fill="000000"/>
                      <w:fitText w:val="290" w:id="-894208244"/>
                      <w:lang w:val="en-AU"/>
                      <w14:textFill>
                        <w14:solidFill>
                          <w14:srgbClr w14:val="000000">
                            <w14:alpha w14:val="100000"/>
                          </w14:srgbClr>
                        </w14:solidFill>
                      </w14:textFill>
                    </w:rPr>
                    <w:t>|</w:t>
                  </w:r>
                  <w:r w:rsidR="00CD254D" w:rsidRPr="00B55018">
                    <w:rPr>
                      <w:sz w:val="18"/>
                      <w:szCs w:val="22"/>
                    </w:rPr>
                    <w:t xml:space="preserve"> </w:t>
                  </w:r>
                  <w:r w:rsidR="00CD254D" w:rsidRPr="00B55018">
                    <w:rPr>
                      <w:sz w:val="18"/>
                      <w:szCs w:val="22"/>
                      <w:vertAlign w:val="superscript"/>
                    </w:rPr>
                    <w:t>2</w:t>
                  </w:r>
                </w:p>
              </w:tc>
              <w:tc>
                <w:tcPr>
                  <w:tcW w:w="544" w:type="dxa"/>
                  <w:shd w:val="clear" w:color="auto" w:fill="auto"/>
                  <w:vAlign w:val="center"/>
                </w:tcPr>
                <w:p w14:paraId="6322A0DF" w14:textId="5C27CA8C" w:rsidR="00AA4FE6" w:rsidRPr="00B55018" w:rsidRDefault="0066157F" w:rsidP="00341A2B">
                  <w:pPr>
                    <w:pStyle w:val="Tabletext"/>
                    <w:framePr w:hSpace="180" w:wrap="around" w:vAnchor="text" w:hAnchor="text" w:y="1"/>
                    <w:suppressOverlap/>
                    <w:rPr>
                      <w:sz w:val="18"/>
                      <w:szCs w:val="22"/>
                      <w:lang w:val="en-AU"/>
                    </w:rPr>
                  </w:pPr>
                  <w:r w:rsidRPr="0066157F">
                    <w:rPr>
                      <w:color w:val="000000"/>
                      <w:spacing w:val="213"/>
                      <w:sz w:val="18"/>
                      <w:szCs w:val="22"/>
                      <w:shd w:val="solid" w:color="000000" w:fill="000000"/>
                      <w:fitText w:val="290" w:id="-894208243"/>
                      <w:lang w:val="en-AU"/>
                      <w14:textFill>
                        <w14:solidFill>
                          <w14:srgbClr w14:val="000000">
                            <w14:alpha w14:val="100000"/>
                          </w14:srgbClr>
                        </w14:solidFill>
                      </w14:textFill>
                    </w:rPr>
                    <w:t>|</w:t>
                  </w:r>
                  <w:r w:rsidRPr="0066157F">
                    <w:rPr>
                      <w:color w:val="000000"/>
                      <w:spacing w:val="1"/>
                      <w:sz w:val="18"/>
                      <w:szCs w:val="22"/>
                      <w:shd w:val="solid" w:color="000000" w:fill="000000"/>
                      <w:fitText w:val="290" w:id="-894208243"/>
                      <w:lang w:val="en-AU"/>
                      <w14:textFill>
                        <w14:solidFill>
                          <w14:srgbClr w14:val="000000">
                            <w14:alpha w14:val="100000"/>
                          </w14:srgbClr>
                        </w14:solidFill>
                      </w14:textFill>
                    </w:rPr>
                    <w:t>|</w:t>
                  </w:r>
                  <w:r w:rsidR="00CD254D" w:rsidRPr="00B55018">
                    <w:rPr>
                      <w:sz w:val="18"/>
                      <w:szCs w:val="22"/>
                    </w:rPr>
                    <w:t xml:space="preserve"> </w:t>
                  </w:r>
                  <w:r w:rsidR="00CD254D" w:rsidRPr="00B55018">
                    <w:rPr>
                      <w:sz w:val="18"/>
                      <w:szCs w:val="22"/>
                      <w:vertAlign w:val="superscript"/>
                    </w:rPr>
                    <w:t>2</w:t>
                  </w:r>
                </w:p>
              </w:tc>
              <w:tc>
                <w:tcPr>
                  <w:tcW w:w="544" w:type="dxa"/>
                  <w:shd w:val="clear" w:color="auto" w:fill="auto"/>
                  <w:vAlign w:val="center"/>
                </w:tcPr>
                <w:p w14:paraId="4282691F" w14:textId="173CCDEC" w:rsidR="00AA4FE6" w:rsidRPr="00B55018" w:rsidRDefault="0066157F" w:rsidP="00341A2B">
                  <w:pPr>
                    <w:pStyle w:val="Tabletext"/>
                    <w:framePr w:hSpace="180" w:wrap="around" w:vAnchor="text" w:hAnchor="text" w:y="1"/>
                    <w:suppressOverlap/>
                    <w:rPr>
                      <w:sz w:val="18"/>
                      <w:szCs w:val="22"/>
                      <w:lang w:val="en-AU"/>
                    </w:rPr>
                  </w:pPr>
                  <w:r w:rsidRPr="0066157F">
                    <w:rPr>
                      <w:color w:val="000000"/>
                      <w:spacing w:val="213"/>
                      <w:sz w:val="18"/>
                      <w:szCs w:val="22"/>
                      <w:shd w:val="solid" w:color="000000" w:fill="000000"/>
                      <w:fitText w:val="290" w:id="-894208242"/>
                      <w:lang w:val="en-AU"/>
                      <w14:textFill>
                        <w14:solidFill>
                          <w14:srgbClr w14:val="000000">
                            <w14:alpha w14:val="100000"/>
                          </w14:srgbClr>
                        </w14:solidFill>
                      </w14:textFill>
                    </w:rPr>
                    <w:t>|</w:t>
                  </w:r>
                  <w:r w:rsidRPr="0066157F">
                    <w:rPr>
                      <w:color w:val="000000"/>
                      <w:spacing w:val="1"/>
                      <w:sz w:val="18"/>
                      <w:szCs w:val="22"/>
                      <w:shd w:val="solid" w:color="000000" w:fill="000000"/>
                      <w:fitText w:val="290" w:id="-894208242"/>
                      <w:lang w:val="en-AU"/>
                      <w14:textFill>
                        <w14:solidFill>
                          <w14:srgbClr w14:val="000000">
                            <w14:alpha w14:val="100000"/>
                          </w14:srgbClr>
                        </w14:solidFill>
                      </w14:textFill>
                    </w:rPr>
                    <w:t>|</w:t>
                  </w:r>
                  <w:r w:rsidR="00CD254D" w:rsidRPr="00B55018">
                    <w:rPr>
                      <w:sz w:val="18"/>
                      <w:szCs w:val="22"/>
                    </w:rPr>
                    <w:t xml:space="preserve"> </w:t>
                  </w:r>
                  <w:r w:rsidR="00CD254D" w:rsidRPr="00B55018">
                    <w:rPr>
                      <w:sz w:val="18"/>
                      <w:szCs w:val="22"/>
                      <w:vertAlign w:val="superscript"/>
                    </w:rPr>
                    <w:t>2</w:t>
                  </w:r>
                </w:p>
              </w:tc>
              <w:tc>
                <w:tcPr>
                  <w:tcW w:w="544" w:type="dxa"/>
                  <w:shd w:val="clear" w:color="auto" w:fill="auto"/>
                  <w:vAlign w:val="center"/>
                </w:tcPr>
                <w:p w14:paraId="2007A97F" w14:textId="3AF5C794" w:rsidR="00AA4FE6" w:rsidRPr="00B55018" w:rsidRDefault="0066157F" w:rsidP="00341A2B">
                  <w:pPr>
                    <w:pStyle w:val="Tabletext"/>
                    <w:framePr w:hSpace="180" w:wrap="around" w:vAnchor="text" w:hAnchor="text" w:y="1"/>
                    <w:suppressOverlap/>
                    <w:rPr>
                      <w:sz w:val="18"/>
                      <w:szCs w:val="22"/>
                      <w:lang w:val="en-AU"/>
                    </w:rPr>
                  </w:pPr>
                  <w:r w:rsidRPr="0066157F">
                    <w:rPr>
                      <w:color w:val="000000"/>
                      <w:spacing w:val="213"/>
                      <w:sz w:val="18"/>
                      <w:szCs w:val="22"/>
                      <w:shd w:val="solid" w:color="000000" w:fill="000000"/>
                      <w:fitText w:val="290" w:id="-894208241"/>
                      <w:lang w:val="en-AU"/>
                      <w14:textFill>
                        <w14:solidFill>
                          <w14:srgbClr w14:val="000000">
                            <w14:alpha w14:val="100000"/>
                          </w14:srgbClr>
                        </w14:solidFill>
                      </w14:textFill>
                    </w:rPr>
                    <w:t>|</w:t>
                  </w:r>
                  <w:r w:rsidRPr="0066157F">
                    <w:rPr>
                      <w:color w:val="000000"/>
                      <w:spacing w:val="1"/>
                      <w:sz w:val="18"/>
                      <w:szCs w:val="22"/>
                      <w:shd w:val="solid" w:color="000000" w:fill="000000"/>
                      <w:fitText w:val="290" w:id="-894208241"/>
                      <w:lang w:val="en-AU"/>
                      <w14:textFill>
                        <w14:solidFill>
                          <w14:srgbClr w14:val="000000">
                            <w14:alpha w14:val="100000"/>
                          </w14:srgbClr>
                        </w14:solidFill>
                      </w14:textFill>
                    </w:rPr>
                    <w:t>|</w:t>
                  </w:r>
                  <w:r w:rsidR="00CD254D" w:rsidRPr="00B55018">
                    <w:rPr>
                      <w:sz w:val="18"/>
                      <w:szCs w:val="22"/>
                    </w:rPr>
                    <w:t xml:space="preserve"> </w:t>
                  </w:r>
                  <w:r w:rsidR="00CD254D" w:rsidRPr="00B55018">
                    <w:rPr>
                      <w:sz w:val="18"/>
                      <w:szCs w:val="22"/>
                      <w:vertAlign w:val="superscript"/>
                    </w:rPr>
                    <w:t>2</w:t>
                  </w:r>
                </w:p>
              </w:tc>
              <w:tc>
                <w:tcPr>
                  <w:tcW w:w="545" w:type="dxa"/>
                  <w:shd w:val="clear" w:color="auto" w:fill="auto"/>
                  <w:vAlign w:val="center"/>
                </w:tcPr>
                <w:p w14:paraId="60FE41CE" w14:textId="5B195323" w:rsidR="00AA4FE6" w:rsidRPr="00B55018" w:rsidRDefault="0066157F" w:rsidP="00341A2B">
                  <w:pPr>
                    <w:pStyle w:val="Tabletext"/>
                    <w:framePr w:hSpace="180" w:wrap="around" w:vAnchor="text" w:hAnchor="text" w:y="1"/>
                    <w:suppressOverlap/>
                    <w:rPr>
                      <w:sz w:val="18"/>
                      <w:szCs w:val="22"/>
                      <w:lang w:val="en-AU"/>
                    </w:rPr>
                  </w:pPr>
                  <w:r w:rsidRPr="0066157F">
                    <w:rPr>
                      <w:color w:val="000000"/>
                      <w:spacing w:val="213"/>
                      <w:sz w:val="18"/>
                      <w:szCs w:val="22"/>
                      <w:shd w:val="solid" w:color="000000" w:fill="000000"/>
                      <w:fitText w:val="290" w:id="-894208240"/>
                      <w:lang w:val="en-AU"/>
                      <w14:textFill>
                        <w14:solidFill>
                          <w14:srgbClr w14:val="000000">
                            <w14:alpha w14:val="100000"/>
                          </w14:srgbClr>
                        </w14:solidFill>
                      </w14:textFill>
                    </w:rPr>
                    <w:t>|</w:t>
                  </w:r>
                  <w:r w:rsidRPr="0066157F">
                    <w:rPr>
                      <w:color w:val="000000"/>
                      <w:spacing w:val="1"/>
                      <w:sz w:val="18"/>
                      <w:szCs w:val="22"/>
                      <w:shd w:val="solid" w:color="000000" w:fill="000000"/>
                      <w:fitText w:val="290" w:id="-894208240"/>
                      <w:lang w:val="en-AU"/>
                      <w14:textFill>
                        <w14:solidFill>
                          <w14:srgbClr w14:val="000000">
                            <w14:alpha w14:val="100000"/>
                          </w14:srgbClr>
                        </w14:solidFill>
                      </w14:textFill>
                    </w:rPr>
                    <w:t>|</w:t>
                  </w:r>
                  <w:r w:rsidR="00CD254D" w:rsidRPr="00B55018">
                    <w:rPr>
                      <w:sz w:val="18"/>
                      <w:szCs w:val="22"/>
                    </w:rPr>
                    <w:t xml:space="preserve"> </w:t>
                  </w:r>
                  <w:r w:rsidR="00CD254D" w:rsidRPr="00B55018">
                    <w:rPr>
                      <w:sz w:val="18"/>
                      <w:szCs w:val="22"/>
                      <w:vertAlign w:val="superscript"/>
                    </w:rPr>
                    <w:t>2</w:t>
                  </w:r>
                </w:p>
              </w:tc>
              <w:tc>
                <w:tcPr>
                  <w:tcW w:w="691" w:type="dxa"/>
                  <w:vAlign w:val="center"/>
                </w:tcPr>
                <w:p w14:paraId="152F5F6B" w14:textId="77777777" w:rsidR="00AA4FE6" w:rsidRPr="00B55018" w:rsidRDefault="00AA4FE6" w:rsidP="00341A2B">
                  <w:pPr>
                    <w:pStyle w:val="Tabletext"/>
                    <w:framePr w:hSpace="180" w:wrap="around" w:vAnchor="text" w:hAnchor="text" w:y="1"/>
                    <w:suppressOverlap/>
                    <w:rPr>
                      <w:sz w:val="18"/>
                      <w:szCs w:val="22"/>
                      <w:lang w:val="en-AU"/>
                    </w:rPr>
                  </w:pPr>
                  <w:r w:rsidRPr="00B55018">
                    <w:rPr>
                      <w:sz w:val="18"/>
                      <w:szCs w:val="22"/>
                      <w:lang w:val="en-AU"/>
                    </w:rPr>
                    <w:t>59%</w:t>
                  </w:r>
                </w:p>
              </w:tc>
            </w:tr>
            <w:tr w:rsidR="00AA4FE6" w:rsidRPr="00AA4FE6" w14:paraId="6D2BD897" w14:textId="77777777" w:rsidTr="00173384">
              <w:tc>
                <w:tcPr>
                  <w:tcW w:w="797" w:type="dxa"/>
                  <w:shd w:val="clear" w:color="auto" w:fill="auto"/>
                </w:tcPr>
                <w:p w14:paraId="3714507E" w14:textId="77777777" w:rsidR="00AA4FE6" w:rsidRPr="00B55018" w:rsidRDefault="00AA4FE6" w:rsidP="00341A2B">
                  <w:pPr>
                    <w:pStyle w:val="Tabletext"/>
                    <w:framePr w:hSpace="180" w:wrap="around" w:vAnchor="text" w:hAnchor="text" w:y="1"/>
                    <w:suppressOverlap/>
                    <w:rPr>
                      <w:sz w:val="18"/>
                      <w:szCs w:val="22"/>
                      <w:lang w:val="en-AU"/>
                    </w:rPr>
                  </w:pPr>
                  <w:r w:rsidRPr="00B55018">
                    <w:rPr>
                      <w:sz w:val="18"/>
                      <w:szCs w:val="22"/>
                      <w:lang w:val="en-AU"/>
                    </w:rPr>
                    <w:t>600 mcg</w:t>
                  </w:r>
                </w:p>
              </w:tc>
              <w:tc>
                <w:tcPr>
                  <w:tcW w:w="544" w:type="dxa"/>
                  <w:shd w:val="clear" w:color="auto" w:fill="auto"/>
                  <w:vAlign w:val="center"/>
                </w:tcPr>
                <w:p w14:paraId="2160CA57" w14:textId="3E5381CB" w:rsidR="00AA4FE6" w:rsidRPr="00B55018" w:rsidRDefault="0066157F" w:rsidP="00341A2B">
                  <w:pPr>
                    <w:pStyle w:val="Tabletext"/>
                    <w:framePr w:hSpace="180" w:wrap="around" w:vAnchor="text" w:hAnchor="text" w:y="1"/>
                    <w:suppressOverlap/>
                    <w:rPr>
                      <w:sz w:val="18"/>
                      <w:szCs w:val="22"/>
                      <w:lang w:val="en-AU"/>
                    </w:rPr>
                  </w:pPr>
                  <w:r w:rsidRPr="0066157F">
                    <w:rPr>
                      <w:color w:val="000000"/>
                      <w:spacing w:val="213"/>
                      <w:sz w:val="18"/>
                      <w:szCs w:val="22"/>
                      <w:shd w:val="solid" w:color="000000" w:fill="000000"/>
                      <w:fitText w:val="290" w:id="-894208000"/>
                      <w:lang w:val="en-AU"/>
                      <w14:textFill>
                        <w14:solidFill>
                          <w14:srgbClr w14:val="000000">
                            <w14:alpha w14:val="100000"/>
                          </w14:srgbClr>
                        </w14:solidFill>
                      </w14:textFill>
                    </w:rPr>
                    <w:t>|</w:t>
                  </w:r>
                  <w:r w:rsidRPr="0066157F">
                    <w:rPr>
                      <w:color w:val="000000"/>
                      <w:spacing w:val="1"/>
                      <w:sz w:val="18"/>
                      <w:szCs w:val="22"/>
                      <w:shd w:val="solid" w:color="000000" w:fill="000000"/>
                      <w:fitText w:val="290" w:id="-894208000"/>
                      <w:lang w:val="en-AU"/>
                      <w14:textFill>
                        <w14:solidFill>
                          <w14:srgbClr w14:val="000000">
                            <w14:alpha w14:val="100000"/>
                          </w14:srgbClr>
                        </w14:solidFill>
                      </w14:textFill>
                    </w:rPr>
                    <w:t>|</w:t>
                  </w:r>
                  <w:r w:rsidR="00CD254D" w:rsidRPr="00B55018">
                    <w:rPr>
                      <w:sz w:val="18"/>
                      <w:szCs w:val="22"/>
                    </w:rPr>
                    <w:t xml:space="preserve"> </w:t>
                  </w:r>
                  <w:r w:rsidR="00CD254D" w:rsidRPr="00B55018">
                    <w:rPr>
                      <w:sz w:val="18"/>
                      <w:szCs w:val="22"/>
                      <w:vertAlign w:val="superscript"/>
                    </w:rPr>
                    <w:t>1</w:t>
                  </w:r>
                </w:p>
              </w:tc>
              <w:tc>
                <w:tcPr>
                  <w:tcW w:w="544" w:type="dxa"/>
                  <w:shd w:val="clear" w:color="auto" w:fill="auto"/>
                  <w:vAlign w:val="center"/>
                </w:tcPr>
                <w:p w14:paraId="193F39E9" w14:textId="47CA38E4" w:rsidR="00AA4FE6" w:rsidRPr="00B55018" w:rsidRDefault="0066157F" w:rsidP="00341A2B">
                  <w:pPr>
                    <w:pStyle w:val="Tabletext"/>
                    <w:framePr w:hSpace="180" w:wrap="around" w:vAnchor="text" w:hAnchor="text" w:y="1"/>
                    <w:suppressOverlap/>
                    <w:rPr>
                      <w:sz w:val="18"/>
                      <w:szCs w:val="22"/>
                      <w:lang w:val="en-AU"/>
                    </w:rPr>
                  </w:pPr>
                  <w:r w:rsidRPr="0066157F">
                    <w:rPr>
                      <w:color w:val="000000"/>
                      <w:spacing w:val="213"/>
                      <w:sz w:val="18"/>
                      <w:szCs w:val="22"/>
                      <w:shd w:val="solid" w:color="000000" w:fill="000000"/>
                      <w:fitText w:val="290" w:id="-894207999"/>
                      <w:lang w:val="en-AU"/>
                      <w14:textFill>
                        <w14:solidFill>
                          <w14:srgbClr w14:val="000000">
                            <w14:alpha w14:val="100000"/>
                          </w14:srgbClr>
                        </w14:solidFill>
                      </w14:textFill>
                    </w:rPr>
                    <w:t>|</w:t>
                  </w:r>
                  <w:r w:rsidRPr="0066157F">
                    <w:rPr>
                      <w:color w:val="000000"/>
                      <w:spacing w:val="1"/>
                      <w:sz w:val="18"/>
                      <w:szCs w:val="22"/>
                      <w:shd w:val="solid" w:color="000000" w:fill="000000"/>
                      <w:fitText w:val="290" w:id="-894207999"/>
                      <w:lang w:val="en-AU"/>
                      <w14:textFill>
                        <w14:solidFill>
                          <w14:srgbClr w14:val="000000">
                            <w14:alpha w14:val="100000"/>
                          </w14:srgbClr>
                        </w14:solidFill>
                      </w14:textFill>
                    </w:rPr>
                    <w:t>|</w:t>
                  </w:r>
                  <w:r w:rsidR="00CD254D" w:rsidRPr="00B55018">
                    <w:rPr>
                      <w:sz w:val="18"/>
                      <w:szCs w:val="22"/>
                    </w:rPr>
                    <w:t xml:space="preserve"> </w:t>
                  </w:r>
                  <w:r w:rsidR="00CD254D" w:rsidRPr="00B55018">
                    <w:rPr>
                      <w:sz w:val="18"/>
                      <w:szCs w:val="22"/>
                      <w:vertAlign w:val="superscript"/>
                    </w:rPr>
                    <w:t>1</w:t>
                  </w:r>
                </w:p>
              </w:tc>
              <w:tc>
                <w:tcPr>
                  <w:tcW w:w="544" w:type="dxa"/>
                  <w:shd w:val="clear" w:color="auto" w:fill="auto"/>
                  <w:vAlign w:val="center"/>
                </w:tcPr>
                <w:p w14:paraId="299D4C01" w14:textId="7539994C" w:rsidR="00AA4FE6" w:rsidRPr="00B55018" w:rsidRDefault="0066157F" w:rsidP="00341A2B">
                  <w:pPr>
                    <w:pStyle w:val="Tabletext"/>
                    <w:framePr w:hSpace="180" w:wrap="around" w:vAnchor="text" w:hAnchor="text" w:y="1"/>
                    <w:suppressOverlap/>
                    <w:rPr>
                      <w:sz w:val="18"/>
                      <w:szCs w:val="22"/>
                      <w:lang w:val="en-AU"/>
                    </w:rPr>
                  </w:pPr>
                  <w:r w:rsidRPr="0066157F">
                    <w:rPr>
                      <w:color w:val="000000"/>
                      <w:spacing w:val="213"/>
                      <w:sz w:val="18"/>
                      <w:szCs w:val="22"/>
                      <w:shd w:val="solid" w:color="000000" w:fill="000000"/>
                      <w:fitText w:val="290" w:id="-894207998"/>
                      <w:lang w:val="en-AU"/>
                      <w14:textFill>
                        <w14:solidFill>
                          <w14:srgbClr w14:val="000000">
                            <w14:alpha w14:val="100000"/>
                          </w14:srgbClr>
                        </w14:solidFill>
                      </w14:textFill>
                    </w:rPr>
                    <w:t>|</w:t>
                  </w:r>
                  <w:r w:rsidRPr="0066157F">
                    <w:rPr>
                      <w:color w:val="000000"/>
                      <w:spacing w:val="1"/>
                      <w:sz w:val="18"/>
                      <w:szCs w:val="22"/>
                      <w:shd w:val="solid" w:color="000000" w:fill="000000"/>
                      <w:fitText w:val="290" w:id="-894207998"/>
                      <w:lang w:val="en-AU"/>
                      <w14:textFill>
                        <w14:solidFill>
                          <w14:srgbClr w14:val="000000">
                            <w14:alpha w14:val="100000"/>
                          </w14:srgbClr>
                        </w14:solidFill>
                      </w14:textFill>
                    </w:rPr>
                    <w:t>|</w:t>
                  </w:r>
                  <w:r w:rsidR="00CD254D" w:rsidRPr="00B55018">
                    <w:rPr>
                      <w:sz w:val="18"/>
                      <w:szCs w:val="22"/>
                    </w:rPr>
                    <w:t xml:space="preserve"> </w:t>
                  </w:r>
                  <w:r w:rsidR="00CD254D" w:rsidRPr="00B55018">
                    <w:rPr>
                      <w:sz w:val="18"/>
                      <w:szCs w:val="22"/>
                      <w:vertAlign w:val="superscript"/>
                    </w:rPr>
                    <w:t>1</w:t>
                  </w:r>
                </w:p>
              </w:tc>
              <w:tc>
                <w:tcPr>
                  <w:tcW w:w="544" w:type="dxa"/>
                  <w:shd w:val="clear" w:color="auto" w:fill="auto"/>
                  <w:vAlign w:val="center"/>
                </w:tcPr>
                <w:p w14:paraId="12798A39" w14:textId="422C9C00" w:rsidR="00AA4FE6" w:rsidRPr="00B55018" w:rsidRDefault="0066157F" w:rsidP="00341A2B">
                  <w:pPr>
                    <w:pStyle w:val="Tabletext"/>
                    <w:framePr w:hSpace="180" w:wrap="around" w:vAnchor="text" w:hAnchor="text" w:y="1"/>
                    <w:suppressOverlap/>
                    <w:rPr>
                      <w:sz w:val="18"/>
                      <w:szCs w:val="22"/>
                      <w:lang w:val="en-AU"/>
                    </w:rPr>
                  </w:pPr>
                  <w:r w:rsidRPr="0066157F">
                    <w:rPr>
                      <w:color w:val="000000"/>
                      <w:spacing w:val="213"/>
                      <w:sz w:val="18"/>
                      <w:szCs w:val="22"/>
                      <w:shd w:val="solid" w:color="000000" w:fill="000000"/>
                      <w:fitText w:val="290" w:id="-894207997"/>
                      <w:lang w:val="en-AU"/>
                      <w14:textFill>
                        <w14:solidFill>
                          <w14:srgbClr w14:val="000000">
                            <w14:alpha w14:val="100000"/>
                          </w14:srgbClr>
                        </w14:solidFill>
                      </w14:textFill>
                    </w:rPr>
                    <w:t>|</w:t>
                  </w:r>
                  <w:r w:rsidRPr="0066157F">
                    <w:rPr>
                      <w:color w:val="000000"/>
                      <w:spacing w:val="1"/>
                      <w:sz w:val="18"/>
                      <w:szCs w:val="22"/>
                      <w:shd w:val="solid" w:color="000000" w:fill="000000"/>
                      <w:fitText w:val="290" w:id="-894207997"/>
                      <w:lang w:val="en-AU"/>
                      <w14:textFill>
                        <w14:solidFill>
                          <w14:srgbClr w14:val="000000">
                            <w14:alpha w14:val="100000"/>
                          </w14:srgbClr>
                        </w14:solidFill>
                      </w14:textFill>
                    </w:rPr>
                    <w:t>|</w:t>
                  </w:r>
                  <w:r w:rsidR="00CD254D" w:rsidRPr="00B55018">
                    <w:rPr>
                      <w:sz w:val="18"/>
                      <w:szCs w:val="22"/>
                    </w:rPr>
                    <w:t xml:space="preserve"> </w:t>
                  </w:r>
                  <w:r w:rsidR="00CD254D" w:rsidRPr="00B55018">
                    <w:rPr>
                      <w:sz w:val="18"/>
                      <w:szCs w:val="22"/>
                      <w:vertAlign w:val="superscript"/>
                    </w:rPr>
                    <w:t>1</w:t>
                  </w:r>
                </w:p>
              </w:tc>
              <w:tc>
                <w:tcPr>
                  <w:tcW w:w="544" w:type="dxa"/>
                  <w:shd w:val="clear" w:color="auto" w:fill="auto"/>
                  <w:vAlign w:val="center"/>
                </w:tcPr>
                <w:p w14:paraId="5BB86799" w14:textId="514546DC" w:rsidR="00AA4FE6" w:rsidRPr="00B55018" w:rsidRDefault="0066157F" w:rsidP="00341A2B">
                  <w:pPr>
                    <w:pStyle w:val="Tabletext"/>
                    <w:framePr w:hSpace="180" w:wrap="around" w:vAnchor="text" w:hAnchor="text" w:y="1"/>
                    <w:suppressOverlap/>
                    <w:rPr>
                      <w:sz w:val="18"/>
                      <w:szCs w:val="22"/>
                      <w:lang w:val="en-AU"/>
                    </w:rPr>
                  </w:pPr>
                  <w:r w:rsidRPr="0066157F">
                    <w:rPr>
                      <w:color w:val="000000"/>
                      <w:spacing w:val="213"/>
                      <w:sz w:val="18"/>
                      <w:szCs w:val="22"/>
                      <w:shd w:val="solid" w:color="000000" w:fill="000000"/>
                      <w:fitText w:val="290" w:id="-894207996"/>
                      <w:lang w:val="en-AU"/>
                      <w14:textFill>
                        <w14:solidFill>
                          <w14:srgbClr w14:val="000000">
                            <w14:alpha w14:val="100000"/>
                          </w14:srgbClr>
                        </w14:solidFill>
                      </w14:textFill>
                    </w:rPr>
                    <w:t>|</w:t>
                  </w:r>
                  <w:r w:rsidRPr="0066157F">
                    <w:rPr>
                      <w:color w:val="000000"/>
                      <w:spacing w:val="1"/>
                      <w:sz w:val="18"/>
                      <w:szCs w:val="22"/>
                      <w:shd w:val="solid" w:color="000000" w:fill="000000"/>
                      <w:fitText w:val="290" w:id="-894207996"/>
                      <w:lang w:val="en-AU"/>
                      <w14:textFill>
                        <w14:solidFill>
                          <w14:srgbClr w14:val="000000">
                            <w14:alpha w14:val="100000"/>
                          </w14:srgbClr>
                        </w14:solidFill>
                      </w14:textFill>
                    </w:rPr>
                    <w:t>|</w:t>
                  </w:r>
                  <w:r w:rsidR="00CD254D" w:rsidRPr="00B55018">
                    <w:rPr>
                      <w:sz w:val="18"/>
                      <w:szCs w:val="22"/>
                    </w:rPr>
                    <w:t xml:space="preserve"> </w:t>
                  </w:r>
                  <w:r w:rsidR="00CD254D" w:rsidRPr="00B55018">
                    <w:rPr>
                      <w:sz w:val="18"/>
                      <w:szCs w:val="22"/>
                      <w:vertAlign w:val="superscript"/>
                    </w:rPr>
                    <w:t>1</w:t>
                  </w:r>
                </w:p>
              </w:tc>
              <w:tc>
                <w:tcPr>
                  <w:tcW w:w="545" w:type="dxa"/>
                  <w:shd w:val="clear" w:color="auto" w:fill="auto"/>
                  <w:vAlign w:val="center"/>
                </w:tcPr>
                <w:p w14:paraId="4C6B4FF1" w14:textId="00CC3CF4" w:rsidR="00AA4FE6" w:rsidRPr="00B55018" w:rsidRDefault="0066157F" w:rsidP="00341A2B">
                  <w:pPr>
                    <w:pStyle w:val="Tabletext"/>
                    <w:framePr w:hSpace="180" w:wrap="around" w:vAnchor="text" w:hAnchor="text" w:y="1"/>
                    <w:suppressOverlap/>
                    <w:rPr>
                      <w:sz w:val="18"/>
                      <w:szCs w:val="22"/>
                      <w:lang w:val="en-AU"/>
                    </w:rPr>
                  </w:pPr>
                  <w:r w:rsidRPr="0066157F">
                    <w:rPr>
                      <w:color w:val="000000"/>
                      <w:spacing w:val="213"/>
                      <w:sz w:val="18"/>
                      <w:szCs w:val="22"/>
                      <w:shd w:val="solid" w:color="000000" w:fill="000000"/>
                      <w:fitText w:val="290" w:id="-894207995"/>
                      <w:lang w:val="en-AU"/>
                      <w14:textFill>
                        <w14:solidFill>
                          <w14:srgbClr w14:val="000000">
                            <w14:alpha w14:val="100000"/>
                          </w14:srgbClr>
                        </w14:solidFill>
                      </w14:textFill>
                    </w:rPr>
                    <w:t>|</w:t>
                  </w:r>
                  <w:r w:rsidRPr="0066157F">
                    <w:rPr>
                      <w:color w:val="000000"/>
                      <w:spacing w:val="1"/>
                      <w:sz w:val="18"/>
                      <w:szCs w:val="22"/>
                      <w:shd w:val="solid" w:color="000000" w:fill="000000"/>
                      <w:fitText w:val="290" w:id="-894207995"/>
                      <w:lang w:val="en-AU"/>
                      <w14:textFill>
                        <w14:solidFill>
                          <w14:srgbClr w14:val="000000">
                            <w14:alpha w14:val="100000"/>
                          </w14:srgbClr>
                        </w14:solidFill>
                      </w14:textFill>
                    </w:rPr>
                    <w:t>|</w:t>
                  </w:r>
                  <w:r w:rsidR="00CD254D" w:rsidRPr="00B55018">
                    <w:rPr>
                      <w:sz w:val="18"/>
                      <w:szCs w:val="22"/>
                    </w:rPr>
                    <w:t xml:space="preserve"> </w:t>
                  </w:r>
                  <w:r w:rsidR="00CD254D" w:rsidRPr="00B55018">
                    <w:rPr>
                      <w:sz w:val="18"/>
                      <w:szCs w:val="22"/>
                      <w:vertAlign w:val="superscript"/>
                    </w:rPr>
                    <w:t>1</w:t>
                  </w:r>
                </w:p>
              </w:tc>
              <w:tc>
                <w:tcPr>
                  <w:tcW w:w="691" w:type="dxa"/>
                  <w:vAlign w:val="center"/>
                </w:tcPr>
                <w:p w14:paraId="4BE6B7F4" w14:textId="77777777" w:rsidR="00AA4FE6" w:rsidRPr="00B55018" w:rsidRDefault="00AA4FE6" w:rsidP="00341A2B">
                  <w:pPr>
                    <w:pStyle w:val="Tabletext"/>
                    <w:framePr w:hSpace="180" w:wrap="around" w:vAnchor="text" w:hAnchor="text" w:y="1"/>
                    <w:suppressOverlap/>
                    <w:rPr>
                      <w:sz w:val="18"/>
                      <w:szCs w:val="22"/>
                      <w:lang w:val="en-AU"/>
                    </w:rPr>
                  </w:pPr>
                  <w:r w:rsidRPr="00B55018">
                    <w:rPr>
                      <w:sz w:val="18"/>
                      <w:szCs w:val="22"/>
                      <w:lang w:val="en-AU"/>
                    </w:rPr>
                    <w:t>5%</w:t>
                  </w:r>
                </w:p>
              </w:tc>
            </w:tr>
            <w:tr w:rsidR="00AA4FE6" w:rsidRPr="00AA4FE6" w14:paraId="7E399EDC" w14:textId="77777777" w:rsidTr="00173384">
              <w:tc>
                <w:tcPr>
                  <w:tcW w:w="797" w:type="dxa"/>
                  <w:tcBorders>
                    <w:bottom w:val="single" w:sz="4" w:space="0" w:color="auto"/>
                  </w:tcBorders>
                  <w:shd w:val="clear" w:color="auto" w:fill="auto"/>
                </w:tcPr>
                <w:p w14:paraId="46210799" w14:textId="77777777" w:rsidR="00AA4FE6" w:rsidRPr="00B55018" w:rsidRDefault="00AA4FE6" w:rsidP="00341A2B">
                  <w:pPr>
                    <w:pStyle w:val="Tabletext"/>
                    <w:framePr w:hSpace="180" w:wrap="around" w:vAnchor="text" w:hAnchor="text" w:y="1"/>
                    <w:suppressOverlap/>
                    <w:rPr>
                      <w:sz w:val="18"/>
                      <w:szCs w:val="22"/>
                      <w:lang w:val="en-AU"/>
                    </w:rPr>
                  </w:pPr>
                  <w:r w:rsidRPr="00B55018">
                    <w:rPr>
                      <w:sz w:val="18"/>
                      <w:szCs w:val="22"/>
                      <w:lang w:val="en-AU"/>
                    </w:rPr>
                    <w:t>1200 mcg</w:t>
                  </w:r>
                </w:p>
              </w:tc>
              <w:tc>
                <w:tcPr>
                  <w:tcW w:w="544" w:type="dxa"/>
                  <w:tcBorders>
                    <w:bottom w:val="single" w:sz="4" w:space="0" w:color="auto"/>
                  </w:tcBorders>
                  <w:shd w:val="clear" w:color="auto" w:fill="auto"/>
                  <w:vAlign w:val="center"/>
                </w:tcPr>
                <w:p w14:paraId="7C2D6467" w14:textId="3FE64FEF" w:rsidR="00AA4FE6" w:rsidRPr="00B55018" w:rsidRDefault="0066157F" w:rsidP="00341A2B">
                  <w:pPr>
                    <w:pStyle w:val="Tabletext"/>
                    <w:framePr w:hSpace="180" w:wrap="around" w:vAnchor="text" w:hAnchor="text" w:y="1"/>
                    <w:suppressOverlap/>
                    <w:rPr>
                      <w:sz w:val="18"/>
                      <w:szCs w:val="22"/>
                      <w:lang w:val="en-AU"/>
                    </w:rPr>
                  </w:pPr>
                  <w:r w:rsidRPr="0066157F">
                    <w:rPr>
                      <w:color w:val="000000"/>
                      <w:spacing w:val="213"/>
                      <w:sz w:val="18"/>
                      <w:szCs w:val="22"/>
                      <w:shd w:val="solid" w:color="000000" w:fill="000000"/>
                      <w:fitText w:val="290" w:id="-894207994"/>
                      <w:lang w:val="en-AU"/>
                      <w14:textFill>
                        <w14:solidFill>
                          <w14:srgbClr w14:val="000000">
                            <w14:alpha w14:val="100000"/>
                          </w14:srgbClr>
                        </w14:solidFill>
                      </w14:textFill>
                    </w:rPr>
                    <w:t>|</w:t>
                  </w:r>
                  <w:r w:rsidRPr="0066157F">
                    <w:rPr>
                      <w:color w:val="000000"/>
                      <w:spacing w:val="1"/>
                      <w:sz w:val="18"/>
                      <w:szCs w:val="22"/>
                      <w:shd w:val="solid" w:color="000000" w:fill="000000"/>
                      <w:fitText w:val="290" w:id="-894207994"/>
                      <w:lang w:val="en-AU"/>
                      <w14:textFill>
                        <w14:solidFill>
                          <w14:srgbClr w14:val="000000">
                            <w14:alpha w14:val="100000"/>
                          </w14:srgbClr>
                        </w14:solidFill>
                      </w14:textFill>
                    </w:rPr>
                    <w:t>|</w:t>
                  </w:r>
                  <w:r w:rsidR="00CD254D" w:rsidRPr="00B55018">
                    <w:rPr>
                      <w:sz w:val="18"/>
                      <w:szCs w:val="22"/>
                    </w:rPr>
                    <w:t xml:space="preserve"> </w:t>
                  </w:r>
                  <w:r w:rsidR="00CD254D" w:rsidRPr="00B55018">
                    <w:rPr>
                      <w:sz w:val="18"/>
                      <w:szCs w:val="22"/>
                      <w:vertAlign w:val="superscript"/>
                    </w:rPr>
                    <w:t>1</w:t>
                  </w:r>
                </w:p>
              </w:tc>
              <w:tc>
                <w:tcPr>
                  <w:tcW w:w="544" w:type="dxa"/>
                  <w:tcBorders>
                    <w:bottom w:val="single" w:sz="4" w:space="0" w:color="auto"/>
                  </w:tcBorders>
                  <w:shd w:val="clear" w:color="auto" w:fill="auto"/>
                  <w:vAlign w:val="center"/>
                </w:tcPr>
                <w:p w14:paraId="7471ABDD" w14:textId="511E6FE3" w:rsidR="00AA4FE6" w:rsidRPr="00B55018" w:rsidRDefault="0066157F" w:rsidP="00341A2B">
                  <w:pPr>
                    <w:pStyle w:val="Tabletext"/>
                    <w:framePr w:hSpace="180" w:wrap="around" w:vAnchor="text" w:hAnchor="text" w:y="1"/>
                    <w:suppressOverlap/>
                    <w:rPr>
                      <w:sz w:val="18"/>
                      <w:szCs w:val="22"/>
                      <w:lang w:val="en-AU"/>
                    </w:rPr>
                  </w:pPr>
                  <w:r w:rsidRPr="0066157F">
                    <w:rPr>
                      <w:color w:val="000000"/>
                      <w:spacing w:val="213"/>
                      <w:sz w:val="18"/>
                      <w:szCs w:val="22"/>
                      <w:shd w:val="solid" w:color="000000" w:fill="000000"/>
                      <w:fitText w:val="290" w:id="-894207993"/>
                      <w:lang w:val="en-AU"/>
                      <w14:textFill>
                        <w14:solidFill>
                          <w14:srgbClr w14:val="000000">
                            <w14:alpha w14:val="100000"/>
                          </w14:srgbClr>
                        </w14:solidFill>
                      </w14:textFill>
                    </w:rPr>
                    <w:t>|</w:t>
                  </w:r>
                  <w:r w:rsidRPr="0066157F">
                    <w:rPr>
                      <w:color w:val="000000"/>
                      <w:spacing w:val="1"/>
                      <w:sz w:val="18"/>
                      <w:szCs w:val="22"/>
                      <w:shd w:val="solid" w:color="000000" w:fill="000000"/>
                      <w:fitText w:val="290" w:id="-894207993"/>
                      <w:lang w:val="en-AU"/>
                      <w14:textFill>
                        <w14:solidFill>
                          <w14:srgbClr w14:val="000000">
                            <w14:alpha w14:val="100000"/>
                          </w14:srgbClr>
                        </w14:solidFill>
                      </w14:textFill>
                    </w:rPr>
                    <w:t>|</w:t>
                  </w:r>
                  <w:r w:rsidR="00CD254D" w:rsidRPr="00B55018">
                    <w:rPr>
                      <w:sz w:val="18"/>
                      <w:szCs w:val="22"/>
                    </w:rPr>
                    <w:t xml:space="preserve"> </w:t>
                  </w:r>
                  <w:r w:rsidR="00CD254D" w:rsidRPr="00B55018">
                    <w:rPr>
                      <w:sz w:val="18"/>
                      <w:szCs w:val="22"/>
                      <w:vertAlign w:val="superscript"/>
                    </w:rPr>
                    <w:t>1</w:t>
                  </w:r>
                </w:p>
              </w:tc>
              <w:tc>
                <w:tcPr>
                  <w:tcW w:w="544" w:type="dxa"/>
                  <w:tcBorders>
                    <w:bottom w:val="single" w:sz="4" w:space="0" w:color="auto"/>
                  </w:tcBorders>
                  <w:shd w:val="clear" w:color="auto" w:fill="auto"/>
                  <w:vAlign w:val="center"/>
                </w:tcPr>
                <w:p w14:paraId="47DB4594" w14:textId="5E0A73C9" w:rsidR="00AA4FE6" w:rsidRPr="00B55018" w:rsidRDefault="0066157F" w:rsidP="00341A2B">
                  <w:pPr>
                    <w:pStyle w:val="Tabletext"/>
                    <w:framePr w:hSpace="180" w:wrap="around" w:vAnchor="text" w:hAnchor="text" w:y="1"/>
                    <w:suppressOverlap/>
                    <w:rPr>
                      <w:sz w:val="18"/>
                      <w:szCs w:val="22"/>
                      <w:lang w:val="en-AU"/>
                    </w:rPr>
                  </w:pPr>
                  <w:r w:rsidRPr="0066157F">
                    <w:rPr>
                      <w:color w:val="000000"/>
                      <w:spacing w:val="213"/>
                      <w:sz w:val="18"/>
                      <w:szCs w:val="22"/>
                      <w:shd w:val="solid" w:color="000000" w:fill="000000"/>
                      <w:fitText w:val="290" w:id="-894207992"/>
                      <w:lang w:val="en-AU"/>
                      <w14:textFill>
                        <w14:solidFill>
                          <w14:srgbClr w14:val="000000">
                            <w14:alpha w14:val="100000"/>
                          </w14:srgbClr>
                        </w14:solidFill>
                      </w14:textFill>
                    </w:rPr>
                    <w:t>|</w:t>
                  </w:r>
                  <w:r w:rsidRPr="0066157F">
                    <w:rPr>
                      <w:color w:val="000000"/>
                      <w:spacing w:val="1"/>
                      <w:sz w:val="18"/>
                      <w:szCs w:val="22"/>
                      <w:shd w:val="solid" w:color="000000" w:fill="000000"/>
                      <w:fitText w:val="290" w:id="-894207992"/>
                      <w:lang w:val="en-AU"/>
                      <w14:textFill>
                        <w14:solidFill>
                          <w14:srgbClr w14:val="000000">
                            <w14:alpha w14:val="100000"/>
                          </w14:srgbClr>
                        </w14:solidFill>
                      </w14:textFill>
                    </w:rPr>
                    <w:t>|</w:t>
                  </w:r>
                  <w:r w:rsidR="00CD254D" w:rsidRPr="00B55018">
                    <w:rPr>
                      <w:sz w:val="18"/>
                      <w:szCs w:val="22"/>
                    </w:rPr>
                    <w:t xml:space="preserve"> </w:t>
                  </w:r>
                  <w:r w:rsidR="00CD254D" w:rsidRPr="00B55018">
                    <w:rPr>
                      <w:sz w:val="18"/>
                      <w:szCs w:val="22"/>
                      <w:vertAlign w:val="superscript"/>
                    </w:rPr>
                    <w:t>1</w:t>
                  </w:r>
                </w:p>
              </w:tc>
              <w:tc>
                <w:tcPr>
                  <w:tcW w:w="544" w:type="dxa"/>
                  <w:tcBorders>
                    <w:bottom w:val="single" w:sz="4" w:space="0" w:color="auto"/>
                  </w:tcBorders>
                  <w:shd w:val="clear" w:color="auto" w:fill="auto"/>
                  <w:vAlign w:val="center"/>
                </w:tcPr>
                <w:p w14:paraId="42092831" w14:textId="7D56C00A" w:rsidR="00AA4FE6" w:rsidRPr="00B55018" w:rsidRDefault="0066157F" w:rsidP="00341A2B">
                  <w:pPr>
                    <w:pStyle w:val="Tabletext"/>
                    <w:framePr w:hSpace="180" w:wrap="around" w:vAnchor="text" w:hAnchor="text" w:y="1"/>
                    <w:suppressOverlap/>
                    <w:rPr>
                      <w:sz w:val="18"/>
                      <w:szCs w:val="22"/>
                      <w:lang w:val="en-AU"/>
                    </w:rPr>
                  </w:pPr>
                  <w:r w:rsidRPr="0066157F">
                    <w:rPr>
                      <w:color w:val="000000"/>
                      <w:spacing w:val="213"/>
                      <w:sz w:val="18"/>
                      <w:szCs w:val="22"/>
                      <w:shd w:val="solid" w:color="000000" w:fill="000000"/>
                      <w:fitText w:val="290" w:id="-894207991"/>
                      <w:lang w:val="en-AU"/>
                      <w14:textFill>
                        <w14:solidFill>
                          <w14:srgbClr w14:val="000000">
                            <w14:alpha w14:val="100000"/>
                          </w14:srgbClr>
                        </w14:solidFill>
                      </w14:textFill>
                    </w:rPr>
                    <w:t>|</w:t>
                  </w:r>
                  <w:r w:rsidRPr="0066157F">
                    <w:rPr>
                      <w:color w:val="000000"/>
                      <w:spacing w:val="1"/>
                      <w:sz w:val="18"/>
                      <w:szCs w:val="22"/>
                      <w:shd w:val="solid" w:color="000000" w:fill="000000"/>
                      <w:fitText w:val="290" w:id="-894207991"/>
                      <w:lang w:val="en-AU"/>
                      <w14:textFill>
                        <w14:solidFill>
                          <w14:srgbClr w14:val="000000">
                            <w14:alpha w14:val="100000"/>
                          </w14:srgbClr>
                        </w14:solidFill>
                      </w14:textFill>
                    </w:rPr>
                    <w:t>|</w:t>
                  </w:r>
                  <w:r w:rsidR="00CD254D" w:rsidRPr="00B55018">
                    <w:rPr>
                      <w:sz w:val="18"/>
                      <w:szCs w:val="22"/>
                    </w:rPr>
                    <w:t xml:space="preserve"> </w:t>
                  </w:r>
                  <w:r w:rsidR="00CD254D" w:rsidRPr="00B55018">
                    <w:rPr>
                      <w:sz w:val="18"/>
                      <w:szCs w:val="22"/>
                      <w:vertAlign w:val="superscript"/>
                    </w:rPr>
                    <w:t>1</w:t>
                  </w:r>
                </w:p>
              </w:tc>
              <w:tc>
                <w:tcPr>
                  <w:tcW w:w="544" w:type="dxa"/>
                  <w:tcBorders>
                    <w:bottom w:val="single" w:sz="4" w:space="0" w:color="auto"/>
                  </w:tcBorders>
                  <w:shd w:val="clear" w:color="auto" w:fill="auto"/>
                  <w:vAlign w:val="center"/>
                </w:tcPr>
                <w:p w14:paraId="7457A914" w14:textId="6FBC8272" w:rsidR="00AA4FE6" w:rsidRPr="00B55018" w:rsidRDefault="0066157F" w:rsidP="00341A2B">
                  <w:pPr>
                    <w:pStyle w:val="Tabletext"/>
                    <w:framePr w:hSpace="180" w:wrap="around" w:vAnchor="text" w:hAnchor="text" w:y="1"/>
                    <w:suppressOverlap/>
                    <w:rPr>
                      <w:sz w:val="18"/>
                      <w:szCs w:val="22"/>
                      <w:lang w:val="en-AU"/>
                    </w:rPr>
                  </w:pPr>
                  <w:r w:rsidRPr="0066157F">
                    <w:rPr>
                      <w:color w:val="000000"/>
                      <w:spacing w:val="213"/>
                      <w:sz w:val="18"/>
                      <w:szCs w:val="22"/>
                      <w:shd w:val="solid" w:color="000000" w:fill="000000"/>
                      <w:fitText w:val="290" w:id="-894207990"/>
                      <w:lang w:val="en-AU"/>
                      <w14:textFill>
                        <w14:solidFill>
                          <w14:srgbClr w14:val="000000">
                            <w14:alpha w14:val="100000"/>
                          </w14:srgbClr>
                        </w14:solidFill>
                      </w14:textFill>
                    </w:rPr>
                    <w:t>|</w:t>
                  </w:r>
                  <w:r w:rsidRPr="0066157F">
                    <w:rPr>
                      <w:color w:val="000000"/>
                      <w:spacing w:val="1"/>
                      <w:sz w:val="18"/>
                      <w:szCs w:val="22"/>
                      <w:shd w:val="solid" w:color="000000" w:fill="000000"/>
                      <w:fitText w:val="290" w:id="-894207990"/>
                      <w:lang w:val="en-AU"/>
                      <w14:textFill>
                        <w14:solidFill>
                          <w14:srgbClr w14:val="000000">
                            <w14:alpha w14:val="100000"/>
                          </w14:srgbClr>
                        </w14:solidFill>
                      </w14:textFill>
                    </w:rPr>
                    <w:t>|</w:t>
                  </w:r>
                  <w:r w:rsidR="00CD254D" w:rsidRPr="00B55018">
                    <w:rPr>
                      <w:sz w:val="18"/>
                      <w:szCs w:val="22"/>
                    </w:rPr>
                    <w:t xml:space="preserve"> </w:t>
                  </w:r>
                  <w:r w:rsidR="00CD254D" w:rsidRPr="00B55018">
                    <w:rPr>
                      <w:sz w:val="18"/>
                      <w:szCs w:val="22"/>
                      <w:vertAlign w:val="superscript"/>
                    </w:rPr>
                    <w:t>1</w:t>
                  </w:r>
                </w:p>
              </w:tc>
              <w:tc>
                <w:tcPr>
                  <w:tcW w:w="545" w:type="dxa"/>
                  <w:tcBorders>
                    <w:bottom w:val="single" w:sz="4" w:space="0" w:color="auto"/>
                  </w:tcBorders>
                  <w:shd w:val="clear" w:color="auto" w:fill="auto"/>
                  <w:vAlign w:val="center"/>
                </w:tcPr>
                <w:p w14:paraId="61FE56D4" w14:textId="2804DB7F" w:rsidR="00AA4FE6" w:rsidRPr="00B55018" w:rsidRDefault="0066157F" w:rsidP="00341A2B">
                  <w:pPr>
                    <w:pStyle w:val="Tabletext"/>
                    <w:framePr w:hSpace="180" w:wrap="around" w:vAnchor="text" w:hAnchor="text" w:y="1"/>
                    <w:suppressOverlap/>
                    <w:rPr>
                      <w:sz w:val="18"/>
                      <w:szCs w:val="22"/>
                      <w:lang w:val="en-AU"/>
                    </w:rPr>
                  </w:pPr>
                  <w:r w:rsidRPr="0066157F">
                    <w:rPr>
                      <w:color w:val="000000"/>
                      <w:spacing w:val="213"/>
                      <w:sz w:val="18"/>
                      <w:szCs w:val="22"/>
                      <w:shd w:val="solid" w:color="000000" w:fill="000000"/>
                      <w:fitText w:val="290" w:id="-894207989"/>
                      <w:lang w:val="en-AU"/>
                      <w14:textFill>
                        <w14:solidFill>
                          <w14:srgbClr w14:val="000000">
                            <w14:alpha w14:val="100000"/>
                          </w14:srgbClr>
                        </w14:solidFill>
                      </w14:textFill>
                    </w:rPr>
                    <w:t>|</w:t>
                  </w:r>
                  <w:r w:rsidRPr="0066157F">
                    <w:rPr>
                      <w:color w:val="000000"/>
                      <w:spacing w:val="1"/>
                      <w:sz w:val="18"/>
                      <w:szCs w:val="22"/>
                      <w:shd w:val="solid" w:color="000000" w:fill="000000"/>
                      <w:fitText w:val="290" w:id="-894207989"/>
                      <w:lang w:val="en-AU"/>
                      <w14:textFill>
                        <w14:solidFill>
                          <w14:srgbClr w14:val="000000">
                            <w14:alpha w14:val="100000"/>
                          </w14:srgbClr>
                        </w14:solidFill>
                      </w14:textFill>
                    </w:rPr>
                    <w:t>|</w:t>
                  </w:r>
                  <w:r w:rsidR="00CD254D" w:rsidRPr="00B55018">
                    <w:rPr>
                      <w:sz w:val="18"/>
                      <w:szCs w:val="22"/>
                    </w:rPr>
                    <w:t xml:space="preserve"> </w:t>
                  </w:r>
                  <w:r w:rsidR="00CD254D" w:rsidRPr="00B55018">
                    <w:rPr>
                      <w:sz w:val="18"/>
                      <w:szCs w:val="22"/>
                      <w:vertAlign w:val="superscript"/>
                    </w:rPr>
                    <w:t>1</w:t>
                  </w:r>
                </w:p>
              </w:tc>
              <w:tc>
                <w:tcPr>
                  <w:tcW w:w="691" w:type="dxa"/>
                  <w:tcBorders>
                    <w:bottom w:val="single" w:sz="4" w:space="0" w:color="auto"/>
                  </w:tcBorders>
                  <w:vAlign w:val="center"/>
                </w:tcPr>
                <w:p w14:paraId="7555F8E0" w14:textId="77777777" w:rsidR="00AA4FE6" w:rsidRPr="00B55018" w:rsidRDefault="00AA4FE6" w:rsidP="00341A2B">
                  <w:pPr>
                    <w:pStyle w:val="Tabletext"/>
                    <w:framePr w:hSpace="180" w:wrap="around" w:vAnchor="text" w:hAnchor="text" w:y="1"/>
                    <w:suppressOverlap/>
                    <w:rPr>
                      <w:sz w:val="18"/>
                      <w:szCs w:val="22"/>
                      <w:lang w:val="en-AU"/>
                    </w:rPr>
                  </w:pPr>
                  <w:r w:rsidRPr="00B55018">
                    <w:rPr>
                      <w:sz w:val="18"/>
                      <w:szCs w:val="22"/>
                      <w:lang w:val="en-AU"/>
                    </w:rPr>
                    <w:t>25%</w:t>
                  </w:r>
                </w:p>
              </w:tc>
            </w:tr>
            <w:tr w:rsidR="00AA4FE6" w:rsidRPr="00AA4FE6" w14:paraId="2AE0E0C6" w14:textId="77777777" w:rsidTr="00173384">
              <w:tc>
                <w:tcPr>
                  <w:tcW w:w="797" w:type="dxa"/>
                  <w:tcBorders>
                    <w:bottom w:val="single" w:sz="4" w:space="0" w:color="auto"/>
                  </w:tcBorders>
                  <w:shd w:val="clear" w:color="auto" w:fill="auto"/>
                </w:tcPr>
                <w:p w14:paraId="039056EF" w14:textId="77777777" w:rsidR="00AA4FE6" w:rsidRPr="00B55018" w:rsidRDefault="00AA4FE6" w:rsidP="00341A2B">
                  <w:pPr>
                    <w:pStyle w:val="Tabletext"/>
                    <w:framePr w:hSpace="180" w:wrap="around" w:vAnchor="text" w:hAnchor="text" w:y="1"/>
                    <w:suppressOverlap/>
                    <w:rPr>
                      <w:sz w:val="18"/>
                      <w:szCs w:val="22"/>
                      <w:lang w:val="en-AU"/>
                    </w:rPr>
                  </w:pPr>
                  <w:r w:rsidRPr="00B55018">
                    <w:rPr>
                      <w:sz w:val="18"/>
                      <w:szCs w:val="22"/>
                      <w:lang w:val="en-AU"/>
                    </w:rPr>
                    <w:t>Total</w:t>
                  </w:r>
                </w:p>
              </w:tc>
              <w:tc>
                <w:tcPr>
                  <w:tcW w:w="544" w:type="dxa"/>
                  <w:tcBorders>
                    <w:bottom w:val="single" w:sz="4" w:space="0" w:color="auto"/>
                  </w:tcBorders>
                  <w:shd w:val="clear" w:color="auto" w:fill="auto"/>
                </w:tcPr>
                <w:p w14:paraId="5363CFC9" w14:textId="18858564" w:rsidR="00AA4FE6" w:rsidRPr="00B55018" w:rsidRDefault="0066157F" w:rsidP="00341A2B">
                  <w:pPr>
                    <w:pStyle w:val="Tabletext"/>
                    <w:framePr w:hSpace="180" w:wrap="around" w:vAnchor="text" w:hAnchor="text" w:y="1"/>
                    <w:suppressOverlap/>
                    <w:rPr>
                      <w:sz w:val="18"/>
                      <w:szCs w:val="22"/>
                      <w:lang w:val="en-AU"/>
                    </w:rPr>
                  </w:pPr>
                  <w:r w:rsidRPr="0066157F">
                    <w:rPr>
                      <w:color w:val="000000"/>
                      <w:spacing w:val="213"/>
                      <w:sz w:val="18"/>
                      <w:szCs w:val="22"/>
                      <w:shd w:val="solid" w:color="000000" w:fill="000000"/>
                      <w:fitText w:val="290" w:id="-894207988"/>
                      <w:lang w:val="en-AU"/>
                      <w14:textFill>
                        <w14:solidFill>
                          <w14:srgbClr w14:val="000000">
                            <w14:alpha w14:val="100000"/>
                          </w14:srgbClr>
                        </w14:solidFill>
                      </w14:textFill>
                    </w:rPr>
                    <w:t>|</w:t>
                  </w:r>
                  <w:r w:rsidRPr="0066157F">
                    <w:rPr>
                      <w:color w:val="000000"/>
                      <w:spacing w:val="1"/>
                      <w:sz w:val="18"/>
                      <w:szCs w:val="22"/>
                      <w:shd w:val="solid" w:color="000000" w:fill="000000"/>
                      <w:fitText w:val="290" w:id="-894207988"/>
                      <w:lang w:val="en-AU"/>
                      <w14:textFill>
                        <w14:solidFill>
                          <w14:srgbClr w14:val="000000">
                            <w14:alpha w14:val="100000"/>
                          </w14:srgbClr>
                        </w14:solidFill>
                      </w14:textFill>
                    </w:rPr>
                    <w:t>|</w:t>
                  </w:r>
                  <w:r w:rsidR="00CD254D" w:rsidRPr="00B55018">
                    <w:rPr>
                      <w:sz w:val="18"/>
                      <w:szCs w:val="22"/>
                    </w:rPr>
                    <w:t xml:space="preserve"> </w:t>
                  </w:r>
                  <w:r w:rsidR="00CD254D" w:rsidRPr="00B55018">
                    <w:rPr>
                      <w:sz w:val="18"/>
                      <w:szCs w:val="22"/>
                      <w:vertAlign w:val="superscript"/>
                    </w:rPr>
                    <w:t>2</w:t>
                  </w:r>
                </w:p>
              </w:tc>
              <w:tc>
                <w:tcPr>
                  <w:tcW w:w="544" w:type="dxa"/>
                  <w:tcBorders>
                    <w:bottom w:val="single" w:sz="4" w:space="0" w:color="auto"/>
                  </w:tcBorders>
                  <w:shd w:val="clear" w:color="auto" w:fill="auto"/>
                </w:tcPr>
                <w:p w14:paraId="37273E5E" w14:textId="1266FE91" w:rsidR="00AA4FE6" w:rsidRPr="00B55018" w:rsidRDefault="0066157F" w:rsidP="00341A2B">
                  <w:pPr>
                    <w:pStyle w:val="Tabletext"/>
                    <w:framePr w:hSpace="180" w:wrap="around" w:vAnchor="text" w:hAnchor="text" w:y="1"/>
                    <w:suppressOverlap/>
                    <w:rPr>
                      <w:sz w:val="18"/>
                      <w:szCs w:val="22"/>
                      <w:lang w:val="en-AU"/>
                    </w:rPr>
                  </w:pPr>
                  <w:r w:rsidRPr="0066157F">
                    <w:rPr>
                      <w:color w:val="000000"/>
                      <w:spacing w:val="213"/>
                      <w:sz w:val="18"/>
                      <w:szCs w:val="22"/>
                      <w:shd w:val="solid" w:color="000000" w:fill="000000"/>
                      <w:fitText w:val="290" w:id="-894207987"/>
                      <w:lang w:val="en-AU"/>
                      <w14:textFill>
                        <w14:solidFill>
                          <w14:srgbClr w14:val="000000">
                            <w14:alpha w14:val="100000"/>
                          </w14:srgbClr>
                        </w14:solidFill>
                      </w14:textFill>
                    </w:rPr>
                    <w:t>|</w:t>
                  </w:r>
                  <w:r w:rsidRPr="0066157F">
                    <w:rPr>
                      <w:color w:val="000000"/>
                      <w:spacing w:val="1"/>
                      <w:sz w:val="18"/>
                      <w:szCs w:val="22"/>
                      <w:shd w:val="solid" w:color="000000" w:fill="000000"/>
                      <w:fitText w:val="290" w:id="-894207987"/>
                      <w:lang w:val="en-AU"/>
                      <w14:textFill>
                        <w14:solidFill>
                          <w14:srgbClr w14:val="000000">
                            <w14:alpha w14:val="100000"/>
                          </w14:srgbClr>
                        </w14:solidFill>
                      </w14:textFill>
                    </w:rPr>
                    <w:t>|</w:t>
                  </w:r>
                  <w:r w:rsidR="00CD254D" w:rsidRPr="00B55018">
                    <w:rPr>
                      <w:sz w:val="18"/>
                      <w:szCs w:val="22"/>
                    </w:rPr>
                    <w:t xml:space="preserve"> </w:t>
                  </w:r>
                  <w:r w:rsidR="00CD254D" w:rsidRPr="00B55018">
                    <w:rPr>
                      <w:sz w:val="18"/>
                      <w:szCs w:val="22"/>
                      <w:vertAlign w:val="superscript"/>
                    </w:rPr>
                    <w:t>2</w:t>
                  </w:r>
                </w:p>
              </w:tc>
              <w:tc>
                <w:tcPr>
                  <w:tcW w:w="544" w:type="dxa"/>
                  <w:tcBorders>
                    <w:bottom w:val="single" w:sz="4" w:space="0" w:color="auto"/>
                  </w:tcBorders>
                  <w:shd w:val="clear" w:color="auto" w:fill="auto"/>
                </w:tcPr>
                <w:p w14:paraId="779068A6" w14:textId="61C8696B" w:rsidR="00AA4FE6" w:rsidRPr="00B55018" w:rsidRDefault="0066157F" w:rsidP="00341A2B">
                  <w:pPr>
                    <w:pStyle w:val="Tabletext"/>
                    <w:framePr w:hSpace="180" w:wrap="around" w:vAnchor="text" w:hAnchor="text" w:y="1"/>
                    <w:suppressOverlap/>
                    <w:rPr>
                      <w:sz w:val="18"/>
                      <w:szCs w:val="22"/>
                      <w:lang w:val="en-AU"/>
                    </w:rPr>
                  </w:pPr>
                  <w:r w:rsidRPr="0066157F">
                    <w:rPr>
                      <w:color w:val="000000"/>
                      <w:spacing w:val="213"/>
                      <w:sz w:val="18"/>
                      <w:szCs w:val="22"/>
                      <w:shd w:val="solid" w:color="000000" w:fill="000000"/>
                      <w:fitText w:val="290" w:id="-894207986"/>
                      <w:lang w:val="en-AU"/>
                      <w14:textFill>
                        <w14:solidFill>
                          <w14:srgbClr w14:val="000000">
                            <w14:alpha w14:val="100000"/>
                          </w14:srgbClr>
                        </w14:solidFill>
                      </w14:textFill>
                    </w:rPr>
                    <w:t>|</w:t>
                  </w:r>
                  <w:r w:rsidRPr="0066157F">
                    <w:rPr>
                      <w:color w:val="000000"/>
                      <w:spacing w:val="1"/>
                      <w:sz w:val="18"/>
                      <w:szCs w:val="22"/>
                      <w:shd w:val="solid" w:color="000000" w:fill="000000"/>
                      <w:fitText w:val="290" w:id="-894207986"/>
                      <w:lang w:val="en-AU"/>
                      <w14:textFill>
                        <w14:solidFill>
                          <w14:srgbClr w14:val="000000">
                            <w14:alpha w14:val="100000"/>
                          </w14:srgbClr>
                        </w14:solidFill>
                      </w14:textFill>
                    </w:rPr>
                    <w:t>|</w:t>
                  </w:r>
                  <w:r w:rsidR="00CD254D" w:rsidRPr="00B55018">
                    <w:rPr>
                      <w:sz w:val="18"/>
                      <w:szCs w:val="22"/>
                    </w:rPr>
                    <w:t xml:space="preserve"> </w:t>
                  </w:r>
                  <w:r w:rsidR="00CD254D" w:rsidRPr="00B55018">
                    <w:rPr>
                      <w:sz w:val="18"/>
                      <w:szCs w:val="22"/>
                      <w:vertAlign w:val="superscript"/>
                    </w:rPr>
                    <w:t>2</w:t>
                  </w:r>
                </w:p>
              </w:tc>
              <w:tc>
                <w:tcPr>
                  <w:tcW w:w="544" w:type="dxa"/>
                  <w:tcBorders>
                    <w:bottom w:val="single" w:sz="4" w:space="0" w:color="auto"/>
                  </w:tcBorders>
                  <w:shd w:val="clear" w:color="auto" w:fill="auto"/>
                </w:tcPr>
                <w:p w14:paraId="7A0B9399" w14:textId="62D3B714" w:rsidR="00AA4FE6" w:rsidRPr="00B55018" w:rsidRDefault="0066157F" w:rsidP="00341A2B">
                  <w:pPr>
                    <w:pStyle w:val="Tabletext"/>
                    <w:framePr w:hSpace="180" w:wrap="around" w:vAnchor="text" w:hAnchor="text" w:y="1"/>
                    <w:suppressOverlap/>
                    <w:rPr>
                      <w:sz w:val="18"/>
                      <w:szCs w:val="22"/>
                      <w:lang w:val="en-AU"/>
                    </w:rPr>
                  </w:pPr>
                  <w:r w:rsidRPr="0066157F">
                    <w:rPr>
                      <w:color w:val="000000"/>
                      <w:spacing w:val="213"/>
                      <w:sz w:val="18"/>
                      <w:szCs w:val="22"/>
                      <w:shd w:val="solid" w:color="000000" w:fill="000000"/>
                      <w:fitText w:val="290" w:id="-894207985"/>
                      <w:lang w:val="en-AU"/>
                      <w14:textFill>
                        <w14:solidFill>
                          <w14:srgbClr w14:val="000000">
                            <w14:alpha w14:val="100000"/>
                          </w14:srgbClr>
                        </w14:solidFill>
                      </w14:textFill>
                    </w:rPr>
                    <w:t>|</w:t>
                  </w:r>
                  <w:r w:rsidRPr="0066157F">
                    <w:rPr>
                      <w:color w:val="000000"/>
                      <w:spacing w:val="1"/>
                      <w:sz w:val="18"/>
                      <w:szCs w:val="22"/>
                      <w:shd w:val="solid" w:color="000000" w:fill="000000"/>
                      <w:fitText w:val="290" w:id="-894207985"/>
                      <w:lang w:val="en-AU"/>
                      <w14:textFill>
                        <w14:solidFill>
                          <w14:srgbClr w14:val="000000">
                            <w14:alpha w14:val="100000"/>
                          </w14:srgbClr>
                        </w14:solidFill>
                      </w14:textFill>
                    </w:rPr>
                    <w:t>|</w:t>
                  </w:r>
                  <w:r w:rsidR="00CD254D" w:rsidRPr="00B55018">
                    <w:rPr>
                      <w:sz w:val="18"/>
                      <w:szCs w:val="22"/>
                    </w:rPr>
                    <w:t xml:space="preserve"> </w:t>
                  </w:r>
                  <w:r w:rsidR="00CD254D" w:rsidRPr="00B55018">
                    <w:rPr>
                      <w:sz w:val="18"/>
                      <w:szCs w:val="22"/>
                      <w:vertAlign w:val="superscript"/>
                    </w:rPr>
                    <w:t>2</w:t>
                  </w:r>
                </w:p>
              </w:tc>
              <w:tc>
                <w:tcPr>
                  <w:tcW w:w="544" w:type="dxa"/>
                  <w:tcBorders>
                    <w:bottom w:val="single" w:sz="4" w:space="0" w:color="auto"/>
                  </w:tcBorders>
                  <w:shd w:val="clear" w:color="auto" w:fill="auto"/>
                </w:tcPr>
                <w:p w14:paraId="292A58FB" w14:textId="2B6E5CF6" w:rsidR="00AA4FE6" w:rsidRPr="00B55018" w:rsidRDefault="0066157F" w:rsidP="00341A2B">
                  <w:pPr>
                    <w:pStyle w:val="Tabletext"/>
                    <w:framePr w:hSpace="180" w:wrap="around" w:vAnchor="text" w:hAnchor="text" w:y="1"/>
                    <w:suppressOverlap/>
                    <w:rPr>
                      <w:sz w:val="18"/>
                      <w:szCs w:val="22"/>
                      <w:lang w:val="en-AU"/>
                    </w:rPr>
                  </w:pPr>
                  <w:r w:rsidRPr="0066157F">
                    <w:rPr>
                      <w:color w:val="000000"/>
                      <w:spacing w:val="213"/>
                      <w:sz w:val="18"/>
                      <w:szCs w:val="22"/>
                      <w:shd w:val="solid" w:color="000000" w:fill="000000"/>
                      <w:fitText w:val="290" w:id="-894207984"/>
                      <w:lang w:val="en-AU"/>
                      <w14:textFill>
                        <w14:solidFill>
                          <w14:srgbClr w14:val="000000">
                            <w14:alpha w14:val="100000"/>
                          </w14:srgbClr>
                        </w14:solidFill>
                      </w14:textFill>
                    </w:rPr>
                    <w:t>|</w:t>
                  </w:r>
                  <w:r w:rsidRPr="0066157F">
                    <w:rPr>
                      <w:color w:val="000000"/>
                      <w:spacing w:val="1"/>
                      <w:sz w:val="18"/>
                      <w:szCs w:val="22"/>
                      <w:shd w:val="solid" w:color="000000" w:fill="000000"/>
                      <w:fitText w:val="290" w:id="-894207984"/>
                      <w:lang w:val="en-AU"/>
                      <w14:textFill>
                        <w14:solidFill>
                          <w14:srgbClr w14:val="000000">
                            <w14:alpha w14:val="100000"/>
                          </w14:srgbClr>
                        </w14:solidFill>
                      </w14:textFill>
                    </w:rPr>
                    <w:t>|</w:t>
                  </w:r>
                  <w:r w:rsidR="00CD254D" w:rsidRPr="00B55018">
                    <w:rPr>
                      <w:sz w:val="18"/>
                      <w:szCs w:val="22"/>
                    </w:rPr>
                    <w:t xml:space="preserve"> </w:t>
                  </w:r>
                  <w:r w:rsidR="00CD254D" w:rsidRPr="00B55018">
                    <w:rPr>
                      <w:sz w:val="18"/>
                      <w:szCs w:val="22"/>
                      <w:vertAlign w:val="superscript"/>
                    </w:rPr>
                    <w:t>2</w:t>
                  </w:r>
                </w:p>
              </w:tc>
              <w:tc>
                <w:tcPr>
                  <w:tcW w:w="545" w:type="dxa"/>
                  <w:tcBorders>
                    <w:bottom w:val="single" w:sz="4" w:space="0" w:color="auto"/>
                  </w:tcBorders>
                  <w:shd w:val="clear" w:color="auto" w:fill="auto"/>
                </w:tcPr>
                <w:p w14:paraId="58A46D86" w14:textId="297A4B81" w:rsidR="00AA4FE6" w:rsidRPr="00B55018" w:rsidRDefault="0066157F" w:rsidP="00341A2B">
                  <w:pPr>
                    <w:pStyle w:val="Tabletext"/>
                    <w:framePr w:hSpace="180" w:wrap="around" w:vAnchor="text" w:hAnchor="text" w:y="1"/>
                    <w:suppressOverlap/>
                    <w:rPr>
                      <w:sz w:val="18"/>
                      <w:szCs w:val="22"/>
                      <w:lang w:val="en-AU"/>
                    </w:rPr>
                  </w:pPr>
                  <w:r w:rsidRPr="0066157F">
                    <w:rPr>
                      <w:color w:val="000000"/>
                      <w:spacing w:val="213"/>
                      <w:sz w:val="18"/>
                      <w:szCs w:val="22"/>
                      <w:shd w:val="solid" w:color="000000" w:fill="000000"/>
                      <w:fitText w:val="290" w:id="-894208000"/>
                      <w:lang w:val="en-AU"/>
                      <w14:textFill>
                        <w14:solidFill>
                          <w14:srgbClr w14:val="000000">
                            <w14:alpha w14:val="100000"/>
                          </w14:srgbClr>
                        </w14:solidFill>
                      </w14:textFill>
                    </w:rPr>
                    <w:t>|</w:t>
                  </w:r>
                  <w:r w:rsidRPr="0066157F">
                    <w:rPr>
                      <w:color w:val="000000"/>
                      <w:spacing w:val="1"/>
                      <w:sz w:val="18"/>
                      <w:szCs w:val="22"/>
                      <w:shd w:val="solid" w:color="000000" w:fill="000000"/>
                      <w:fitText w:val="290" w:id="-894208000"/>
                      <w:lang w:val="en-AU"/>
                      <w14:textFill>
                        <w14:solidFill>
                          <w14:srgbClr w14:val="000000">
                            <w14:alpha w14:val="100000"/>
                          </w14:srgbClr>
                        </w14:solidFill>
                      </w14:textFill>
                    </w:rPr>
                    <w:t>|</w:t>
                  </w:r>
                  <w:r w:rsidR="00CD254D" w:rsidRPr="00B55018">
                    <w:rPr>
                      <w:sz w:val="18"/>
                      <w:szCs w:val="22"/>
                    </w:rPr>
                    <w:t xml:space="preserve"> </w:t>
                  </w:r>
                  <w:r w:rsidR="00CD254D" w:rsidRPr="00B55018">
                    <w:rPr>
                      <w:sz w:val="18"/>
                      <w:szCs w:val="22"/>
                      <w:vertAlign w:val="superscript"/>
                    </w:rPr>
                    <w:t>2</w:t>
                  </w:r>
                </w:p>
              </w:tc>
              <w:tc>
                <w:tcPr>
                  <w:tcW w:w="691" w:type="dxa"/>
                  <w:tcBorders>
                    <w:bottom w:val="single" w:sz="4" w:space="0" w:color="auto"/>
                  </w:tcBorders>
                  <w:vAlign w:val="center"/>
                </w:tcPr>
                <w:p w14:paraId="370A8D70" w14:textId="77777777" w:rsidR="00AA4FE6" w:rsidRPr="00B55018" w:rsidRDefault="00AA4FE6" w:rsidP="00341A2B">
                  <w:pPr>
                    <w:pStyle w:val="Tabletext"/>
                    <w:framePr w:hSpace="180" w:wrap="around" w:vAnchor="text" w:hAnchor="text" w:y="1"/>
                    <w:suppressOverlap/>
                    <w:rPr>
                      <w:sz w:val="18"/>
                      <w:szCs w:val="22"/>
                      <w:lang w:val="en-AU"/>
                    </w:rPr>
                  </w:pPr>
                  <w:r w:rsidRPr="00B55018">
                    <w:rPr>
                      <w:sz w:val="18"/>
                      <w:szCs w:val="22"/>
                      <w:lang w:val="en-AU"/>
                    </w:rPr>
                    <w:t>100%</w:t>
                  </w:r>
                </w:p>
              </w:tc>
            </w:tr>
          </w:tbl>
          <w:p w14:paraId="166D8938" w14:textId="6ACE8081" w:rsidR="00AA4FE6" w:rsidRPr="00AA4FE6" w:rsidRDefault="00AA4FE6" w:rsidP="006F5008">
            <w:pPr>
              <w:pStyle w:val="TableFigureFooter"/>
              <w:spacing w:after="0"/>
              <w:jc w:val="left"/>
            </w:pPr>
            <w:r w:rsidRPr="00AA4FE6">
              <w:t>Source: Table 4-10, p184 of the submission</w:t>
            </w:r>
          </w:p>
        </w:tc>
        <w:tc>
          <w:tcPr>
            <w:tcW w:w="2015" w:type="pct"/>
            <w:shd w:val="clear" w:color="auto" w:fill="auto"/>
          </w:tcPr>
          <w:p w14:paraId="54022945" w14:textId="2CA11B12" w:rsidR="00AA4FE6" w:rsidRPr="00B146C3" w:rsidRDefault="00AA4FE6" w:rsidP="006F5008">
            <w:pPr>
              <w:pStyle w:val="TableText0"/>
              <w:rPr>
                <w:szCs w:val="20"/>
              </w:rPr>
            </w:pPr>
            <w:r w:rsidRPr="00B146C3">
              <w:rPr>
                <w:szCs w:val="20"/>
              </w:rPr>
              <w:t xml:space="preserve">The 400 mcg and 1200 mcg capsules contributed ~85% of total scripts and </w:t>
            </w:r>
            <w:r w:rsidR="0097408E" w:rsidRPr="00B146C3">
              <w:rPr>
                <w:szCs w:val="20"/>
              </w:rPr>
              <w:t>reflects</w:t>
            </w:r>
            <w:r w:rsidRPr="00B146C3">
              <w:rPr>
                <w:szCs w:val="20"/>
              </w:rPr>
              <w:t xml:space="preserve"> the proportion of prevalen</w:t>
            </w:r>
            <w:r w:rsidR="0097408E" w:rsidRPr="00B146C3">
              <w:rPr>
                <w:szCs w:val="20"/>
              </w:rPr>
              <w:t>t</w:t>
            </w:r>
            <w:r w:rsidRPr="00B146C3">
              <w:rPr>
                <w:szCs w:val="20"/>
              </w:rPr>
              <w:t xml:space="preserve"> patients initiating and continuing treatment and those who escalate dose to 120 mcg/kg. </w:t>
            </w:r>
          </w:p>
          <w:p w14:paraId="07CA616F" w14:textId="77777777" w:rsidR="003134D2" w:rsidRPr="00B146C3" w:rsidRDefault="003134D2" w:rsidP="006F5008">
            <w:pPr>
              <w:pStyle w:val="TableText0"/>
              <w:rPr>
                <w:szCs w:val="20"/>
              </w:rPr>
            </w:pPr>
          </w:p>
          <w:p w14:paraId="0335EB6F" w14:textId="7CB0B53F" w:rsidR="003134D2" w:rsidRPr="00B146C3" w:rsidRDefault="003134D2" w:rsidP="006F5008">
            <w:pPr>
              <w:pStyle w:val="TableText0"/>
              <w:rPr>
                <w:szCs w:val="20"/>
              </w:rPr>
            </w:pPr>
            <w:r w:rsidRPr="00B146C3">
              <w:rPr>
                <w:szCs w:val="20"/>
              </w:rPr>
              <w:t xml:space="preserve">DUSC </w:t>
            </w:r>
            <w:r w:rsidR="0097408E" w:rsidRPr="00B146C3">
              <w:rPr>
                <w:szCs w:val="20"/>
              </w:rPr>
              <w:t>considere</w:t>
            </w:r>
            <w:r w:rsidRPr="00B146C3">
              <w:rPr>
                <w:szCs w:val="20"/>
              </w:rPr>
              <w:t>d that the estimated annual script volumes were impacted by the mean age estimates and may be overestimated.</w:t>
            </w:r>
          </w:p>
        </w:tc>
      </w:tr>
      <w:tr w:rsidR="00AA4FE6" w:rsidRPr="00AA4FE6" w14:paraId="36668532" w14:textId="77777777" w:rsidTr="006F5008">
        <w:trPr>
          <w:cantSplit/>
        </w:trPr>
        <w:tc>
          <w:tcPr>
            <w:tcW w:w="663" w:type="pct"/>
            <w:shd w:val="clear" w:color="auto" w:fill="auto"/>
          </w:tcPr>
          <w:p w14:paraId="7976A06F" w14:textId="77777777" w:rsidR="00AA4FE6" w:rsidRPr="00AA4FE6" w:rsidRDefault="00AA4FE6" w:rsidP="006F5008">
            <w:pPr>
              <w:pStyle w:val="TableText0"/>
            </w:pPr>
            <w:r w:rsidRPr="00AA4FE6">
              <w:t>Odevixibat</w:t>
            </w:r>
          </w:p>
        </w:tc>
        <w:tc>
          <w:tcPr>
            <w:tcW w:w="2322" w:type="pct"/>
            <w:shd w:val="clear" w:color="auto" w:fill="auto"/>
          </w:tcPr>
          <w:p w14:paraId="56F5CA3E" w14:textId="77777777" w:rsidR="00AA4FE6" w:rsidRPr="00AA4FE6" w:rsidRDefault="00AA4FE6" w:rsidP="006F5008">
            <w:pPr>
              <w:pStyle w:val="TableText0"/>
            </w:pPr>
            <w:r w:rsidRPr="00AA4FE6">
              <w:t>The published and effective prices of odevixibat are shown below.</w:t>
            </w:r>
          </w:p>
          <w:tbl>
            <w:tblPr>
              <w:tblStyle w:val="Submissionstandard1"/>
              <w:tblW w:w="5000" w:type="pct"/>
              <w:tblLayout w:type="fixed"/>
              <w:tblCellMar>
                <w:left w:w="0" w:type="dxa"/>
                <w:right w:w="0" w:type="dxa"/>
              </w:tblCellMar>
              <w:tblLook w:val="04A0" w:firstRow="1" w:lastRow="0" w:firstColumn="1" w:lastColumn="0" w:noHBand="0" w:noVBand="1"/>
            </w:tblPr>
            <w:tblGrid>
              <w:gridCol w:w="1008"/>
              <w:gridCol w:w="1050"/>
              <w:gridCol w:w="1070"/>
              <w:gridCol w:w="993"/>
            </w:tblGrid>
            <w:tr w:rsidR="00AA4FE6" w:rsidRPr="00AA4FE6" w14:paraId="6DEBB753" w14:textId="77777777" w:rsidTr="00173384">
              <w:trPr>
                <w:cnfStyle w:val="100000000000" w:firstRow="1" w:lastRow="0" w:firstColumn="0" w:lastColumn="0" w:oddVBand="0" w:evenVBand="0" w:oddHBand="0" w:evenHBand="0" w:firstRowFirstColumn="0" w:firstRowLastColumn="0" w:lastRowFirstColumn="0" w:lastRowLastColumn="0"/>
              </w:trPr>
              <w:tc>
                <w:tcPr>
                  <w:tcW w:w="1127" w:type="dxa"/>
                  <w:vMerge w:val="restart"/>
                  <w:shd w:val="clear" w:color="auto" w:fill="auto"/>
                  <w:vAlign w:val="center"/>
                </w:tcPr>
                <w:p w14:paraId="2E5C998C" w14:textId="77777777" w:rsidR="00AA4FE6" w:rsidRPr="00AA4FE6" w:rsidRDefault="00AA4FE6" w:rsidP="00341A2B">
                  <w:pPr>
                    <w:pStyle w:val="Tabletext"/>
                    <w:framePr w:hSpace="180" w:wrap="around" w:vAnchor="text" w:hAnchor="text" w:y="1"/>
                    <w:suppressOverlap/>
                    <w:rPr>
                      <w:szCs w:val="20"/>
                      <w:lang w:val="en-AU"/>
                    </w:rPr>
                  </w:pPr>
                  <w:r w:rsidRPr="00AA4FE6">
                    <w:rPr>
                      <w:szCs w:val="20"/>
                      <w:lang w:val="en-AU"/>
                    </w:rPr>
                    <w:t xml:space="preserve">Capsule Strength </w:t>
                  </w:r>
                </w:p>
              </w:tc>
              <w:tc>
                <w:tcPr>
                  <w:tcW w:w="1175" w:type="dxa"/>
                  <w:vMerge w:val="restart"/>
                  <w:shd w:val="clear" w:color="auto" w:fill="auto"/>
                  <w:vAlign w:val="center"/>
                </w:tcPr>
                <w:p w14:paraId="317B4E5A" w14:textId="77777777" w:rsidR="00AA4FE6" w:rsidRPr="00AA4FE6" w:rsidRDefault="00AA4FE6" w:rsidP="00341A2B">
                  <w:pPr>
                    <w:pStyle w:val="Tabletext"/>
                    <w:framePr w:hSpace="180" w:wrap="around" w:vAnchor="text" w:hAnchor="text" w:y="1"/>
                    <w:suppressOverlap/>
                    <w:jc w:val="center"/>
                    <w:rPr>
                      <w:szCs w:val="20"/>
                      <w:lang w:val="en-AU"/>
                    </w:rPr>
                  </w:pPr>
                  <w:r w:rsidRPr="00AA4FE6">
                    <w:rPr>
                      <w:szCs w:val="20"/>
                      <w:lang w:val="en-AU"/>
                    </w:rPr>
                    <w:t>AEMP</w:t>
                  </w:r>
                </w:p>
              </w:tc>
              <w:tc>
                <w:tcPr>
                  <w:tcW w:w="2308" w:type="dxa"/>
                  <w:gridSpan w:val="2"/>
                  <w:shd w:val="clear" w:color="auto" w:fill="auto"/>
                  <w:vAlign w:val="center"/>
                </w:tcPr>
                <w:p w14:paraId="627998E7" w14:textId="77777777" w:rsidR="00AA4FE6" w:rsidRPr="00AA4FE6" w:rsidRDefault="00AA4FE6" w:rsidP="00341A2B">
                  <w:pPr>
                    <w:pStyle w:val="Tabletext"/>
                    <w:framePr w:hSpace="180" w:wrap="around" w:vAnchor="text" w:hAnchor="text" w:y="1"/>
                    <w:suppressOverlap/>
                    <w:jc w:val="center"/>
                    <w:rPr>
                      <w:szCs w:val="20"/>
                      <w:lang w:val="en-AU"/>
                    </w:rPr>
                  </w:pPr>
                  <w:r w:rsidRPr="00AA4FE6">
                    <w:rPr>
                      <w:szCs w:val="20"/>
                      <w:lang w:val="en-AU"/>
                    </w:rPr>
                    <w:t>DPMQ</w:t>
                  </w:r>
                </w:p>
              </w:tc>
            </w:tr>
            <w:tr w:rsidR="00AA4FE6" w:rsidRPr="00AA4FE6" w14:paraId="0120D95D" w14:textId="77777777" w:rsidTr="00173384">
              <w:tc>
                <w:tcPr>
                  <w:tcW w:w="1127" w:type="dxa"/>
                  <w:vMerge/>
                  <w:tcBorders>
                    <w:bottom w:val="single" w:sz="4" w:space="0" w:color="auto"/>
                  </w:tcBorders>
                  <w:shd w:val="clear" w:color="auto" w:fill="auto"/>
                </w:tcPr>
                <w:p w14:paraId="06E4CA17" w14:textId="77777777" w:rsidR="00AA4FE6" w:rsidRPr="00AA4FE6" w:rsidRDefault="00AA4FE6" w:rsidP="00341A2B">
                  <w:pPr>
                    <w:pStyle w:val="Tabletext"/>
                    <w:framePr w:hSpace="180" w:wrap="around" w:vAnchor="text" w:hAnchor="text" w:y="1"/>
                    <w:suppressOverlap/>
                    <w:rPr>
                      <w:szCs w:val="20"/>
                      <w:lang w:val="en-AU"/>
                    </w:rPr>
                  </w:pPr>
                </w:p>
              </w:tc>
              <w:tc>
                <w:tcPr>
                  <w:tcW w:w="1175" w:type="dxa"/>
                  <w:vMerge/>
                  <w:tcBorders>
                    <w:bottom w:val="single" w:sz="4" w:space="0" w:color="auto"/>
                  </w:tcBorders>
                  <w:shd w:val="clear" w:color="auto" w:fill="auto"/>
                  <w:vAlign w:val="center"/>
                </w:tcPr>
                <w:p w14:paraId="12298D3B" w14:textId="77777777" w:rsidR="00AA4FE6" w:rsidRPr="00AA4FE6" w:rsidRDefault="00AA4FE6" w:rsidP="00341A2B">
                  <w:pPr>
                    <w:pStyle w:val="Tabletext"/>
                    <w:framePr w:hSpace="180" w:wrap="around" w:vAnchor="text" w:hAnchor="text" w:y="1"/>
                    <w:suppressOverlap/>
                    <w:jc w:val="center"/>
                    <w:rPr>
                      <w:szCs w:val="20"/>
                      <w:lang w:val="en-AU"/>
                    </w:rPr>
                  </w:pPr>
                </w:p>
              </w:tc>
              <w:tc>
                <w:tcPr>
                  <w:tcW w:w="1197" w:type="dxa"/>
                  <w:tcBorders>
                    <w:bottom w:val="single" w:sz="4" w:space="0" w:color="auto"/>
                  </w:tcBorders>
                  <w:shd w:val="clear" w:color="auto" w:fill="auto"/>
                  <w:vAlign w:val="center"/>
                </w:tcPr>
                <w:p w14:paraId="5F1BBEBD" w14:textId="77777777" w:rsidR="00AA4FE6" w:rsidRPr="00AA4FE6" w:rsidRDefault="00AA4FE6" w:rsidP="00341A2B">
                  <w:pPr>
                    <w:pStyle w:val="Tabletext"/>
                    <w:framePr w:hSpace="180" w:wrap="around" w:vAnchor="text" w:hAnchor="text" w:y="1"/>
                    <w:suppressOverlap/>
                    <w:jc w:val="center"/>
                    <w:rPr>
                      <w:b/>
                      <w:bCs/>
                      <w:szCs w:val="20"/>
                      <w:lang w:val="en-AU"/>
                    </w:rPr>
                  </w:pPr>
                  <w:r w:rsidRPr="00AA4FE6">
                    <w:rPr>
                      <w:b/>
                      <w:bCs/>
                      <w:szCs w:val="20"/>
                      <w:lang w:val="en-AU"/>
                    </w:rPr>
                    <w:t>Public</w:t>
                  </w:r>
                </w:p>
              </w:tc>
              <w:tc>
                <w:tcPr>
                  <w:tcW w:w="1111" w:type="dxa"/>
                  <w:tcBorders>
                    <w:bottom w:val="single" w:sz="4" w:space="0" w:color="auto"/>
                  </w:tcBorders>
                  <w:shd w:val="clear" w:color="auto" w:fill="auto"/>
                  <w:vAlign w:val="center"/>
                </w:tcPr>
                <w:p w14:paraId="46713C3D" w14:textId="77777777" w:rsidR="00AA4FE6" w:rsidRPr="00AA4FE6" w:rsidRDefault="00AA4FE6" w:rsidP="00341A2B">
                  <w:pPr>
                    <w:pStyle w:val="Tabletext"/>
                    <w:framePr w:hSpace="180" w:wrap="around" w:vAnchor="text" w:hAnchor="text" w:y="1"/>
                    <w:suppressOverlap/>
                    <w:jc w:val="center"/>
                    <w:rPr>
                      <w:b/>
                      <w:bCs/>
                      <w:szCs w:val="20"/>
                      <w:lang w:val="en-AU"/>
                    </w:rPr>
                  </w:pPr>
                  <w:r w:rsidRPr="00AA4FE6">
                    <w:rPr>
                      <w:b/>
                      <w:bCs/>
                      <w:szCs w:val="20"/>
                      <w:lang w:val="en-AU"/>
                    </w:rPr>
                    <w:t>Private</w:t>
                  </w:r>
                </w:p>
              </w:tc>
            </w:tr>
            <w:tr w:rsidR="00AA4FE6" w:rsidRPr="00AA4FE6" w14:paraId="2B0D93D7" w14:textId="77777777" w:rsidTr="00173384">
              <w:tc>
                <w:tcPr>
                  <w:tcW w:w="1127" w:type="dxa"/>
                  <w:tcBorders>
                    <w:top w:val="single" w:sz="4" w:space="0" w:color="auto"/>
                    <w:left w:val="single" w:sz="4" w:space="0" w:color="auto"/>
                    <w:bottom w:val="single" w:sz="4" w:space="0" w:color="auto"/>
                    <w:right w:val="nil"/>
                  </w:tcBorders>
                  <w:shd w:val="clear" w:color="auto" w:fill="auto"/>
                </w:tcPr>
                <w:p w14:paraId="643F7928" w14:textId="77777777" w:rsidR="00AA4FE6" w:rsidRPr="00AA4FE6" w:rsidRDefault="00AA4FE6" w:rsidP="00341A2B">
                  <w:pPr>
                    <w:pStyle w:val="Tabletext"/>
                    <w:framePr w:hSpace="180" w:wrap="around" w:vAnchor="text" w:hAnchor="text" w:y="1"/>
                    <w:suppressOverlap/>
                    <w:rPr>
                      <w:b/>
                      <w:bCs/>
                      <w:szCs w:val="20"/>
                      <w:lang w:val="en-AU"/>
                    </w:rPr>
                  </w:pPr>
                  <w:r w:rsidRPr="00AA4FE6">
                    <w:rPr>
                      <w:b/>
                      <w:bCs/>
                      <w:szCs w:val="20"/>
                      <w:lang w:val="en-AU"/>
                    </w:rPr>
                    <w:t>Published</w:t>
                  </w:r>
                </w:p>
              </w:tc>
              <w:tc>
                <w:tcPr>
                  <w:tcW w:w="1175" w:type="dxa"/>
                  <w:tcBorders>
                    <w:top w:val="single" w:sz="4" w:space="0" w:color="auto"/>
                    <w:left w:val="nil"/>
                    <w:bottom w:val="single" w:sz="4" w:space="0" w:color="auto"/>
                    <w:right w:val="nil"/>
                  </w:tcBorders>
                  <w:shd w:val="clear" w:color="auto" w:fill="auto"/>
                </w:tcPr>
                <w:p w14:paraId="7217F275" w14:textId="77777777" w:rsidR="00AA4FE6" w:rsidRPr="00AA4FE6" w:rsidRDefault="00AA4FE6" w:rsidP="00341A2B">
                  <w:pPr>
                    <w:pStyle w:val="Tabletext"/>
                    <w:framePr w:hSpace="180" w:wrap="around" w:vAnchor="text" w:hAnchor="text" w:y="1"/>
                    <w:suppressOverlap/>
                    <w:rPr>
                      <w:szCs w:val="20"/>
                      <w:lang w:val="en-AU"/>
                    </w:rPr>
                  </w:pPr>
                </w:p>
              </w:tc>
              <w:tc>
                <w:tcPr>
                  <w:tcW w:w="1197" w:type="dxa"/>
                  <w:tcBorders>
                    <w:top w:val="single" w:sz="4" w:space="0" w:color="auto"/>
                    <w:left w:val="nil"/>
                    <w:bottom w:val="single" w:sz="4" w:space="0" w:color="auto"/>
                    <w:right w:val="nil"/>
                  </w:tcBorders>
                  <w:shd w:val="clear" w:color="auto" w:fill="auto"/>
                </w:tcPr>
                <w:p w14:paraId="1BBD72A2" w14:textId="77777777" w:rsidR="00AA4FE6" w:rsidRPr="00AA4FE6" w:rsidRDefault="00AA4FE6" w:rsidP="00341A2B">
                  <w:pPr>
                    <w:pStyle w:val="Tabletext"/>
                    <w:framePr w:hSpace="180" w:wrap="around" w:vAnchor="text" w:hAnchor="text" w:y="1"/>
                    <w:suppressOverlap/>
                    <w:rPr>
                      <w:szCs w:val="20"/>
                      <w:lang w:val="en-AU"/>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4DE37BB4" w14:textId="77777777" w:rsidR="00AA4FE6" w:rsidRPr="00AA4FE6" w:rsidRDefault="00AA4FE6" w:rsidP="00341A2B">
                  <w:pPr>
                    <w:pStyle w:val="Tabletext"/>
                    <w:framePr w:hSpace="180" w:wrap="around" w:vAnchor="text" w:hAnchor="text" w:y="1"/>
                    <w:suppressOverlap/>
                    <w:rPr>
                      <w:szCs w:val="20"/>
                      <w:lang w:val="en-AU"/>
                    </w:rPr>
                  </w:pPr>
                </w:p>
              </w:tc>
            </w:tr>
            <w:tr w:rsidR="00AA4FE6" w:rsidRPr="00AA4FE6" w14:paraId="197A44A4" w14:textId="77777777" w:rsidTr="00173384">
              <w:tc>
                <w:tcPr>
                  <w:tcW w:w="1127" w:type="dxa"/>
                  <w:tcBorders>
                    <w:top w:val="single" w:sz="4" w:space="0" w:color="auto"/>
                  </w:tcBorders>
                  <w:shd w:val="clear" w:color="auto" w:fill="auto"/>
                </w:tcPr>
                <w:p w14:paraId="42ED64B7" w14:textId="77777777" w:rsidR="00AA4FE6" w:rsidRPr="00AA4FE6" w:rsidRDefault="00AA4FE6" w:rsidP="00341A2B">
                  <w:pPr>
                    <w:pStyle w:val="Tabletext"/>
                    <w:framePr w:hSpace="180" w:wrap="around" w:vAnchor="text" w:hAnchor="text" w:y="1"/>
                    <w:suppressOverlap/>
                    <w:rPr>
                      <w:szCs w:val="20"/>
                      <w:lang w:val="en-AU"/>
                    </w:rPr>
                  </w:pPr>
                  <w:r w:rsidRPr="00AA4FE6">
                    <w:rPr>
                      <w:szCs w:val="20"/>
                      <w:lang w:val="en-AU"/>
                    </w:rPr>
                    <w:t>200 mcg</w:t>
                  </w:r>
                </w:p>
              </w:tc>
              <w:tc>
                <w:tcPr>
                  <w:tcW w:w="1175" w:type="dxa"/>
                  <w:tcBorders>
                    <w:top w:val="single" w:sz="4" w:space="0" w:color="auto"/>
                  </w:tcBorders>
                  <w:shd w:val="clear" w:color="auto" w:fill="auto"/>
                </w:tcPr>
                <w:p w14:paraId="283D9081" w14:textId="29912E16" w:rsidR="00AA4FE6" w:rsidRPr="00AA4FE6" w:rsidRDefault="00AA4FE6" w:rsidP="00341A2B">
                  <w:pPr>
                    <w:pStyle w:val="Tabletext"/>
                    <w:framePr w:hSpace="180" w:wrap="around" w:vAnchor="text" w:hAnchor="text" w:y="1"/>
                    <w:suppressOverlap/>
                    <w:jc w:val="center"/>
                    <w:rPr>
                      <w:szCs w:val="20"/>
                      <w:lang w:val="en-AU"/>
                    </w:rPr>
                  </w:pPr>
                  <w:r w:rsidRPr="00AA4FE6">
                    <w:rPr>
                      <w:szCs w:val="20"/>
                      <w:lang w:val="en-AU"/>
                    </w:rPr>
                    <w:t>$</w:t>
                  </w:r>
                  <w:r w:rsidR="0066157F" w:rsidRPr="0066157F">
                    <w:rPr>
                      <w:rFonts w:hint="eastAsia"/>
                      <w:color w:val="000000"/>
                      <w:w w:val="15"/>
                      <w:szCs w:val="20"/>
                      <w:shd w:val="solid" w:color="000000" w:fill="000000"/>
                      <w:fitText w:val="60" w:id="-894207999"/>
                      <w:lang w:val="en-AU"/>
                      <w14:textFill>
                        <w14:solidFill>
                          <w14:srgbClr w14:val="000000">
                            <w14:alpha w14:val="100000"/>
                          </w14:srgbClr>
                        </w14:solidFill>
                      </w14:textFill>
                    </w:rPr>
                    <w:t xml:space="preserve">　</w:t>
                  </w:r>
                  <w:r w:rsidR="0066157F" w:rsidRPr="0066157F">
                    <w:rPr>
                      <w:color w:val="000000"/>
                      <w:w w:val="15"/>
                      <w:szCs w:val="20"/>
                      <w:shd w:val="solid" w:color="000000" w:fill="000000"/>
                      <w:fitText w:val="60" w:id="-894207999"/>
                      <w:lang w:val="en-AU"/>
                      <w14:textFill>
                        <w14:solidFill>
                          <w14:srgbClr w14:val="000000">
                            <w14:alpha w14:val="100000"/>
                          </w14:srgbClr>
                        </w14:solidFill>
                      </w14:textFill>
                    </w:rPr>
                    <w:t>|</w:t>
                  </w:r>
                  <w:r w:rsidR="0066157F" w:rsidRPr="0066157F">
                    <w:rPr>
                      <w:rFonts w:hint="eastAsia"/>
                      <w:color w:val="000000"/>
                      <w:spacing w:val="-6"/>
                      <w:w w:val="15"/>
                      <w:szCs w:val="20"/>
                      <w:shd w:val="solid" w:color="000000" w:fill="000000"/>
                      <w:fitText w:val="60" w:id="-894207999"/>
                      <w:lang w:val="en-AU"/>
                      <w14:textFill>
                        <w14:solidFill>
                          <w14:srgbClr w14:val="000000">
                            <w14:alpha w14:val="100000"/>
                          </w14:srgbClr>
                        </w14:solidFill>
                      </w14:textFill>
                    </w:rPr>
                    <w:t xml:space="preserve">　</w:t>
                  </w:r>
                </w:p>
              </w:tc>
              <w:tc>
                <w:tcPr>
                  <w:tcW w:w="1197" w:type="dxa"/>
                  <w:tcBorders>
                    <w:top w:val="single" w:sz="4" w:space="0" w:color="auto"/>
                  </w:tcBorders>
                  <w:shd w:val="clear" w:color="auto" w:fill="auto"/>
                </w:tcPr>
                <w:p w14:paraId="5CDD7E67" w14:textId="42316AE8" w:rsidR="00AA4FE6" w:rsidRPr="00AA4FE6" w:rsidRDefault="00AA4FE6" w:rsidP="00341A2B">
                  <w:pPr>
                    <w:pStyle w:val="Tabletext"/>
                    <w:framePr w:hSpace="180" w:wrap="around" w:vAnchor="text" w:hAnchor="text" w:y="1"/>
                    <w:suppressOverlap/>
                    <w:jc w:val="center"/>
                    <w:rPr>
                      <w:szCs w:val="20"/>
                      <w:lang w:val="en-AU"/>
                    </w:rPr>
                  </w:pPr>
                  <w:r w:rsidRPr="00AA4FE6">
                    <w:rPr>
                      <w:szCs w:val="20"/>
                      <w:lang w:val="en-AU"/>
                    </w:rPr>
                    <w:t>$</w:t>
                  </w:r>
                  <w:r w:rsidR="0066157F" w:rsidRPr="0066157F">
                    <w:rPr>
                      <w:rFonts w:hint="eastAsia"/>
                      <w:color w:val="000000"/>
                      <w:w w:val="15"/>
                      <w:szCs w:val="20"/>
                      <w:shd w:val="solid" w:color="000000" w:fill="000000"/>
                      <w:fitText w:val="50" w:id="-894207998"/>
                      <w:lang w:val="en-AU"/>
                      <w14:textFill>
                        <w14:solidFill>
                          <w14:srgbClr w14:val="000000">
                            <w14:alpha w14:val="100000"/>
                          </w14:srgbClr>
                        </w14:solidFill>
                      </w14:textFill>
                    </w:rPr>
                    <w:t xml:space="preserve">　</w:t>
                  </w:r>
                  <w:r w:rsidR="0066157F" w:rsidRPr="0066157F">
                    <w:rPr>
                      <w:color w:val="000000"/>
                      <w:w w:val="15"/>
                      <w:szCs w:val="20"/>
                      <w:shd w:val="solid" w:color="000000" w:fill="000000"/>
                      <w:fitText w:val="50" w:id="-894207998"/>
                      <w:lang w:val="en-AU"/>
                      <w14:textFill>
                        <w14:solidFill>
                          <w14:srgbClr w14:val="000000">
                            <w14:alpha w14:val="100000"/>
                          </w14:srgbClr>
                        </w14:solidFill>
                      </w14:textFill>
                    </w:rPr>
                    <w:t>|</w:t>
                  </w:r>
                  <w:r w:rsidR="0066157F" w:rsidRPr="0066157F">
                    <w:rPr>
                      <w:rFonts w:hint="eastAsia"/>
                      <w:color w:val="000000"/>
                      <w:spacing w:val="-16"/>
                      <w:w w:val="15"/>
                      <w:szCs w:val="20"/>
                      <w:shd w:val="solid" w:color="000000" w:fill="000000"/>
                      <w:fitText w:val="50" w:id="-894207998"/>
                      <w:lang w:val="en-AU"/>
                      <w14:textFill>
                        <w14:solidFill>
                          <w14:srgbClr w14:val="000000">
                            <w14:alpha w14:val="100000"/>
                          </w14:srgbClr>
                        </w14:solidFill>
                      </w14:textFill>
                    </w:rPr>
                    <w:t xml:space="preserve">　</w:t>
                  </w:r>
                </w:p>
              </w:tc>
              <w:tc>
                <w:tcPr>
                  <w:tcW w:w="1111" w:type="dxa"/>
                  <w:tcBorders>
                    <w:top w:val="single" w:sz="4" w:space="0" w:color="auto"/>
                  </w:tcBorders>
                  <w:shd w:val="clear" w:color="auto" w:fill="auto"/>
                  <w:vAlign w:val="center"/>
                </w:tcPr>
                <w:p w14:paraId="38471195" w14:textId="00B9EBBA" w:rsidR="00AA4FE6" w:rsidRPr="00AA4FE6" w:rsidRDefault="00AA4FE6" w:rsidP="00341A2B">
                  <w:pPr>
                    <w:pStyle w:val="Tabletext"/>
                    <w:framePr w:hSpace="180" w:wrap="around" w:vAnchor="text" w:hAnchor="text" w:y="1"/>
                    <w:suppressOverlap/>
                    <w:jc w:val="center"/>
                    <w:rPr>
                      <w:szCs w:val="20"/>
                      <w:lang w:val="en-AU"/>
                    </w:rPr>
                  </w:pPr>
                  <w:r w:rsidRPr="00AA4FE6">
                    <w:rPr>
                      <w:szCs w:val="20"/>
                      <w:lang w:val="en-AU"/>
                    </w:rPr>
                    <w:t>$</w:t>
                  </w:r>
                  <w:r w:rsidR="0066157F" w:rsidRPr="0066157F">
                    <w:rPr>
                      <w:rFonts w:hint="eastAsia"/>
                      <w:color w:val="000000"/>
                      <w:w w:val="22"/>
                      <w:szCs w:val="20"/>
                      <w:shd w:val="solid" w:color="000000" w:fill="000000"/>
                      <w:fitText w:val="100" w:id="-894207997"/>
                      <w:lang w:val="en-AU"/>
                      <w14:textFill>
                        <w14:solidFill>
                          <w14:srgbClr w14:val="000000">
                            <w14:alpha w14:val="100000"/>
                          </w14:srgbClr>
                        </w14:solidFill>
                      </w14:textFill>
                    </w:rPr>
                    <w:t xml:space="preserve">　</w:t>
                  </w:r>
                  <w:r w:rsidR="0066157F" w:rsidRPr="0066157F">
                    <w:rPr>
                      <w:color w:val="000000"/>
                      <w:w w:val="22"/>
                      <w:szCs w:val="20"/>
                      <w:shd w:val="solid" w:color="000000" w:fill="000000"/>
                      <w:fitText w:val="100" w:id="-894207997"/>
                      <w:lang w:val="en-AU"/>
                      <w14:textFill>
                        <w14:solidFill>
                          <w14:srgbClr w14:val="000000">
                            <w14:alpha w14:val="100000"/>
                          </w14:srgbClr>
                        </w14:solidFill>
                      </w14:textFill>
                    </w:rPr>
                    <w:t>|</w:t>
                  </w:r>
                  <w:r w:rsidR="0066157F" w:rsidRPr="0066157F">
                    <w:rPr>
                      <w:rFonts w:hint="eastAsia"/>
                      <w:color w:val="000000"/>
                      <w:spacing w:val="3"/>
                      <w:w w:val="22"/>
                      <w:szCs w:val="20"/>
                      <w:shd w:val="solid" w:color="000000" w:fill="000000"/>
                      <w:fitText w:val="100" w:id="-894207997"/>
                      <w:lang w:val="en-AU"/>
                      <w14:textFill>
                        <w14:solidFill>
                          <w14:srgbClr w14:val="000000">
                            <w14:alpha w14:val="100000"/>
                          </w14:srgbClr>
                        </w14:solidFill>
                      </w14:textFill>
                    </w:rPr>
                    <w:t xml:space="preserve">　</w:t>
                  </w:r>
                </w:p>
              </w:tc>
            </w:tr>
            <w:tr w:rsidR="00AA4FE6" w:rsidRPr="00AA4FE6" w14:paraId="576886CD" w14:textId="77777777" w:rsidTr="00173384">
              <w:tc>
                <w:tcPr>
                  <w:tcW w:w="1127" w:type="dxa"/>
                  <w:shd w:val="clear" w:color="auto" w:fill="auto"/>
                </w:tcPr>
                <w:p w14:paraId="02A8144F" w14:textId="77777777" w:rsidR="00AA4FE6" w:rsidRPr="00AA4FE6" w:rsidRDefault="00AA4FE6" w:rsidP="00341A2B">
                  <w:pPr>
                    <w:pStyle w:val="Tabletext"/>
                    <w:framePr w:hSpace="180" w:wrap="around" w:vAnchor="text" w:hAnchor="text" w:y="1"/>
                    <w:suppressOverlap/>
                    <w:rPr>
                      <w:szCs w:val="20"/>
                      <w:lang w:val="en-AU"/>
                    </w:rPr>
                  </w:pPr>
                  <w:r w:rsidRPr="00AA4FE6">
                    <w:rPr>
                      <w:szCs w:val="20"/>
                      <w:lang w:val="en-AU"/>
                    </w:rPr>
                    <w:t>400 mcg</w:t>
                  </w:r>
                </w:p>
              </w:tc>
              <w:tc>
                <w:tcPr>
                  <w:tcW w:w="1175" w:type="dxa"/>
                  <w:shd w:val="clear" w:color="auto" w:fill="auto"/>
                </w:tcPr>
                <w:p w14:paraId="051FCE2E" w14:textId="3C378F82" w:rsidR="00AA4FE6" w:rsidRPr="00AA4FE6" w:rsidRDefault="00AA4FE6" w:rsidP="00341A2B">
                  <w:pPr>
                    <w:pStyle w:val="Tabletext"/>
                    <w:framePr w:hSpace="180" w:wrap="around" w:vAnchor="text" w:hAnchor="text" w:y="1"/>
                    <w:suppressOverlap/>
                    <w:jc w:val="center"/>
                    <w:rPr>
                      <w:szCs w:val="20"/>
                      <w:lang w:val="en-AU"/>
                    </w:rPr>
                  </w:pPr>
                  <w:r w:rsidRPr="00AA4FE6">
                    <w:rPr>
                      <w:szCs w:val="20"/>
                      <w:lang w:val="en-AU"/>
                    </w:rPr>
                    <w:t>$</w:t>
                  </w:r>
                  <w:r w:rsidR="0066157F" w:rsidRPr="0066157F">
                    <w:rPr>
                      <w:rFonts w:hint="eastAsia"/>
                      <w:color w:val="000000"/>
                      <w:w w:val="15"/>
                      <w:szCs w:val="20"/>
                      <w:shd w:val="solid" w:color="000000" w:fill="000000"/>
                      <w:fitText w:val="60" w:id="-894207996"/>
                      <w:lang w:val="en-AU"/>
                      <w14:textFill>
                        <w14:solidFill>
                          <w14:srgbClr w14:val="000000">
                            <w14:alpha w14:val="100000"/>
                          </w14:srgbClr>
                        </w14:solidFill>
                      </w14:textFill>
                    </w:rPr>
                    <w:t xml:space="preserve">　</w:t>
                  </w:r>
                  <w:r w:rsidR="0066157F" w:rsidRPr="0066157F">
                    <w:rPr>
                      <w:color w:val="000000"/>
                      <w:w w:val="15"/>
                      <w:szCs w:val="20"/>
                      <w:shd w:val="solid" w:color="000000" w:fill="000000"/>
                      <w:fitText w:val="60" w:id="-894207996"/>
                      <w:lang w:val="en-AU"/>
                      <w14:textFill>
                        <w14:solidFill>
                          <w14:srgbClr w14:val="000000">
                            <w14:alpha w14:val="100000"/>
                          </w14:srgbClr>
                        </w14:solidFill>
                      </w14:textFill>
                    </w:rPr>
                    <w:t>|</w:t>
                  </w:r>
                  <w:r w:rsidR="0066157F" w:rsidRPr="0066157F">
                    <w:rPr>
                      <w:rFonts w:hint="eastAsia"/>
                      <w:color w:val="000000"/>
                      <w:spacing w:val="-6"/>
                      <w:w w:val="15"/>
                      <w:szCs w:val="20"/>
                      <w:shd w:val="solid" w:color="000000" w:fill="000000"/>
                      <w:fitText w:val="60" w:id="-894207996"/>
                      <w:lang w:val="en-AU"/>
                      <w14:textFill>
                        <w14:solidFill>
                          <w14:srgbClr w14:val="000000">
                            <w14:alpha w14:val="100000"/>
                          </w14:srgbClr>
                        </w14:solidFill>
                      </w14:textFill>
                    </w:rPr>
                    <w:t xml:space="preserve">　</w:t>
                  </w:r>
                </w:p>
              </w:tc>
              <w:tc>
                <w:tcPr>
                  <w:tcW w:w="1197" w:type="dxa"/>
                  <w:shd w:val="clear" w:color="auto" w:fill="auto"/>
                </w:tcPr>
                <w:p w14:paraId="30356606" w14:textId="16BD79E8" w:rsidR="00AA4FE6" w:rsidRPr="00AA4FE6" w:rsidRDefault="00AA4FE6" w:rsidP="00341A2B">
                  <w:pPr>
                    <w:pStyle w:val="Tabletext"/>
                    <w:framePr w:hSpace="180" w:wrap="around" w:vAnchor="text" w:hAnchor="text" w:y="1"/>
                    <w:suppressOverlap/>
                    <w:jc w:val="center"/>
                    <w:rPr>
                      <w:szCs w:val="20"/>
                      <w:lang w:val="en-AU"/>
                    </w:rPr>
                  </w:pPr>
                  <w:r w:rsidRPr="00AA4FE6">
                    <w:rPr>
                      <w:szCs w:val="20"/>
                      <w:lang w:val="en-AU"/>
                    </w:rPr>
                    <w:t>$</w:t>
                  </w:r>
                  <w:r w:rsidR="0066157F" w:rsidRPr="0066157F">
                    <w:rPr>
                      <w:rFonts w:hint="eastAsia"/>
                      <w:color w:val="000000"/>
                      <w:w w:val="15"/>
                      <w:szCs w:val="20"/>
                      <w:shd w:val="solid" w:color="000000" w:fill="000000"/>
                      <w:fitText w:val="50" w:id="-894207995"/>
                      <w:lang w:val="en-AU"/>
                      <w14:textFill>
                        <w14:solidFill>
                          <w14:srgbClr w14:val="000000">
                            <w14:alpha w14:val="100000"/>
                          </w14:srgbClr>
                        </w14:solidFill>
                      </w14:textFill>
                    </w:rPr>
                    <w:t xml:space="preserve">　</w:t>
                  </w:r>
                  <w:r w:rsidR="0066157F" w:rsidRPr="0066157F">
                    <w:rPr>
                      <w:color w:val="000000"/>
                      <w:w w:val="15"/>
                      <w:szCs w:val="20"/>
                      <w:shd w:val="solid" w:color="000000" w:fill="000000"/>
                      <w:fitText w:val="50" w:id="-894207995"/>
                      <w:lang w:val="en-AU"/>
                      <w14:textFill>
                        <w14:solidFill>
                          <w14:srgbClr w14:val="000000">
                            <w14:alpha w14:val="100000"/>
                          </w14:srgbClr>
                        </w14:solidFill>
                      </w14:textFill>
                    </w:rPr>
                    <w:t>|</w:t>
                  </w:r>
                  <w:r w:rsidR="0066157F" w:rsidRPr="0066157F">
                    <w:rPr>
                      <w:rFonts w:hint="eastAsia"/>
                      <w:color w:val="000000"/>
                      <w:spacing w:val="-16"/>
                      <w:w w:val="15"/>
                      <w:szCs w:val="20"/>
                      <w:shd w:val="solid" w:color="000000" w:fill="000000"/>
                      <w:fitText w:val="50" w:id="-894207995"/>
                      <w:lang w:val="en-AU"/>
                      <w14:textFill>
                        <w14:solidFill>
                          <w14:srgbClr w14:val="000000">
                            <w14:alpha w14:val="100000"/>
                          </w14:srgbClr>
                        </w14:solidFill>
                      </w14:textFill>
                    </w:rPr>
                    <w:t xml:space="preserve">　</w:t>
                  </w:r>
                </w:p>
              </w:tc>
              <w:tc>
                <w:tcPr>
                  <w:tcW w:w="1111" w:type="dxa"/>
                  <w:shd w:val="clear" w:color="auto" w:fill="auto"/>
                  <w:vAlign w:val="center"/>
                </w:tcPr>
                <w:p w14:paraId="0B97BE34" w14:textId="05F1735D" w:rsidR="00AA4FE6" w:rsidRPr="00AA4FE6" w:rsidRDefault="00AA4FE6" w:rsidP="00341A2B">
                  <w:pPr>
                    <w:pStyle w:val="Tabletext"/>
                    <w:framePr w:hSpace="180" w:wrap="around" w:vAnchor="text" w:hAnchor="text" w:y="1"/>
                    <w:suppressOverlap/>
                    <w:jc w:val="center"/>
                    <w:rPr>
                      <w:szCs w:val="20"/>
                      <w:lang w:val="en-AU"/>
                    </w:rPr>
                  </w:pPr>
                  <w:r w:rsidRPr="00AA4FE6">
                    <w:rPr>
                      <w:szCs w:val="20"/>
                      <w:lang w:val="en-AU"/>
                    </w:rPr>
                    <w:t>$</w:t>
                  </w:r>
                  <w:r w:rsidR="0066157F" w:rsidRPr="0066157F">
                    <w:rPr>
                      <w:rFonts w:hint="eastAsia"/>
                      <w:color w:val="000000"/>
                      <w:w w:val="22"/>
                      <w:szCs w:val="20"/>
                      <w:shd w:val="solid" w:color="000000" w:fill="000000"/>
                      <w:fitText w:val="100" w:id="-894207994"/>
                      <w:lang w:val="en-AU"/>
                      <w14:textFill>
                        <w14:solidFill>
                          <w14:srgbClr w14:val="000000">
                            <w14:alpha w14:val="100000"/>
                          </w14:srgbClr>
                        </w14:solidFill>
                      </w14:textFill>
                    </w:rPr>
                    <w:t xml:space="preserve">　</w:t>
                  </w:r>
                  <w:r w:rsidR="0066157F" w:rsidRPr="0066157F">
                    <w:rPr>
                      <w:color w:val="000000"/>
                      <w:w w:val="22"/>
                      <w:szCs w:val="20"/>
                      <w:shd w:val="solid" w:color="000000" w:fill="000000"/>
                      <w:fitText w:val="100" w:id="-894207994"/>
                      <w:lang w:val="en-AU"/>
                      <w14:textFill>
                        <w14:solidFill>
                          <w14:srgbClr w14:val="000000">
                            <w14:alpha w14:val="100000"/>
                          </w14:srgbClr>
                        </w14:solidFill>
                      </w14:textFill>
                    </w:rPr>
                    <w:t>|</w:t>
                  </w:r>
                  <w:r w:rsidR="0066157F" w:rsidRPr="0066157F">
                    <w:rPr>
                      <w:rFonts w:hint="eastAsia"/>
                      <w:color w:val="000000"/>
                      <w:spacing w:val="3"/>
                      <w:w w:val="22"/>
                      <w:szCs w:val="20"/>
                      <w:shd w:val="solid" w:color="000000" w:fill="000000"/>
                      <w:fitText w:val="100" w:id="-894207994"/>
                      <w:lang w:val="en-AU"/>
                      <w14:textFill>
                        <w14:solidFill>
                          <w14:srgbClr w14:val="000000">
                            <w14:alpha w14:val="100000"/>
                          </w14:srgbClr>
                        </w14:solidFill>
                      </w14:textFill>
                    </w:rPr>
                    <w:t xml:space="preserve">　</w:t>
                  </w:r>
                </w:p>
              </w:tc>
            </w:tr>
            <w:tr w:rsidR="00AA4FE6" w:rsidRPr="00AA4FE6" w14:paraId="52D92E97" w14:textId="77777777" w:rsidTr="00173384">
              <w:tc>
                <w:tcPr>
                  <w:tcW w:w="1127" w:type="dxa"/>
                  <w:shd w:val="clear" w:color="auto" w:fill="auto"/>
                </w:tcPr>
                <w:p w14:paraId="6008479E" w14:textId="77777777" w:rsidR="00AA4FE6" w:rsidRPr="00AA4FE6" w:rsidRDefault="00AA4FE6" w:rsidP="00341A2B">
                  <w:pPr>
                    <w:pStyle w:val="Tabletext"/>
                    <w:framePr w:hSpace="180" w:wrap="around" w:vAnchor="text" w:hAnchor="text" w:y="1"/>
                    <w:suppressOverlap/>
                    <w:rPr>
                      <w:szCs w:val="20"/>
                      <w:lang w:val="en-AU"/>
                    </w:rPr>
                  </w:pPr>
                  <w:r w:rsidRPr="00AA4FE6">
                    <w:rPr>
                      <w:szCs w:val="20"/>
                      <w:lang w:val="en-AU"/>
                    </w:rPr>
                    <w:t>600 mcg</w:t>
                  </w:r>
                </w:p>
              </w:tc>
              <w:tc>
                <w:tcPr>
                  <w:tcW w:w="1175" w:type="dxa"/>
                  <w:shd w:val="clear" w:color="auto" w:fill="auto"/>
                </w:tcPr>
                <w:p w14:paraId="38B0522A" w14:textId="29A25C62" w:rsidR="00AA4FE6" w:rsidRPr="00AA4FE6" w:rsidRDefault="00AA4FE6" w:rsidP="00341A2B">
                  <w:pPr>
                    <w:pStyle w:val="Tabletext"/>
                    <w:framePr w:hSpace="180" w:wrap="around" w:vAnchor="text" w:hAnchor="text" w:y="1"/>
                    <w:suppressOverlap/>
                    <w:jc w:val="center"/>
                    <w:rPr>
                      <w:szCs w:val="20"/>
                      <w:lang w:val="en-AU"/>
                    </w:rPr>
                  </w:pPr>
                  <w:r w:rsidRPr="00AA4FE6">
                    <w:rPr>
                      <w:szCs w:val="20"/>
                      <w:lang w:val="en-AU"/>
                    </w:rPr>
                    <w:t>$</w:t>
                  </w:r>
                  <w:r w:rsidR="0066157F" w:rsidRPr="0066157F">
                    <w:rPr>
                      <w:rFonts w:hint="eastAsia"/>
                      <w:color w:val="000000"/>
                      <w:w w:val="15"/>
                      <w:szCs w:val="20"/>
                      <w:shd w:val="solid" w:color="000000" w:fill="000000"/>
                      <w:fitText w:val="60" w:id="-894207993"/>
                      <w:lang w:val="en-AU"/>
                      <w14:textFill>
                        <w14:solidFill>
                          <w14:srgbClr w14:val="000000">
                            <w14:alpha w14:val="100000"/>
                          </w14:srgbClr>
                        </w14:solidFill>
                      </w14:textFill>
                    </w:rPr>
                    <w:t xml:space="preserve">　</w:t>
                  </w:r>
                  <w:r w:rsidR="0066157F" w:rsidRPr="0066157F">
                    <w:rPr>
                      <w:color w:val="000000"/>
                      <w:w w:val="15"/>
                      <w:szCs w:val="20"/>
                      <w:shd w:val="solid" w:color="000000" w:fill="000000"/>
                      <w:fitText w:val="60" w:id="-894207993"/>
                      <w:lang w:val="en-AU"/>
                      <w14:textFill>
                        <w14:solidFill>
                          <w14:srgbClr w14:val="000000">
                            <w14:alpha w14:val="100000"/>
                          </w14:srgbClr>
                        </w14:solidFill>
                      </w14:textFill>
                    </w:rPr>
                    <w:t>|</w:t>
                  </w:r>
                  <w:r w:rsidR="0066157F" w:rsidRPr="0066157F">
                    <w:rPr>
                      <w:rFonts w:hint="eastAsia"/>
                      <w:color w:val="000000"/>
                      <w:spacing w:val="-6"/>
                      <w:w w:val="15"/>
                      <w:szCs w:val="20"/>
                      <w:shd w:val="solid" w:color="000000" w:fill="000000"/>
                      <w:fitText w:val="60" w:id="-894207993"/>
                      <w:lang w:val="en-AU"/>
                      <w14:textFill>
                        <w14:solidFill>
                          <w14:srgbClr w14:val="000000">
                            <w14:alpha w14:val="100000"/>
                          </w14:srgbClr>
                        </w14:solidFill>
                      </w14:textFill>
                    </w:rPr>
                    <w:t xml:space="preserve">　</w:t>
                  </w:r>
                </w:p>
              </w:tc>
              <w:tc>
                <w:tcPr>
                  <w:tcW w:w="1197" w:type="dxa"/>
                  <w:shd w:val="clear" w:color="auto" w:fill="auto"/>
                </w:tcPr>
                <w:p w14:paraId="5F4CDFF6" w14:textId="5BDD5FE8" w:rsidR="00AA4FE6" w:rsidRPr="00AA4FE6" w:rsidRDefault="00AA4FE6" w:rsidP="00341A2B">
                  <w:pPr>
                    <w:pStyle w:val="Tabletext"/>
                    <w:framePr w:hSpace="180" w:wrap="around" w:vAnchor="text" w:hAnchor="text" w:y="1"/>
                    <w:suppressOverlap/>
                    <w:jc w:val="center"/>
                    <w:rPr>
                      <w:szCs w:val="20"/>
                      <w:lang w:val="en-AU"/>
                    </w:rPr>
                  </w:pPr>
                  <w:r w:rsidRPr="00AA4FE6">
                    <w:rPr>
                      <w:szCs w:val="20"/>
                      <w:lang w:val="en-AU"/>
                    </w:rPr>
                    <w:t>$</w:t>
                  </w:r>
                  <w:r w:rsidR="0066157F" w:rsidRPr="0066157F">
                    <w:rPr>
                      <w:rFonts w:hint="eastAsia"/>
                      <w:color w:val="000000"/>
                      <w:w w:val="15"/>
                      <w:szCs w:val="20"/>
                      <w:shd w:val="solid" w:color="000000" w:fill="000000"/>
                      <w:fitText w:val="50" w:id="-894207992"/>
                      <w:lang w:val="en-AU"/>
                      <w14:textFill>
                        <w14:solidFill>
                          <w14:srgbClr w14:val="000000">
                            <w14:alpha w14:val="100000"/>
                          </w14:srgbClr>
                        </w14:solidFill>
                      </w14:textFill>
                    </w:rPr>
                    <w:t xml:space="preserve">　</w:t>
                  </w:r>
                  <w:r w:rsidR="0066157F" w:rsidRPr="0066157F">
                    <w:rPr>
                      <w:color w:val="000000"/>
                      <w:w w:val="15"/>
                      <w:szCs w:val="20"/>
                      <w:shd w:val="solid" w:color="000000" w:fill="000000"/>
                      <w:fitText w:val="50" w:id="-894207992"/>
                      <w:lang w:val="en-AU"/>
                      <w14:textFill>
                        <w14:solidFill>
                          <w14:srgbClr w14:val="000000">
                            <w14:alpha w14:val="100000"/>
                          </w14:srgbClr>
                        </w14:solidFill>
                      </w14:textFill>
                    </w:rPr>
                    <w:t>|</w:t>
                  </w:r>
                  <w:r w:rsidR="0066157F" w:rsidRPr="0066157F">
                    <w:rPr>
                      <w:rFonts w:hint="eastAsia"/>
                      <w:color w:val="000000"/>
                      <w:spacing w:val="-16"/>
                      <w:w w:val="15"/>
                      <w:szCs w:val="20"/>
                      <w:shd w:val="solid" w:color="000000" w:fill="000000"/>
                      <w:fitText w:val="50" w:id="-894207992"/>
                      <w:lang w:val="en-AU"/>
                      <w14:textFill>
                        <w14:solidFill>
                          <w14:srgbClr w14:val="000000">
                            <w14:alpha w14:val="100000"/>
                          </w14:srgbClr>
                        </w14:solidFill>
                      </w14:textFill>
                    </w:rPr>
                    <w:t xml:space="preserve">　</w:t>
                  </w:r>
                </w:p>
              </w:tc>
              <w:tc>
                <w:tcPr>
                  <w:tcW w:w="1111" w:type="dxa"/>
                  <w:shd w:val="clear" w:color="auto" w:fill="auto"/>
                  <w:vAlign w:val="center"/>
                </w:tcPr>
                <w:p w14:paraId="2338BDE1" w14:textId="5008FB0E" w:rsidR="00AA4FE6" w:rsidRPr="00AA4FE6" w:rsidRDefault="00AA4FE6" w:rsidP="00341A2B">
                  <w:pPr>
                    <w:pStyle w:val="Tabletext"/>
                    <w:framePr w:hSpace="180" w:wrap="around" w:vAnchor="text" w:hAnchor="text" w:y="1"/>
                    <w:suppressOverlap/>
                    <w:jc w:val="center"/>
                    <w:rPr>
                      <w:szCs w:val="20"/>
                      <w:lang w:val="en-AU"/>
                    </w:rPr>
                  </w:pPr>
                  <w:r w:rsidRPr="00AA4FE6">
                    <w:rPr>
                      <w:szCs w:val="20"/>
                      <w:lang w:val="en-AU"/>
                    </w:rPr>
                    <w:t>$</w:t>
                  </w:r>
                  <w:r w:rsidR="0066157F" w:rsidRPr="0066157F">
                    <w:rPr>
                      <w:rFonts w:hint="eastAsia"/>
                      <w:color w:val="000000"/>
                      <w:w w:val="22"/>
                      <w:szCs w:val="20"/>
                      <w:shd w:val="solid" w:color="000000" w:fill="000000"/>
                      <w:fitText w:val="100" w:id="-894207991"/>
                      <w:lang w:val="en-AU"/>
                      <w14:textFill>
                        <w14:solidFill>
                          <w14:srgbClr w14:val="000000">
                            <w14:alpha w14:val="100000"/>
                          </w14:srgbClr>
                        </w14:solidFill>
                      </w14:textFill>
                    </w:rPr>
                    <w:t xml:space="preserve">　</w:t>
                  </w:r>
                  <w:r w:rsidR="0066157F" w:rsidRPr="0066157F">
                    <w:rPr>
                      <w:color w:val="000000"/>
                      <w:w w:val="22"/>
                      <w:szCs w:val="20"/>
                      <w:shd w:val="solid" w:color="000000" w:fill="000000"/>
                      <w:fitText w:val="100" w:id="-894207991"/>
                      <w:lang w:val="en-AU"/>
                      <w14:textFill>
                        <w14:solidFill>
                          <w14:srgbClr w14:val="000000">
                            <w14:alpha w14:val="100000"/>
                          </w14:srgbClr>
                        </w14:solidFill>
                      </w14:textFill>
                    </w:rPr>
                    <w:t>|</w:t>
                  </w:r>
                  <w:r w:rsidR="0066157F" w:rsidRPr="0066157F">
                    <w:rPr>
                      <w:rFonts w:hint="eastAsia"/>
                      <w:color w:val="000000"/>
                      <w:spacing w:val="3"/>
                      <w:w w:val="22"/>
                      <w:szCs w:val="20"/>
                      <w:shd w:val="solid" w:color="000000" w:fill="000000"/>
                      <w:fitText w:val="100" w:id="-894207991"/>
                      <w:lang w:val="en-AU"/>
                      <w14:textFill>
                        <w14:solidFill>
                          <w14:srgbClr w14:val="000000">
                            <w14:alpha w14:val="100000"/>
                          </w14:srgbClr>
                        </w14:solidFill>
                      </w14:textFill>
                    </w:rPr>
                    <w:t xml:space="preserve">　</w:t>
                  </w:r>
                </w:p>
              </w:tc>
            </w:tr>
            <w:tr w:rsidR="00AA4FE6" w:rsidRPr="00AA4FE6" w14:paraId="2A7358C1" w14:textId="77777777" w:rsidTr="00173384">
              <w:tc>
                <w:tcPr>
                  <w:tcW w:w="1127" w:type="dxa"/>
                  <w:tcBorders>
                    <w:bottom w:val="single" w:sz="4" w:space="0" w:color="auto"/>
                  </w:tcBorders>
                  <w:shd w:val="clear" w:color="auto" w:fill="auto"/>
                </w:tcPr>
                <w:p w14:paraId="70DD2620" w14:textId="77777777" w:rsidR="00AA4FE6" w:rsidRPr="00AA4FE6" w:rsidRDefault="00AA4FE6" w:rsidP="00341A2B">
                  <w:pPr>
                    <w:pStyle w:val="Tabletext"/>
                    <w:framePr w:hSpace="180" w:wrap="around" w:vAnchor="text" w:hAnchor="text" w:y="1"/>
                    <w:suppressOverlap/>
                    <w:rPr>
                      <w:szCs w:val="20"/>
                      <w:lang w:val="en-AU"/>
                    </w:rPr>
                  </w:pPr>
                  <w:r w:rsidRPr="00AA4FE6">
                    <w:rPr>
                      <w:szCs w:val="20"/>
                      <w:lang w:val="en-AU"/>
                    </w:rPr>
                    <w:t>1200 mcg</w:t>
                  </w:r>
                </w:p>
              </w:tc>
              <w:tc>
                <w:tcPr>
                  <w:tcW w:w="1175" w:type="dxa"/>
                  <w:tcBorders>
                    <w:bottom w:val="single" w:sz="4" w:space="0" w:color="auto"/>
                  </w:tcBorders>
                  <w:shd w:val="clear" w:color="auto" w:fill="auto"/>
                </w:tcPr>
                <w:p w14:paraId="6F0CA091" w14:textId="0B2086CE" w:rsidR="00AA4FE6" w:rsidRPr="00AA4FE6" w:rsidRDefault="00AA4FE6" w:rsidP="00341A2B">
                  <w:pPr>
                    <w:pStyle w:val="Tabletext"/>
                    <w:framePr w:hSpace="180" w:wrap="around" w:vAnchor="text" w:hAnchor="text" w:y="1"/>
                    <w:suppressOverlap/>
                    <w:jc w:val="center"/>
                    <w:rPr>
                      <w:szCs w:val="20"/>
                      <w:lang w:val="en-AU"/>
                    </w:rPr>
                  </w:pPr>
                  <w:r w:rsidRPr="00AA4FE6">
                    <w:rPr>
                      <w:szCs w:val="20"/>
                      <w:lang w:val="en-AU"/>
                    </w:rPr>
                    <w:t>$</w:t>
                  </w:r>
                  <w:r w:rsidR="0066157F" w:rsidRPr="0066157F">
                    <w:rPr>
                      <w:rFonts w:hint="eastAsia"/>
                      <w:color w:val="000000"/>
                      <w:w w:val="15"/>
                      <w:szCs w:val="20"/>
                      <w:shd w:val="solid" w:color="000000" w:fill="000000"/>
                      <w:fitText w:val="60" w:id="-894207990"/>
                      <w:lang w:val="en-AU"/>
                      <w14:textFill>
                        <w14:solidFill>
                          <w14:srgbClr w14:val="000000">
                            <w14:alpha w14:val="100000"/>
                          </w14:srgbClr>
                        </w14:solidFill>
                      </w14:textFill>
                    </w:rPr>
                    <w:t xml:space="preserve">　</w:t>
                  </w:r>
                  <w:r w:rsidR="0066157F" w:rsidRPr="0066157F">
                    <w:rPr>
                      <w:color w:val="000000"/>
                      <w:w w:val="15"/>
                      <w:szCs w:val="20"/>
                      <w:shd w:val="solid" w:color="000000" w:fill="000000"/>
                      <w:fitText w:val="60" w:id="-894207990"/>
                      <w:lang w:val="en-AU"/>
                      <w14:textFill>
                        <w14:solidFill>
                          <w14:srgbClr w14:val="000000">
                            <w14:alpha w14:val="100000"/>
                          </w14:srgbClr>
                        </w14:solidFill>
                      </w14:textFill>
                    </w:rPr>
                    <w:t>|</w:t>
                  </w:r>
                  <w:r w:rsidR="0066157F" w:rsidRPr="0066157F">
                    <w:rPr>
                      <w:rFonts w:hint="eastAsia"/>
                      <w:color w:val="000000"/>
                      <w:spacing w:val="-6"/>
                      <w:w w:val="15"/>
                      <w:szCs w:val="20"/>
                      <w:shd w:val="solid" w:color="000000" w:fill="000000"/>
                      <w:fitText w:val="60" w:id="-894207990"/>
                      <w:lang w:val="en-AU"/>
                      <w14:textFill>
                        <w14:solidFill>
                          <w14:srgbClr w14:val="000000">
                            <w14:alpha w14:val="100000"/>
                          </w14:srgbClr>
                        </w14:solidFill>
                      </w14:textFill>
                    </w:rPr>
                    <w:t xml:space="preserve">　</w:t>
                  </w:r>
                </w:p>
              </w:tc>
              <w:tc>
                <w:tcPr>
                  <w:tcW w:w="1197" w:type="dxa"/>
                  <w:tcBorders>
                    <w:bottom w:val="single" w:sz="4" w:space="0" w:color="auto"/>
                  </w:tcBorders>
                  <w:shd w:val="clear" w:color="auto" w:fill="auto"/>
                </w:tcPr>
                <w:p w14:paraId="5278E01F" w14:textId="04ABFD8C" w:rsidR="00AA4FE6" w:rsidRPr="00AA4FE6" w:rsidRDefault="00AA4FE6" w:rsidP="00341A2B">
                  <w:pPr>
                    <w:pStyle w:val="Tabletext"/>
                    <w:framePr w:hSpace="180" w:wrap="around" w:vAnchor="text" w:hAnchor="text" w:y="1"/>
                    <w:suppressOverlap/>
                    <w:jc w:val="center"/>
                    <w:rPr>
                      <w:szCs w:val="20"/>
                      <w:lang w:val="en-AU"/>
                    </w:rPr>
                  </w:pPr>
                  <w:r w:rsidRPr="00AA4FE6">
                    <w:rPr>
                      <w:szCs w:val="20"/>
                      <w:lang w:val="en-AU"/>
                    </w:rPr>
                    <w:t>$</w:t>
                  </w:r>
                  <w:r w:rsidR="0066157F" w:rsidRPr="0066157F">
                    <w:rPr>
                      <w:rFonts w:hint="eastAsia"/>
                      <w:color w:val="000000"/>
                      <w:w w:val="15"/>
                      <w:szCs w:val="20"/>
                      <w:shd w:val="solid" w:color="000000" w:fill="000000"/>
                      <w:fitText w:val="50" w:id="-894207989"/>
                      <w:lang w:val="en-AU"/>
                      <w14:textFill>
                        <w14:solidFill>
                          <w14:srgbClr w14:val="000000">
                            <w14:alpha w14:val="100000"/>
                          </w14:srgbClr>
                        </w14:solidFill>
                      </w14:textFill>
                    </w:rPr>
                    <w:t xml:space="preserve">　</w:t>
                  </w:r>
                  <w:r w:rsidR="0066157F" w:rsidRPr="0066157F">
                    <w:rPr>
                      <w:color w:val="000000"/>
                      <w:w w:val="15"/>
                      <w:szCs w:val="20"/>
                      <w:shd w:val="solid" w:color="000000" w:fill="000000"/>
                      <w:fitText w:val="50" w:id="-894207989"/>
                      <w:lang w:val="en-AU"/>
                      <w14:textFill>
                        <w14:solidFill>
                          <w14:srgbClr w14:val="000000">
                            <w14:alpha w14:val="100000"/>
                          </w14:srgbClr>
                        </w14:solidFill>
                      </w14:textFill>
                    </w:rPr>
                    <w:t>|</w:t>
                  </w:r>
                  <w:r w:rsidR="0066157F" w:rsidRPr="0066157F">
                    <w:rPr>
                      <w:rFonts w:hint="eastAsia"/>
                      <w:color w:val="000000"/>
                      <w:spacing w:val="-16"/>
                      <w:w w:val="15"/>
                      <w:szCs w:val="20"/>
                      <w:shd w:val="solid" w:color="000000" w:fill="000000"/>
                      <w:fitText w:val="50" w:id="-894207989"/>
                      <w:lang w:val="en-AU"/>
                      <w14:textFill>
                        <w14:solidFill>
                          <w14:srgbClr w14:val="000000">
                            <w14:alpha w14:val="100000"/>
                          </w14:srgbClr>
                        </w14:solidFill>
                      </w14:textFill>
                    </w:rPr>
                    <w:t xml:space="preserve">　</w:t>
                  </w:r>
                </w:p>
              </w:tc>
              <w:tc>
                <w:tcPr>
                  <w:tcW w:w="1111" w:type="dxa"/>
                  <w:tcBorders>
                    <w:bottom w:val="single" w:sz="4" w:space="0" w:color="auto"/>
                  </w:tcBorders>
                  <w:shd w:val="clear" w:color="auto" w:fill="auto"/>
                  <w:vAlign w:val="center"/>
                </w:tcPr>
                <w:p w14:paraId="023AF270" w14:textId="6EDF4E3C" w:rsidR="00AA4FE6" w:rsidRPr="00AA4FE6" w:rsidRDefault="00AA4FE6" w:rsidP="00341A2B">
                  <w:pPr>
                    <w:pStyle w:val="Tabletext"/>
                    <w:framePr w:hSpace="180" w:wrap="around" w:vAnchor="text" w:hAnchor="text" w:y="1"/>
                    <w:suppressOverlap/>
                    <w:jc w:val="center"/>
                    <w:rPr>
                      <w:szCs w:val="20"/>
                      <w:lang w:val="en-AU"/>
                    </w:rPr>
                  </w:pPr>
                  <w:r w:rsidRPr="00AA4FE6">
                    <w:rPr>
                      <w:szCs w:val="20"/>
                      <w:lang w:val="en-AU"/>
                    </w:rPr>
                    <w:t>$</w:t>
                  </w:r>
                  <w:r w:rsidR="0066157F" w:rsidRPr="0066157F">
                    <w:rPr>
                      <w:rFonts w:hint="eastAsia"/>
                      <w:color w:val="000000"/>
                      <w:w w:val="22"/>
                      <w:szCs w:val="20"/>
                      <w:shd w:val="solid" w:color="000000" w:fill="000000"/>
                      <w:fitText w:val="100" w:id="-894207988"/>
                      <w:lang w:val="en-AU"/>
                      <w14:textFill>
                        <w14:solidFill>
                          <w14:srgbClr w14:val="000000">
                            <w14:alpha w14:val="100000"/>
                          </w14:srgbClr>
                        </w14:solidFill>
                      </w14:textFill>
                    </w:rPr>
                    <w:t xml:space="preserve">　</w:t>
                  </w:r>
                  <w:r w:rsidR="0066157F" w:rsidRPr="0066157F">
                    <w:rPr>
                      <w:color w:val="000000"/>
                      <w:w w:val="22"/>
                      <w:szCs w:val="20"/>
                      <w:shd w:val="solid" w:color="000000" w:fill="000000"/>
                      <w:fitText w:val="100" w:id="-894207988"/>
                      <w:lang w:val="en-AU"/>
                      <w14:textFill>
                        <w14:solidFill>
                          <w14:srgbClr w14:val="000000">
                            <w14:alpha w14:val="100000"/>
                          </w14:srgbClr>
                        </w14:solidFill>
                      </w14:textFill>
                    </w:rPr>
                    <w:t>|</w:t>
                  </w:r>
                  <w:r w:rsidR="0066157F" w:rsidRPr="0066157F">
                    <w:rPr>
                      <w:rFonts w:hint="eastAsia"/>
                      <w:color w:val="000000"/>
                      <w:spacing w:val="3"/>
                      <w:w w:val="22"/>
                      <w:szCs w:val="20"/>
                      <w:shd w:val="solid" w:color="000000" w:fill="000000"/>
                      <w:fitText w:val="100" w:id="-894207988"/>
                      <w:lang w:val="en-AU"/>
                      <w14:textFill>
                        <w14:solidFill>
                          <w14:srgbClr w14:val="000000">
                            <w14:alpha w14:val="100000"/>
                          </w14:srgbClr>
                        </w14:solidFill>
                      </w14:textFill>
                    </w:rPr>
                    <w:t xml:space="preserve">　</w:t>
                  </w:r>
                </w:p>
              </w:tc>
            </w:tr>
            <w:tr w:rsidR="00AA4FE6" w:rsidRPr="00AA4FE6" w14:paraId="58C7C7E2" w14:textId="77777777" w:rsidTr="00173384">
              <w:tc>
                <w:tcPr>
                  <w:tcW w:w="1127" w:type="dxa"/>
                  <w:tcBorders>
                    <w:top w:val="single" w:sz="4" w:space="0" w:color="auto"/>
                    <w:left w:val="single" w:sz="4" w:space="0" w:color="auto"/>
                    <w:bottom w:val="single" w:sz="4" w:space="0" w:color="auto"/>
                    <w:right w:val="nil"/>
                  </w:tcBorders>
                  <w:shd w:val="clear" w:color="auto" w:fill="auto"/>
                </w:tcPr>
                <w:p w14:paraId="2620A215" w14:textId="77777777" w:rsidR="00AA4FE6" w:rsidRPr="00AA4FE6" w:rsidRDefault="00AA4FE6" w:rsidP="00341A2B">
                  <w:pPr>
                    <w:pStyle w:val="Tabletext"/>
                    <w:framePr w:hSpace="180" w:wrap="around" w:vAnchor="text" w:hAnchor="text" w:y="1"/>
                    <w:suppressOverlap/>
                    <w:rPr>
                      <w:b/>
                      <w:bCs/>
                      <w:szCs w:val="20"/>
                      <w:lang w:val="en-AU"/>
                    </w:rPr>
                  </w:pPr>
                  <w:r w:rsidRPr="00AA4FE6">
                    <w:rPr>
                      <w:b/>
                      <w:bCs/>
                      <w:szCs w:val="20"/>
                      <w:lang w:val="en-AU"/>
                    </w:rPr>
                    <w:t>Effective</w:t>
                  </w:r>
                </w:p>
              </w:tc>
              <w:tc>
                <w:tcPr>
                  <w:tcW w:w="1175" w:type="dxa"/>
                  <w:tcBorders>
                    <w:top w:val="single" w:sz="4" w:space="0" w:color="auto"/>
                    <w:left w:val="nil"/>
                    <w:bottom w:val="single" w:sz="4" w:space="0" w:color="auto"/>
                    <w:right w:val="nil"/>
                  </w:tcBorders>
                  <w:shd w:val="clear" w:color="auto" w:fill="auto"/>
                </w:tcPr>
                <w:p w14:paraId="4CF6D26D" w14:textId="77777777" w:rsidR="00AA4FE6" w:rsidRPr="00AA4FE6" w:rsidRDefault="00AA4FE6" w:rsidP="00341A2B">
                  <w:pPr>
                    <w:pStyle w:val="Tabletext"/>
                    <w:framePr w:hSpace="180" w:wrap="around" w:vAnchor="text" w:hAnchor="text" w:y="1"/>
                    <w:suppressOverlap/>
                    <w:rPr>
                      <w:szCs w:val="20"/>
                      <w:lang w:val="en-AU"/>
                    </w:rPr>
                  </w:pPr>
                </w:p>
              </w:tc>
              <w:tc>
                <w:tcPr>
                  <w:tcW w:w="1197" w:type="dxa"/>
                  <w:tcBorders>
                    <w:top w:val="single" w:sz="4" w:space="0" w:color="auto"/>
                    <w:left w:val="nil"/>
                    <w:bottom w:val="single" w:sz="4" w:space="0" w:color="auto"/>
                    <w:right w:val="nil"/>
                  </w:tcBorders>
                  <w:shd w:val="clear" w:color="auto" w:fill="auto"/>
                </w:tcPr>
                <w:p w14:paraId="33F36E6C" w14:textId="77777777" w:rsidR="00AA4FE6" w:rsidRPr="00AA4FE6" w:rsidRDefault="00AA4FE6" w:rsidP="00341A2B">
                  <w:pPr>
                    <w:pStyle w:val="Tabletext"/>
                    <w:framePr w:hSpace="180" w:wrap="around" w:vAnchor="text" w:hAnchor="text" w:y="1"/>
                    <w:suppressOverlap/>
                    <w:rPr>
                      <w:szCs w:val="20"/>
                      <w:lang w:val="en-AU"/>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1CE0025F" w14:textId="77777777" w:rsidR="00AA4FE6" w:rsidRPr="00AA4FE6" w:rsidRDefault="00AA4FE6" w:rsidP="00341A2B">
                  <w:pPr>
                    <w:pStyle w:val="Tabletext"/>
                    <w:framePr w:hSpace="180" w:wrap="around" w:vAnchor="text" w:hAnchor="text" w:y="1"/>
                    <w:suppressOverlap/>
                    <w:rPr>
                      <w:szCs w:val="20"/>
                      <w:lang w:val="en-AU"/>
                    </w:rPr>
                  </w:pPr>
                </w:p>
              </w:tc>
            </w:tr>
            <w:tr w:rsidR="00AA4FE6" w:rsidRPr="00AA4FE6" w14:paraId="50D4E032" w14:textId="77777777" w:rsidTr="00173384">
              <w:tc>
                <w:tcPr>
                  <w:tcW w:w="1127" w:type="dxa"/>
                  <w:tcBorders>
                    <w:top w:val="single" w:sz="4" w:space="0" w:color="auto"/>
                  </w:tcBorders>
                  <w:shd w:val="clear" w:color="auto" w:fill="auto"/>
                </w:tcPr>
                <w:p w14:paraId="034C0CFC" w14:textId="77777777" w:rsidR="00AA4FE6" w:rsidRPr="00AA4FE6" w:rsidRDefault="00AA4FE6" w:rsidP="00341A2B">
                  <w:pPr>
                    <w:pStyle w:val="Tabletext"/>
                    <w:framePr w:hSpace="180" w:wrap="around" w:vAnchor="text" w:hAnchor="text" w:y="1"/>
                    <w:suppressOverlap/>
                    <w:rPr>
                      <w:szCs w:val="20"/>
                      <w:lang w:val="en-AU"/>
                    </w:rPr>
                  </w:pPr>
                  <w:r w:rsidRPr="00AA4FE6">
                    <w:rPr>
                      <w:szCs w:val="20"/>
                      <w:lang w:val="en-AU"/>
                    </w:rPr>
                    <w:t>200 mcg</w:t>
                  </w:r>
                </w:p>
              </w:tc>
              <w:tc>
                <w:tcPr>
                  <w:tcW w:w="1175" w:type="dxa"/>
                  <w:tcBorders>
                    <w:top w:val="single" w:sz="4" w:space="0" w:color="auto"/>
                  </w:tcBorders>
                  <w:shd w:val="clear" w:color="auto" w:fill="auto"/>
                </w:tcPr>
                <w:p w14:paraId="179AD7E5" w14:textId="1A93B204" w:rsidR="00AA4FE6" w:rsidRPr="00AA4FE6" w:rsidRDefault="00AA4FE6" w:rsidP="00341A2B">
                  <w:pPr>
                    <w:pStyle w:val="Tabletext"/>
                    <w:framePr w:hSpace="180" w:wrap="around" w:vAnchor="text" w:hAnchor="text" w:y="1"/>
                    <w:suppressOverlap/>
                    <w:jc w:val="center"/>
                    <w:rPr>
                      <w:szCs w:val="20"/>
                      <w:lang w:val="en-AU"/>
                    </w:rPr>
                  </w:pPr>
                  <w:r w:rsidRPr="00AA4FE6">
                    <w:rPr>
                      <w:szCs w:val="20"/>
                      <w:lang w:val="en-AU"/>
                    </w:rPr>
                    <w:t>$</w:t>
                  </w:r>
                  <w:r w:rsidR="0066157F" w:rsidRPr="0066157F">
                    <w:rPr>
                      <w:rFonts w:hint="eastAsia"/>
                      <w:color w:val="000000"/>
                      <w:w w:val="15"/>
                      <w:szCs w:val="20"/>
                      <w:shd w:val="solid" w:color="000000" w:fill="000000"/>
                      <w:fitText w:val="60" w:id="-894207987"/>
                      <w:lang w:val="en-AU"/>
                      <w14:textFill>
                        <w14:solidFill>
                          <w14:srgbClr w14:val="000000">
                            <w14:alpha w14:val="100000"/>
                          </w14:srgbClr>
                        </w14:solidFill>
                      </w14:textFill>
                    </w:rPr>
                    <w:t xml:space="preserve">　</w:t>
                  </w:r>
                  <w:r w:rsidR="0066157F" w:rsidRPr="0066157F">
                    <w:rPr>
                      <w:color w:val="000000"/>
                      <w:w w:val="15"/>
                      <w:szCs w:val="20"/>
                      <w:shd w:val="solid" w:color="000000" w:fill="000000"/>
                      <w:fitText w:val="60" w:id="-894207987"/>
                      <w:lang w:val="en-AU"/>
                      <w14:textFill>
                        <w14:solidFill>
                          <w14:srgbClr w14:val="000000">
                            <w14:alpha w14:val="100000"/>
                          </w14:srgbClr>
                        </w14:solidFill>
                      </w14:textFill>
                    </w:rPr>
                    <w:t>|</w:t>
                  </w:r>
                  <w:r w:rsidR="0066157F" w:rsidRPr="0066157F">
                    <w:rPr>
                      <w:rFonts w:hint="eastAsia"/>
                      <w:color w:val="000000"/>
                      <w:spacing w:val="-6"/>
                      <w:w w:val="15"/>
                      <w:szCs w:val="20"/>
                      <w:shd w:val="solid" w:color="000000" w:fill="000000"/>
                      <w:fitText w:val="60" w:id="-894207987"/>
                      <w:lang w:val="en-AU"/>
                      <w14:textFill>
                        <w14:solidFill>
                          <w14:srgbClr w14:val="000000">
                            <w14:alpha w14:val="100000"/>
                          </w14:srgbClr>
                        </w14:solidFill>
                      </w14:textFill>
                    </w:rPr>
                    <w:t xml:space="preserve">　</w:t>
                  </w:r>
                </w:p>
              </w:tc>
              <w:tc>
                <w:tcPr>
                  <w:tcW w:w="1197" w:type="dxa"/>
                  <w:tcBorders>
                    <w:top w:val="single" w:sz="4" w:space="0" w:color="auto"/>
                  </w:tcBorders>
                  <w:shd w:val="clear" w:color="auto" w:fill="auto"/>
                </w:tcPr>
                <w:p w14:paraId="2A593673" w14:textId="0AED2404" w:rsidR="00AA4FE6" w:rsidRPr="00AA4FE6" w:rsidRDefault="00AA4FE6" w:rsidP="00341A2B">
                  <w:pPr>
                    <w:pStyle w:val="Tabletext"/>
                    <w:framePr w:hSpace="180" w:wrap="around" w:vAnchor="text" w:hAnchor="text" w:y="1"/>
                    <w:suppressOverlap/>
                    <w:jc w:val="center"/>
                    <w:rPr>
                      <w:szCs w:val="20"/>
                      <w:lang w:val="en-AU"/>
                    </w:rPr>
                  </w:pPr>
                  <w:r w:rsidRPr="00AA4FE6">
                    <w:rPr>
                      <w:szCs w:val="20"/>
                      <w:lang w:val="en-AU"/>
                    </w:rPr>
                    <w:t>$</w:t>
                  </w:r>
                  <w:r w:rsidR="0066157F" w:rsidRPr="0066157F">
                    <w:rPr>
                      <w:rFonts w:hint="eastAsia"/>
                      <w:color w:val="000000"/>
                      <w:w w:val="15"/>
                      <w:szCs w:val="20"/>
                      <w:shd w:val="solid" w:color="000000" w:fill="000000"/>
                      <w:fitText w:val="50" w:id="-894207986"/>
                      <w:lang w:val="en-AU"/>
                      <w14:textFill>
                        <w14:solidFill>
                          <w14:srgbClr w14:val="000000">
                            <w14:alpha w14:val="100000"/>
                          </w14:srgbClr>
                        </w14:solidFill>
                      </w14:textFill>
                    </w:rPr>
                    <w:t xml:space="preserve">　</w:t>
                  </w:r>
                  <w:r w:rsidR="0066157F" w:rsidRPr="0066157F">
                    <w:rPr>
                      <w:color w:val="000000"/>
                      <w:w w:val="15"/>
                      <w:szCs w:val="20"/>
                      <w:shd w:val="solid" w:color="000000" w:fill="000000"/>
                      <w:fitText w:val="50" w:id="-894207986"/>
                      <w:lang w:val="en-AU"/>
                      <w14:textFill>
                        <w14:solidFill>
                          <w14:srgbClr w14:val="000000">
                            <w14:alpha w14:val="100000"/>
                          </w14:srgbClr>
                        </w14:solidFill>
                      </w14:textFill>
                    </w:rPr>
                    <w:t>|</w:t>
                  </w:r>
                  <w:r w:rsidR="0066157F" w:rsidRPr="0066157F">
                    <w:rPr>
                      <w:rFonts w:hint="eastAsia"/>
                      <w:color w:val="000000"/>
                      <w:spacing w:val="-16"/>
                      <w:w w:val="15"/>
                      <w:szCs w:val="20"/>
                      <w:shd w:val="solid" w:color="000000" w:fill="000000"/>
                      <w:fitText w:val="50" w:id="-894207986"/>
                      <w:lang w:val="en-AU"/>
                      <w14:textFill>
                        <w14:solidFill>
                          <w14:srgbClr w14:val="000000">
                            <w14:alpha w14:val="100000"/>
                          </w14:srgbClr>
                        </w14:solidFill>
                      </w14:textFill>
                    </w:rPr>
                    <w:t xml:space="preserve">　</w:t>
                  </w:r>
                </w:p>
              </w:tc>
              <w:tc>
                <w:tcPr>
                  <w:tcW w:w="1111" w:type="dxa"/>
                  <w:tcBorders>
                    <w:top w:val="single" w:sz="4" w:space="0" w:color="auto"/>
                  </w:tcBorders>
                  <w:shd w:val="clear" w:color="auto" w:fill="auto"/>
                  <w:vAlign w:val="center"/>
                </w:tcPr>
                <w:p w14:paraId="3B8AA47B" w14:textId="44C6B27C" w:rsidR="00AA4FE6" w:rsidRPr="00AA4FE6" w:rsidRDefault="00AA4FE6" w:rsidP="00341A2B">
                  <w:pPr>
                    <w:pStyle w:val="Tabletext"/>
                    <w:framePr w:hSpace="180" w:wrap="around" w:vAnchor="text" w:hAnchor="text" w:y="1"/>
                    <w:suppressOverlap/>
                    <w:jc w:val="center"/>
                    <w:rPr>
                      <w:szCs w:val="20"/>
                      <w:lang w:val="en-AU"/>
                    </w:rPr>
                  </w:pPr>
                  <w:r w:rsidRPr="00AA4FE6">
                    <w:rPr>
                      <w:szCs w:val="20"/>
                      <w:lang w:val="en-AU"/>
                    </w:rPr>
                    <w:t>$</w:t>
                  </w:r>
                  <w:r w:rsidR="0066157F" w:rsidRPr="0066157F">
                    <w:rPr>
                      <w:rFonts w:hint="eastAsia"/>
                      <w:color w:val="000000"/>
                      <w:w w:val="22"/>
                      <w:szCs w:val="20"/>
                      <w:shd w:val="solid" w:color="000000" w:fill="000000"/>
                      <w:fitText w:val="100" w:id="-894207985"/>
                      <w:lang w:val="en-AU"/>
                      <w14:textFill>
                        <w14:solidFill>
                          <w14:srgbClr w14:val="000000">
                            <w14:alpha w14:val="100000"/>
                          </w14:srgbClr>
                        </w14:solidFill>
                      </w14:textFill>
                    </w:rPr>
                    <w:t xml:space="preserve">　</w:t>
                  </w:r>
                  <w:r w:rsidR="0066157F" w:rsidRPr="0066157F">
                    <w:rPr>
                      <w:color w:val="000000"/>
                      <w:w w:val="22"/>
                      <w:szCs w:val="20"/>
                      <w:shd w:val="solid" w:color="000000" w:fill="000000"/>
                      <w:fitText w:val="100" w:id="-894207985"/>
                      <w:lang w:val="en-AU"/>
                      <w14:textFill>
                        <w14:solidFill>
                          <w14:srgbClr w14:val="000000">
                            <w14:alpha w14:val="100000"/>
                          </w14:srgbClr>
                        </w14:solidFill>
                      </w14:textFill>
                    </w:rPr>
                    <w:t>|</w:t>
                  </w:r>
                  <w:r w:rsidR="0066157F" w:rsidRPr="0066157F">
                    <w:rPr>
                      <w:rFonts w:hint="eastAsia"/>
                      <w:color w:val="000000"/>
                      <w:spacing w:val="3"/>
                      <w:w w:val="22"/>
                      <w:szCs w:val="20"/>
                      <w:shd w:val="solid" w:color="000000" w:fill="000000"/>
                      <w:fitText w:val="100" w:id="-894207985"/>
                      <w:lang w:val="en-AU"/>
                      <w14:textFill>
                        <w14:solidFill>
                          <w14:srgbClr w14:val="000000">
                            <w14:alpha w14:val="100000"/>
                          </w14:srgbClr>
                        </w14:solidFill>
                      </w14:textFill>
                    </w:rPr>
                    <w:t xml:space="preserve">　</w:t>
                  </w:r>
                </w:p>
              </w:tc>
            </w:tr>
            <w:tr w:rsidR="00AA4FE6" w:rsidRPr="00AA4FE6" w14:paraId="4905537A" w14:textId="77777777" w:rsidTr="00173384">
              <w:tc>
                <w:tcPr>
                  <w:tcW w:w="1127" w:type="dxa"/>
                  <w:shd w:val="clear" w:color="auto" w:fill="auto"/>
                </w:tcPr>
                <w:p w14:paraId="11A9AC05" w14:textId="77777777" w:rsidR="00AA4FE6" w:rsidRPr="00AA4FE6" w:rsidRDefault="00AA4FE6" w:rsidP="00341A2B">
                  <w:pPr>
                    <w:pStyle w:val="Tabletext"/>
                    <w:framePr w:hSpace="180" w:wrap="around" w:vAnchor="text" w:hAnchor="text" w:y="1"/>
                    <w:suppressOverlap/>
                    <w:rPr>
                      <w:szCs w:val="20"/>
                      <w:lang w:val="en-AU"/>
                    </w:rPr>
                  </w:pPr>
                  <w:r w:rsidRPr="00AA4FE6">
                    <w:rPr>
                      <w:szCs w:val="20"/>
                      <w:lang w:val="en-AU"/>
                    </w:rPr>
                    <w:t>400 mcg</w:t>
                  </w:r>
                </w:p>
              </w:tc>
              <w:tc>
                <w:tcPr>
                  <w:tcW w:w="1175" w:type="dxa"/>
                  <w:shd w:val="clear" w:color="auto" w:fill="auto"/>
                </w:tcPr>
                <w:p w14:paraId="3538E4BA" w14:textId="5FA5C505" w:rsidR="00AA4FE6" w:rsidRPr="00AA4FE6" w:rsidRDefault="00AA4FE6" w:rsidP="00341A2B">
                  <w:pPr>
                    <w:pStyle w:val="Tabletext"/>
                    <w:framePr w:hSpace="180" w:wrap="around" w:vAnchor="text" w:hAnchor="text" w:y="1"/>
                    <w:suppressOverlap/>
                    <w:jc w:val="center"/>
                    <w:rPr>
                      <w:szCs w:val="20"/>
                      <w:lang w:val="en-AU"/>
                    </w:rPr>
                  </w:pPr>
                  <w:r w:rsidRPr="00AA4FE6">
                    <w:rPr>
                      <w:szCs w:val="20"/>
                      <w:lang w:val="en-AU"/>
                    </w:rPr>
                    <w:t>$</w:t>
                  </w:r>
                  <w:r w:rsidR="0066157F" w:rsidRPr="0066157F">
                    <w:rPr>
                      <w:rFonts w:hint="eastAsia"/>
                      <w:color w:val="000000"/>
                      <w:w w:val="15"/>
                      <w:szCs w:val="20"/>
                      <w:shd w:val="solid" w:color="000000" w:fill="000000"/>
                      <w:fitText w:val="60" w:id="-894207984"/>
                      <w:lang w:val="en-AU"/>
                      <w14:textFill>
                        <w14:solidFill>
                          <w14:srgbClr w14:val="000000">
                            <w14:alpha w14:val="100000"/>
                          </w14:srgbClr>
                        </w14:solidFill>
                      </w14:textFill>
                    </w:rPr>
                    <w:t xml:space="preserve">　</w:t>
                  </w:r>
                  <w:r w:rsidR="0066157F" w:rsidRPr="0066157F">
                    <w:rPr>
                      <w:color w:val="000000"/>
                      <w:w w:val="15"/>
                      <w:szCs w:val="20"/>
                      <w:shd w:val="solid" w:color="000000" w:fill="000000"/>
                      <w:fitText w:val="60" w:id="-894207984"/>
                      <w:lang w:val="en-AU"/>
                      <w14:textFill>
                        <w14:solidFill>
                          <w14:srgbClr w14:val="000000">
                            <w14:alpha w14:val="100000"/>
                          </w14:srgbClr>
                        </w14:solidFill>
                      </w14:textFill>
                    </w:rPr>
                    <w:t>|</w:t>
                  </w:r>
                  <w:r w:rsidR="0066157F" w:rsidRPr="0066157F">
                    <w:rPr>
                      <w:rFonts w:hint="eastAsia"/>
                      <w:color w:val="000000"/>
                      <w:spacing w:val="-6"/>
                      <w:w w:val="15"/>
                      <w:szCs w:val="20"/>
                      <w:shd w:val="solid" w:color="000000" w:fill="000000"/>
                      <w:fitText w:val="60" w:id="-894207984"/>
                      <w:lang w:val="en-AU"/>
                      <w14:textFill>
                        <w14:solidFill>
                          <w14:srgbClr w14:val="000000">
                            <w14:alpha w14:val="100000"/>
                          </w14:srgbClr>
                        </w14:solidFill>
                      </w14:textFill>
                    </w:rPr>
                    <w:t xml:space="preserve">　</w:t>
                  </w:r>
                </w:p>
              </w:tc>
              <w:tc>
                <w:tcPr>
                  <w:tcW w:w="1197" w:type="dxa"/>
                  <w:shd w:val="clear" w:color="auto" w:fill="auto"/>
                </w:tcPr>
                <w:p w14:paraId="62AB9427" w14:textId="5191473E" w:rsidR="00AA4FE6" w:rsidRPr="00AA4FE6" w:rsidRDefault="00AA4FE6" w:rsidP="00341A2B">
                  <w:pPr>
                    <w:pStyle w:val="Tabletext"/>
                    <w:framePr w:hSpace="180" w:wrap="around" w:vAnchor="text" w:hAnchor="text" w:y="1"/>
                    <w:suppressOverlap/>
                    <w:jc w:val="center"/>
                    <w:rPr>
                      <w:szCs w:val="20"/>
                      <w:lang w:val="en-AU"/>
                    </w:rPr>
                  </w:pPr>
                  <w:r w:rsidRPr="00AA4FE6">
                    <w:rPr>
                      <w:szCs w:val="20"/>
                      <w:lang w:val="en-AU"/>
                    </w:rPr>
                    <w:t>$</w:t>
                  </w:r>
                  <w:r w:rsidR="0066157F" w:rsidRPr="0066157F">
                    <w:rPr>
                      <w:rFonts w:hint="eastAsia"/>
                      <w:color w:val="000000"/>
                      <w:w w:val="15"/>
                      <w:szCs w:val="20"/>
                      <w:shd w:val="solid" w:color="000000" w:fill="000000"/>
                      <w:fitText w:val="50" w:id="-894208000"/>
                      <w:lang w:val="en-AU"/>
                      <w14:textFill>
                        <w14:solidFill>
                          <w14:srgbClr w14:val="000000">
                            <w14:alpha w14:val="100000"/>
                          </w14:srgbClr>
                        </w14:solidFill>
                      </w14:textFill>
                    </w:rPr>
                    <w:t xml:space="preserve">　</w:t>
                  </w:r>
                  <w:r w:rsidR="0066157F" w:rsidRPr="0066157F">
                    <w:rPr>
                      <w:color w:val="000000"/>
                      <w:w w:val="15"/>
                      <w:szCs w:val="20"/>
                      <w:shd w:val="solid" w:color="000000" w:fill="000000"/>
                      <w:fitText w:val="50" w:id="-894208000"/>
                      <w:lang w:val="en-AU"/>
                      <w14:textFill>
                        <w14:solidFill>
                          <w14:srgbClr w14:val="000000">
                            <w14:alpha w14:val="100000"/>
                          </w14:srgbClr>
                        </w14:solidFill>
                      </w14:textFill>
                    </w:rPr>
                    <w:t>|</w:t>
                  </w:r>
                  <w:r w:rsidR="0066157F" w:rsidRPr="0066157F">
                    <w:rPr>
                      <w:rFonts w:hint="eastAsia"/>
                      <w:color w:val="000000"/>
                      <w:spacing w:val="-16"/>
                      <w:w w:val="15"/>
                      <w:szCs w:val="20"/>
                      <w:shd w:val="solid" w:color="000000" w:fill="000000"/>
                      <w:fitText w:val="50" w:id="-894208000"/>
                      <w:lang w:val="en-AU"/>
                      <w14:textFill>
                        <w14:solidFill>
                          <w14:srgbClr w14:val="000000">
                            <w14:alpha w14:val="100000"/>
                          </w14:srgbClr>
                        </w14:solidFill>
                      </w14:textFill>
                    </w:rPr>
                    <w:t xml:space="preserve">　</w:t>
                  </w:r>
                </w:p>
              </w:tc>
              <w:tc>
                <w:tcPr>
                  <w:tcW w:w="1111" w:type="dxa"/>
                  <w:shd w:val="clear" w:color="auto" w:fill="auto"/>
                  <w:vAlign w:val="center"/>
                </w:tcPr>
                <w:p w14:paraId="6B5F7B2D" w14:textId="1507202C" w:rsidR="00AA4FE6" w:rsidRPr="00AA4FE6" w:rsidRDefault="00AA4FE6" w:rsidP="00341A2B">
                  <w:pPr>
                    <w:pStyle w:val="Tabletext"/>
                    <w:framePr w:hSpace="180" w:wrap="around" w:vAnchor="text" w:hAnchor="text" w:y="1"/>
                    <w:suppressOverlap/>
                    <w:jc w:val="center"/>
                    <w:rPr>
                      <w:szCs w:val="20"/>
                      <w:lang w:val="en-AU"/>
                    </w:rPr>
                  </w:pPr>
                  <w:r w:rsidRPr="00AA4FE6">
                    <w:rPr>
                      <w:szCs w:val="20"/>
                      <w:lang w:val="en-AU"/>
                    </w:rPr>
                    <w:t>$</w:t>
                  </w:r>
                  <w:r w:rsidR="0066157F" w:rsidRPr="0066157F">
                    <w:rPr>
                      <w:rFonts w:hint="eastAsia"/>
                      <w:color w:val="000000"/>
                      <w:w w:val="22"/>
                      <w:szCs w:val="20"/>
                      <w:shd w:val="solid" w:color="000000" w:fill="000000"/>
                      <w:fitText w:val="100" w:id="-894207999"/>
                      <w:lang w:val="en-AU"/>
                      <w14:textFill>
                        <w14:solidFill>
                          <w14:srgbClr w14:val="000000">
                            <w14:alpha w14:val="100000"/>
                          </w14:srgbClr>
                        </w14:solidFill>
                      </w14:textFill>
                    </w:rPr>
                    <w:t xml:space="preserve">　</w:t>
                  </w:r>
                  <w:r w:rsidR="0066157F" w:rsidRPr="0066157F">
                    <w:rPr>
                      <w:color w:val="000000"/>
                      <w:w w:val="22"/>
                      <w:szCs w:val="20"/>
                      <w:shd w:val="solid" w:color="000000" w:fill="000000"/>
                      <w:fitText w:val="100" w:id="-894207999"/>
                      <w:lang w:val="en-AU"/>
                      <w14:textFill>
                        <w14:solidFill>
                          <w14:srgbClr w14:val="000000">
                            <w14:alpha w14:val="100000"/>
                          </w14:srgbClr>
                        </w14:solidFill>
                      </w14:textFill>
                    </w:rPr>
                    <w:t>|</w:t>
                  </w:r>
                  <w:r w:rsidR="0066157F" w:rsidRPr="0066157F">
                    <w:rPr>
                      <w:rFonts w:hint="eastAsia"/>
                      <w:color w:val="000000"/>
                      <w:spacing w:val="3"/>
                      <w:w w:val="22"/>
                      <w:szCs w:val="20"/>
                      <w:shd w:val="solid" w:color="000000" w:fill="000000"/>
                      <w:fitText w:val="100" w:id="-894207999"/>
                      <w:lang w:val="en-AU"/>
                      <w14:textFill>
                        <w14:solidFill>
                          <w14:srgbClr w14:val="000000">
                            <w14:alpha w14:val="100000"/>
                          </w14:srgbClr>
                        </w14:solidFill>
                      </w14:textFill>
                    </w:rPr>
                    <w:t xml:space="preserve">　</w:t>
                  </w:r>
                </w:p>
              </w:tc>
            </w:tr>
            <w:tr w:rsidR="00AA4FE6" w:rsidRPr="00AA4FE6" w14:paraId="2ED6A440" w14:textId="77777777" w:rsidTr="00173384">
              <w:tc>
                <w:tcPr>
                  <w:tcW w:w="1127" w:type="dxa"/>
                  <w:shd w:val="clear" w:color="auto" w:fill="auto"/>
                </w:tcPr>
                <w:p w14:paraId="6C6038F9" w14:textId="77777777" w:rsidR="00AA4FE6" w:rsidRPr="00AA4FE6" w:rsidRDefault="00AA4FE6" w:rsidP="00341A2B">
                  <w:pPr>
                    <w:pStyle w:val="Tabletext"/>
                    <w:framePr w:hSpace="180" w:wrap="around" w:vAnchor="text" w:hAnchor="text" w:y="1"/>
                    <w:suppressOverlap/>
                    <w:rPr>
                      <w:szCs w:val="20"/>
                      <w:lang w:val="en-AU"/>
                    </w:rPr>
                  </w:pPr>
                  <w:r w:rsidRPr="00AA4FE6">
                    <w:rPr>
                      <w:szCs w:val="20"/>
                      <w:lang w:val="en-AU"/>
                    </w:rPr>
                    <w:t>600 mcg</w:t>
                  </w:r>
                </w:p>
              </w:tc>
              <w:tc>
                <w:tcPr>
                  <w:tcW w:w="1175" w:type="dxa"/>
                  <w:shd w:val="clear" w:color="auto" w:fill="auto"/>
                </w:tcPr>
                <w:p w14:paraId="42769780" w14:textId="30E30A67" w:rsidR="00AA4FE6" w:rsidRPr="00AA4FE6" w:rsidRDefault="00AA4FE6" w:rsidP="00341A2B">
                  <w:pPr>
                    <w:pStyle w:val="Tabletext"/>
                    <w:framePr w:hSpace="180" w:wrap="around" w:vAnchor="text" w:hAnchor="text" w:y="1"/>
                    <w:suppressOverlap/>
                    <w:jc w:val="center"/>
                    <w:rPr>
                      <w:szCs w:val="20"/>
                      <w:lang w:val="en-AU"/>
                    </w:rPr>
                  </w:pPr>
                  <w:r w:rsidRPr="00AA4FE6">
                    <w:rPr>
                      <w:szCs w:val="20"/>
                      <w:lang w:val="en-AU"/>
                    </w:rPr>
                    <w:t>$</w:t>
                  </w:r>
                  <w:r w:rsidR="0066157F" w:rsidRPr="0066157F">
                    <w:rPr>
                      <w:rFonts w:hint="eastAsia"/>
                      <w:color w:val="000000"/>
                      <w:w w:val="15"/>
                      <w:szCs w:val="20"/>
                      <w:shd w:val="solid" w:color="000000" w:fill="000000"/>
                      <w:fitText w:val="60" w:id="-894207998"/>
                      <w:lang w:val="en-AU"/>
                      <w14:textFill>
                        <w14:solidFill>
                          <w14:srgbClr w14:val="000000">
                            <w14:alpha w14:val="100000"/>
                          </w14:srgbClr>
                        </w14:solidFill>
                      </w14:textFill>
                    </w:rPr>
                    <w:t xml:space="preserve">　</w:t>
                  </w:r>
                  <w:r w:rsidR="0066157F" w:rsidRPr="0066157F">
                    <w:rPr>
                      <w:color w:val="000000"/>
                      <w:w w:val="15"/>
                      <w:szCs w:val="20"/>
                      <w:shd w:val="solid" w:color="000000" w:fill="000000"/>
                      <w:fitText w:val="60" w:id="-894207998"/>
                      <w:lang w:val="en-AU"/>
                      <w14:textFill>
                        <w14:solidFill>
                          <w14:srgbClr w14:val="000000">
                            <w14:alpha w14:val="100000"/>
                          </w14:srgbClr>
                        </w14:solidFill>
                      </w14:textFill>
                    </w:rPr>
                    <w:t>|</w:t>
                  </w:r>
                  <w:r w:rsidR="0066157F" w:rsidRPr="0066157F">
                    <w:rPr>
                      <w:rFonts w:hint="eastAsia"/>
                      <w:color w:val="000000"/>
                      <w:spacing w:val="-6"/>
                      <w:w w:val="15"/>
                      <w:szCs w:val="20"/>
                      <w:shd w:val="solid" w:color="000000" w:fill="000000"/>
                      <w:fitText w:val="60" w:id="-894207998"/>
                      <w:lang w:val="en-AU"/>
                      <w14:textFill>
                        <w14:solidFill>
                          <w14:srgbClr w14:val="000000">
                            <w14:alpha w14:val="100000"/>
                          </w14:srgbClr>
                        </w14:solidFill>
                      </w14:textFill>
                    </w:rPr>
                    <w:t xml:space="preserve">　</w:t>
                  </w:r>
                </w:p>
              </w:tc>
              <w:tc>
                <w:tcPr>
                  <w:tcW w:w="1197" w:type="dxa"/>
                  <w:shd w:val="clear" w:color="auto" w:fill="auto"/>
                </w:tcPr>
                <w:p w14:paraId="5A9EEAD5" w14:textId="0E2B37D1" w:rsidR="00AA4FE6" w:rsidRPr="00AA4FE6" w:rsidRDefault="00AA4FE6" w:rsidP="00341A2B">
                  <w:pPr>
                    <w:pStyle w:val="Tabletext"/>
                    <w:framePr w:hSpace="180" w:wrap="around" w:vAnchor="text" w:hAnchor="text" w:y="1"/>
                    <w:suppressOverlap/>
                    <w:jc w:val="center"/>
                    <w:rPr>
                      <w:szCs w:val="20"/>
                      <w:lang w:val="en-AU"/>
                    </w:rPr>
                  </w:pPr>
                  <w:r w:rsidRPr="00AA4FE6">
                    <w:rPr>
                      <w:szCs w:val="20"/>
                      <w:lang w:val="en-AU"/>
                    </w:rPr>
                    <w:t>$</w:t>
                  </w:r>
                  <w:r w:rsidR="0066157F" w:rsidRPr="0066157F">
                    <w:rPr>
                      <w:rFonts w:hint="eastAsia"/>
                      <w:color w:val="000000"/>
                      <w:w w:val="15"/>
                      <w:szCs w:val="20"/>
                      <w:shd w:val="solid" w:color="000000" w:fill="000000"/>
                      <w:fitText w:val="50" w:id="-894207997"/>
                      <w:lang w:val="en-AU"/>
                      <w14:textFill>
                        <w14:solidFill>
                          <w14:srgbClr w14:val="000000">
                            <w14:alpha w14:val="100000"/>
                          </w14:srgbClr>
                        </w14:solidFill>
                      </w14:textFill>
                    </w:rPr>
                    <w:t xml:space="preserve">　</w:t>
                  </w:r>
                  <w:r w:rsidR="0066157F" w:rsidRPr="0066157F">
                    <w:rPr>
                      <w:color w:val="000000"/>
                      <w:w w:val="15"/>
                      <w:szCs w:val="20"/>
                      <w:shd w:val="solid" w:color="000000" w:fill="000000"/>
                      <w:fitText w:val="50" w:id="-894207997"/>
                      <w:lang w:val="en-AU"/>
                      <w14:textFill>
                        <w14:solidFill>
                          <w14:srgbClr w14:val="000000">
                            <w14:alpha w14:val="100000"/>
                          </w14:srgbClr>
                        </w14:solidFill>
                      </w14:textFill>
                    </w:rPr>
                    <w:t>|</w:t>
                  </w:r>
                  <w:r w:rsidR="0066157F" w:rsidRPr="0066157F">
                    <w:rPr>
                      <w:rFonts w:hint="eastAsia"/>
                      <w:color w:val="000000"/>
                      <w:spacing w:val="-16"/>
                      <w:w w:val="15"/>
                      <w:szCs w:val="20"/>
                      <w:shd w:val="solid" w:color="000000" w:fill="000000"/>
                      <w:fitText w:val="50" w:id="-894207997"/>
                      <w:lang w:val="en-AU"/>
                      <w14:textFill>
                        <w14:solidFill>
                          <w14:srgbClr w14:val="000000">
                            <w14:alpha w14:val="100000"/>
                          </w14:srgbClr>
                        </w14:solidFill>
                      </w14:textFill>
                    </w:rPr>
                    <w:t xml:space="preserve">　</w:t>
                  </w:r>
                </w:p>
              </w:tc>
              <w:tc>
                <w:tcPr>
                  <w:tcW w:w="1111" w:type="dxa"/>
                  <w:shd w:val="clear" w:color="auto" w:fill="auto"/>
                  <w:vAlign w:val="center"/>
                </w:tcPr>
                <w:p w14:paraId="1DA3C559" w14:textId="4B76EDB3" w:rsidR="00AA4FE6" w:rsidRPr="00AA4FE6" w:rsidRDefault="00AA4FE6" w:rsidP="00341A2B">
                  <w:pPr>
                    <w:pStyle w:val="Tabletext"/>
                    <w:framePr w:hSpace="180" w:wrap="around" w:vAnchor="text" w:hAnchor="text" w:y="1"/>
                    <w:suppressOverlap/>
                    <w:jc w:val="center"/>
                    <w:rPr>
                      <w:szCs w:val="20"/>
                      <w:lang w:val="en-AU"/>
                    </w:rPr>
                  </w:pPr>
                  <w:r w:rsidRPr="00AA4FE6">
                    <w:rPr>
                      <w:szCs w:val="20"/>
                      <w:lang w:val="en-AU"/>
                    </w:rPr>
                    <w:t>$</w:t>
                  </w:r>
                  <w:r w:rsidR="0066157F" w:rsidRPr="0066157F">
                    <w:rPr>
                      <w:rFonts w:hint="eastAsia"/>
                      <w:color w:val="000000"/>
                      <w:w w:val="22"/>
                      <w:szCs w:val="20"/>
                      <w:shd w:val="solid" w:color="000000" w:fill="000000"/>
                      <w:fitText w:val="100" w:id="-894207996"/>
                      <w:lang w:val="en-AU"/>
                      <w14:textFill>
                        <w14:solidFill>
                          <w14:srgbClr w14:val="000000">
                            <w14:alpha w14:val="100000"/>
                          </w14:srgbClr>
                        </w14:solidFill>
                      </w14:textFill>
                    </w:rPr>
                    <w:t xml:space="preserve">　</w:t>
                  </w:r>
                  <w:r w:rsidR="0066157F" w:rsidRPr="0066157F">
                    <w:rPr>
                      <w:color w:val="000000"/>
                      <w:w w:val="22"/>
                      <w:szCs w:val="20"/>
                      <w:shd w:val="solid" w:color="000000" w:fill="000000"/>
                      <w:fitText w:val="100" w:id="-894207996"/>
                      <w:lang w:val="en-AU"/>
                      <w14:textFill>
                        <w14:solidFill>
                          <w14:srgbClr w14:val="000000">
                            <w14:alpha w14:val="100000"/>
                          </w14:srgbClr>
                        </w14:solidFill>
                      </w14:textFill>
                    </w:rPr>
                    <w:t>|</w:t>
                  </w:r>
                  <w:r w:rsidR="0066157F" w:rsidRPr="0066157F">
                    <w:rPr>
                      <w:rFonts w:hint="eastAsia"/>
                      <w:color w:val="000000"/>
                      <w:spacing w:val="3"/>
                      <w:w w:val="22"/>
                      <w:szCs w:val="20"/>
                      <w:shd w:val="solid" w:color="000000" w:fill="000000"/>
                      <w:fitText w:val="100" w:id="-894207996"/>
                      <w:lang w:val="en-AU"/>
                      <w14:textFill>
                        <w14:solidFill>
                          <w14:srgbClr w14:val="000000">
                            <w14:alpha w14:val="100000"/>
                          </w14:srgbClr>
                        </w14:solidFill>
                      </w14:textFill>
                    </w:rPr>
                    <w:t xml:space="preserve">　</w:t>
                  </w:r>
                </w:p>
              </w:tc>
            </w:tr>
            <w:tr w:rsidR="00AA4FE6" w:rsidRPr="00AA4FE6" w14:paraId="2C06A2BF" w14:textId="77777777" w:rsidTr="00173384">
              <w:tc>
                <w:tcPr>
                  <w:tcW w:w="1127" w:type="dxa"/>
                  <w:tcBorders>
                    <w:bottom w:val="single" w:sz="4" w:space="0" w:color="auto"/>
                  </w:tcBorders>
                  <w:shd w:val="clear" w:color="auto" w:fill="auto"/>
                </w:tcPr>
                <w:p w14:paraId="7B67F893" w14:textId="77777777" w:rsidR="00AA4FE6" w:rsidRPr="00AA4FE6" w:rsidRDefault="00AA4FE6" w:rsidP="00341A2B">
                  <w:pPr>
                    <w:pStyle w:val="Tabletext"/>
                    <w:framePr w:hSpace="180" w:wrap="around" w:vAnchor="text" w:hAnchor="text" w:y="1"/>
                    <w:suppressOverlap/>
                    <w:rPr>
                      <w:szCs w:val="20"/>
                      <w:lang w:val="en-AU"/>
                    </w:rPr>
                  </w:pPr>
                  <w:r w:rsidRPr="00AA4FE6">
                    <w:rPr>
                      <w:szCs w:val="20"/>
                      <w:lang w:val="en-AU"/>
                    </w:rPr>
                    <w:t>1200 mcg</w:t>
                  </w:r>
                </w:p>
              </w:tc>
              <w:tc>
                <w:tcPr>
                  <w:tcW w:w="1175" w:type="dxa"/>
                  <w:tcBorders>
                    <w:bottom w:val="single" w:sz="4" w:space="0" w:color="auto"/>
                  </w:tcBorders>
                  <w:shd w:val="clear" w:color="auto" w:fill="auto"/>
                </w:tcPr>
                <w:p w14:paraId="5EB80AA0" w14:textId="53942D92" w:rsidR="00AA4FE6" w:rsidRPr="00AA4FE6" w:rsidRDefault="00AA4FE6" w:rsidP="00341A2B">
                  <w:pPr>
                    <w:pStyle w:val="Tabletext"/>
                    <w:framePr w:hSpace="180" w:wrap="around" w:vAnchor="text" w:hAnchor="text" w:y="1"/>
                    <w:suppressOverlap/>
                    <w:jc w:val="center"/>
                    <w:rPr>
                      <w:szCs w:val="20"/>
                      <w:lang w:val="en-AU"/>
                    </w:rPr>
                  </w:pPr>
                  <w:r w:rsidRPr="00AA4FE6">
                    <w:rPr>
                      <w:szCs w:val="20"/>
                      <w:lang w:val="en-AU"/>
                    </w:rPr>
                    <w:t>$</w:t>
                  </w:r>
                  <w:r w:rsidR="0066157F" w:rsidRPr="0066157F">
                    <w:rPr>
                      <w:rFonts w:hint="eastAsia"/>
                      <w:color w:val="000000"/>
                      <w:w w:val="15"/>
                      <w:szCs w:val="20"/>
                      <w:shd w:val="solid" w:color="000000" w:fill="000000"/>
                      <w:fitText w:val="60" w:id="-894207995"/>
                      <w:lang w:val="en-AU"/>
                      <w14:textFill>
                        <w14:solidFill>
                          <w14:srgbClr w14:val="000000">
                            <w14:alpha w14:val="100000"/>
                          </w14:srgbClr>
                        </w14:solidFill>
                      </w14:textFill>
                    </w:rPr>
                    <w:t xml:space="preserve">　</w:t>
                  </w:r>
                  <w:r w:rsidR="0066157F" w:rsidRPr="0066157F">
                    <w:rPr>
                      <w:color w:val="000000"/>
                      <w:w w:val="15"/>
                      <w:szCs w:val="20"/>
                      <w:shd w:val="solid" w:color="000000" w:fill="000000"/>
                      <w:fitText w:val="60" w:id="-894207995"/>
                      <w:lang w:val="en-AU"/>
                      <w14:textFill>
                        <w14:solidFill>
                          <w14:srgbClr w14:val="000000">
                            <w14:alpha w14:val="100000"/>
                          </w14:srgbClr>
                        </w14:solidFill>
                      </w14:textFill>
                    </w:rPr>
                    <w:t>|</w:t>
                  </w:r>
                  <w:r w:rsidR="0066157F" w:rsidRPr="0066157F">
                    <w:rPr>
                      <w:rFonts w:hint="eastAsia"/>
                      <w:color w:val="000000"/>
                      <w:spacing w:val="-6"/>
                      <w:w w:val="15"/>
                      <w:szCs w:val="20"/>
                      <w:shd w:val="solid" w:color="000000" w:fill="000000"/>
                      <w:fitText w:val="60" w:id="-894207995"/>
                      <w:lang w:val="en-AU"/>
                      <w14:textFill>
                        <w14:solidFill>
                          <w14:srgbClr w14:val="000000">
                            <w14:alpha w14:val="100000"/>
                          </w14:srgbClr>
                        </w14:solidFill>
                      </w14:textFill>
                    </w:rPr>
                    <w:t xml:space="preserve">　</w:t>
                  </w:r>
                </w:p>
              </w:tc>
              <w:tc>
                <w:tcPr>
                  <w:tcW w:w="1197" w:type="dxa"/>
                  <w:tcBorders>
                    <w:bottom w:val="single" w:sz="4" w:space="0" w:color="auto"/>
                  </w:tcBorders>
                  <w:shd w:val="clear" w:color="auto" w:fill="auto"/>
                </w:tcPr>
                <w:p w14:paraId="557C7344" w14:textId="1FB4CDF1" w:rsidR="00AA4FE6" w:rsidRPr="00AA4FE6" w:rsidRDefault="00AA4FE6" w:rsidP="00341A2B">
                  <w:pPr>
                    <w:pStyle w:val="Tabletext"/>
                    <w:framePr w:hSpace="180" w:wrap="around" w:vAnchor="text" w:hAnchor="text" w:y="1"/>
                    <w:suppressOverlap/>
                    <w:jc w:val="center"/>
                    <w:rPr>
                      <w:szCs w:val="20"/>
                      <w:lang w:val="en-AU"/>
                    </w:rPr>
                  </w:pPr>
                  <w:r w:rsidRPr="00AA4FE6">
                    <w:rPr>
                      <w:szCs w:val="20"/>
                      <w:lang w:val="en-AU"/>
                    </w:rPr>
                    <w:t>$</w:t>
                  </w:r>
                  <w:r w:rsidR="0066157F" w:rsidRPr="0066157F">
                    <w:rPr>
                      <w:rFonts w:hint="eastAsia"/>
                      <w:color w:val="000000"/>
                      <w:w w:val="15"/>
                      <w:szCs w:val="20"/>
                      <w:shd w:val="solid" w:color="000000" w:fill="000000"/>
                      <w:fitText w:val="50" w:id="-894207994"/>
                      <w:lang w:val="en-AU"/>
                      <w14:textFill>
                        <w14:solidFill>
                          <w14:srgbClr w14:val="000000">
                            <w14:alpha w14:val="100000"/>
                          </w14:srgbClr>
                        </w14:solidFill>
                      </w14:textFill>
                    </w:rPr>
                    <w:t xml:space="preserve">　</w:t>
                  </w:r>
                  <w:r w:rsidR="0066157F" w:rsidRPr="0066157F">
                    <w:rPr>
                      <w:color w:val="000000"/>
                      <w:w w:val="15"/>
                      <w:szCs w:val="20"/>
                      <w:shd w:val="solid" w:color="000000" w:fill="000000"/>
                      <w:fitText w:val="50" w:id="-894207994"/>
                      <w:lang w:val="en-AU"/>
                      <w14:textFill>
                        <w14:solidFill>
                          <w14:srgbClr w14:val="000000">
                            <w14:alpha w14:val="100000"/>
                          </w14:srgbClr>
                        </w14:solidFill>
                      </w14:textFill>
                    </w:rPr>
                    <w:t>|</w:t>
                  </w:r>
                  <w:r w:rsidR="0066157F" w:rsidRPr="0066157F">
                    <w:rPr>
                      <w:rFonts w:hint="eastAsia"/>
                      <w:color w:val="000000"/>
                      <w:spacing w:val="-16"/>
                      <w:w w:val="15"/>
                      <w:szCs w:val="20"/>
                      <w:shd w:val="solid" w:color="000000" w:fill="000000"/>
                      <w:fitText w:val="50" w:id="-894207994"/>
                      <w:lang w:val="en-AU"/>
                      <w14:textFill>
                        <w14:solidFill>
                          <w14:srgbClr w14:val="000000">
                            <w14:alpha w14:val="100000"/>
                          </w14:srgbClr>
                        </w14:solidFill>
                      </w14:textFill>
                    </w:rPr>
                    <w:t xml:space="preserve">　</w:t>
                  </w:r>
                </w:p>
              </w:tc>
              <w:tc>
                <w:tcPr>
                  <w:tcW w:w="1111" w:type="dxa"/>
                  <w:tcBorders>
                    <w:bottom w:val="single" w:sz="4" w:space="0" w:color="auto"/>
                  </w:tcBorders>
                  <w:shd w:val="clear" w:color="auto" w:fill="auto"/>
                  <w:vAlign w:val="center"/>
                </w:tcPr>
                <w:p w14:paraId="225EDB0F" w14:textId="6148A1A1" w:rsidR="00AA4FE6" w:rsidRPr="00AA4FE6" w:rsidRDefault="00AA4FE6" w:rsidP="00341A2B">
                  <w:pPr>
                    <w:pStyle w:val="Tabletext"/>
                    <w:framePr w:hSpace="180" w:wrap="around" w:vAnchor="text" w:hAnchor="text" w:y="1"/>
                    <w:suppressOverlap/>
                    <w:jc w:val="center"/>
                    <w:rPr>
                      <w:szCs w:val="20"/>
                      <w:lang w:val="en-AU"/>
                    </w:rPr>
                  </w:pPr>
                  <w:r w:rsidRPr="00AA4FE6">
                    <w:rPr>
                      <w:szCs w:val="20"/>
                      <w:lang w:val="en-AU"/>
                    </w:rPr>
                    <w:t>$</w:t>
                  </w:r>
                  <w:r w:rsidR="0066157F" w:rsidRPr="0066157F">
                    <w:rPr>
                      <w:rFonts w:hint="eastAsia"/>
                      <w:color w:val="000000"/>
                      <w:w w:val="22"/>
                      <w:szCs w:val="20"/>
                      <w:shd w:val="solid" w:color="000000" w:fill="000000"/>
                      <w:fitText w:val="100" w:id="-894207993"/>
                      <w:lang w:val="en-AU"/>
                      <w14:textFill>
                        <w14:solidFill>
                          <w14:srgbClr w14:val="000000">
                            <w14:alpha w14:val="100000"/>
                          </w14:srgbClr>
                        </w14:solidFill>
                      </w14:textFill>
                    </w:rPr>
                    <w:t xml:space="preserve">　</w:t>
                  </w:r>
                  <w:r w:rsidR="0066157F" w:rsidRPr="0066157F">
                    <w:rPr>
                      <w:color w:val="000000"/>
                      <w:w w:val="22"/>
                      <w:szCs w:val="20"/>
                      <w:shd w:val="solid" w:color="000000" w:fill="000000"/>
                      <w:fitText w:val="100" w:id="-894207993"/>
                      <w:lang w:val="en-AU"/>
                      <w14:textFill>
                        <w14:solidFill>
                          <w14:srgbClr w14:val="000000">
                            <w14:alpha w14:val="100000"/>
                          </w14:srgbClr>
                        </w14:solidFill>
                      </w14:textFill>
                    </w:rPr>
                    <w:t>|</w:t>
                  </w:r>
                  <w:r w:rsidR="0066157F" w:rsidRPr="0066157F">
                    <w:rPr>
                      <w:rFonts w:hint="eastAsia"/>
                      <w:color w:val="000000"/>
                      <w:spacing w:val="3"/>
                      <w:w w:val="22"/>
                      <w:szCs w:val="20"/>
                      <w:shd w:val="solid" w:color="000000" w:fill="000000"/>
                      <w:fitText w:val="100" w:id="-894207993"/>
                      <w:lang w:val="en-AU"/>
                      <w14:textFill>
                        <w14:solidFill>
                          <w14:srgbClr w14:val="000000">
                            <w14:alpha w14:val="100000"/>
                          </w14:srgbClr>
                        </w14:solidFill>
                      </w14:textFill>
                    </w:rPr>
                    <w:t xml:space="preserve">　</w:t>
                  </w:r>
                </w:p>
              </w:tc>
            </w:tr>
          </w:tbl>
          <w:p w14:paraId="159E3A21" w14:textId="77777777" w:rsidR="00AA4FE6" w:rsidRPr="00AA4FE6" w:rsidRDefault="00AA4FE6" w:rsidP="006F5008">
            <w:pPr>
              <w:pStyle w:val="TableFigureFooter"/>
              <w:jc w:val="left"/>
            </w:pPr>
            <w:r w:rsidRPr="00AA4FE6">
              <w:t>Source: Table 4-11, p184 of the submission</w:t>
            </w:r>
          </w:p>
          <w:p w14:paraId="7228B510" w14:textId="1161877C" w:rsidR="00AA4FE6" w:rsidRPr="00AA4FE6" w:rsidRDefault="00AA4FE6" w:rsidP="006F5008">
            <w:pPr>
              <w:pStyle w:val="TableFigureFooter"/>
              <w:jc w:val="left"/>
            </w:pPr>
            <w:r w:rsidRPr="00AA4FE6">
              <w:t xml:space="preserve">AEMP = </w:t>
            </w:r>
            <w:r w:rsidR="00DE7B08">
              <w:t>a</w:t>
            </w:r>
            <w:r w:rsidRPr="00AA4FE6">
              <w:t xml:space="preserve">pproved ex-manufacturer price; DPMQ = dispensed price for maximum quantity </w:t>
            </w:r>
          </w:p>
          <w:p w14:paraId="1EB7260B" w14:textId="67DE2674" w:rsidR="00AA4FE6" w:rsidRPr="00AA4FE6" w:rsidRDefault="00AA4FE6" w:rsidP="006F5008">
            <w:pPr>
              <w:pStyle w:val="TableFigureFooter"/>
              <w:jc w:val="left"/>
            </w:pPr>
            <w:r w:rsidRPr="00AA4FE6">
              <w:lastRenderedPageBreak/>
              <w:t>The DPMQ for the 200 mcg and 600 mcg capsules were not consistent with the maximum quantity packs (12) reported by the submission. Italicised text indicates the DPMQ for the 200</w:t>
            </w:r>
            <w:r w:rsidR="001B6019">
              <w:t> </w:t>
            </w:r>
            <w:r w:rsidRPr="00AA4FE6">
              <w:t xml:space="preserve">mcg and 600 mcg strengths that aligns with a maximum of 12 packs (italicised text)  </w:t>
            </w:r>
          </w:p>
          <w:p w14:paraId="733B37F4" w14:textId="46B1F9C4" w:rsidR="00AA4FE6" w:rsidRPr="00AA4FE6" w:rsidRDefault="00AA4FE6" w:rsidP="006F5008">
            <w:pPr>
              <w:pStyle w:val="TableText0"/>
            </w:pPr>
            <w:r w:rsidRPr="00AA4FE6">
              <w:t xml:space="preserve">The submission did not present the impact on the RPBS. Based on a proxy measure, (amifampridine; an orphan drug that is accessible for a paediatric population) the effect of odevixibat to the RPBS was expected to be insignificant. </w:t>
            </w:r>
          </w:p>
        </w:tc>
        <w:tc>
          <w:tcPr>
            <w:tcW w:w="2015" w:type="pct"/>
            <w:shd w:val="clear" w:color="auto" w:fill="auto"/>
          </w:tcPr>
          <w:p w14:paraId="57813550" w14:textId="5076107F" w:rsidR="00AA4FE6" w:rsidRPr="00B146C3" w:rsidRDefault="00AA4FE6" w:rsidP="006F5008">
            <w:pPr>
              <w:pStyle w:val="TableText0"/>
              <w:rPr>
                <w:szCs w:val="20"/>
              </w:rPr>
            </w:pPr>
            <w:r w:rsidRPr="00B146C3">
              <w:rPr>
                <w:szCs w:val="20"/>
              </w:rPr>
              <w:lastRenderedPageBreak/>
              <w:t xml:space="preserve">The submission reported the DPMQ for the </w:t>
            </w:r>
            <w:r w:rsidR="00CD254D" w:rsidRPr="00B146C3">
              <w:rPr>
                <w:szCs w:val="20"/>
              </w:rPr>
              <w:t>200</w:t>
            </w:r>
            <w:r w:rsidR="00CD254D">
              <w:rPr>
                <w:szCs w:val="20"/>
              </w:rPr>
              <w:t> </w:t>
            </w:r>
            <w:r w:rsidRPr="00B146C3">
              <w:rPr>
                <w:szCs w:val="20"/>
              </w:rPr>
              <w:t>mcg capsules and 600 mcg capsules as:</w:t>
            </w:r>
          </w:p>
          <w:p w14:paraId="12E72072" w14:textId="50E56622" w:rsidR="00AA4FE6" w:rsidRPr="00B146C3" w:rsidRDefault="00AA4FE6" w:rsidP="006F5008">
            <w:pPr>
              <w:pStyle w:val="ListParagraph"/>
              <w:spacing w:after="0"/>
              <w:ind w:left="360"/>
              <w:jc w:val="left"/>
              <w:rPr>
                <w:rFonts w:ascii="Arial Narrow" w:hAnsi="Arial Narrow"/>
                <w:sz w:val="20"/>
                <w:szCs w:val="20"/>
              </w:rPr>
            </w:pPr>
            <w:r w:rsidRPr="00B146C3">
              <w:rPr>
                <w:rFonts w:ascii="Arial Narrow" w:hAnsi="Arial Narrow"/>
                <w:sz w:val="20"/>
                <w:szCs w:val="20"/>
              </w:rPr>
              <w:t>$</w:t>
            </w:r>
            <w:r w:rsidR="0066157F" w:rsidRPr="0066157F">
              <w:rPr>
                <w:rFonts w:ascii="Arial Narrow" w:hAnsi="Arial Narrow"/>
                <w:color w:val="000000"/>
                <w:spacing w:val="52"/>
                <w:sz w:val="20"/>
                <w:szCs w:val="20"/>
                <w:shd w:val="solid" w:color="000000" w:fill="000000"/>
                <w:fitText w:val="330" w:id="-894207992"/>
                <w14:textFill>
                  <w14:solidFill>
                    <w14:srgbClr w14:val="000000">
                      <w14:alpha w14:val="100000"/>
                    </w14:srgbClr>
                  </w14:solidFill>
                </w14:textFill>
              </w:rPr>
              <w:t>|||</w:t>
            </w:r>
            <w:r w:rsidR="0066157F" w:rsidRPr="0066157F">
              <w:rPr>
                <w:rFonts w:ascii="Arial Narrow" w:hAnsi="Arial Narrow"/>
                <w:color w:val="000000"/>
                <w:spacing w:val="2"/>
                <w:sz w:val="20"/>
                <w:szCs w:val="20"/>
                <w:shd w:val="solid" w:color="000000" w:fill="000000"/>
                <w:fitText w:val="330" w:id="-894207992"/>
                <w14:textFill>
                  <w14:solidFill>
                    <w14:srgbClr w14:val="000000">
                      <w14:alpha w14:val="100000"/>
                    </w14:srgbClr>
                  </w14:solidFill>
                </w14:textFill>
              </w:rPr>
              <w:t>|</w:t>
            </w:r>
            <w:r w:rsidRPr="00B146C3">
              <w:rPr>
                <w:rFonts w:ascii="Arial Narrow" w:hAnsi="Arial Narrow"/>
                <w:sz w:val="20"/>
                <w:szCs w:val="20"/>
              </w:rPr>
              <w:t xml:space="preserve"> (public) and $</w:t>
            </w:r>
            <w:r w:rsidR="0066157F" w:rsidRPr="0066157F">
              <w:rPr>
                <w:rFonts w:ascii="Arial Narrow" w:hAnsi="Arial Narrow"/>
                <w:color w:val="000000"/>
                <w:spacing w:val="52"/>
                <w:sz w:val="20"/>
                <w:szCs w:val="20"/>
                <w:shd w:val="solid" w:color="000000" w:fill="000000"/>
                <w:fitText w:val="330" w:id="-894207991"/>
                <w14:textFill>
                  <w14:solidFill>
                    <w14:srgbClr w14:val="000000">
                      <w14:alpha w14:val="100000"/>
                    </w14:srgbClr>
                  </w14:solidFill>
                </w14:textFill>
              </w:rPr>
              <w:t>|||</w:t>
            </w:r>
            <w:r w:rsidR="0066157F" w:rsidRPr="0066157F">
              <w:rPr>
                <w:rFonts w:ascii="Arial Narrow" w:hAnsi="Arial Narrow"/>
                <w:color w:val="000000"/>
                <w:spacing w:val="2"/>
                <w:sz w:val="20"/>
                <w:szCs w:val="20"/>
                <w:shd w:val="solid" w:color="000000" w:fill="000000"/>
                <w:fitText w:val="330" w:id="-894207991"/>
                <w14:textFill>
                  <w14:solidFill>
                    <w14:srgbClr w14:val="000000">
                      <w14:alpha w14:val="100000"/>
                    </w14:srgbClr>
                  </w14:solidFill>
                </w14:textFill>
              </w:rPr>
              <w:t>|</w:t>
            </w:r>
            <w:r w:rsidRPr="00B146C3">
              <w:rPr>
                <w:rFonts w:ascii="Arial Narrow" w:hAnsi="Arial Narrow"/>
                <w:sz w:val="20"/>
                <w:szCs w:val="20"/>
              </w:rPr>
              <w:t xml:space="preserve"> (private) for the 200 mcg at the published price </w:t>
            </w:r>
          </w:p>
          <w:p w14:paraId="47D47BD9" w14:textId="7091E36D" w:rsidR="00AA4FE6" w:rsidRPr="00B146C3" w:rsidRDefault="00AA4FE6" w:rsidP="006F5008">
            <w:pPr>
              <w:pStyle w:val="ListParagraph"/>
              <w:spacing w:after="0"/>
              <w:ind w:left="360"/>
              <w:jc w:val="left"/>
              <w:rPr>
                <w:rFonts w:ascii="Arial Narrow" w:hAnsi="Arial Narrow"/>
                <w:sz w:val="20"/>
                <w:szCs w:val="20"/>
              </w:rPr>
            </w:pPr>
            <w:r w:rsidRPr="00B146C3">
              <w:rPr>
                <w:rFonts w:ascii="Arial Narrow" w:hAnsi="Arial Narrow"/>
                <w:sz w:val="20"/>
                <w:szCs w:val="20"/>
              </w:rPr>
              <w:t>$</w:t>
            </w:r>
            <w:r w:rsidR="0066157F" w:rsidRPr="0066157F">
              <w:rPr>
                <w:rFonts w:ascii="Arial Narrow" w:hAnsi="Arial Narrow"/>
                <w:color w:val="000000"/>
                <w:spacing w:val="52"/>
                <w:sz w:val="20"/>
                <w:szCs w:val="20"/>
                <w:shd w:val="solid" w:color="000000" w:fill="000000"/>
                <w:fitText w:val="330" w:id="-894207990"/>
                <w14:textFill>
                  <w14:solidFill>
                    <w14:srgbClr w14:val="000000">
                      <w14:alpha w14:val="100000"/>
                    </w14:srgbClr>
                  </w14:solidFill>
                </w14:textFill>
              </w:rPr>
              <w:t>|||</w:t>
            </w:r>
            <w:r w:rsidR="0066157F" w:rsidRPr="0066157F">
              <w:rPr>
                <w:rFonts w:ascii="Arial Narrow" w:hAnsi="Arial Narrow"/>
                <w:color w:val="000000"/>
                <w:spacing w:val="2"/>
                <w:sz w:val="20"/>
                <w:szCs w:val="20"/>
                <w:shd w:val="solid" w:color="000000" w:fill="000000"/>
                <w:fitText w:val="330" w:id="-894207990"/>
                <w14:textFill>
                  <w14:solidFill>
                    <w14:srgbClr w14:val="000000">
                      <w14:alpha w14:val="100000"/>
                    </w14:srgbClr>
                  </w14:solidFill>
                </w14:textFill>
              </w:rPr>
              <w:t>|</w:t>
            </w:r>
            <w:r w:rsidRPr="00B146C3">
              <w:rPr>
                <w:rFonts w:ascii="Arial Narrow" w:hAnsi="Arial Narrow"/>
                <w:sz w:val="20"/>
                <w:szCs w:val="20"/>
              </w:rPr>
              <w:t xml:space="preserve"> (public) and $</w:t>
            </w:r>
            <w:r w:rsidR="0066157F" w:rsidRPr="0066157F">
              <w:rPr>
                <w:rFonts w:ascii="Arial Narrow" w:hAnsi="Arial Narrow"/>
                <w:color w:val="000000"/>
                <w:spacing w:val="52"/>
                <w:sz w:val="20"/>
                <w:szCs w:val="20"/>
                <w:shd w:val="solid" w:color="000000" w:fill="000000"/>
                <w:fitText w:val="330" w:id="-894207989"/>
                <w14:textFill>
                  <w14:solidFill>
                    <w14:srgbClr w14:val="000000">
                      <w14:alpha w14:val="100000"/>
                    </w14:srgbClr>
                  </w14:solidFill>
                </w14:textFill>
              </w:rPr>
              <w:t>|||</w:t>
            </w:r>
            <w:r w:rsidR="0066157F" w:rsidRPr="0066157F">
              <w:rPr>
                <w:rFonts w:ascii="Arial Narrow" w:hAnsi="Arial Narrow"/>
                <w:color w:val="000000"/>
                <w:spacing w:val="2"/>
                <w:sz w:val="20"/>
                <w:szCs w:val="20"/>
                <w:shd w:val="solid" w:color="000000" w:fill="000000"/>
                <w:fitText w:val="330" w:id="-894207989"/>
                <w14:textFill>
                  <w14:solidFill>
                    <w14:srgbClr w14:val="000000">
                      <w14:alpha w14:val="100000"/>
                    </w14:srgbClr>
                  </w14:solidFill>
                </w14:textFill>
              </w:rPr>
              <w:t>|</w:t>
            </w:r>
            <w:r w:rsidRPr="00B146C3">
              <w:rPr>
                <w:rFonts w:ascii="Arial Narrow" w:hAnsi="Arial Narrow"/>
                <w:sz w:val="20"/>
                <w:szCs w:val="20"/>
              </w:rPr>
              <w:t xml:space="preserve"> (private) for the 200 mcg at the effective price</w:t>
            </w:r>
          </w:p>
          <w:p w14:paraId="3DA003C8" w14:textId="7AE6B397" w:rsidR="00AA4FE6" w:rsidRPr="00B146C3" w:rsidRDefault="00AA4FE6" w:rsidP="006F5008">
            <w:pPr>
              <w:pStyle w:val="ListParagraph"/>
              <w:spacing w:after="0"/>
              <w:ind w:left="360"/>
              <w:jc w:val="left"/>
              <w:rPr>
                <w:rFonts w:ascii="Arial Narrow" w:hAnsi="Arial Narrow"/>
                <w:sz w:val="20"/>
                <w:szCs w:val="20"/>
              </w:rPr>
            </w:pPr>
            <w:r w:rsidRPr="00B146C3">
              <w:rPr>
                <w:rFonts w:ascii="Arial Narrow" w:hAnsi="Arial Narrow"/>
                <w:sz w:val="20"/>
                <w:szCs w:val="20"/>
              </w:rPr>
              <w:t>$</w:t>
            </w:r>
            <w:r w:rsidR="0066157F" w:rsidRPr="0066157F">
              <w:rPr>
                <w:rFonts w:ascii="Arial Narrow" w:hAnsi="Arial Narrow"/>
                <w:color w:val="000000"/>
                <w:spacing w:val="52"/>
                <w:sz w:val="20"/>
                <w:szCs w:val="20"/>
                <w:shd w:val="solid" w:color="000000" w:fill="000000"/>
                <w:fitText w:val="330" w:id="-894207988"/>
                <w14:textFill>
                  <w14:solidFill>
                    <w14:srgbClr w14:val="000000">
                      <w14:alpha w14:val="100000"/>
                    </w14:srgbClr>
                  </w14:solidFill>
                </w14:textFill>
              </w:rPr>
              <w:t>|||</w:t>
            </w:r>
            <w:r w:rsidR="0066157F" w:rsidRPr="0066157F">
              <w:rPr>
                <w:rFonts w:ascii="Arial Narrow" w:hAnsi="Arial Narrow"/>
                <w:color w:val="000000"/>
                <w:spacing w:val="2"/>
                <w:sz w:val="20"/>
                <w:szCs w:val="20"/>
                <w:shd w:val="solid" w:color="000000" w:fill="000000"/>
                <w:fitText w:val="330" w:id="-894207988"/>
                <w14:textFill>
                  <w14:solidFill>
                    <w14:srgbClr w14:val="000000">
                      <w14:alpha w14:val="100000"/>
                    </w14:srgbClr>
                  </w14:solidFill>
                </w14:textFill>
              </w:rPr>
              <w:t>|</w:t>
            </w:r>
            <w:r w:rsidRPr="00B146C3">
              <w:rPr>
                <w:rFonts w:ascii="Arial Narrow" w:hAnsi="Arial Narrow"/>
                <w:sz w:val="20"/>
                <w:szCs w:val="20"/>
              </w:rPr>
              <w:t xml:space="preserve"> (public) and $</w:t>
            </w:r>
            <w:r w:rsidR="0066157F" w:rsidRPr="0066157F">
              <w:rPr>
                <w:rFonts w:ascii="Arial Narrow" w:hAnsi="Arial Narrow"/>
                <w:color w:val="000000"/>
                <w:spacing w:val="52"/>
                <w:sz w:val="20"/>
                <w:szCs w:val="20"/>
                <w:shd w:val="solid" w:color="000000" w:fill="000000"/>
                <w:fitText w:val="330" w:id="-894207987"/>
                <w14:textFill>
                  <w14:solidFill>
                    <w14:srgbClr w14:val="000000">
                      <w14:alpha w14:val="100000"/>
                    </w14:srgbClr>
                  </w14:solidFill>
                </w14:textFill>
              </w:rPr>
              <w:t>|||</w:t>
            </w:r>
            <w:r w:rsidR="0066157F" w:rsidRPr="0066157F">
              <w:rPr>
                <w:rFonts w:ascii="Arial Narrow" w:hAnsi="Arial Narrow"/>
                <w:color w:val="000000"/>
                <w:spacing w:val="2"/>
                <w:sz w:val="20"/>
                <w:szCs w:val="20"/>
                <w:shd w:val="solid" w:color="000000" w:fill="000000"/>
                <w:fitText w:val="330" w:id="-894207987"/>
                <w14:textFill>
                  <w14:solidFill>
                    <w14:srgbClr w14:val="000000">
                      <w14:alpha w14:val="100000"/>
                    </w14:srgbClr>
                  </w14:solidFill>
                </w14:textFill>
              </w:rPr>
              <w:t>|</w:t>
            </w:r>
            <w:r w:rsidRPr="00B146C3">
              <w:rPr>
                <w:rFonts w:ascii="Arial Narrow" w:hAnsi="Arial Narrow"/>
                <w:sz w:val="20"/>
                <w:szCs w:val="20"/>
              </w:rPr>
              <w:t xml:space="preserve"> (private) for the 600 mcg at the published price</w:t>
            </w:r>
          </w:p>
          <w:p w14:paraId="3EBDE23A" w14:textId="4846DAE7" w:rsidR="00AA4FE6" w:rsidRPr="00B146C3" w:rsidRDefault="00AA4FE6" w:rsidP="006F5008">
            <w:pPr>
              <w:pStyle w:val="ListParagraph"/>
              <w:spacing w:after="0"/>
              <w:ind w:left="360"/>
              <w:jc w:val="left"/>
              <w:rPr>
                <w:rFonts w:ascii="Arial Narrow" w:hAnsi="Arial Narrow"/>
                <w:sz w:val="20"/>
                <w:szCs w:val="20"/>
              </w:rPr>
            </w:pPr>
            <w:r w:rsidRPr="00B146C3">
              <w:rPr>
                <w:rFonts w:ascii="Arial Narrow" w:hAnsi="Arial Narrow"/>
                <w:sz w:val="20"/>
                <w:szCs w:val="20"/>
              </w:rPr>
              <w:t>$</w:t>
            </w:r>
            <w:r w:rsidR="0066157F" w:rsidRPr="0066157F">
              <w:rPr>
                <w:rFonts w:ascii="Arial Narrow" w:hAnsi="Arial Narrow"/>
                <w:color w:val="000000"/>
                <w:spacing w:val="52"/>
                <w:sz w:val="20"/>
                <w:szCs w:val="20"/>
                <w:shd w:val="solid" w:color="000000" w:fill="000000"/>
                <w:fitText w:val="330" w:id="-894207986"/>
                <w14:textFill>
                  <w14:solidFill>
                    <w14:srgbClr w14:val="000000">
                      <w14:alpha w14:val="100000"/>
                    </w14:srgbClr>
                  </w14:solidFill>
                </w14:textFill>
              </w:rPr>
              <w:t>|||</w:t>
            </w:r>
            <w:r w:rsidR="0066157F" w:rsidRPr="0066157F">
              <w:rPr>
                <w:rFonts w:ascii="Arial Narrow" w:hAnsi="Arial Narrow"/>
                <w:color w:val="000000"/>
                <w:spacing w:val="2"/>
                <w:sz w:val="20"/>
                <w:szCs w:val="20"/>
                <w:shd w:val="solid" w:color="000000" w:fill="000000"/>
                <w:fitText w:val="330" w:id="-894207986"/>
                <w14:textFill>
                  <w14:solidFill>
                    <w14:srgbClr w14:val="000000">
                      <w14:alpha w14:val="100000"/>
                    </w14:srgbClr>
                  </w14:solidFill>
                </w14:textFill>
              </w:rPr>
              <w:t>|</w:t>
            </w:r>
            <w:r w:rsidRPr="00B146C3">
              <w:rPr>
                <w:rFonts w:ascii="Arial Narrow" w:hAnsi="Arial Narrow"/>
                <w:sz w:val="20"/>
                <w:szCs w:val="20"/>
              </w:rPr>
              <w:t xml:space="preserve"> (public) and $</w:t>
            </w:r>
            <w:r w:rsidR="0066157F" w:rsidRPr="0066157F">
              <w:rPr>
                <w:rFonts w:ascii="Arial Narrow" w:hAnsi="Arial Narrow"/>
                <w:color w:val="000000"/>
                <w:spacing w:val="52"/>
                <w:sz w:val="20"/>
                <w:szCs w:val="20"/>
                <w:shd w:val="solid" w:color="000000" w:fill="000000"/>
                <w:fitText w:val="330" w:id="-894207985"/>
                <w14:textFill>
                  <w14:solidFill>
                    <w14:srgbClr w14:val="000000">
                      <w14:alpha w14:val="100000"/>
                    </w14:srgbClr>
                  </w14:solidFill>
                </w14:textFill>
              </w:rPr>
              <w:t>|||</w:t>
            </w:r>
            <w:r w:rsidR="0066157F" w:rsidRPr="0066157F">
              <w:rPr>
                <w:rFonts w:ascii="Arial Narrow" w:hAnsi="Arial Narrow"/>
                <w:color w:val="000000"/>
                <w:spacing w:val="2"/>
                <w:sz w:val="20"/>
                <w:szCs w:val="20"/>
                <w:shd w:val="solid" w:color="000000" w:fill="000000"/>
                <w:fitText w:val="330" w:id="-894207985"/>
                <w14:textFill>
                  <w14:solidFill>
                    <w14:srgbClr w14:val="000000">
                      <w14:alpha w14:val="100000"/>
                    </w14:srgbClr>
                  </w14:solidFill>
                </w14:textFill>
              </w:rPr>
              <w:t>|</w:t>
            </w:r>
            <w:r w:rsidRPr="00B146C3">
              <w:rPr>
                <w:rFonts w:ascii="Arial Narrow" w:hAnsi="Arial Narrow"/>
                <w:sz w:val="20"/>
                <w:szCs w:val="20"/>
              </w:rPr>
              <w:t xml:space="preserve"> (private) for 600 mcg at the effective price </w:t>
            </w:r>
          </w:p>
          <w:p w14:paraId="2EED6CF4" w14:textId="381B1281" w:rsidR="00AA4FE6" w:rsidRPr="00B146C3" w:rsidRDefault="00AA4FE6" w:rsidP="006F5008">
            <w:pPr>
              <w:pStyle w:val="Tabletext"/>
              <w:rPr>
                <w:szCs w:val="20"/>
              </w:rPr>
            </w:pPr>
            <w:r w:rsidRPr="00B146C3">
              <w:rPr>
                <w:szCs w:val="20"/>
              </w:rPr>
              <w:t xml:space="preserve">However, these values appeared to reflect a maximum of four packs. This was not consistent with the maximum quantity of 12 packs as proposed by the submission (see the Requested Listing). The DPMQs </w:t>
            </w:r>
            <w:r w:rsidR="00D12975" w:rsidRPr="00B146C3">
              <w:rPr>
                <w:szCs w:val="20"/>
              </w:rPr>
              <w:t>were</w:t>
            </w:r>
            <w:r w:rsidRPr="00B146C3">
              <w:rPr>
                <w:szCs w:val="20"/>
              </w:rPr>
              <w:t xml:space="preserve"> changed to reflect </w:t>
            </w:r>
            <w:r w:rsidR="00D12975" w:rsidRPr="00B146C3">
              <w:rPr>
                <w:szCs w:val="20"/>
              </w:rPr>
              <w:t xml:space="preserve">a </w:t>
            </w:r>
            <w:r w:rsidRPr="00B146C3">
              <w:rPr>
                <w:szCs w:val="20"/>
              </w:rPr>
              <w:t xml:space="preserve">maximum quantity of 12 packs. </w:t>
            </w:r>
          </w:p>
          <w:p w14:paraId="061A1830" w14:textId="77777777" w:rsidR="00D12975" w:rsidRPr="00B146C3" w:rsidRDefault="00D12975" w:rsidP="006F5008">
            <w:pPr>
              <w:pStyle w:val="Tabletext"/>
              <w:rPr>
                <w:szCs w:val="20"/>
              </w:rPr>
            </w:pPr>
          </w:p>
          <w:p w14:paraId="159CAB5B" w14:textId="5C63C89A" w:rsidR="00D12975" w:rsidRPr="00B146C3" w:rsidRDefault="00D12975" w:rsidP="006F5008">
            <w:pPr>
              <w:pStyle w:val="Tabletext"/>
              <w:rPr>
                <w:szCs w:val="20"/>
              </w:rPr>
            </w:pPr>
            <w:r w:rsidRPr="00B146C3">
              <w:rPr>
                <w:szCs w:val="20"/>
              </w:rPr>
              <w:lastRenderedPageBreak/>
              <w:t>DUSC noted that patients who were initiated on the higher dose of 120 mcg/kg did not respond as well at 22 weeks as those who initiated on 40</w:t>
            </w:r>
            <w:r w:rsidR="00CD254D">
              <w:rPr>
                <w:szCs w:val="20"/>
              </w:rPr>
              <w:t> </w:t>
            </w:r>
            <w:r w:rsidRPr="00B146C3">
              <w:rPr>
                <w:szCs w:val="20"/>
              </w:rPr>
              <w:t>mc/kg (21.1% compared to 43.5%) and considered it may not be reasonable for the higher dose to have a higher price.</w:t>
            </w:r>
          </w:p>
        </w:tc>
      </w:tr>
      <w:tr w:rsidR="00AA4FE6" w:rsidRPr="00AA4FE6" w14:paraId="6A53CE05" w14:textId="77777777" w:rsidTr="006F5008">
        <w:trPr>
          <w:cantSplit/>
        </w:trPr>
        <w:tc>
          <w:tcPr>
            <w:tcW w:w="663" w:type="pct"/>
            <w:shd w:val="clear" w:color="auto" w:fill="auto"/>
          </w:tcPr>
          <w:p w14:paraId="16109F6A" w14:textId="77777777" w:rsidR="00AA4FE6" w:rsidRPr="00AA4FE6" w:rsidRDefault="00AA4FE6" w:rsidP="006F5008">
            <w:pPr>
              <w:pStyle w:val="TableText0"/>
            </w:pPr>
            <w:r w:rsidRPr="00AA4FE6">
              <w:lastRenderedPageBreak/>
              <w:t>SOC</w:t>
            </w:r>
          </w:p>
        </w:tc>
        <w:tc>
          <w:tcPr>
            <w:tcW w:w="2322" w:type="pct"/>
            <w:shd w:val="clear" w:color="auto" w:fill="auto"/>
          </w:tcPr>
          <w:p w14:paraId="16C06D97" w14:textId="77777777" w:rsidR="00AA4FE6" w:rsidRPr="00AA4FE6" w:rsidRDefault="00AA4FE6" w:rsidP="006F5008">
            <w:pPr>
              <w:pStyle w:val="TableText0"/>
            </w:pPr>
            <w:r w:rsidRPr="00AA4FE6">
              <w:t>The submission considered the impact on PBS-listed oral therapies and are presented below.</w:t>
            </w:r>
          </w:p>
          <w:tbl>
            <w:tblPr>
              <w:tblStyle w:val="Submissionstandard"/>
              <w:tblpPr w:leftFromText="180" w:rightFromText="180" w:vertAnchor="text" w:tblpY="1"/>
              <w:tblOverlap w:val="never"/>
              <w:tblW w:w="5000" w:type="pct"/>
              <w:tblLayout w:type="fixed"/>
              <w:tblCellMar>
                <w:left w:w="0" w:type="dxa"/>
                <w:right w:w="0" w:type="dxa"/>
              </w:tblCellMar>
              <w:tblLook w:val="04A0" w:firstRow="1" w:lastRow="0" w:firstColumn="1" w:lastColumn="0" w:noHBand="0" w:noVBand="1"/>
            </w:tblPr>
            <w:tblGrid>
              <w:gridCol w:w="2155"/>
              <w:gridCol w:w="1080"/>
              <w:gridCol w:w="886"/>
            </w:tblGrid>
            <w:tr w:rsidR="00AA4FE6" w:rsidRPr="00AA4FE6" w14:paraId="7371B2FA" w14:textId="77777777" w:rsidTr="002B5E07">
              <w:trPr>
                <w:cnfStyle w:val="100000000000" w:firstRow="1" w:lastRow="0" w:firstColumn="0" w:lastColumn="0" w:oddVBand="0" w:evenVBand="0" w:oddHBand="0" w:evenHBand="0" w:firstRowFirstColumn="0" w:firstRowLastColumn="0" w:lastRowFirstColumn="0" w:lastRowLastColumn="0"/>
                <w:trHeight w:val="20"/>
              </w:trPr>
              <w:tc>
                <w:tcPr>
                  <w:tcW w:w="2155" w:type="dxa"/>
                  <w:shd w:val="clear" w:color="auto" w:fill="auto"/>
                </w:tcPr>
                <w:p w14:paraId="6F3909A7" w14:textId="77777777" w:rsidR="00AA4FE6" w:rsidRPr="00AA4FE6" w:rsidRDefault="00AA4FE6" w:rsidP="006F5008">
                  <w:pPr>
                    <w:pStyle w:val="Tabletext"/>
                    <w:rPr>
                      <w:lang w:val="en-AU"/>
                    </w:rPr>
                  </w:pPr>
                  <w:r w:rsidRPr="00AA4FE6">
                    <w:rPr>
                      <w:lang w:val="en-AU"/>
                    </w:rPr>
                    <w:t>Therapy</w:t>
                  </w:r>
                </w:p>
              </w:tc>
              <w:tc>
                <w:tcPr>
                  <w:tcW w:w="1080" w:type="dxa"/>
                  <w:shd w:val="clear" w:color="auto" w:fill="auto"/>
                </w:tcPr>
                <w:p w14:paraId="7A3436AA" w14:textId="77777777" w:rsidR="00AA4FE6" w:rsidRPr="00AA4FE6" w:rsidRDefault="00AA4FE6" w:rsidP="006F5008">
                  <w:pPr>
                    <w:pStyle w:val="Tabletext"/>
                    <w:rPr>
                      <w:lang w:val="en-AU"/>
                    </w:rPr>
                  </w:pPr>
                  <w:r w:rsidRPr="00AA4FE6">
                    <w:rPr>
                      <w:lang w:val="en-AU"/>
                    </w:rPr>
                    <w:t>Item Code</w:t>
                  </w:r>
                </w:p>
              </w:tc>
              <w:tc>
                <w:tcPr>
                  <w:tcW w:w="886" w:type="dxa"/>
                  <w:shd w:val="clear" w:color="auto" w:fill="auto"/>
                </w:tcPr>
                <w:p w14:paraId="40220048" w14:textId="77777777" w:rsidR="00AA4FE6" w:rsidRPr="00AA4FE6" w:rsidRDefault="00AA4FE6" w:rsidP="006F5008">
                  <w:pPr>
                    <w:pStyle w:val="Tabletext"/>
                    <w:rPr>
                      <w:lang w:val="en-AU"/>
                    </w:rPr>
                  </w:pPr>
                  <w:r w:rsidRPr="00AA4FE6">
                    <w:rPr>
                      <w:lang w:val="en-AU"/>
                    </w:rPr>
                    <w:t>Cost</w:t>
                  </w:r>
                </w:p>
              </w:tc>
            </w:tr>
            <w:tr w:rsidR="00AA4FE6" w:rsidRPr="00AA4FE6" w14:paraId="0AAEC056" w14:textId="77777777" w:rsidTr="002B5E07">
              <w:trPr>
                <w:trHeight w:val="20"/>
              </w:trPr>
              <w:tc>
                <w:tcPr>
                  <w:tcW w:w="2155" w:type="dxa"/>
                  <w:shd w:val="clear" w:color="auto" w:fill="auto"/>
                </w:tcPr>
                <w:p w14:paraId="6BEC2571" w14:textId="77777777" w:rsidR="00AA4FE6" w:rsidRPr="00AA4FE6" w:rsidRDefault="00AA4FE6" w:rsidP="006F5008">
                  <w:pPr>
                    <w:pStyle w:val="Tabletext"/>
                    <w:rPr>
                      <w:lang w:val="en-AU"/>
                    </w:rPr>
                  </w:pPr>
                  <w:r w:rsidRPr="00AA4FE6">
                    <w:rPr>
                      <w:lang w:val="en-AU"/>
                    </w:rPr>
                    <w:t>UDCA 250mg</w:t>
                  </w:r>
                </w:p>
              </w:tc>
              <w:tc>
                <w:tcPr>
                  <w:tcW w:w="1080" w:type="dxa"/>
                  <w:shd w:val="clear" w:color="auto" w:fill="auto"/>
                </w:tcPr>
                <w:p w14:paraId="5D654D5F" w14:textId="77777777" w:rsidR="00AA4FE6" w:rsidRPr="00AA4FE6" w:rsidRDefault="00AA4FE6" w:rsidP="006F5008">
                  <w:pPr>
                    <w:pStyle w:val="Tabletext"/>
                    <w:rPr>
                      <w:lang w:val="en-AU"/>
                    </w:rPr>
                  </w:pPr>
                  <w:r w:rsidRPr="00AA4FE6">
                    <w:rPr>
                      <w:lang w:val="en-AU"/>
                    </w:rPr>
                    <w:t>8448P</w:t>
                  </w:r>
                </w:p>
              </w:tc>
              <w:tc>
                <w:tcPr>
                  <w:tcW w:w="886" w:type="dxa"/>
                  <w:shd w:val="clear" w:color="auto" w:fill="auto"/>
                </w:tcPr>
                <w:p w14:paraId="12560FF4" w14:textId="77777777" w:rsidR="00AA4FE6" w:rsidRPr="00AA4FE6" w:rsidRDefault="00AA4FE6" w:rsidP="006F5008">
                  <w:pPr>
                    <w:pStyle w:val="Tabletext"/>
                    <w:rPr>
                      <w:lang w:val="en-AU"/>
                    </w:rPr>
                  </w:pPr>
                  <w:r w:rsidRPr="00AA4FE6">
                    <w:rPr>
                      <w:lang w:val="en-AU"/>
                    </w:rPr>
                    <w:t>$113.65</w:t>
                  </w:r>
                </w:p>
              </w:tc>
            </w:tr>
            <w:tr w:rsidR="00AA4FE6" w:rsidRPr="00AA4FE6" w14:paraId="16AC5A94" w14:textId="77777777" w:rsidTr="002B5E07">
              <w:trPr>
                <w:trHeight w:val="20"/>
              </w:trPr>
              <w:tc>
                <w:tcPr>
                  <w:tcW w:w="2155" w:type="dxa"/>
                  <w:shd w:val="clear" w:color="auto" w:fill="auto"/>
                </w:tcPr>
                <w:p w14:paraId="6D155BA9" w14:textId="77777777" w:rsidR="00AA4FE6" w:rsidRPr="00AA4FE6" w:rsidRDefault="00AA4FE6" w:rsidP="006F5008">
                  <w:pPr>
                    <w:pStyle w:val="Tabletext"/>
                    <w:rPr>
                      <w:lang w:val="en-AU"/>
                    </w:rPr>
                  </w:pPr>
                  <w:r w:rsidRPr="00AA4FE6">
                    <w:rPr>
                      <w:lang w:val="en-AU"/>
                    </w:rPr>
                    <w:t>Cholestyramine (paediatric) 4000mg</w:t>
                  </w:r>
                </w:p>
              </w:tc>
              <w:tc>
                <w:tcPr>
                  <w:tcW w:w="1080" w:type="dxa"/>
                  <w:shd w:val="clear" w:color="auto" w:fill="auto"/>
                </w:tcPr>
                <w:p w14:paraId="676A59FA" w14:textId="77777777" w:rsidR="00AA4FE6" w:rsidRPr="00AA4FE6" w:rsidRDefault="00AA4FE6" w:rsidP="006F5008">
                  <w:pPr>
                    <w:pStyle w:val="Tabletext"/>
                    <w:rPr>
                      <w:lang w:val="en-AU"/>
                    </w:rPr>
                  </w:pPr>
                  <w:r w:rsidRPr="00AA4FE6">
                    <w:rPr>
                      <w:lang w:val="en-AU"/>
                    </w:rPr>
                    <w:t>2967E-9249T</w:t>
                  </w:r>
                </w:p>
              </w:tc>
              <w:tc>
                <w:tcPr>
                  <w:tcW w:w="886" w:type="dxa"/>
                  <w:shd w:val="clear" w:color="auto" w:fill="auto"/>
                </w:tcPr>
                <w:p w14:paraId="760AC820" w14:textId="77777777" w:rsidR="00AA4FE6" w:rsidRPr="00AA4FE6" w:rsidRDefault="00AA4FE6" w:rsidP="006F5008">
                  <w:pPr>
                    <w:pStyle w:val="Tabletext"/>
                    <w:rPr>
                      <w:lang w:val="en-AU"/>
                    </w:rPr>
                  </w:pPr>
                  <w:r w:rsidRPr="00AA4FE6">
                    <w:rPr>
                      <w:lang w:val="en-AU"/>
                    </w:rPr>
                    <w:t>$41.21</w:t>
                  </w:r>
                </w:p>
              </w:tc>
            </w:tr>
            <w:tr w:rsidR="00AA4FE6" w:rsidRPr="00AA4FE6" w14:paraId="171C0793" w14:textId="77777777" w:rsidTr="002B5E07">
              <w:trPr>
                <w:trHeight w:val="20"/>
              </w:trPr>
              <w:tc>
                <w:tcPr>
                  <w:tcW w:w="2155" w:type="dxa"/>
                  <w:shd w:val="clear" w:color="auto" w:fill="auto"/>
                </w:tcPr>
                <w:p w14:paraId="6D1BA96B" w14:textId="5A4F2EA9" w:rsidR="00AA4FE6" w:rsidRPr="00AA4FE6" w:rsidRDefault="00AA4FE6" w:rsidP="006F5008">
                  <w:pPr>
                    <w:pStyle w:val="Tabletext"/>
                    <w:rPr>
                      <w:lang w:val="en-AU"/>
                    </w:rPr>
                  </w:pPr>
                  <w:r w:rsidRPr="00AA4FE6">
                    <w:rPr>
                      <w:lang w:val="en-AU"/>
                    </w:rPr>
                    <w:t>Rifampicin (paediatric) 150</w:t>
                  </w:r>
                  <w:r w:rsidR="001E1561">
                    <w:rPr>
                      <w:lang w:val="en-AU"/>
                    </w:rPr>
                    <w:t> </w:t>
                  </w:r>
                  <w:r w:rsidRPr="00AA4FE6">
                    <w:rPr>
                      <w:lang w:val="en-AU"/>
                    </w:rPr>
                    <w:t>mg</w:t>
                  </w:r>
                </w:p>
              </w:tc>
              <w:tc>
                <w:tcPr>
                  <w:tcW w:w="1080" w:type="dxa"/>
                  <w:shd w:val="clear" w:color="auto" w:fill="auto"/>
                </w:tcPr>
                <w:p w14:paraId="593F5CEA" w14:textId="77777777" w:rsidR="00AA4FE6" w:rsidRPr="00AA4FE6" w:rsidRDefault="00AA4FE6" w:rsidP="006F5008">
                  <w:pPr>
                    <w:pStyle w:val="Tabletext"/>
                    <w:rPr>
                      <w:lang w:val="en-AU"/>
                    </w:rPr>
                  </w:pPr>
                  <w:r w:rsidRPr="00AA4FE6">
                    <w:rPr>
                      <w:lang w:val="en-AU"/>
                    </w:rPr>
                    <w:t>12190N-1982H</w:t>
                  </w:r>
                </w:p>
              </w:tc>
              <w:tc>
                <w:tcPr>
                  <w:tcW w:w="886" w:type="dxa"/>
                  <w:shd w:val="clear" w:color="auto" w:fill="auto"/>
                </w:tcPr>
                <w:p w14:paraId="6EDC5E56" w14:textId="77777777" w:rsidR="00AA4FE6" w:rsidRPr="00AA4FE6" w:rsidRDefault="00AA4FE6" w:rsidP="006F5008">
                  <w:pPr>
                    <w:pStyle w:val="Tabletext"/>
                    <w:rPr>
                      <w:lang w:val="en-AU"/>
                    </w:rPr>
                  </w:pPr>
                  <w:r w:rsidRPr="00AA4FE6">
                    <w:rPr>
                      <w:lang w:val="en-AU"/>
                    </w:rPr>
                    <w:t>$194.72</w:t>
                  </w:r>
                </w:p>
              </w:tc>
            </w:tr>
            <w:tr w:rsidR="00AA4FE6" w:rsidRPr="00AA4FE6" w14:paraId="3E287AF3" w14:textId="77777777" w:rsidTr="002B5E07">
              <w:trPr>
                <w:trHeight w:val="20"/>
              </w:trPr>
              <w:tc>
                <w:tcPr>
                  <w:tcW w:w="2155" w:type="dxa"/>
                  <w:tcBorders>
                    <w:bottom w:val="single" w:sz="4" w:space="0" w:color="auto"/>
                  </w:tcBorders>
                  <w:shd w:val="clear" w:color="auto" w:fill="auto"/>
                </w:tcPr>
                <w:p w14:paraId="295B4F78" w14:textId="77777777" w:rsidR="00AA4FE6" w:rsidRPr="00AA4FE6" w:rsidRDefault="00AA4FE6" w:rsidP="006F5008">
                  <w:pPr>
                    <w:pStyle w:val="Tabletext"/>
                    <w:rPr>
                      <w:lang w:val="en-AU"/>
                    </w:rPr>
                  </w:pPr>
                  <w:r w:rsidRPr="00AA4FE6">
                    <w:rPr>
                      <w:lang w:val="en-AU"/>
                    </w:rPr>
                    <w:t>Naltrexone 50 mg</w:t>
                  </w:r>
                </w:p>
              </w:tc>
              <w:tc>
                <w:tcPr>
                  <w:tcW w:w="1080" w:type="dxa"/>
                  <w:tcBorders>
                    <w:bottom w:val="single" w:sz="4" w:space="0" w:color="auto"/>
                  </w:tcBorders>
                  <w:shd w:val="clear" w:color="auto" w:fill="auto"/>
                </w:tcPr>
                <w:p w14:paraId="2F0489DC" w14:textId="77777777" w:rsidR="00AA4FE6" w:rsidRPr="00AA4FE6" w:rsidRDefault="00AA4FE6" w:rsidP="006F5008">
                  <w:pPr>
                    <w:pStyle w:val="Tabletext"/>
                    <w:rPr>
                      <w:lang w:val="en-AU"/>
                    </w:rPr>
                  </w:pPr>
                  <w:r w:rsidRPr="00AA4FE6">
                    <w:rPr>
                      <w:lang w:val="en-AU"/>
                    </w:rPr>
                    <w:t>8370M</w:t>
                  </w:r>
                </w:p>
              </w:tc>
              <w:tc>
                <w:tcPr>
                  <w:tcW w:w="886" w:type="dxa"/>
                  <w:tcBorders>
                    <w:bottom w:val="single" w:sz="4" w:space="0" w:color="auto"/>
                  </w:tcBorders>
                  <w:shd w:val="clear" w:color="auto" w:fill="auto"/>
                </w:tcPr>
                <w:p w14:paraId="5C29798A" w14:textId="77777777" w:rsidR="00AA4FE6" w:rsidRPr="00AA4FE6" w:rsidRDefault="00AA4FE6" w:rsidP="006F5008">
                  <w:pPr>
                    <w:pStyle w:val="Tabletext"/>
                    <w:rPr>
                      <w:lang w:val="en-AU"/>
                    </w:rPr>
                  </w:pPr>
                  <w:r w:rsidRPr="00AA4FE6">
                    <w:rPr>
                      <w:lang w:val="en-AU"/>
                    </w:rPr>
                    <w:t>$104.96</w:t>
                  </w:r>
                </w:p>
              </w:tc>
            </w:tr>
          </w:tbl>
          <w:p w14:paraId="3201919F" w14:textId="77777777" w:rsidR="00AA4FE6" w:rsidRPr="00AA4FE6" w:rsidRDefault="00AA4FE6" w:rsidP="006F5008">
            <w:pPr>
              <w:pStyle w:val="TableFigureFooter"/>
              <w:jc w:val="left"/>
            </w:pPr>
            <w:r w:rsidRPr="00AA4FE6">
              <w:t>Source: Table 4-14, p186 of the submission</w:t>
            </w:r>
          </w:p>
          <w:p w14:paraId="013C5656" w14:textId="151FE0F8" w:rsidR="00AA4FE6" w:rsidRPr="00AA4FE6" w:rsidRDefault="00AA4FE6" w:rsidP="006F5008">
            <w:pPr>
              <w:pStyle w:val="TableText0"/>
            </w:pPr>
            <w:r w:rsidRPr="00AA4FE6">
              <w:t xml:space="preserve">The submission considered that odevixibat aims to delay LT by approximately 22 years (appears to be based on difference between mean time spent before LT in the economic model, see </w:t>
            </w:r>
            <w:r w:rsidRPr="00AA4FE6">
              <w:fldChar w:fldCharType="begin"/>
            </w:r>
            <w:r w:rsidRPr="00AA4FE6">
              <w:instrText xml:space="preserve"> REF _Ref164687977 \h  \* MERGEFORMAT </w:instrText>
            </w:r>
            <w:r w:rsidRPr="00AA4FE6">
              <w:fldChar w:fldCharType="separate"/>
            </w:r>
            <w:r w:rsidR="008B4717" w:rsidRPr="00D33C2C">
              <w:t xml:space="preserve">Table </w:t>
            </w:r>
            <w:r w:rsidR="008B4717">
              <w:rPr>
                <w:noProof/>
              </w:rPr>
              <w:t>18</w:t>
            </w:r>
            <w:r w:rsidRPr="00AA4FE6">
              <w:fldChar w:fldCharType="end"/>
            </w:r>
            <w:r w:rsidRPr="00AA4FE6">
              <w:t>), which was beyond the 6-year financial period, therefore was not included.</w:t>
            </w:r>
          </w:p>
        </w:tc>
        <w:tc>
          <w:tcPr>
            <w:tcW w:w="2015" w:type="pct"/>
            <w:shd w:val="clear" w:color="auto" w:fill="auto"/>
          </w:tcPr>
          <w:p w14:paraId="02C8BEFE" w14:textId="77777777" w:rsidR="00AA4FE6" w:rsidRPr="00B146C3" w:rsidRDefault="00AA4FE6" w:rsidP="006F5008">
            <w:pPr>
              <w:pStyle w:val="TableText0"/>
              <w:rPr>
                <w:szCs w:val="20"/>
              </w:rPr>
            </w:pPr>
            <w:r w:rsidRPr="00B146C3">
              <w:rPr>
                <w:szCs w:val="20"/>
              </w:rPr>
              <w:t xml:space="preserve">The changes in use of oral therapies were inconsistent with the clinical algorithm and economic model which assumed that oral therapies would be use alongside odevixibat. The submission’s approach would overestimate the cost offsets compared to the economic model and therefore financial impact was underestimated. However, SOC costs were small relative to odevixibat costs. </w:t>
            </w:r>
          </w:p>
        </w:tc>
      </w:tr>
      <w:tr w:rsidR="00AA4FE6" w:rsidRPr="00AA4FE6" w14:paraId="69AC881E" w14:textId="77777777" w:rsidTr="006F5008">
        <w:trPr>
          <w:cantSplit/>
        </w:trPr>
        <w:tc>
          <w:tcPr>
            <w:tcW w:w="663" w:type="pct"/>
            <w:shd w:val="clear" w:color="auto" w:fill="auto"/>
          </w:tcPr>
          <w:p w14:paraId="2C13808D" w14:textId="77777777" w:rsidR="00AA4FE6" w:rsidRPr="00AA4FE6" w:rsidRDefault="00AA4FE6" w:rsidP="006F5008">
            <w:pPr>
              <w:pStyle w:val="TableText0"/>
            </w:pPr>
            <w:r w:rsidRPr="00AA4FE6">
              <w:t>MBS items</w:t>
            </w:r>
          </w:p>
        </w:tc>
        <w:tc>
          <w:tcPr>
            <w:tcW w:w="2322" w:type="pct"/>
            <w:shd w:val="clear" w:color="auto" w:fill="auto"/>
          </w:tcPr>
          <w:p w14:paraId="03376D94" w14:textId="77777777" w:rsidR="00AA4FE6" w:rsidRPr="00AA4FE6" w:rsidRDefault="00AA4FE6" w:rsidP="006F5008">
            <w:pPr>
              <w:pStyle w:val="TableText0"/>
            </w:pPr>
            <w:r w:rsidRPr="00AA4FE6">
              <w:t xml:space="preserve">The submission stated that there were no expected changes to MBS items for the listing of odevixibat and that LT and PEBD procedures do not have any relevant MBS item codes and therefore were not include in the financial estimates. </w:t>
            </w:r>
          </w:p>
        </w:tc>
        <w:tc>
          <w:tcPr>
            <w:tcW w:w="2015" w:type="pct"/>
            <w:shd w:val="clear" w:color="auto" w:fill="auto"/>
          </w:tcPr>
          <w:p w14:paraId="32106022" w14:textId="58A4A766" w:rsidR="00D12975" w:rsidRPr="00B146C3" w:rsidRDefault="00AA4FE6" w:rsidP="006F5008">
            <w:pPr>
              <w:pStyle w:val="TableText0"/>
              <w:rPr>
                <w:szCs w:val="20"/>
              </w:rPr>
            </w:pPr>
            <w:r w:rsidRPr="00B146C3">
              <w:rPr>
                <w:szCs w:val="20"/>
              </w:rPr>
              <w:t xml:space="preserve">The submission did not consider relevant genetic testing to diagnose PFIC, particularly when the financial estimates excluded PFIC2 </w:t>
            </w:r>
            <w:r w:rsidRPr="001C4410">
              <w:rPr>
                <w:i/>
                <w:iCs/>
                <w:szCs w:val="20"/>
              </w:rPr>
              <w:t>BSEP3</w:t>
            </w:r>
            <w:r w:rsidRPr="00B146C3">
              <w:rPr>
                <w:szCs w:val="20"/>
              </w:rPr>
              <w:t xml:space="preserve"> patients.  </w:t>
            </w:r>
            <w:r w:rsidR="00D12975" w:rsidRPr="00B146C3">
              <w:rPr>
                <w:szCs w:val="20"/>
              </w:rPr>
              <w:t>DUSC considered it was reasonable to not include costs of genetic testing based on the proposed PBS restriction, but noted these would need to be included if the requested restriction was altered to require genetic testing.</w:t>
            </w:r>
          </w:p>
          <w:p w14:paraId="1BA5E880" w14:textId="77777777" w:rsidR="00D12975" w:rsidRPr="00B146C3" w:rsidRDefault="00D12975" w:rsidP="006F5008">
            <w:pPr>
              <w:pStyle w:val="TableText0"/>
              <w:rPr>
                <w:szCs w:val="20"/>
              </w:rPr>
            </w:pPr>
          </w:p>
          <w:p w14:paraId="00737DC4" w14:textId="59A8E61B" w:rsidR="00D12975" w:rsidRPr="00B146C3" w:rsidRDefault="00D12975" w:rsidP="006F5008">
            <w:pPr>
              <w:pStyle w:val="TableText0"/>
              <w:rPr>
                <w:szCs w:val="20"/>
              </w:rPr>
            </w:pPr>
            <w:r w:rsidRPr="00B146C3">
              <w:rPr>
                <w:szCs w:val="20"/>
              </w:rPr>
              <w:t>The evaluation noted that the submission did not consider changes in testing or monitoring associated with a reduction in PEBD due to odevixibat, which was not consistent with the economic model.</w:t>
            </w:r>
          </w:p>
        </w:tc>
      </w:tr>
    </w:tbl>
    <w:p w14:paraId="1AEED56A" w14:textId="77777777" w:rsidR="00AA4FE6" w:rsidRPr="00AA4FE6" w:rsidRDefault="00AA4FE6" w:rsidP="00AA4FE6">
      <w:pPr>
        <w:pStyle w:val="TableFigureFooter"/>
      </w:pPr>
      <w:r w:rsidRPr="00AA4FE6">
        <w:t>Source: Section 4.2.1 of the submission</w:t>
      </w:r>
    </w:p>
    <w:p w14:paraId="577E072B" w14:textId="460B1F8C" w:rsidR="00AA4FE6" w:rsidRDefault="00DE7B08" w:rsidP="00F44ACA">
      <w:pPr>
        <w:pStyle w:val="TableFigureFooter"/>
        <w:spacing w:after="0"/>
      </w:pPr>
      <w:r>
        <w:t xml:space="preserve">ABS = Australian Bureau of Statistics; </w:t>
      </w:r>
      <w:r w:rsidR="00AA4FE6" w:rsidRPr="00AA4FE6">
        <w:t xml:space="preserve">Avg = average; BSEP = bile salt exporter pump; </w:t>
      </w:r>
      <w:r>
        <w:t xml:space="preserve">DUSC = Drug Utilisation Sub-Committee; </w:t>
      </w:r>
      <w:r w:rsidRPr="00AA4FE6">
        <w:t>LT = liver transplant;</w:t>
      </w:r>
      <w:r>
        <w:t xml:space="preserve"> MBS = Medicare Benefits Schedule; </w:t>
      </w:r>
      <w:r w:rsidR="00AA4FE6" w:rsidRPr="00AA4FE6">
        <w:t xml:space="preserve">PBS = Pharmaceutical Benefits Scheme; PEBD = partial external biliary diversion; PFIC = progressive familiar intrahepatic cholestasis; </w:t>
      </w:r>
      <w:r>
        <w:t xml:space="preserve">PI = Product Information; RPBS = Repatriation Pharmaceutical Benefits Scheme; </w:t>
      </w:r>
      <w:r w:rsidR="00AA4FE6" w:rsidRPr="00AA4FE6">
        <w:t>UDCA = Ursodeoxycholic acid; SOC = standard of care</w:t>
      </w:r>
      <w:r w:rsidR="00150CCE">
        <w:t>.</w:t>
      </w:r>
    </w:p>
    <w:p w14:paraId="64909A65" w14:textId="77777777" w:rsidR="00F44ACA" w:rsidRPr="009A6D58" w:rsidRDefault="00F44ACA" w:rsidP="00F44ACA">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A7FF1E8" w14:textId="292D08A1" w:rsidR="00F44ACA" w:rsidRPr="009A6D58" w:rsidRDefault="00F44ACA" w:rsidP="00F44ACA">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&lt; 500</w:t>
      </w:r>
    </w:p>
    <w:p w14:paraId="17E1B613" w14:textId="72E4B904" w:rsidR="00F44ACA" w:rsidRPr="00AA4FE6" w:rsidRDefault="00F44ACA" w:rsidP="00F44ACA">
      <w:pPr>
        <w:spacing w:after="120"/>
      </w:pPr>
      <w:r w:rsidRPr="009A6D58">
        <w:rPr>
          <w:rFonts w:ascii="Arial Narrow" w:hAnsi="Arial Narrow"/>
          <w:i/>
          <w:sz w:val="18"/>
          <w:szCs w:val="18"/>
          <w:vertAlign w:val="superscript"/>
        </w:rPr>
        <w:t>2</w:t>
      </w:r>
      <w:r>
        <w:rPr>
          <w:rFonts w:ascii="Arial Narrow" w:hAnsi="Arial Narrow"/>
          <w:i/>
          <w:sz w:val="18"/>
          <w:szCs w:val="18"/>
        </w:rPr>
        <w:t xml:space="preserve"> 500 to &lt; 5000</w:t>
      </w:r>
    </w:p>
    <w:p w14:paraId="18E5D749" w14:textId="37E2D995" w:rsidR="00AA4FE6" w:rsidRPr="00AA4FE6" w:rsidRDefault="00AA4FE6" w:rsidP="00AA4FE6">
      <w:pPr>
        <w:pStyle w:val="3-BodyText"/>
      </w:pPr>
      <w:r w:rsidRPr="00AA4FE6">
        <w:t xml:space="preserve">The estimated use of odevixibat is presented in </w:t>
      </w:r>
      <w:r w:rsidRPr="00AA4FE6">
        <w:fldChar w:fldCharType="begin"/>
      </w:r>
      <w:r w:rsidRPr="00AA4FE6">
        <w:instrText xml:space="preserve"> REF _Ref164674925 \h  \* MERGEFORMAT </w:instrText>
      </w:r>
      <w:r w:rsidRPr="00AA4FE6">
        <w:fldChar w:fldCharType="separate"/>
      </w:r>
      <w:r w:rsidR="008B4717" w:rsidRPr="00AA4FE6">
        <w:t xml:space="preserve">Table </w:t>
      </w:r>
      <w:r w:rsidR="008B4717">
        <w:rPr>
          <w:noProof/>
        </w:rPr>
        <w:t>22</w:t>
      </w:r>
      <w:r w:rsidRPr="00AA4FE6">
        <w:fldChar w:fldCharType="end"/>
      </w:r>
      <w:r w:rsidRPr="00AA4FE6">
        <w:t>.</w:t>
      </w:r>
    </w:p>
    <w:p w14:paraId="4480DD1E" w14:textId="0B893134" w:rsidR="00AA4FE6" w:rsidRPr="00AA4FE6" w:rsidRDefault="00AA4FE6" w:rsidP="00AA4FE6">
      <w:pPr>
        <w:pStyle w:val="TableFigureHeading"/>
        <w:keepLines/>
      </w:pPr>
      <w:bookmarkStart w:id="109" w:name="_Ref164674925"/>
      <w:r w:rsidRPr="00AA4FE6">
        <w:lastRenderedPageBreak/>
        <w:t xml:space="preserve">Table </w:t>
      </w:r>
      <w:r w:rsidR="00DF1200">
        <w:fldChar w:fldCharType="begin"/>
      </w:r>
      <w:r w:rsidR="00DF1200">
        <w:instrText xml:space="preserve"> SEQ Table \* ARABIC </w:instrText>
      </w:r>
      <w:r w:rsidR="00DF1200">
        <w:fldChar w:fldCharType="separate"/>
      </w:r>
      <w:r w:rsidR="008B4717">
        <w:rPr>
          <w:noProof/>
        </w:rPr>
        <w:t>22</w:t>
      </w:r>
      <w:r w:rsidR="00DF1200">
        <w:rPr>
          <w:noProof/>
        </w:rPr>
        <w:fldChar w:fldCharType="end"/>
      </w:r>
      <w:bookmarkEnd w:id="109"/>
      <w:r w:rsidRPr="00AA4FE6">
        <w:rPr>
          <w:rStyle w:val="CommentReference"/>
          <w:b/>
          <w:szCs w:val="24"/>
        </w:rPr>
        <w:t>: Estimated use of odevixibat</w:t>
      </w:r>
    </w:p>
    <w:tbl>
      <w:tblPr>
        <w:tblStyle w:val="TableGrid"/>
        <w:tblW w:w="5000" w:type="pct"/>
        <w:tblLayout w:type="fixed"/>
        <w:tblLook w:val="04A0" w:firstRow="1" w:lastRow="0" w:firstColumn="1" w:lastColumn="0" w:noHBand="0" w:noVBand="1"/>
        <w:tblCaption w:val="Table 22: Estimated use of odevixibat"/>
      </w:tblPr>
      <w:tblGrid>
        <w:gridCol w:w="3538"/>
        <w:gridCol w:w="793"/>
        <w:gridCol w:w="938"/>
        <w:gridCol w:w="938"/>
        <w:gridCol w:w="936"/>
        <w:gridCol w:w="938"/>
        <w:gridCol w:w="936"/>
      </w:tblGrid>
      <w:tr w:rsidR="00AA4FE6" w:rsidRPr="00AA4FE6" w14:paraId="2DB1E586" w14:textId="77777777" w:rsidTr="00FF56BE">
        <w:trPr>
          <w:trHeight w:val="20"/>
        </w:trPr>
        <w:tc>
          <w:tcPr>
            <w:tcW w:w="1962" w:type="pct"/>
          </w:tcPr>
          <w:p w14:paraId="1EAF9A52" w14:textId="77777777" w:rsidR="00AA4FE6" w:rsidRPr="00AA4FE6" w:rsidRDefault="00AA4FE6" w:rsidP="00173384">
            <w:pPr>
              <w:keepNext/>
              <w:keepLines/>
              <w:rPr>
                <w:color w:val="3366FF"/>
              </w:rPr>
            </w:pPr>
          </w:p>
        </w:tc>
        <w:tc>
          <w:tcPr>
            <w:tcW w:w="440" w:type="pct"/>
            <w:shd w:val="clear" w:color="auto" w:fill="auto"/>
            <w:vAlign w:val="center"/>
          </w:tcPr>
          <w:p w14:paraId="51C00E22" w14:textId="77777777" w:rsidR="00AA4FE6" w:rsidRPr="00AA4FE6" w:rsidRDefault="00AA4FE6" w:rsidP="00173384">
            <w:pPr>
              <w:pStyle w:val="TableFigureHeading"/>
              <w:keepLines/>
              <w:jc w:val="center"/>
            </w:pPr>
            <w:r w:rsidRPr="00AA4FE6">
              <w:t>Year 1</w:t>
            </w:r>
          </w:p>
        </w:tc>
        <w:tc>
          <w:tcPr>
            <w:tcW w:w="520" w:type="pct"/>
            <w:shd w:val="clear" w:color="auto" w:fill="auto"/>
            <w:vAlign w:val="center"/>
          </w:tcPr>
          <w:p w14:paraId="4FEB2018" w14:textId="77777777" w:rsidR="00AA4FE6" w:rsidRPr="00AA4FE6" w:rsidRDefault="00AA4FE6" w:rsidP="00173384">
            <w:pPr>
              <w:pStyle w:val="TableFigureHeading"/>
              <w:keepLines/>
              <w:jc w:val="center"/>
            </w:pPr>
            <w:r w:rsidRPr="00AA4FE6">
              <w:t>Year 2</w:t>
            </w:r>
          </w:p>
        </w:tc>
        <w:tc>
          <w:tcPr>
            <w:tcW w:w="520" w:type="pct"/>
            <w:shd w:val="clear" w:color="auto" w:fill="auto"/>
            <w:vAlign w:val="center"/>
          </w:tcPr>
          <w:p w14:paraId="0A3B0839" w14:textId="77777777" w:rsidR="00AA4FE6" w:rsidRPr="00AA4FE6" w:rsidRDefault="00AA4FE6" w:rsidP="00173384">
            <w:pPr>
              <w:pStyle w:val="TableFigureHeading"/>
              <w:keepLines/>
              <w:jc w:val="center"/>
            </w:pPr>
            <w:r w:rsidRPr="00AA4FE6">
              <w:t>Year 3</w:t>
            </w:r>
          </w:p>
        </w:tc>
        <w:tc>
          <w:tcPr>
            <w:tcW w:w="519" w:type="pct"/>
            <w:shd w:val="clear" w:color="auto" w:fill="auto"/>
            <w:vAlign w:val="center"/>
          </w:tcPr>
          <w:p w14:paraId="15B71B79" w14:textId="77777777" w:rsidR="00AA4FE6" w:rsidRPr="00AA4FE6" w:rsidRDefault="00AA4FE6" w:rsidP="00173384">
            <w:pPr>
              <w:pStyle w:val="TableFigureHeading"/>
              <w:keepLines/>
              <w:jc w:val="center"/>
            </w:pPr>
            <w:r w:rsidRPr="00AA4FE6">
              <w:t>Year 4</w:t>
            </w:r>
          </w:p>
        </w:tc>
        <w:tc>
          <w:tcPr>
            <w:tcW w:w="520" w:type="pct"/>
            <w:shd w:val="clear" w:color="auto" w:fill="auto"/>
            <w:vAlign w:val="center"/>
          </w:tcPr>
          <w:p w14:paraId="2CA59D3E" w14:textId="77777777" w:rsidR="00AA4FE6" w:rsidRPr="00AA4FE6" w:rsidRDefault="00AA4FE6" w:rsidP="00173384">
            <w:pPr>
              <w:pStyle w:val="TableFigureHeading"/>
              <w:keepLines/>
              <w:jc w:val="center"/>
            </w:pPr>
            <w:r w:rsidRPr="00AA4FE6">
              <w:t>Year 5</w:t>
            </w:r>
          </w:p>
        </w:tc>
        <w:tc>
          <w:tcPr>
            <w:tcW w:w="519" w:type="pct"/>
            <w:shd w:val="clear" w:color="auto" w:fill="auto"/>
            <w:vAlign w:val="center"/>
          </w:tcPr>
          <w:p w14:paraId="688E1469" w14:textId="77777777" w:rsidR="00AA4FE6" w:rsidRPr="00AA4FE6" w:rsidRDefault="00AA4FE6" w:rsidP="00173384">
            <w:pPr>
              <w:pStyle w:val="TableFigureHeading"/>
              <w:keepLines/>
              <w:jc w:val="center"/>
            </w:pPr>
            <w:r w:rsidRPr="00AA4FE6">
              <w:t>Year 6</w:t>
            </w:r>
          </w:p>
        </w:tc>
      </w:tr>
      <w:tr w:rsidR="00AA4FE6" w:rsidRPr="00AA4FE6" w14:paraId="2F5298A5" w14:textId="77777777" w:rsidTr="00FF56BE">
        <w:trPr>
          <w:trHeight w:val="20"/>
        </w:trPr>
        <w:tc>
          <w:tcPr>
            <w:tcW w:w="1962" w:type="pct"/>
          </w:tcPr>
          <w:p w14:paraId="1CBF164E" w14:textId="77777777" w:rsidR="00AA4FE6" w:rsidRPr="00AA4FE6" w:rsidRDefault="00AA4FE6" w:rsidP="00173384">
            <w:pPr>
              <w:pStyle w:val="TableText0"/>
              <w:keepLines/>
            </w:pPr>
            <w:r w:rsidRPr="00AA4FE6">
              <w:t>Prevalent PFIC patients</w:t>
            </w:r>
          </w:p>
        </w:tc>
        <w:tc>
          <w:tcPr>
            <w:tcW w:w="440" w:type="pct"/>
            <w:vAlign w:val="center"/>
          </w:tcPr>
          <w:p w14:paraId="69C772E5" w14:textId="35D1F614" w:rsidR="00AA4FE6" w:rsidRPr="005C2977" w:rsidRDefault="0066157F" w:rsidP="00173384">
            <w:pPr>
              <w:pStyle w:val="TableText0"/>
              <w:keepLines/>
              <w:jc w:val="center"/>
              <w:rPr>
                <w:vertAlign w:val="superscript"/>
              </w:rPr>
            </w:pPr>
            <w:r w:rsidRPr="0066157F">
              <w:rPr>
                <w:color w:val="000000"/>
                <w:spacing w:val="214"/>
                <w:shd w:val="solid" w:color="000000" w:fill="000000"/>
                <w:fitText w:val="300" w:id="-894207984"/>
                <w14:textFill>
                  <w14:solidFill>
                    <w14:srgbClr w14:val="000000">
                      <w14:alpha w14:val="100000"/>
                    </w14:srgbClr>
                  </w14:solidFill>
                </w14:textFill>
              </w:rPr>
              <w:t>|</w:t>
            </w:r>
            <w:r w:rsidRPr="0066157F">
              <w:rPr>
                <w:color w:val="000000"/>
                <w:spacing w:val="1"/>
                <w:shd w:val="solid" w:color="000000" w:fill="000000"/>
                <w:fitText w:val="300" w:id="-894207984"/>
                <w14:textFill>
                  <w14:solidFill>
                    <w14:srgbClr w14:val="000000">
                      <w14:alpha w14:val="100000"/>
                    </w14:srgbClr>
                  </w14:solidFill>
                </w14:textFill>
              </w:rPr>
              <w:t>|</w:t>
            </w:r>
            <w:r w:rsidR="005C2977">
              <w:rPr>
                <w:vertAlign w:val="superscript"/>
              </w:rPr>
              <w:t xml:space="preserve"> 1</w:t>
            </w:r>
          </w:p>
        </w:tc>
        <w:tc>
          <w:tcPr>
            <w:tcW w:w="520" w:type="pct"/>
            <w:vAlign w:val="center"/>
          </w:tcPr>
          <w:p w14:paraId="238F9CC0" w14:textId="17B2B638" w:rsidR="00AA4FE6" w:rsidRPr="00AA4FE6" w:rsidRDefault="0066157F" w:rsidP="00173384">
            <w:pPr>
              <w:pStyle w:val="TableText0"/>
              <w:keepLines/>
              <w:jc w:val="center"/>
            </w:pPr>
            <w:r w:rsidRPr="0066157F">
              <w:rPr>
                <w:color w:val="000000"/>
                <w:spacing w:val="51"/>
                <w:shd w:val="solid" w:color="000000" w:fill="000000"/>
                <w:fitText w:val="230" w:id="-894208000"/>
                <w14:textFill>
                  <w14:solidFill>
                    <w14:srgbClr w14:val="000000">
                      <w14:alpha w14:val="100000"/>
                    </w14:srgbClr>
                  </w14:solidFill>
                </w14:textFill>
              </w:rPr>
              <w:t>||</w:t>
            </w:r>
            <w:r w:rsidRPr="0066157F">
              <w:rPr>
                <w:color w:val="000000"/>
                <w:spacing w:val="1"/>
                <w:shd w:val="solid" w:color="000000" w:fill="000000"/>
                <w:fitText w:val="230" w:id="-894208000"/>
                <w14:textFill>
                  <w14:solidFill>
                    <w14:srgbClr w14:val="000000">
                      <w14:alpha w14:val="100000"/>
                    </w14:srgbClr>
                  </w14:solidFill>
                </w14:textFill>
              </w:rPr>
              <w:t>|</w:t>
            </w:r>
            <w:r w:rsidR="000C129F">
              <w:rPr>
                <w:vertAlign w:val="superscript"/>
              </w:rPr>
              <w:t xml:space="preserve"> 1</w:t>
            </w:r>
          </w:p>
        </w:tc>
        <w:tc>
          <w:tcPr>
            <w:tcW w:w="520" w:type="pct"/>
            <w:vAlign w:val="center"/>
          </w:tcPr>
          <w:p w14:paraId="577D3842" w14:textId="5B2FA8E0" w:rsidR="00AA4FE6" w:rsidRPr="00AA4FE6" w:rsidRDefault="0066157F" w:rsidP="00173384">
            <w:pPr>
              <w:pStyle w:val="TableText0"/>
              <w:keepLines/>
              <w:jc w:val="center"/>
            </w:pPr>
            <w:r w:rsidRPr="0066157F">
              <w:rPr>
                <w:color w:val="000000"/>
                <w:spacing w:val="51"/>
                <w:shd w:val="solid" w:color="000000" w:fill="000000"/>
                <w:fitText w:val="230" w:id="-894207999"/>
                <w14:textFill>
                  <w14:solidFill>
                    <w14:srgbClr w14:val="000000">
                      <w14:alpha w14:val="100000"/>
                    </w14:srgbClr>
                  </w14:solidFill>
                </w14:textFill>
              </w:rPr>
              <w:t>||</w:t>
            </w:r>
            <w:r w:rsidRPr="0066157F">
              <w:rPr>
                <w:color w:val="000000"/>
                <w:spacing w:val="1"/>
                <w:shd w:val="solid" w:color="000000" w:fill="000000"/>
                <w:fitText w:val="230" w:id="-894207999"/>
                <w14:textFill>
                  <w14:solidFill>
                    <w14:srgbClr w14:val="000000">
                      <w14:alpha w14:val="100000"/>
                    </w14:srgbClr>
                  </w14:solidFill>
                </w14:textFill>
              </w:rPr>
              <w:t>|</w:t>
            </w:r>
            <w:r w:rsidR="000C129F">
              <w:rPr>
                <w:vertAlign w:val="superscript"/>
              </w:rPr>
              <w:t xml:space="preserve"> 1</w:t>
            </w:r>
          </w:p>
        </w:tc>
        <w:tc>
          <w:tcPr>
            <w:tcW w:w="519" w:type="pct"/>
            <w:vAlign w:val="center"/>
          </w:tcPr>
          <w:p w14:paraId="79E412E4" w14:textId="0C6F60F5" w:rsidR="00AA4FE6" w:rsidRPr="00AA4FE6" w:rsidRDefault="0066157F" w:rsidP="00173384">
            <w:pPr>
              <w:pStyle w:val="TableText0"/>
              <w:keepLines/>
              <w:jc w:val="center"/>
            </w:pPr>
            <w:r w:rsidRPr="0066157F">
              <w:rPr>
                <w:color w:val="000000"/>
                <w:spacing w:val="46"/>
                <w:shd w:val="solid" w:color="000000" w:fill="000000"/>
                <w:fitText w:val="220" w:id="-894207998"/>
                <w14:textFill>
                  <w14:solidFill>
                    <w14:srgbClr w14:val="000000">
                      <w14:alpha w14:val="100000"/>
                    </w14:srgbClr>
                  </w14:solidFill>
                </w14:textFill>
              </w:rPr>
              <w:t>||</w:t>
            </w:r>
            <w:r w:rsidRPr="0066157F">
              <w:rPr>
                <w:color w:val="000000"/>
                <w:spacing w:val="1"/>
                <w:shd w:val="solid" w:color="000000" w:fill="000000"/>
                <w:fitText w:val="220" w:id="-894207998"/>
                <w14:textFill>
                  <w14:solidFill>
                    <w14:srgbClr w14:val="000000">
                      <w14:alpha w14:val="100000"/>
                    </w14:srgbClr>
                  </w14:solidFill>
                </w14:textFill>
              </w:rPr>
              <w:t>|</w:t>
            </w:r>
            <w:r w:rsidR="000C129F">
              <w:rPr>
                <w:vertAlign w:val="superscript"/>
              </w:rPr>
              <w:t xml:space="preserve"> 1</w:t>
            </w:r>
          </w:p>
        </w:tc>
        <w:tc>
          <w:tcPr>
            <w:tcW w:w="520" w:type="pct"/>
            <w:vAlign w:val="center"/>
          </w:tcPr>
          <w:p w14:paraId="3DB5A9A4" w14:textId="6EC6608B" w:rsidR="00AA4FE6" w:rsidRPr="00AA4FE6" w:rsidRDefault="0066157F" w:rsidP="00173384">
            <w:pPr>
              <w:pStyle w:val="TableText0"/>
              <w:keepLines/>
              <w:jc w:val="center"/>
            </w:pPr>
            <w:r w:rsidRPr="0066157F">
              <w:rPr>
                <w:color w:val="000000"/>
                <w:spacing w:val="51"/>
                <w:shd w:val="solid" w:color="000000" w:fill="000000"/>
                <w:fitText w:val="230" w:id="-894207997"/>
                <w14:textFill>
                  <w14:solidFill>
                    <w14:srgbClr w14:val="000000">
                      <w14:alpha w14:val="100000"/>
                    </w14:srgbClr>
                  </w14:solidFill>
                </w14:textFill>
              </w:rPr>
              <w:t>||</w:t>
            </w:r>
            <w:r w:rsidRPr="0066157F">
              <w:rPr>
                <w:color w:val="000000"/>
                <w:spacing w:val="1"/>
                <w:shd w:val="solid" w:color="000000" w:fill="000000"/>
                <w:fitText w:val="230" w:id="-894207997"/>
                <w14:textFill>
                  <w14:solidFill>
                    <w14:srgbClr w14:val="000000">
                      <w14:alpha w14:val="100000"/>
                    </w14:srgbClr>
                  </w14:solidFill>
                </w14:textFill>
              </w:rPr>
              <w:t>|</w:t>
            </w:r>
            <w:r w:rsidR="000C129F">
              <w:rPr>
                <w:vertAlign w:val="superscript"/>
              </w:rPr>
              <w:t xml:space="preserve"> 1</w:t>
            </w:r>
          </w:p>
        </w:tc>
        <w:tc>
          <w:tcPr>
            <w:tcW w:w="519" w:type="pct"/>
            <w:vAlign w:val="center"/>
          </w:tcPr>
          <w:p w14:paraId="7D39D94F" w14:textId="0E7AE4E4" w:rsidR="00AA4FE6" w:rsidRPr="00AA4FE6" w:rsidRDefault="0066157F" w:rsidP="00173384">
            <w:pPr>
              <w:pStyle w:val="TableText0"/>
              <w:keepLines/>
              <w:jc w:val="center"/>
            </w:pPr>
            <w:r w:rsidRPr="0066157F">
              <w:rPr>
                <w:color w:val="000000"/>
                <w:spacing w:val="46"/>
                <w:shd w:val="solid" w:color="000000" w:fill="000000"/>
                <w:fitText w:val="220" w:id="-894207996"/>
                <w14:textFill>
                  <w14:solidFill>
                    <w14:srgbClr w14:val="000000">
                      <w14:alpha w14:val="100000"/>
                    </w14:srgbClr>
                  </w14:solidFill>
                </w14:textFill>
              </w:rPr>
              <w:t>||</w:t>
            </w:r>
            <w:r w:rsidRPr="0066157F">
              <w:rPr>
                <w:color w:val="000000"/>
                <w:spacing w:val="1"/>
                <w:shd w:val="solid" w:color="000000" w:fill="000000"/>
                <w:fitText w:val="220" w:id="-894207996"/>
                <w14:textFill>
                  <w14:solidFill>
                    <w14:srgbClr w14:val="000000">
                      <w14:alpha w14:val="100000"/>
                    </w14:srgbClr>
                  </w14:solidFill>
                </w14:textFill>
              </w:rPr>
              <w:t>|</w:t>
            </w:r>
            <w:r w:rsidR="000C129F">
              <w:rPr>
                <w:vertAlign w:val="superscript"/>
              </w:rPr>
              <w:t xml:space="preserve"> 1</w:t>
            </w:r>
          </w:p>
        </w:tc>
      </w:tr>
      <w:tr w:rsidR="00AA4FE6" w:rsidRPr="00AA4FE6" w14:paraId="3D85DA66" w14:textId="77777777" w:rsidTr="00FF56BE">
        <w:trPr>
          <w:trHeight w:val="20"/>
        </w:trPr>
        <w:tc>
          <w:tcPr>
            <w:tcW w:w="1962" w:type="pct"/>
          </w:tcPr>
          <w:p w14:paraId="0EB6CFFB" w14:textId="77777777" w:rsidR="00AA4FE6" w:rsidRPr="00AA4FE6" w:rsidRDefault="00AA4FE6" w:rsidP="00173384">
            <w:pPr>
              <w:pStyle w:val="TableText0"/>
              <w:keepLines/>
            </w:pPr>
            <w:r w:rsidRPr="00AA4FE6">
              <w:t>Incident PFIC patients</w:t>
            </w:r>
          </w:p>
        </w:tc>
        <w:tc>
          <w:tcPr>
            <w:tcW w:w="440" w:type="pct"/>
            <w:vAlign w:val="center"/>
          </w:tcPr>
          <w:p w14:paraId="16558217" w14:textId="0D8BC89B" w:rsidR="00AA4FE6" w:rsidRPr="00AA4FE6" w:rsidRDefault="0066157F" w:rsidP="00173384">
            <w:pPr>
              <w:pStyle w:val="TableText0"/>
              <w:keepLines/>
              <w:jc w:val="center"/>
            </w:pPr>
            <w:r w:rsidRPr="0066157F">
              <w:rPr>
                <w:color w:val="000000"/>
                <w:spacing w:val="214"/>
                <w:shd w:val="solid" w:color="000000" w:fill="000000"/>
                <w:fitText w:val="300" w:id="-894207995"/>
                <w14:textFill>
                  <w14:solidFill>
                    <w14:srgbClr w14:val="000000">
                      <w14:alpha w14:val="100000"/>
                    </w14:srgbClr>
                  </w14:solidFill>
                </w14:textFill>
              </w:rPr>
              <w:t>|</w:t>
            </w:r>
            <w:r w:rsidRPr="0066157F">
              <w:rPr>
                <w:color w:val="000000"/>
                <w:spacing w:val="1"/>
                <w:shd w:val="solid" w:color="000000" w:fill="000000"/>
                <w:fitText w:val="300" w:id="-894207995"/>
                <w14:textFill>
                  <w14:solidFill>
                    <w14:srgbClr w14:val="000000">
                      <w14:alpha w14:val="100000"/>
                    </w14:srgbClr>
                  </w14:solidFill>
                </w14:textFill>
              </w:rPr>
              <w:t>|</w:t>
            </w:r>
            <w:r w:rsidR="000C129F">
              <w:rPr>
                <w:vertAlign w:val="superscript"/>
              </w:rPr>
              <w:t xml:space="preserve"> 1</w:t>
            </w:r>
          </w:p>
        </w:tc>
        <w:tc>
          <w:tcPr>
            <w:tcW w:w="520" w:type="pct"/>
            <w:vAlign w:val="center"/>
          </w:tcPr>
          <w:p w14:paraId="696C5EC8" w14:textId="68EBAA2E" w:rsidR="00AA4FE6" w:rsidRPr="00AA4FE6" w:rsidRDefault="0066157F" w:rsidP="00173384">
            <w:pPr>
              <w:pStyle w:val="TableText0"/>
              <w:keepLines/>
              <w:jc w:val="center"/>
            </w:pPr>
            <w:r w:rsidRPr="0066157F">
              <w:rPr>
                <w:color w:val="000000"/>
                <w:spacing w:val="51"/>
                <w:shd w:val="solid" w:color="000000" w:fill="000000"/>
                <w:fitText w:val="230" w:id="-894207994"/>
                <w14:textFill>
                  <w14:solidFill>
                    <w14:srgbClr w14:val="000000">
                      <w14:alpha w14:val="100000"/>
                    </w14:srgbClr>
                  </w14:solidFill>
                </w14:textFill>
              </w:rPr>
              <w:t>||</w:t>
            </w:r>
            <w:r w:rsidRPr="0066157F">
              <w:rPr>
                <w:color w:val="000000"/>
                <w:spacing w:val="1"/>
                <w:shd w:val="solid" w:color="000000" w:fill="000000"/>
                <w:fitText w:val="230" w:id="-894207994"/>
                <w14:textFill>
                  <w14:solidFill>
                    <w14:srgbClr w14:val="000000">
                      <w14:alpha w14:val="100000"/>
                    </w14:srgbClr>
                  </w14:solidFill>
                </w14:textFill>
              </w:rPr>
              <w:t>|</w:t>
            </w:r>
            <w:r w:rsidR="000C129F">
              <w:rPr>
                <w:vertAlign w:val="superscript"/>
              </w:rPr>
              <w:t xml:space="preserve"> 1</w:t>
            </w:r>
          </w:p>
        </w:tc>
        <w:tc>
          <w:tcPr>
            <w:tcW w:w="520" w:type="pct"/>
            <w:vAlign w:val="center"/>
          </w:tcPr>
          <w:p w14:paraId="7D7D01DC" w14:textId="6D9D5456" w:rsidR="00AA4FE6" w:rsidRPr="00AA4FE6" w:rsidRDefault="0066157F" w:rsidP="00173384">
            <w:pPr>
              <w:pStyle w:val="TableText0"/>
              <w:keepLines/>
              <w:jc w:val="center"/>
            </w:pPr>
            <w:r w:rsidRPr="0066157F">
              <w:rPr>
                <w:color w:val="000000"/>
                <w:spacing w:val="51"/>
                <w:shd w:val="solid" w:color="000000" w:fill="000000"/>
                <w:fitText w:val="230" w:id="-894207993"/>
                <w14:textFill>
                  <w14:solidFill>
                    <w14:srgbClr w14:val="000000">
                      <w14:alpha w14:val="100000"/>
                    </w14:srgbClr>
                  </w14:solidFill>
                </w14:textFill>
              </w:rPr>
              <w:t>||</w:t>
            </w:r>
            <w:r w:rsidRPr="0066157F">
              <w:rPr>
                <w:color w:val="000000"/>
                <w:spacing w:val="1"/>
                <w:shd w:val="solid" w:color="000000" w:fill="000000"/>
                <w:fitText w:val="230" w:id="-894207993"/>
                <w14:textFill>
                  <w14:solidFill>
                    <w14:srgbClr w14:val="000000">
                      <w14:alpha w14:val="100000"/>
                    </w14:srgbClr>
                  </w14:solidFill>
                </w14:textFill>
              </w:rPr>
              <w:t>|</w:t>
            </w:r>
            <w:r w:rsidR="000C129F">
              <w:rPr>
                <w:vertAlign w:val="superscript"/>
              </w:rPr>
              <w:t xml:space="preserve"> 1</w:t>
            </w:r>
          </w:p>
        </w:tc>
        <w:tc>
          <w:tcPr>
            <w:tcW w:w="519" w:type="pct"/>
            <w:vAlign w:val="center"/>
          </w:tcPr>
          <w:p w14:paraId="3FBD41A5" w14:textId="537ABB2B" w:rsidR="00AA4FE6" w:rsidRPr="00AA4FE6" w:rsidRDefault="0066157F" w:rsidP="00173384">
            <w:pPr>
              <w:pStyle w:val="TableText0"/>
              <w:keepLines/>
              <w:jc w:val="center"/>
            </w:pPr>
            <w:r w:rsidRPr="0066157F">
              <w:rPr>
                <w:color w:val="000000"/>
                <w:spacing w:val="46"/>
                <w:shd w:val="solid" w:color="000000" w:fill="000000"/>
                <w:fitText w:val="220" w:id="-894207992"/>
                <w14:textFill>
                  <w14:solidFill>
                    <w14:srgbClr w14:val="000000">
                      <w14:alpha w14:val="100000"/>
                    </w14:srgbClr>
                  </w14:solidFill>
                </w14:textFill>
              </w:rPr>
              <w:t>||</w:t>
            </w:r>
            <w:r w:rsidRPr="0066157F">
              <w:rPr>
                <w:color w:val="000000"/>
                <w:spacing w:val="1"/>
                <w:shd w:val="solid" w:color="000000" w:fill="000000"/>
                <w:fitText w:val="220" w:id="-894207992"/>
                <w14:textFill>
                  <w14:solidFill>
                    <w14:srgbClr w14:val="000000">
                      <w14:alpha w14:val="100000"/>
                    </w14:srgbClr>
                  </w14:solidFill>
                </w14:textFill>
              </w:rPr>
              <w:t>|</w:t>
            </w:r>
            <w:r w:rsidR="000C129F">
              <w:rPr>
                <w:vertAlign w:val="superscript"/>
              </w:rPr>
              <w:t xml:space="preserve"> 1</w:t>
            </w:r>
          </w:p>
        </w:tc>
        <w:tc>
          <w:tcPr>
            <w:tcW w:w="520" w:type="pct"/>
            <w:vAlign w:val="center"/>
          </w:tcPr>
          <w:p w14:paraId="5A8C1FFF" w14:textId="64C1EA6B" w:rsidR="00AA4FE6" w:rsidRPr="00AA4FE6" w:rsidRDefault="0066157F" w:rsidP="00173384">
            <w:pPr>
              <w:pStyle w:val="TableText0"/>
              <w:keepLines/>
              <w:jc w:val="center"/>
            </w:pPr>
            <w:r w:rsidRPr="0066157F">
              <w:rPr>
                <w:color w:val="000000"/>
                <w:spacing w:val="51"/>
                <w:shd w:val="solid" w:color="000000" w:fill="000000"/>
                <w:fitText w:val="230" w:id="-894207991"/>
                <w14:textFill>
                  <w14:solidFill>
                    <w14:srgbClr w14:val="000000">
                      <w14:alpha w14:val="100000"/>
                    </w14:srgbClr>
                  </w14:solidFill>
                </w14:textFill>
              </w:rPr>
              <w:t>||</w:t>
            </w:r>
            <w:r w:rsidRPr="0066157F">
              <w:rPr>
                <w:color w:val="000000"/>
                <w:spacing w:val="1"/>
                <w:shd w:val="solid" w:color="000000" w:fill="000000"/>
                <w:fitText w:val="230" w:id="-894207991"/>
                <w14:textFill>
                  <w14:solidFill>
                    <w14:srgbClr w14:val="000000">
                      <w14:alpha w14:val="100000"/>
                    </w14:srgbClr>
                  </w14:solidFill>
                </w14:textFill>
              </w:rPr>
              <w:t>|</w:t>
            </w:r>
            <w:r w:rsidR="000C129F">
              <w:rPr>
                <w:vertAlign w:val="superscript"/>
              </w:rPr>
              <w:t xml:space="preserve"> 1</w:t>
            </w:r>
          </w:p>
        </w:tc>
        <w:tc>
          <w:tcPr>
            <w:tcW w:w="519" w:type="pct"/>
            <w:vAlign w:val="center"/>
          </w:tcPr>
          <w:p w14:paraId="4CB4574C" w14:textId="045BEC25" w:rsidR="00AA4FE6" w:rsidRPr="00AA4FE6" w:rsidRDefault="0066157F" w:rsidP="00173384">
            <w:pPr>
              <w:pStyle w:val="TableText0"/>
              <w:keepLines/>
              <w:jc w:val="center"/>
            </w:pPr>
            <w:r w:rsidRPr="0066157F">
              <w:rPr>
                <w:color w:val="000000"/>
                <w:spacing w:val="46"/>
                <w:shd w:val="solid" w:color="000000" w:fill="000000"/>
                <w:fitText w:val="220" w:id="-894207990"/>
                <w14:textFill>
                  <w14:solidFill>
                    <w14:srgbClr w14:val="000000">
                      <w14:alpha w14:val="100000"/>
                    </w14:srgbClr>
                  </w14:solidFill>
                </w14:textFill>
              </w:rPr>
              <w:t>||</w:t>
            </w:r>
            <w:r w:rsidRPr="0066157F">
              <w:rPr>
                <w:color w:val="000000"/>
                <w:spacing w:val="1"/>
                <w:shd w:val="solid" w:color="000000" w:fill="000000"/>
                <w:fitText w:val="220" w:id="-894207990"/>
                <w14:textFill>
                  <w14:solidFill>
                    <w14:srgbClr w14:val="000000">
                      <w14:alpha w14:val="100000"/>
                    </w14:srgbClr>
                  </w14:solidFill>
                </w14:textFill>
              </w:rPr>
              <w:t>|</w:t>
            </w:r>
            <w:r w:rsidR="000C129F">
              <w:rPr>
                <w:vertAlign w:val="superscript"/>
              </w:rPr>
              <w:t xml:space="preserve"> 1</w:t>
            </w:r>
          </w:p>
        </w:tc>
      </w:tr>
      <w:tr w:rsidR="00AA4FE6" w:rsidRPr="00AA4FE6" w14:paraId="64AC2752" w14:textId="77777777" w:rsidTr="00173384">
        <w:trPr>
          <w:trHeight w:val="20"/>
        </w:trPr>
        <w:tc>
          <w:tcPr>
            <w:tcW w:w="5000" w:type="pct"/>
            <w:gridSpan w:val="7"/>
          </w:tcPr>
          <w:p w14:paraId="53184216" w14:textId="77777777" w:rsidR="00AA4FE6" w:rsidRPr="00AA4FE6" w:rsidRDefault="00AA4FE6" w:rsidP="00173384">
            <w:pPr>
              <w:pStyle w:val="TableText0"/>
              <w:keepLines/>
              <w:rPr>
                <w:b/>
                <w:bCs w:val="0"/>
                <w:vertAlign w:val="superscript"/>
              </w:rPr>
            </w:pPr>
            <w:r w:rsidRPr="00AA4FE6">
              <w:rPr>
                <w:b/>
                <w:bCs w:val="0"/>
              </w:rPr>
              <w:t xml:space="preserve">Exclude PFIC2 BSEP3 (7%) and previous PEBD (50%) and LT (80%) </w:t>
            </w:r>
            <w:r w:rsidRPr="00AA4FE6">
              <w:rPr>
                <w:b/>
                <w:bCs w:val="0"/>
                <w:vertAlign w:val="superscript"/>
              </w:rPr>
              <w:t>a</w:t>
            </w:r>
          </w:p>
        </w:tc>
      </w:tr>
      <w:tr w:rsidR="00AA4FE6" w:rsidRPr="00AA4FE6" w14:paraId="59802509" w14:textId="77777777" w:rsidTr="00FF56BE">
        <w:trPr>
          <w:trHeight w:val="20"/>
        </w:trPr>
        <w:tc>
          <w:tcPr>
            <w:tcW w:w="1962" w:type="pct"/>
          </w:tcPr>
          <w:p w14:paraId="3B6D731E" w14:textId="77777777" w:rsidR="00AA4FE6" w:rsidRPr="00AA4FE6" w:rsidRDefault="00AA4FE6" w:rsidP="00173384">
            <w:pPr>
              <w:pStyle w:val="TableText0"/>
              <w:keepLines/>
            </w:pPr>
            <w:r w:rsidRPr="00AA4FE6">
              <w:t>Prevalent PFIC patients</w:t>
            </w:r>
          </w:p>
        </w:tc>
        <w:tc>
          <w:tcPr>
            <w:tcW w:w="440" w:type="pct"/>
            <w:vAlign w:val="center"/>
          </w:tcPr>
          <w:p w14:paraId="70E6292D" w14:textId="080AA175" w:rsidR="00AA4FE6" w:rsidRPr="00AA4FE6" w:rsidRDefault="0066157F" w:rsidP="00173384">
            <w:pPr>
              <w:pStyle w:val="TableText0"/>
              <w:keepLines/>
              <w:jc w:val="center"/>
            </w:pPr>
            <w:r w:rsidRPr="0066157F">
              <w:rPr>
                <w:color w:val="000000"/>
                <w:spacing w:val="214"/>
                <w:shd w:val="solid" w:color="000000" w:fill="000000"/>
                <w:fitText w:val="300" w:id="-894207989"/>
                <w14:textFill>
                  <w14:solidFill>
                    <w14:srgbClr w14:val="000000">
                      <w14:alpha w14:val="100000"/>
                    </w14:srgbClr>
                  </w14:solidFill>
                </w14:textFill>
              </w:rPr>
              <w:t>|</w:t>
            </w:r>
            <w:r w:rsidRPr="0066157F">
              <w:rPr>
                <w:color w:val="000000"/>
                <w:spacing w:val="1"/>
                <w:shd w:val="solid" w:color="000000" w:fill="000000"/>
                <w:fitText w:val="300" w:id="-894207989"/>
                <w14:textFill>
                  <w14:solidFill>
                    <w14:srgbClr w14:val="000000">
                      <w14:alpha w14:val="100000"/>
                    </w14:srgbClr>
                  </w14:solidFill>
                </w14:textFill>
              </w:rPr>
              <w:t>|</w:t>
            </w:r>
            <w:r w:rsidR="000C129F">
              <w:rPr>
                <w:vertAlign w:val="superscript"/>
              </w:rPr>
              <w:t xml:space="preserve"> 1</w:t>
            </w:r>
          </w:p>
        </w:tc>
        <w:tc>
          <w:tcPr>
            <w:tcW w:w="520" w:type="pct"/>
            <w:vAlign w:val="center"/>
          </w:tcPr>
          <w:p w14:paraId="48C69709" w14:textId="6A52B17B" w:rsidR="00AA4FE6" w:rsidRPr="00AA4FE6" w:rsidRDefault="0066157F" w:rsidP="00173384">
            <w:pPr>
              <w:pStyle w:val="TableText0"/>
              <w:keepLines/>
              <w:jc w:val="center"/>
            </w:pPr>
            <w:r w:rsidRPr="0066157F">
              <w:rPr>
                <w:color w:val="000000"/>
                <w:spacing w:val="51"/>
                <w:shd w:val="solid" w:color="000000" w:fill="000000"/>
                <w:fitText w:val="230" w:id="-894207988"/>
                <w14:textFill>
                  <w14:solidFill>
                    <w14:srgbClr w14:val="000000">
                      <w14:alpha w14:val="100000"/>
                    </w14:srgbClr>
                  </w14:solidFill>
                </w14:textFill>
              </w:rPr>
              <w:t>||</w:t>
            </w:r>
            <w:r w:rsidRPr="0066157F">
              <w:rPr>
                <w:color w:val="000000"/>
                <w:spacing w:val="1"/>
                <w:shd w:val="solid" w:color="000000" w:fill="000000"/>
                <w:fitText w:val="230" w:id="-894207988"/>
                <w14:textFill>
                  <w14:solidFill>
                    <w14:srgbClr w14:val="000000">
                      <w14:alpha w14:val="100000"/>
                    </w14:srgbClr>
                  </w14:solidFill>
                </w14:textFill>
              </w:rPr>
              <w:t>|</w:t>
            </w:r>
            <w:r w:rsidR="000C129F">
              <w:rPr>
                <w:vertAlign w:val="superscript"/>
              </w:rPr>
              <w:t xml:space="preserve"> 1</w:t>
            </w:r>
          </w:p>
        </w:tc>
        <w:tc>
          <w:tcPr>
            <w:tcW w:w="520" w:type="pct"/>
            <w:vAlign w:val="center"/>
          </w:tcPr>
          <w:p w14:paraId="059D1F7F" w14:textId="26646327" w:rsidR="00AA4FE6" w:rsidRPr="00AA4FE6" w:rsidRDefault="0066157F" w:rsidP="00173384">
            <w:pPr>
              <w:pStyle w:val="TableText0"/>
              <w:keepLines/>
              <w:jc w:val="center"/>
            </w:pPr>
            <w:r w:rsidRPr="0066157F">
              <w:rPr>
                <w:color w:val="000000"/>
                <w:spacing w:val="51"/>
                <w:shd w:val="solid" w:color="000000" w:fill="000000"/>
                <w:fitText w:val="230" w:id="-894207987"/>
                <w14:textFill>
                  <w14:solidFill>
                    <w14:srgbClr w14:val="000000">
                      <w14:alpha w14:val="100000"/>
                    </w14:srgbClr>
                  </w14:solidFill>
                </w14:textFill>
              </w:rPr>
              <w:t>||</w:t>
            </w:r>
            <w:r w:rsidRPr="0066157F">
              <w:rPr>
                <w:color w:val="000000"/>
                <w:spacing w:val="1"/>
                <w:shd w:val="solid" w:color="000000" w:fill="000000"/>
                <w:fitText w:val="230" w:id="-894207987"/>
                <w14:textFill>
                  <w14:solidFill>
                    <w14:srgbClr w14:val="000000">
                      <w14:alpha w14:val="100000"/>
                    </w14:srgbClr>
                  </w14:solidFill>
                </w14:textFill>
              </w:rPr>
              <w:t>|</w:t>
            </w:r>
            <w:r w:rsidR="000C129F">
              <w:rPr>
                <w:vertAlign w:val="superscript"/>
              </w:rPr>
              <w:t xml:space="preserve"> 1</w:t>
            </w:r>
          </w:p>
        </w:tc>
        <w:tc>
          <w:tcPr>
            <w:tcW w:w="519" w:type="pct"/>
            <w:vAlign w:val="center"/>
          </w:tcPr>
          <w:p w14:paraId="77CDFBD6" w14:textId="4609606A" w:rsidR="00AA4FE6" w:rsidRPr="00AA4FE6" w:rsidRDefault="0066157F" w:rsidP="00173384">
            <w:pPr>
              <w:pStyle w:val="TableText0"/>
              <w:keepLines/>
              <w:jc w:val="center"/>
            </w:pPr>
            <w:r w:rsidRPr="0066157F">
              <w:rPr>
                <w:color w:val="000000"/>
                <w:spacing w:val="46"/>
                <w:shd w:val="solid" w:color="000000" w:fill="000000"/>
                <w:fitText w:val="220" w:id="-894207986"/>
                <w14:textFill>
                  <w14:solidFill>
                    <w14:srgbClr w14:val="000000">
                      <w14:alpha w14:val="100000"/>
                    </w14:srgbClr>
                  </w14:solidFill>
                </w14:textFill>
              </w:rPr>
              <w:t>||</w:t>
            </w:r>
            <w:r w:rsidRPr="0066157F">
              <w:rPr>
                <w:color w:val="000000"/>
                <w:spacing w:val="1"/>
                <w:shd w:val="solid" w:color="000000" w:fill="000000"/>
                <w:fitText w:val="220" w:id="-894207986"/>
                <w14:textFill>
                  <w14:solidFill>
                    <w14:srgbClr w14:val="000000">
                      <w14:alpha w14:val="100000"/>
                    </w14:srgbClr>
                  </w14:solidFill>
                </w14:textFill>
              </w:rPr>
              <w:t>|</w:t>
            </w:r>
            <w:r w:rsidR="000C129F">
              <w:rPr>
                <w:vertAlign w:val="superscript"/>
              </w:rPr>
              <w:t xml:space="preserve"> 1</w:t>
            </w:r>
          </w:p>
        </w:tc>
        <w:tc>
          <w:tcPr>
            <w:tcW w:w="520" w:type="pct"/>
            <w:vAlign w:val="center"/>
          </w:tcPr>
          <w:p w14:paraId="3443437E" w14:textId="2D85DE8B" w:rsidR="00AA4FE6" w:rsidRPr="00FF56BE" w:rsidRDefault="0066157F" w:rsidP="00173384">
            <w:pPr>
              <w:pStyle w:val="TableText0"/>
              <w:keepLines/>
              <w:jc w:val="center"/>
              <w:rPr>
                <w:highlight w:val="darkGray"/>
              </w:rPr>
            </w:pPr>
            <w:r w:rsidRPr="0066157F">
              <w:rPr>
                <w:color w:val="000000"/>
                <w:spacing w:val="51"/>
                <w:shd w:val="solid" w:color="000000" w:fill="000000"/>
                <w:fitText w:val="230" w:id="-894207985"/>
                <w14:textFill>
                  <w14:solidFill>
                    <w14:srgbClr w14:val="000000">
                      <w14:alpha w14:val="100000"/>
                    </w14:srgbClr>
                  </w14:solidFill>
                </w14:textFill>
              </w:rPr>
              <w:t>||</w:t>
            </w:r>
            <w:r w:rsidRPr="0066157F">
              <w:rPr>
                <w:color w:val="000000"/>
                <w:spacing w:val="1"/>
                <w:shd w:val="solid" w:color="000000" w:fill="000000"/>
                <w:fitText w:val="230" w:id="-894207985"/>
                <w14:textFill>
                  <w14:solidFill>
                    <w14:srgbClr w14:val="000000">
                      <w14:alpha w14:val="100000"/>
                    </w14:srgbClr>
                  </w14:solidFill>
                </w14:textFill>
              </w:rPr>
              <w:t>|</w:t>
            </w:r>
            <w:r w:rsidR="000C129F" w:rsidRPr="00FF56BE">
              <w:rPr>
                <w:vertAlign w:val="superscript"/>
              </w:rPr>
              <w:t xml:space="preserve"> 1</w:t>
            </w:r>
          </w:p>
        </w:tc>
        <w:tc>
          <w:tcPr>
            <w:tcW w:w="519" w:type="pct"/>
            <w:vAlign w:val="center"/>
          </w:tcPr>
          <w:p w14:paraId="13811144" w14:textId="6F033152" w:rsidR="00AA4FE6" w:rsidRPr="00FF56BE" w:rsidRDefault="0066157F" w:rsidP="00173384">
            <w:pPr>
              <w:pStyle w:val="TableText0"/>
              <w:keepLines/>
              <w:jc w:val="center"/>
              <w:rPr>
                <w:highlight w:val="darkGray"/>
              </w:rPr>
            </w:pPr>
            <w:r w:rsidRPr="0066157F">
              <w:rPr>
                <w:color w:val="000000"/>
                <w:spacing w:val="46"/>
                <w:shd w:val="solid" w:color="000000" w:fill="000000"/>
                <w:fitText w:val="220" w:id="-894207984"/>
                <w14:textFill>
                  <w14:solidFill>
                    <w14:srgbClr w14:val="000000">
                      <w14:alpha w14:val="100000"/>
                    </w14:srgbClr>
                  </w14:solidFill>
                </w14:textFill>
              </w:rPr>
              <w:t>||</w:t>
            </w:r>
            <w:r w:rsidRPr="0066157F">
              <w:rPr>
                <w:color w:val="000000"/>
                <w:spacing w:val="1"/>
                <w:shd w:val="solid" w:color="000000" w:fill="000000"/>
                <w:fitText w:val="220" w:id="-894207984"/>
                <w14:textFill>
                  <w14:solidFill>
                    <w14:srgbClr w14:val="000000">
                      <w14:alpha w14:val="100000"/>
                    </w14:srgbClr>
                  </w14:solidFill>
                </w14:textFill>
              </w:rPr>
              <w:t>|</w:t>
            </w:r>
            <w:r w:rsidR="000C129F" w:rsidRPr="00FF56BE">
              <w:rPr>
                <w:vertAlign w:val="superscript"/>
              </w:rPr>
              <w:t xml:space="preserve"> 1</w:t>
            </w:r>
          </w:p>
        </w:tc>
      </w:tr>
      <w:tr w:rsidR="00AA4FE6" w:rsidRPr="00AA4FE6" w14:paraId="093C42DB" w14:textId="77777777" w:rsidTr="00FF56BE">
        <w:trPr>
          <w:trHeight w:val="20"/>
        </w:trPr>
        <w:tc>
          <w:tcPr>
            <w:tcW w:w="1962" w:type="pct"/>
          </w:tcPr>
          <w:p w14:paraId="2419A11D" w14:textId="77777777" w:rsidR="00AA4FE6" w:rsidRPr="00AA4FE6" w:rsidRDefault="00AA4FE6" w:rsidP="00173384">
            <w:pPr>
              <w:pStyle w:val="TableText0"/>
              <w:keepLines/>
            </w:pPr>
            <w:r w:rsidRPr="00AA4FE6">
              <w:t>Incident PFIC patients</w:t>
            </w:r>
          </w:p>
        </w:tc>
        <w:tc>
          <w:tcPr>
            <w:tcW w:w="440" w:type="pct"/>
            <w:vAlign w:val="center"/>
          </w:tcPr>
          <w:p w14:paraId="06469D05" w14:textId="58E60164" w:rsidR="00AA4FE6" w:rsidRPr="00AA4FE6" w:rsidRDefault="0066157F" w:rsidP="00173384">
            <w:pPr>
              <w:pStyle w:val="TableText0"/>
              <w:keepLines/>
              <w:jc w:val="center"/>
            </w:pPr>
            <w:r w:rsidRPr="0066157F">
              <w:rPr>
                <w:color w:val="000000"/>
                <w:spacing w:val="214"/>
                <w:shd w:val="solid" w:color="000000" w:fill="000000"/>
                <w:fitText w:val="300" w:id="-894208000"/>
                <w14:textFill>
                  <w14:solidFill>
                    <w14:srgbClr w14:val="000000">
                      <w14:alpha w14:val="100000"/>
                    </w14:srgbClr>
                  </w14:solidFill>
                </w14:textFill>
              </w:rPr>
              <w:t>|</w:t>
            </w:r>
            <w:r w:rsidRPr="0066157F">
              <w:rPr>
                <w:color w:val="000000"/>
                <w:spacing w:val="1"/>
                <w:shd w:val="solid" w:color="000000" w:fill="000000"/>
                <w:fitText w:val="300" w:id="-894208000"/>
                <w14:textFill>
                  <w14:solidFill>
                    <w14:srgbClr w14:val="000000">
                      <w14:alpha w14:val="100000"/>
                    </w14:srgbClr>
                  </w14:solidFill>
                </w14:textFill>
              </w:rPr>
              <w:t>|</w:t>
            </w:r>
            <w:r w:rsidR="000C129F">
              <w:rPr>
                <w:vertAlign w:val="superscript"/>
              </w:rPr>
              <w:t xml:space="preserve"> 1</w:t>
            </w:r>
          </w:p>
        </w:tc>
        <w:tc>
          <w:tcPr>
            <w:tcW w:w="520" w:type="pct"/>
            <w:vAlign w:val="center"/>
          </w:tcPr>
          <w:p w14:paraId="5E02873B" w14:textId="1677D000" w:rsidR="00AA4FE6" w:rsidRPr="00AA4FE6" w:rsidRDefault="0066157F" w:rsidP="00173384">
            <w:pPr>
              <w:pStyle w:val="TableText0"/>
              <w:keepLines/>
              <w:jc w:val="center"/>
            </w:pPr>
            <w:r w:rsidRPr="0066157F">
              <w:rPr>
                <w:color w:val="000000"/>
                <w:spacing w:val="51"/>
                <w:shd w:val="solid" w:color="000000" w:fill="000000"/>
                <w:fitText w:val="230" w:id="-894207999"/>
                <w14:textFill>
                  <w14:solidFill>
                    <w14:srgbClr w14:val="000000">
                      <w14:alpha w14:val="100000"/>
                    </w14:srgbClr>
                  </w14:solidFill>
                </w14:textFill>
              </w:rPr>
              <w:t>||</w:t>
            </w:r>
            <w:r w:rsidRPr="0066157F">
              <w:rPr>
                <w:color w:val="000000"/>
                <w:spacing w:val="1"/>
                <w:shd w:val="solid" w:color="000000" w:fill="000000"/>
                <w:fitText w:val="230" w:id="-894207999"/>
                <w14:textFill>
                  <w14:solidFill>
                    <w14:srgbClr w14:val="000000">
                      <w14:alpha w14:val="100000"/>
                    </w14:srgbClr>
                  </w14:solidFill>
                </w14:textFill>
              </w:rPr>
              <w:t>|</w:t>
            </w:r>
            <w:r w:rsidR="000C129F">
              <w:rPr>
                <w:vertAlign w:val="superscript"/>
              </w:rPr>
              <w:t xml:space="preserve"> 1</w:t>
            </w:r>
          </w:p>
        </w:tc>
        <w:tc>
          <w:tcPr>
            <w:tcW w:w="520" w:type="pct"/>
            <w:vAlign w:val="center"/>
          </w:tcPr>
          <w:p w14:paraId="220AC80A" w14:textId="75D00166" w:rsidR="00AA4FE6" w:rsidRPr="00AA4FE6" w:rsidRDefault="0066157F" w:rsidP="00173384">
            <w:pPr>
              <w:pStyle w:val="TableText0"/>
              <w:keepLines/>
              <w:jc w:val="center"/>
            </w:pPr>
            <w:r w:rsidRPr="0066157F">
              <w:rPr>
                <w:color w:val="000000"/>
                <w:spacing w:val="51"/>
                <w:shd w:val="solid" w:color="000000" w:fill="000000"/>
                <w:fitText w:val="230" w:id="-894207998"/>
                <w14:textFill>
                  <w14:solidFill>
                    <w14:srgbClr w14:val="000000">
                      <w14:alpha w14:val="100000"/>
                    </w14:srgbClr>
                  </w14:solidFill>
                </w14:textFill>
              </w:rPr>
              <w:t>||</w:t>
            </w:r>
            <w:r w:rsidRPr="0066157F">
              <w:rPr>
                <w:color w:val="000000"/>
                <w:spacing w:val="1"/>
                <w:shd w:val="solid" w:color="000000" w:fill="000000"/>
                <w:fitText w:val="230" w:id="-894207998"/>
                <w14:textFill>
                  <w14:solidFill>
                    <w14:srgbClr w14:val="000000">
                      <w14:alpha w14:val="100000"/>
                    </w14:srgbClr>
                  </w14:solidFill>
                </w14:textFill>
              </w:rPr>
              <w:t>|</w:t>
            </w:r>
            <w:r w:rsidR="000C129F">
              <w:rPr>
                <w:vertAlign w:val="superscript"/>
              </w:rPr>
              <w:t xml:space="preserve"> 1</w:t>
            </w:r>
          </w:p>
        </w:tc>
        <w:tc>
          <w:tcPr>
            <w:tcW w:w="519" w:type="pct"/>
            <w:vAlign w:val="center"/>
          </w:tcPr>
          <w:p w14:paraId="12A8E6CD" w14:textId="2826521E" w:rsidR="00AA4FE6" w:rsidRPr="00AA4FE6" w:rsidRDefault="0066157F" w:rsidP="00173384">
            <w:pPr>
              <w:pStyle w:val="TableText0"/>
              <w:keepLines/>
              <w:jc w:val="center"/>
            </w:pPr>
            <w:r w:rsidRPr="0066157F">
              <w:rPr>
                <w:color w:val="000000"/>
                <w:spacing w:val="46"/>
                <w:shd w:val="solid" w:color="000000" w:fill="000000"/>
                <w:fitText w:val="220" w:id="-894207997"/>
                <w14:textFill>
                  <w14:solidFill>
                    <w14:srgbClr w14:val="000000">
                      <w14:alpha w14:val="100000"/>
                    </w14:srgbClr>
                  </w14:solidFill>
                </w14:textFill>
              </w:rPr>
              <w:t>||</w:t>
            </w:r>
            <w:r w:rsidRPr="0066157F">
              <w:rPr>
                <w:color w:val="000000"/>
                <w:spacing w:val="1"/>
                <w:shd w:val="solid" w:color="000000" w:fill="000000"/>
                <w:fitText w:val="220" w:id="-894207997"/>
                <w14:textFill>
                  <w14:solidFill>
                    <w14:srgbClr w14:val="000000">
                      <w14:alpha w14:val="100000"/>
                    </w14:srgbClr>
                  </w14:solidFill>
                </w14:textFill>
              </w:rPr>
              <w:t>|</w:t>
            </w:r>
            <w:r w:rsidR="000C129F">
              <w:rPr>
                <w:vertAlign w:val="superscript"/>
              </w:rPr>
              <w:t xml:space="preserve"> 1</w:t>
            </w:r>
          </w:p>
        </w:tc>
        <w:tc>
          <w:tcPr>
            <w:tcW w:w="520" w:type="pct"/>
            <w:vAlign w:val="center"/>
          </w:tcPr>
          <w:p w14:paraId="74AAFEAA" w14:textId="59171AAC" w:rsidR="00AA4FE6" w:rsidRPr="00AA4FE6" w:rsidRDefault="0066157F" w:rsidP="00173384">
            <w:pPr>
              <w:pStyle w:val="TableText0"/>
              <w:keepLines/>
              <w:jc w:val="center"/>
            </w:pPr>
            <w:r w:rsidRPr="0066157F">
              <w:rPr>
                <w:color w:val="000000"/>
                <w:spacing w:val="51"/>
                <w:shd w:val="solid" w:color="000000" w:fill="000000"/>
                <w:fitText w:val="230" w:id="-894207996"/>
                <w14:textFill>
                  <w14:solidFill>
                    <w14:srgbClr w14:val="000000">
                      <w14:alpha w14:val="100000"/>
                    </w14:srgbClr>
                  </w14:solidFill>
                </w14:textFill>
              </w:rPr>
              <w:t>||</w:t>
            </w:r>
            <w:r w:rsidRPr="0066157F">
              <w:rPr>
                <w:color w:val="000000"/>
                <w:spacing w:val="1"/>
                <w:shd w:val="solid" w:color="000000" w:fill="000000"/>
                <w:fitText w:val="230" w:id="-894207996"/>
                <w14:textFill>
                  <w14:solidFill>
                    <w14:srgbClr w14:val="000000">
                      <w14:alpha w14:val="100000"/>
                    </w14:srgbClr>
                  </w14:solidFill>
                </w14:textFill>
              </w:rPr>
              <w:t>|</w:t>
            </w:r>
            <w:r w:rsidR="000C129F">
              <w:rPr>
                <w:vertAlign w:val="superscript"/>
              </w:rPr>
              <w:t xml:space="preserve"> 1</w:t>
            </w:r>
          </w:p>
        </w:tc>
        <w:tc>
          <w:tcPr>
            <w:tcW w:w="519" w:type="pct"/>
            <w:vAlign w:val="center"/>
          </w:tcPr>
          <w:p w14:paraId="5EF8C8CD" w14:textId="21A4CB71" w:rsidR="00AA4FE6" w:rsidRPr="00AA4FE6" w:rsidRDefault="0066157F" w:rsidP="00173384">
            <w:pPr>
              <w:pStyle w:val="TableText0"/>
              <w:keepLines/>
              <w:jc w:val="center"/>
            </w:pPr>
            <w:r w:rsidRPr="0066157F">
              <w:rPr>
                <w:color w:val="000000"/>
                <w:spacing w:val="46"/>
                <w:shd w:val="solid" w:color="000000" w:fill="000000"/>
                <w:fitText w:val="220" w:id="-894207995"/>
                <w14:textFill>
                  <w14:solidFill>
                    <w14:srgbClr w14:val="000000">
                      <w14:alpha w14:val="100000"/>
                    </w14:srgbClr>
                  </w14:solidFill>
                </w14:textFill>
              </w:rPr>
              <w:t>||</w:t>
            </w:r>
            <w:r w:rsidRPr="0066157F">
              <w:rPr>
                <w:color w:val="000000"/>
                <w:spacing w:val="1"/>
                <w:shd w:val="solid" w:color="000000" w:fill="000000"/>
                <w:fitText w:val="220" w:id="-894207995"/>
                <w14:textFill>
                  <w14:solidFill>
                    <w14:srgbClr w14:val="000000">
                      <w14:alpha w14:val="100000"/>
                    </w14:srgbClr>
                  </w14:solidFill>
                </w14:textFill>
              </w:rPr>
              <w:t>|</w:t>
            </w:r>
            <w:r w:rsidR="000C129F">
              <w:rPr>
                <w:vertAlign w:val="superscript"/>
              </w:rPr>
              <w:t xml:space="preserve"> 1</w:t>
            </w:r>
          </w:p>
        </w:tc>
      </w:tr>
      <w:tr w:rsidR="00AA4FE6" w:rsidRPr="00AA4FE6" w14:paraId="3A368D39" w14:textId="77777777" w:rsidTr="00173384">
        <w:trPr>
          <w:trHeight w:val="20"/>
        </w:trPr>
        <w:tc>
          <w:tcPr>
            <w:tcW w:w="5000" w:type="pct"/>
            <w:gridSpan w:val="7"/>
          </w:tcPr>
          <w:p w14:paraId="67DD91FD" w14:textId="77777777" w:rsidR="00AA4FE6" w:rsidRPr="00AA4FE6" w:rsidRDefault="00AA4FE6" w:rsidP="00173384">
            <w:pPr>
              <w:pStyle w:val="TableText0"/>
              <w:keepLines/>
              <w:rPr>
                <w:vertAlign w:val="superscript"/>
              </w:rPr>
            </w:pPr>
            <w:r w:rsidRPr="00AA4FE6">
              <w:rPr>
                <w:b/>
                <w:bCs w:val="0"/>
              </w:rPr>
              <w:t>Patients initiating and continuing</w:t>
            </w:r>
          </w:p>
        </w:tc>
      </w:tr>
      <w:tr w:rsidR="00FF56BE" w:rsidRPr="00AA4FE6" w14:paraId="160EC85A" w14:textId="77777777" w:rsidTr="002D3943">
        <w:trPr>
          <w:trHeight w:val="20"/>
        </w:trPr>
        <w:tc>
          <w:tcPr>
            <w:tcW w:w="1962" w:type="pct"/>
          </w:tcPr>
          <w:p w14:paraId="59D49647" w14:textId="77777777" w:rsidR="00FF56BE" w:rsidRPr="00AA4FE6" w:rsidRDefault="00FF56BE" w:rsidP="00FF56BE">
            <w:pPr>
              <w:pStyle w:val="TableText0"/>
              <w:keepLines/>
            </w:pPr>
            <w:r w:rsidRPr="00AA4FE6">
              <w:t xml:space="preserve">Prevalent – initiating </w:t>
            </w:r>
          </w:p>
        </w:tc>
        <w:tc>
          <w:tcPr>
            <w:tcW w:w="440" w:type="pct"/>
            <w:vAlign w:val="center"/>
          </w:tcPr>
          <w:p w14:paraId="4B960213" w14:textId="4248F61B" w:rsidR="00FF56BE" w:rsidRPr="00AA4FE6" w:rsidRDefault="0066157F" w:rsidP="00FF56BE">
            <w:pPr>
              <w:pStyle w:val="TableText0"/>
              <w:keepLines/>
              <w:jc w:val="center"/>
            </w:pPr>
            <w:r w:rsidRPr="0066157F">
              <w:rPr>
                <w:color w:val="000000"/>
                <w:spacing w:val="204"/>
                <w:shd w:val="solid" w:color="000000" w:fill="000000"/>
                <w:fitText w:val="290" w:id="-894207994"/>
                <w14:textFill>
                  <w14:solidFill>
                    <w14:srgbClr w14:val="000000">
                      <w14:alpha w14:val="100000"/>
                    </w14:srgbClr>
                  </w14:solidFill>
                </w14:textFill>
              </w:rPr>
              <w:t>|</w:t>
            </w:r>
            <w:r w:rsidRPr="0066157F">
              <w:rPr>
                <w:color w:val="000000"/>
                <w:spacing w:val="1"/>
                <w:shd w:val="solid" w:color="000000" w:fill="000000"/>
                <w:fitText w:val="290" w:id="-894207994"/>
                <w14:textFill>
                  <w14:solidFill>
                    <w14:srgbClr w14:val="000000">
                      <w14:alpha w14:val="100000"/>
                    </w14:srgbClr>
                  </w14:solidFill>
                </w14:textFill>
              </w:rPr>
              <w:t>|</w:t>
            </w:r>
            <w:r w:rsidR="00FF56BE">
              <w:rPr>
                <w:vertAlign w:val="superscript"/>
              </w:rPr>
              <w:t>1</w:t>
            </w:r>
          </w:p>
        </w:tc>
        <w:tc>
          <w:tcPr>
            <w:tcW w:w="520" w:type="pct"/>
          </w:tcPr>
          <w:p w14:paraId="54DA7C67" w14:textId="49A7BAA9" w:rsidR="00FF56BE" w:rsidRPr="00AA4FE6" w:rsidRDefault="0066157F" w:rsidP="00FF56BE">
            <w:pPr>
              <w:pStyle w:val="TableText0"/>
              <w:keepLines/>
              <w:jc w:val="center"/>
            </w:pPr>
            <w:r w:rsidRPr="0066157F">
              <w:rPr>
                <w:color w:val="000000"/>
                <w:spacing w:val="46"/>
                <w:shd w:val="solid" w:color="000000" w:fill="000000"/>
                <w:fitText w:val="220" w:id="-894207993"/>
                <w14:textFill>
                  <w14:solidFill>
                    <w14:srgbClr w14:val="000000">
                      <w14:alpha w14:val="100000"/>
                    </w14:srgbClr>
                  </w14:solidFill>
                </w14:textFill>
              </w:rPr>
              <w:t>||</w:t>
            </w:r>
            <w:r w:rsidRPr="0066157F">
              <w:rPr>
                <w:color w:val="000000"/>
                <w:spacing w:val="1"/>
                <w:shd w:val="solid" w:color="000000" w:fill="000000"/>
                <w:fitText w:val="220" w:id="-894207993"/>
                <w14:textFill>
                  <w14:solidFill>
                    <w14:srgbClr w14:val="000000">
                      <w14:alpha w14:val="100000"/>
                    </w14:srgbClr>
                  </w14:solidFill>
                </w14:textFill>
              </w:rPr>
              <w:t>|</w:t>
            </w:r>
            <w:r w:rsidR="00FF56BE" w:rsidRPr="00F14E79">
              <w:rPr>
                <w:vertAlign w:val="superscript"/>
              </w:rPr>
              <w:t>1</w:t>
            </w:r>
          </w:p>
        </w:tc>
        <w:tc>
          <w:tcPr>
            <w:tcW w:w="520" w:type="pct"/>
          </w:tcPr>
          <w:p w14:paraId="5CE34BAA" w14:textId="2023D4DC" w:rsidR="00FF56BE" w:rsidRPr="00AA4FE6" w:rsidRDefault="0066157F" w:rsidP="00FF56BE">
            <w:pPr>
              <w:pStyle w:val="TableText0"/>
              <w:keepLines/>
              <w:jc w:val="center"/>
            </w:pPr>
            <w:r w:rsidRPr="0066157F">
              <w:rPr>
                <w:color w:val="000000"/>
                <w:spacing w:val="46"/>
                <w:shd w:val="solid" w:color="000000" w:fill="000000"/>
                <w:fitText w:val="220" w:id="-894207992"/>
                <w14:textFill>
                  <w14:solidFill>
                    <w14:srgbClr w14:val="000000">
                      <w14:alpha w14:val="100000"/>
                    </w14:srgbClr>
                  </w14:solidFill>
                </w14:textFill>
              </w:rPr>
              <w:t>||</w:t>
            </w:r>
            <w:r w:rsidRPr="0066157F">
              <w:rPr>
                <w:color w:val="000000"/>
                <w:spacing w:val="1"/>
                <w:shd w:val="solid" w:color="000000" w:fill="000000"/>
                <w:fitText w:val="220" w:id="-894207992"/>
                <w14:textFill>
                  <w14:solidFill>
                    <w14:srgbClr w14:val="000000">
                      <w14:alpha w14:val="100000"/>
                    </w14:srgbClr>
                  </w14:solidFill>
                </w14:textFill>
              </w:rPr>
              <w:t>|</w:t>
            </w:r>
            <w:r w:rsidR="00FF56BE" w:rsidRPr="008D7B78">
              <w:rPr>
                <w:vertAlign w:val="superscript"/>
              </w:rPr>
              <w:t>1</w:t>
            </w:r>
          </w:p>
        </w:tc>
        <w:tc>
          <w:tcPr>
            <w:tcW w:w="519" w:type="pct"/>
          </w:tcPr>
          <w:p w14:paraId="16DAA734" w14:textId="798B26F2" w:rsidR="00FF56BE" w:rsidRPr="00AA4FE6" w:rsidRDefault="0066157F" w:rsidP="00FF56BE">
            <w:pPr>
              <w:pStyle w:val="TableText0"/>
              <w:keepLines/>
              <w:jc w:val="center"/>
            </w:pPr>
            <w:r w:rsidRPr="0066157F">
              <w:rPr>
                <w:color w:val="000000"/>
                <w:spacing w:val="46"/>
                <w:shd w:val="solid" w:color="000000" w:fill="000000"/>
                <w:fitText w:val="220" w:id="-894207991"/>
                <w14:textFill>
                  <w14:solidFill>
                    <w14:srgbClr w14:val="000000">
                      <w14:alpha w14:val="100000"/>
                    </w14:srgbClr>
                  </w14:solidFill>
                </w14:textFill>
              </w:rPr>
              <w:t>||</w:t>
            </w:r>
            <w:r w:rsidRPr="0066157F">
              <w:rPr>
                <w:color w:val="000000"/>
                <w:spacing w:val="1"/>
                <w:shd w:val="solid" w:color="000000" w:fill="000000"/>
                <w:fitText w:val="220" w:id="-894207991"/>
                <w14:textFill>
                  <w14:solidFill>
                    <w14:srgbClr w14:val="000000">
                      <w14:alpha w14:val="100000"/>
                    </w14:srgbClr>
                  </w14:solidFill>
                </w14:textFill>
              </w:rPr>
              <w:t>|</w:t>
            </w:r>
            <w:r w:rsidR="00FF56BE" w:rsidRPr="000F14C3">
              <w:rPr>
                <w:vertAlign w:val="superscript"/>
              </w:rPr>
              <w:t>1</w:t>
            </w:r>
          </w:p>
        </w:tc>
        <w:tc>
          <w:tcPr>
            <w:tcW w:w="520" w:type="pct"/>
          </w:tcPr>
          <w:p w14:paraId="5D4D45B0" w14:textId="56D99FD8" w:rsidR="00FF56BE" w:rsidRPr="00AA4FE6" w:rsidRDefault="0066157F" w:rsidP="00FF56BE">
            <w:pPr>
              <w:pStyle w:val="TableText0"/>
              <w:keepLines/>
              <w:jc w:val="center"/>
            </w:pPr>
            <w:r w:rsidRPr="0066157F">
              <w:rPr>
                <w:color w:val="000000"/>
                <w:spacing w:val="46"/>
                <w:shd w:val="solid" w:color="000000" w:fill="000000"/>
                <w:fitText w:val="220" w:id="-894207990"/>
                <w14:textFill>
                  <w14:solidFill>
                    <w14:srgbClr w14:val="000000">
                      <w14:alpha w14:val="100000"/>
                    </w14:srgbClr>
                  </w14:solidFill>
                </w14:textFill>
              </w:rPr>
              <w:t>||</w:t>
            </w:r>
            <w:r w:rsidRPr="0066157F">
              <w:rPr>
                <w:color w:val="000000"/>
                <w:spacing w:val="1"/>
                <w:shd w:val="solid" w:color="000000" w:fill="000000"/>
                <w:fitText w:val="220" w:id="-894207990"/>
                <w14:textFill>
                  <w14:solidFill>
                    <w14:srgbClr w14:val="000000">
                      <w14:alpha w14:val="100000"/>
                    </w14:srgbClr>
                  </w14:solidFill>
                </w14:textFill>
              </w:rPr>
              <w:t>|</w:t>
            </w:r>
            <w:r w:rsidR="00FF56BE" w:rsidRPr="004B77C3">
              <w:rPr>
                <w:vertAlign w:val="superscript"/>
              </w:rPr>
              <w:t>1</w:t>
            </w:r>
          </w:p>
        </w:tc>
        <w:tc>
          <w:tcPr>
            <w:tcW w:w="519" w:type="pct"/>
          </w:tcPr>
          <w:p w14:paraId="78775BEF" w14:textId="6D099190" w:rsidR="00FF56BE" w:rsidRPr="00AA4FE6" w:rsidRDefault="0066157F" w:rsidP="00FF56BE">
            <w:pPr>
              <w:pStyle w:val="TableText0"/>
              <w:keepLines/>
              <w:jc w:val="center"/>
            </w:pPr>
            <w:r w:rsidRPr="0066157F">
              <w:rPr>
                <w:color w:val="000000"/>
                <w:spacing w:val="46"/>
                <w:shd w:val="solid" w:color="000000" w:fill="000000"/>
                <w:fitText w:val="220" w:id="-894207989"/>
                <w14:textFill>
                  <w14:solidFill>
                    <w14:srgbClr w14:val="000000">
                      <w14:alpha w14:val="100000"/>
                    </w14:srgbClr>
                  </w14:solidFill>
                </w14:textFill>
              </w:rPr>
              <w:t>||</w:t>
            </w:r>
            <w:r w:rsidRPr="0066157F">
              <w:rPr>
                <w:color w:val="000000"/>
                <w:spacing w:val="1"/>
                <w:shd w:val="solid" w:color="000000" w:fill="000000"/>
                <w:fitText w:val="220" w:id="-894207989"/>
                <w14:textFill>
                  <w14:solidFill>
                    <w14:srgbClr w14:val="000000">
                      <w14:alpha w14:val="100000"/>
                    </w14:srgbClr>
                  </w14:solidFill>
                </w14:textFill>
              </w:rPr>
              <w:t>|</w:t>
            </w:r>
            <w:r w:rsidR="00FF56BE" w:rsidRPr="007E4FD2">
              <w:rPr>
                <w:vertAlign w:val="superscript"/>
              </w:rPr>
              <w:t>1</w:t>
            </w:r>
          </w:p>
        </w:tc>
      </w:tr>
      <w:tr w:rsidR="00FF56BE" w:rsidRPr="00AA4FE6" w14:paraId="4E3E95A3" w14:textId="77777777" w:rsidTr="002D3943">
        <w:trPr>
          <w:trHeight w:val="20"/>
        </w:trPr>
        <w:tc>
          <w:tcPr>
            <w:tcW w:w="1962" w:type="pct"/>
          </w:tcPr>
          <w:p w14:paraId="5028E728" w14:textId="77777777" w:rsidR="00FF56BE" w:rsidRPr="00AA4FE6" w:rsidRDefault="00FF56BE" w:rsidP="00FF56BE">
            <w:pPr>
              <w:pStyle w:val="TableText0"/>
              <w:keepLines/>
              <w:rPr>
                <w:vertAlign w:val="superscript"/>
              </w:rPr>
            </w:pPr>
            <w:r w:rsidRPr="00AA4FE6">
              <w:t xml:space="preserve">Prevalent – continuing </w:t>
            </w:r>
            <w:r w:rsidRPr="00AA4FE6">
              <w:rPr>
                <w:vertAlign w:val="superscript"/>
              </w:rPr>
              <w:t>b</w:t>
            </w:r>
          </w:p>
        </w:tc>
        <w:tc>
          <w:tcPr>
            <w:tcW w:w="440" w:type="pct"/>
            <w:vAlign w:val="center"/>
          </w:tcPr>
          <w:p w14:paraId="4C38C7CA" w14:textId="482B3ABB" w:rsidR="00FF56BE" w:rsidRPr="00AA4FE6" w:rsidRDefault="0066157F" w:rsidP="00FF56BE">
            <w:pPr>
              <w:pStyle w:val="TableText0"/>
              <w:keepLines/>
              <w:jc w:val="center"/>
              <w:rPr>
                <w:vertAlign w:val="superscript"/>
              </w:rPr>
            </w:pPr>
            <w:r w:rsidRPr="0066157F">
              <w:rPr>
                <w:color w:val="000000"/>
                <w:spacing w:val="204"/>
                <w:shd w:val="solid" w:color="000000" w:fill="000000"/>
                <w:fitText w:val="290" w:id="-894207988"/>
                <w14:textFill>
                  <w14:solidFill>
                    <w14:srgbClr w14:val="000000">
                      <w14:alpha w14:val="100000"/>
                    </w14:srgbClr>
                  </w14:solidFill>
                </w14:textFill>
              </w:rPr>
              <w:t>|</w:t>
            </w:r>
            <w:r w:rsidRPr="0066157F">
              <w:rPr>
                <w:color w:val="000000"/>
                <w:spacing w:val="1"/>
                <w:shd w:val="solid" w:color="000000" w:fill="000000"/>
                <w:fitText w:val="290" w:id="-894207988"/>
                <w14:textFill>
                  <w14:solidFill>
                    <w14:srgbClr w14:val="000000">
                      <w14:alpha w14:val="100000"/>
                    </w14:srgbClr>
                  </w14:solidFill>
                </w14:textFill>
              </w:rPr>
              <w:t>|</w:t>
            </w:r>
            <w:r w:rsidR="00FF56BE" w:rsidRPr="00AA4FE6">
              <w:rPr>
                <w:vertAlign w:val="superscript"/>
              </w:rPr>
              <w:t>c</w:t>
            </w:r>
            <w:r w:rsidR="00FF56BE">
              <w:rPr>
                <w:vertAlign w:val="superscript"/>
              </w:rPr>
              <w:t xml:space="preserve"> 1</w:t>
            </w:r>
          </w:p>
        </w:tc>
        <w:tc>
          <w:tcPr>
            <w:tcW w:w="520" w:type="pct"/>
          </w:tcPr>
          <w:p w14:paraId="39557D8E" w14:textId="0E7C2011" w:rsidR="00FF56BE" w:rsidRPr="00AA4FE6" w:rsidRDefault="0066157F" w:rsidP="00FF56BE">
            <w:pPr>
              <w:pStyle w:val="TableText0"/>
              <w:keepLines/>
              <w:jc w:val="center"/>
            </w:pPr>
            <w:r w:rsidRPr="0066157F">
              <w:rPr>
                <w:color w:val="000000"/>
                <w:spacing w:val="46"/>
                <w:shd w:val="solid" w:color="000000" w:fill="000000"/>
                <w:fitText w:val="220" w:id="-894207987"/>
                <w14:textFill>
                  <w14:solidFill>
                    <w14:srgbClr w14:val="000000">
                      <w14:alpha w14:val="100000"/>
                    </w14:srgbClr>
                  </w14:solidFill>
                </w14:textFill>
              </w:rPr>
              <w:t>||</w:t>
            </w:r>
            <w:r w:rsidRPr="0066157F">
              <w:rPr>
                <w:color w:val="000000"/>
                <w:spacing w:val="1"/>
                <w:shd w:val="solid" w:color="000000" w:fill="000000"/>
                <w:fitText w:val="220" w:id="-894207987"/>
                <w14:textFill>
                  <w14:solidFill>
                    <w14:srgbClr w14:val="000000">
                      <w14:alpha w14:val="100000"/>
                    </w14:srgbClr>
                  </w14:solidFill>
                </w14:textFill>
              </w:rPr>
              <w:t>|</w:t>
            </w:r>
            <w:r w:rsidR="00FF56BE" w:rsidRPr="00F14E79">
              <w:rPr>
                <w:vertAlign w:val="superscript"/>
              </w:rPr>
              <w:t>1</w:t>
            </w:r>
          </w:p>
        </w:tc>
        <w:tc>
          <w:tcPr>
            <w:tcW w:w="520" w:type="pct"/>
          </w:tcPr>
          <w:p w14:paraId="1FBE7D04" w14:textId="24485522" w:rsidR="00FF56BE" w:rsidRPr="00AA4FE6" w:rsidRDefault="0066157F" w:rsidP="00FF56BE">
            <w:pPr>
              <w:pStyle w:val="TableText0"/>
              <w:keepLines/>
              <w:jc w:val="center"/>
            </w:pPr>
            <w:r w:rsidRPr="0066157F">
              <w:rPr>
                <w:color w:val="000000"/>
                <w:spacing w:val="46"/>
                <w:shd w:val="solid" w:color="000000" w:fill="000000"/>
                <w:fitText w:val="220" w:id="-894207986"/>
                <w14:textFill>
                  <w14:solidFill>
                    <w14:srgbClr w14:val="000000">
                      <w14:alpha w14:val="100000"/>
                    </w14:srgbClr>
                  </w14:solidFill>
                </w14:textFill>
              </w:rPr>
              <w:t>||</w:t>
            </w:r>
            <w:r w:rsidRPr="0066157F">
              <w:rPr>
                <w:color w:val="000000"/>
                <w:spacing w:val="1"/>
                <w:shd w:val="solid" w:color="000000" w:fill="000000"/>
                <w:fitText w:val="220" w:id="-894207986"/>
                <w14:textFill>
                  <w14:solidFill>
                    <w14:srgbClr w14:val="000000">
                      <w14:alpha w14:val="100000"/>
                    </w14:srgbClr>
                  </w14:solidFill>
                </w14:textFill>
              </w:rPr>
              <w:t>|</w:t>
            </w:r>
            <w:r w:rsidR="00FF56BE" w:rsidRPr="008D7B78">
              <w:rPr>
                <w:vertAlign w:val="superscript"/>
              </w:rPr>
              <w:t>1</w:t>
            </w:r>
          </w:p>
        </w:tc>
        <w:tc>
          <w:tcPr>
            <w:tcW w:w="519" w:type="pct"/>
          </w:tcPr>
          <w:p w14:paraId="69CEC06B" w14:textId="38E4A50A" w:rsidR="00FF56BE" w:rsidRPr="00AA4FE6" w:rsidRDefault="0066157F" w:rsidP="00FF56BE">
            <w:pPr>
              <w:pStyle w:val="TableText0"/>
              <w:keepLines/>
              <w:jc w:val="center"/>
            </w:pPr>
            <w:r w:rsidRPr="0066157F">
              <w:rPr>
                <w:color w:val="000000"/>
                <w:spacing w:val="46"/>
                <w:shd w:val="solid" w:color="000000" w:fill="000000"/>
                <w:fitText w:val="220" w:id="-894207985"/>
                <w14:textFill>
                  <w14:solidFill>
                    <w14:srgbClr w14:val="000000">
                      <w14:alpha w14:val="100000"/>
                    </w14:srgbClr>
                  </w14:solidFill>
                </w14:textFill>
              </w:rPr>
              <w:t>||</w:t>
            </w:r>
            <w:r w:rsidRPr="0066157F">
              <w:rPr>
                <w:color w:val="000000"/>
                <w:spacing w:val="1"/>
                <w:shd w:val="solid" w:color="000000" w:fill="000000"/>
                <w:fitText w:val="220" w:id="-894207985"/>
                <w14:textFill>
                  <w14:solidFill>
                    <w14:srgbClr w14:val="000000">
                      <w14:alpha w14:val="100000"/>
                    </w14:srgbClr>
                  </w14:solidFill>
                </w14:textFill>
              </w:rPr>
              <w:t>|</w:t>
            </w:r>
            <w:r w:rsidR="00FF56BE" w:rsidRPr="000F14C3">
              <w:rPr>
                <w:vertAlign w:val="superscript"/>
              </w:rPr>
              <w:t>1</w:t>
            </w:r>
          </w:p>
        </w:tc>
        <w:tc>
          <w:tcPr>
            <w:tcW w:w="520" w:type="pct"/>
          </w:tcPr>
          <w:p w14:paraId="3BB8AB07" w14:textId="4FBFFDA7" w:rsidR="00FF56BE" w:rsidRPr="00AA4FE6" w:rsidRDefault="0066157F" w:rsidP="00FF56BE">
            <w:pPr>
              <w:pStyle w:val="TableText0"/>
              <w:keepLines/>
              <w:jc w:val="center"/>
            </w:pPr>
            <w:r w:rsidRPr="0066157F">
              <w:rPr>
                <w:color w:val="000000"/>
                <w:spacing w:val="46"/>
                <w:shd w:val="solid" w:color="000000" w:fill="000000"/>
                <w:fitText w:val="220" w:id="-894207984"/>
                <w14:textFill>
                  <w14:solidFill>
                    <w14:srgbClr w14:val="000000">
                      <w14:alpha w14:val="100000"/>
                    </w14:srgbClr>
                  </w14:solidFill>
                </w14:textFill>
              </w:rPr>
              <w:t>||</w:t>
            </w:r>
            <w:r w:rsidRPr="0066157F">
              <w:rPr>
                <w:color w:val="000000"/>
                <w:spacing w:val="1"/>
                <w:shd w:val="solid" w:color="000000" w:fill="000000"/>
                <w:fitText w:val="220" w:id="-894207984"/>
                <w14:textFill>
                  <w14:solidFill>
                    <w14:srgbClr w14:val="000000">
                      <w14:alpha w14:val="100000"/>
                    </w14:srgbClr>
                  </w14:solidFill>
                </w14:textFill>
              </w:rPr>
              <w:t>|</w:t>
            </w:r>
            <w:r w:rsidR="00FF56BE" w:rsidRPr="004B77C3">
              <w:rPr>
                <w:vertAlign w:val="superscript"/>
              </w:rPr>
              <w:t>1</w:t>
            </w:r>
          </w:p>
        </w:tc>
        <w:tc>
          <w:tcPr>
            <w:tcW w:w="519" w:type="pct"/>
          </w:tcPr>
          <w:p w14:paraId="3686036F" w14:textId="4EFF1D1C" w:rsidR="00FF56BE" w:rsidRPr="00AA4FE6" w:rsidRDefault="0066157F" w:rsidP="00FF56BE">
            <w:pPr>
              <w:pStyle w:val="TableText0"/>
              <w:keepLines/>
              <w:jc w:val="center"/>
            </w:pPr>
            <w:r w:rsidRPr="0066157F">
              <w:rPr>
                <w:color w:val="000000"/>
                <w:spacing w:val="46"/>
                <w:shd w:val="solid" w:color="000000" w:fill="000000"/>
                <w:fitText w:val="220" w:id="-894208000"/>
                <w14:textFill>
                  <w14:solidFill>
                    <w14:srgbClr w14:val="000000">
                      <w14:alpha w14:val="100000"/>
                    </w14:srgbClr>
                  </w14:solidFill>
                </w14:textFill>
              </w:rPr>
              <w:t>||</w:t>
            </w:r>
            <w:r w:rsidRPr="0066157F">
              <w:rPr>
                <w:color w:val="000000"/>
                <w:spacing w:val="1"/>
                <w:shd w:val="solid" w:color="000000" w:fill="000000"/>
                <w:fitText w:val="220" w:id="-894208000"/>
                <w14:textFill>
                  <w14:solidFill>
                    <w14:srgbClr w14:val="000000">
                      <w14:alpha w14:val="100000"/>
                    </w14:srgbClr>
                  </w14:solidFill>
                </w14:textFill>
              </w:rPr>
              <w:t>|</w:t>
            </w:r>
            <w:r w:rsidR="00FF56BE" w:rsidRPr="007E4FD2">
              <w:rPr>
                <w:vertAlign w:val="superscript"/>
              </w:rPr>
              <w:t>1</w:t>
            </w:r>
          </w:p>
        </w:tc>
      </w:tr>
      <w:tr w:rsidR="00FF56BE" w:rsidRPr="00AA4FE6" w14:paraId="416ACB35" w14:textId="77777777" w:rsidTr="00FF56BE">
        <w:trPr>
          <w:trHeight w:val="20"/>
        </w:trPr>
        <w:tc>
          <w:tcPr>
            <w:tcW w:w="1962" w:type="pct"/>
          </w:tcPr>
          <w:p w14:paraId="51FF5FA9" w14:textId="77777777" w:rsidR="00FF56BE" w:rsidRPr="00AA4FE6" w:rsidRDefault="00FF56BE" w:rsidP="00FF56BE">
            <w:pPr>
              <w:pStyle w:val="TableText0"/>
              <w:keepLines/>
              <w:jc w:val="right"/>
            </w:pPr>
            <w:r w:rsidRPr="00AA4FE6">
              <w:t>At low dose</w:t>
            </w:r>
          </w:p>
        </w:tc>
        <w:tc>
          <w:tcPr>
            <w:tcW w:w="440" w:type="pct"/>
          </w:tcPr>
          <w:p w14:paraId="4D05C13E" w14:textId="0061C5D8" w:rsidR="00FF56BE" w:rsidRPr="00AA4FE6" w:rsidRDefault="0066157F" w:rsidP="00FF56BE">
            <w:pPr>
              <w:pStyle w:val="TableText0"/>
              <w:keepLines/>
              <w:jc w:val="center"/>
            </w:pPr>
            <w:r w:rsidRPr="0066157F">
              <w:rPr>
                <w:color w:val="000000"/>
                <w:spacing w:val="204"/>
                <w:shd w:val="solid" w:color="000000" w:fill="000000"/>
                <w:fitText w:val="290" w:id="-894207999"/>
                <w14:textFill>
                  <w14:solidFill>
                    <w14:srgbClr w14:val="000000">
                      <w14:alpha w14:val="100000"/>
                    </w14:srgbClr>
                  </w14:solidFill>
                </w14:textFill>
              </w:rPr>
              <w:t>|</w:t>
            </w:r>
            <w:r w:rsidRPr="0066157F">
              <w:rPr>
                <w:color w:val="000000"/>
                <w:spacing w:val="1"/>
                <w:shd w:val="solid" w:color="000000" w:fill="000000"/>
                <w:fitText w:val="290" w:id="-894207999"/>
                <w14:textFill>
                  <w14:solidFill>
                    <w14:srgbClr w14:val="000000">
                      <w14:alpha w14:val="100000"/>
                    </w14:srgbClr>
                  </w14:solidFill>
                </w14:textFill>
              </w:rPr>
              <w:t>|</w:t>
            </w:r>
            <w:r w:rsidR="00FF56BE">
              <w:rPr>
                <w:vertAlign w:val="superscript"/>
              </w:rPr>
              <w:t>1</w:t>
            </w:r>
          </w:p>
        </w:tc>
        <w:tc>
          <w:tcPr>
            <w:tcW w:w="520" w:type="pct"/>
          </w:tcPr>
          <w:p w14:paraId="70D3421C" w14:textId="53B7C57E" w:rsidR="00FF56BE" w:rsidRPr="00AA4FE6" w:rsidRDefault="0066157F" w:rsidP="00FF56BE">
            <w:pPr>
              <w:pStyle w:val="TableText0"/>
              <w:keepLines/>
              <w:jc w:val="center"/>
            </w:pPr>
            <w:r w:rsidRPr="0066157F">
              <w:rPr>
                <w:color w:val="000000"/>
                <w:spacing w:val="46"/>
                <w:shd w:val="solid" w:color="000000" w:fill="000000"/>
                <w:fitText w:val="220" w:id="-894207998"/>
                <w14:textFill>
                  <w14:solidFill>
                    <w14:srgbClr w14:val="000000">
                      <w14:alpha w14:val="100000"/>
                    </w14:srgbClr>
                  </w14:solidFill>
                </w14:textFill>
              </w:rPr>
              <w:t>||</w:t>
            </w:r>
            <w:r w:rsidRPr="0066157F">
              <w:rPr>
                <w:color w:val="000000"/>
                <w:spacing w:val="1"/>
                <w:shd w:val="solid" w:color="000000" w:fill="000000"/>
                <w:fitText w:val="220" w:id="-894207998"/>
                <w14:textFill>
                  <w14:solidFill>
                    <w14:srgbClr w14:val="000000">
                      <w14:alpha w14:val="100000"/>
                    </w14:srgbClr>
                  </w14:solidFill>
                </w14:textFill>
              </w:rPr>
              <w:t>|</w:t>
            </w:r>
            <w:r w:rsidR="00FF56BE" w:rsidRPr="00F14E79">
              <w:rPr>
                <w:vertAlign w:val="superscript"/>
              </w:rPr>
              <w:t>1</w:t>
            </w:r>
          </w:p>
        </w:tc>
        <w:tc>
          <w:tcPr>
            <w:tcW w:w="520" w:type="pct"/>
          </w:tcPr>
          <w:p w14:paraId="739C1D29" w14:textId="1CD1112D" w:rsidR="00FF56BE" w:rsidRPr="00AA4FE6" w:rsidRDefault="0066157F" w:rsidP="00FF56BE">
            <w:pPr>
              <w:pStyle w:val="TableText0"/>
              <w:keepLines/>
              <w:jc w:val="center"/>
            </w:pPr>
            <w:r w:rsidRPr="0066157F">
              <w:rPr>
                <w:color w:val="000000"/>
                <w:spacing w:val="46"/>
                <w:shd w:val="solid" w:color="000000" w:fill="000000"/>
                <w:fitText w:val="220" w:id="-894207997"/>
                <w14:textFill>
                  <w14:solidFill>
                    <w14:srgbClr w14:val="000000">
                      <w14:alpha w14:val="100000"/>
                    </w14:srgbClr>
                  </w14:solidFill>
                </w14:textFill>
              </w:rPr>
              <w:t>||</w:t>
            </w:r>
            <w:r w:rsidRPr="0066157F">
              <w:rPr>
                <w:color w:val="000000"/>
                <w:spacing w:val="1"/>
                <w:shd w:val="solid" w:color="000000" w:fill="000000"/>
                <w:fitText w:val="220" w:id="-894207997"/>
                <w14:textFill>
                  <w14:solidFill>
                    <w14:srgbClr w14:val="000000">
                      <w14:alpha w14:val="100000"/>
                    </w14:srgbClr>
                  </w14:solidFill>
                </w14:textFill>
              </w:rPr>
              <w:t>|</w:t>
            </w:r>
            <w:r w:rsidR="00FF56BE" w:rsidRPr="008D7B78">
              <w:rPr>
                <w:vertAlign w:val="superscript"/>
              </w:rPr>
              <w:t>1</w:t>
            </w:r>
          </w:p>
        </w:tc>
        <w:tc>
          <w:tcPr>
            <w:tcW w:w="519" w:type="pct"/>
          </w:tcPr>
          <w:p w14:paraId="4717AACD" w14:textId="449BA1C2" w:rsidR="00FF56BE" w:rsidRPr="00AA4FE6" w:rsidRDefault="0066157F" w:rsidP="00FF56BE">
            <w:pPr>
              <w:pStyle w:val="TableText0"/>
              <w:keepLines/>
              <w:jc w:val="center"/>
            </w:pPr>
            <w:r w:rsidRPr="0066157F">
              <w:rPr>
                <w:color w:val="000000"/>
                <w:spacing w:val="46"/>
                <w:shd w:val="solid" w:color="000000" w:fill="000000"/>
                <w:fitText w:val="220" w:id="-894207996"/>
                <w14:textFill>
                  <w14:solidFill>
                    <w14:srgbClr w14:val="000000">
                      <w14:alpha w14:val="100000"/>
                    </w14:srgbClr>
                  </w14:solidFill>
                </w14:textFill>
              </w:rPr>
              <w:t>||</w:t>
            </w:r>
            <w:r w:rsidRPr="0066157F">
              <w:rPr>
                <w:color w:val="000000"/>
                <w:spacing w:val="1"/>
                <w:shd w:val="solid" w:color="000000" w:fill="000000"/>
                <w:fitText w:val="220" w:id="-894207996"/>
                <w14:textFill>
                  <w14:solidFill>
                    <w14:srgbClr w14:val="000000">
                      <w14:alpha w14:val="100000"/>
                    </w14:srgbClr>
                  </w14:solidFill>
                </w14:textFill>
              </w:rPr>
              <w:t>|</w:t>
            </w:r>
            <w:r w:rsidR="00FF56BE" w:rsidRPr="000F14C3">
              <w:rPr>
                <w:vertAlign w:val="superscript"/>
              </w:rPr>
              <w:t>1</w:t>
            </w:r>
          </w:p>
        </w:tc>
        <w:tc>
          <w:tcPr>
            <w:tcW w:w="520" w:type="pct"/>
          </w:tcPr>
          <w:p w14:paraId="72004C84" w14:textId="5AACBA2D" w:rsidR="00FF56BE" w:rsidRPr="00AA4FE6" w:rsidRDefault="0066157F" w:rsidP="00FF56BE">
            <w:pPr>
              <w:pStyle w:val="TableText0"/>
              <w:keepLines/>
              <w:jc w:val="center"/>
            </w:pPr>
            <w:r w:rsidRPr="0066157F">
              <w:rPr>
                <w:color w:val="000000"/>
                <w:spacing w:val="46"/>
                <w:shd w:val="solid" w:color="000000" w:fill="000000"/>
                <w:fitText w:val="220" w:id="-894207995"/>
                <w14:textFill>
                  <w14:solidFill>
                    <w14:srgbClr w14:val="000000">
                      <w14:alpha w14:val="100000"/>
                    </w14:srgbClr>
                  </w14:solidFill>
                </w14:textFill>
              </w:rPr>
              <w:t>||</w:t>
            </w:r>
            <w:r w:rsidRPr="0066157F">
              <w:rPr>
                <w:color w:val="000000"/>
                <w:spacing w:val="1"/>
                <w:shd w:val="solid" w:color="000000" w:fill="000000"/>
                <w:fitText w:val="220" w:id="-894207995"/>
                <w14:textFill>
                  <w14:solidFill>
                    <w14:srgbClr w14:val="000000">
                      <w14:alpha w14:val="100000"/>
                    </w14:srgbClr>
                  </w14:solidFill>
                </w14:textFill>
              </w:rPr>
              <w:t>|</w:t>
            </w:r>
            <w:r w:rsidR="00FF56BE" w:rsidRPr="004B77C3">
              <w:rPr>
                <w:vertAlign w:val="superscript"/>
              </w:rPr>
              <w:t>1</w:t>
            </w:r>
          </w:p>
        </w:tc>
        <w:tc>
          <w:tcPr>
            <w:tcW w:w="519" w:type="pct"/>
          </w:tcPr>
          <w:p w14:paraId="10846030" w14:textId="657CAB1D" w:rsidR="00FF56BE" w:rsidRPr="00AA4FE6" w:rsidRDefault="0066157F" w:rsidP="00FF56BE">
            <w:pPr>
              <w:pStyle w:val="TableText0"/>
              <w:keepLines/>
              <w:jc w:val="center"/>
            </w:pPr>
            <w:r w:rsidRPr="0066157F">
              <w:rPr>
                <w:color w:val="000000"/>
                <w:spacing w:val="46"/>
                <w:shd w:val="solid" w:color="000000" w:fill="000000"/>
                <w:fitText w:val="220" w:id="-894207994"/>
                <w14:textFill>
                  <w14:solidFill>
                    <w14:srgbClr w14:val="000000">
                      <w14:alpha w14:val="100000"/>
                    </w14:srgbClr>
                  </w14:solidFill>
                </w14:textFill>
              </w:rPr>
              <w:t>||</w:t>
            </w:r>
            <w:r w:rsidRPr="0066157F">
              <w:rPr>
                <w:color w:val="000000"/>
                <w:spacing w:val="1"/>
                <w:shd w:val="solid" w:color="000000" w:fill="000000"/>
                <w:fitText w:val="220" w:id="-894207994"/>
                <w14:textFill>
                  <w14:solidFill>
                    <w14:srgbClr w14:val="000000">
                      <w14:alpha w14:val="100000"/>
                    </w14:srgbClr>
                  </w14:solidFill>
                </w14:textFill>
              </w:rPr>
              <w:t>|</w:t>
            </w:r>
            <w:r w:rsidR="00FF56BE" w:rsidRPr="007E4FD2">
              <w:rPr>
                <w:vertAlign w:val="superscript"/>
              </w:rPr>
              <w:t>1</w:t>
            </w:r>
          </w:p>
        </w:tc>
      </w:tr>
      <w:tr w:rsidR="00FF56BE" w:rsidRPr="00AA4FE6" w14:paraId="722B729A" w14:textId="77777777" w:rsidTr="00FF56BE">
        <w:trPr>
          <w:trHeight w:val="20"/>
        </w:trPr>
        <w:tc>
          <w:tcPr>
            <w:tcW w:w="1962" w:type="pct"/>
          </w:tcPr>
          <w:p w14:paraId="39028BD1" w14:textId="77777777" w:rsidR="00FF56BE" w:rsidRPr="00AA4FE6" w:rsidRDefault="00FF56BE" w:rsidP="00FF56BE">
            <w:pPr>
              <w:pStyle w:val="TableText0"/>
              <w:keepLines/>
              <w:jc w:val="right"/>
            </w:pPr>
            <w:r w:rsidRPr="00AA4FE6">
              <w:t>At high dose</w:t>
            </w:r>
          </w:p>
        </w:tc>
        <w:tc>
          <w:tcPr>
            <w:tcW w:w="440" w:type="pct"/>
          </w:tcPr>
          <w:p w14:paraId="31BAA96B" w14:textId="292BF9EC" w:rsidR="00FF56BE" w:rsidRPr="00AA4FE6" w:rsidRDefault="0066157F" w:rsidP="00FF56BE">
            <w:pPr>
              <w:pStyle w:val="TableText0"/>
              <w:keepLines/>
              <w:jc w:val="center"/>
            </w:pPr>
            <w:r w:rsidRPr="0066157F">
              <w:rPr>
                <w:color w:val="000000"/>
                <w:spacing w:val="204"/>
                <w:shd w:val="solid" w:color="000000" w:fill="000000"/>
                <w:fitText w:val="290" w:id="-894207993"/>
                <w14:textFill>
                  <w14:solidFill>
                    <w14:srgbClr w14:val="000000">
                      <w14:alpha w14:val="100000"/>
                    </w14:srgbClr>
                  </w14:solidFill>
                </w14:textFill>
              </w:rPr>
              <w:t>|</w:t>
            </w:r>
            <w:r w:rsidRPr="0066157F">
              <w:rPr>
                <w:color w:val="000000"/>
                <w:spacing w:val="1"/>
                <w:shd w:val="solid" w:color="000000" w:fill="000000"/>
                <w:fitText w:val="290" w:id="-894207993"/>
                <w14:textFill>
                  <w14:solidFill>
                    <w14:srgbClr w14:val="000000">
                      <w14:alpha w14:val="100000"/>
                    </w14:srgbClr>
                  </w14:solidFill>
                </w14:textFill>
              </w:rPr>
              <w:t>|</w:t>
            </w:r>
            <w:r w:rsidR="00FF56BE">
              <w:rPr>
                <w:vertAlign w:val="superscript"/>
              </w:rPr>
              <w:t>1</w:t>
            </w:r>
          </w:p>
        </w:tc>
        <w:tc>
          <w:tcPr>
            <w:tcW w:w="520" w:type="pct"/>
          </w:tcPr>
          <w:p w14:paraId="61023533" w14:textId="36A96DBD" w:rsidR="00FF56BE" w:rsidRPr="00AA4FE6" w:rsidRDefault="0066157F" w:rsidP="00FF56BE">
            <w:pPr>
              <w:pStyle w:val="TableText0"/>
              <w:keepLines/>
              <w:jc w:val="center"/>
            </w:pPr>
            <w:r w:rsidRPr="0066157F">
              <w:rPr>
                <w:color w:val="000000"/>
                <w:spacing w:val="46"/>
                <w:shd w:val="solid" w:color="000000" w:fill="000000"/>
                <w:fitText w:val="220" w:id="-894207992"/>
                <w14:textFill>
                  <w14:solidFill>
                    <w14:srgbClr w14:val="000000">
                      <w14:alpha w14:val="100000"/>
                    </w14:srgbClr>
                  </w14:solidFill>
                </w14:textFill>
              </w:rPr>
              <w:t>||</w:t>
            </w:r>
            <w:r w:rsidRPr="0066157F">
              <w:rPr>
                <w:color w:val="000000"/>
                <w:spacing w:val="1"/>
                <w:shd w:val="solid" w:color="000000" w:fill="000000"/>
                <w:fitText w:val="220" w:id="-894207992"/>
                <w14:textFill>
                  <w14:solidFill>
                    <w14:srgbClr w14:val="000000">
                      <w14:alpha w14:val="100000"/>
                    </w14:srgbClr>
                  </w14:solidFill>
                </w14:textFill>
              </w:rPr>
              <w:t>|</w:t>
            </w:r>
            <w:r w:rsidR="00FF56BE" w:rsidRPr="00F14E79">
              <w:rPr>
                <w:vertAlign w:val="superscript"/>
              </w:rPr>
              <w:t>1</w:t>
            </w:r>
          </w:p>
        </w:tc>
        <w:tc>
          <w:tcPr>
            <w:tcW w:w="520" w:type="pct"/>
          </w:tcPr>
          <w:p w14:paraId="2CBFE2BC" w14:textId="7CD71EE4" w:rsidR="00FF56BE" w:rsidRPr="00AA4FE6" w:rsidRDefault="0066157F" w:rsidP="00FF56BE">
            <w:pPr>
              <w:pStyle w:val="TableText0"/>
              <w:keepLines/>
              <w:jc w:val="center"/>
            </w:pPr>
            <w:r w:rsidRPr="0066157F">
              <w:rPr>
                <w:color w:val="000000"/>
                <w:spacing w:val="46"/>
                <w:shd w:val="solid" w:color="000000" w:fill="000000"/>
                <w:fitText w:val="220" w:id="-894207991"/>
                <w14:textFill>
                  <w14:solidFill>
                    <w14:srgbClr w14:val="000000">
                      <w14:alpha w14:val="100000"/>
                    </w14:srgbClr>
                  </w14:solidFill>
                </w14:textFill>
              </w:rPr>
              <w:t>||</w:t>
            </w:r>
            <w:r w:rsidRPr="0066157F">
              <w:rPr>
                <w:color w:val="000000"/>
                <w:spacing w:val="1"/>
                <w:shd w:val="solid" w:color="000000" w:fill="000000"/>
                <w:fitText w:val="220" w:id="-894207991"/>
                <w14:textFill>
                  <w14:solidFill>
                    <w14:srgbClr w14:val="000000">
                      <w14:alpha w14:val="100000"/>
                    </w14:srgbClr>
                  </w14:solidFill>
                </w14:textFill>
              </w:rPr>
              <w:t>|</w:t>
            </w:r>
            <w:r w:rsidR="00FF56BE" w:rsidRPr="008D7B78">
              <w:rPr>
                <w:vertAlign w:val="superscript"/>
              </w:rPr>
              <w:t>1</w:t>
            </w:r>
          </w:p>
        </w:tc>
        <w:tc>
          <w:tcPr>
            <w:tcW w:w="519" w:type="pct"/>
          </w:tcPr>
          <w:p w14:paraId="586A0DC7" w14:textId="2AA162F3" w:rsidR="00FF56BE" w:rsidRPr="00AA4FE6" w:rsidRDefault="0066157F" w:rsidP="00FF56BE">
            <w:pPr>
              <w:pStyle w:val="TableText0"/>
              <w:keepLines/>
              <w:jc w:val="center"/>
            </w:pPr>
            <w:r w:rsidRPr="0066157F">
              <w:rPr>
                <w:color w:val="000000"/>
                <w:spacing w:val="46"/>
                <w:shd w:val="solid" w:color="000000" w:fill="000000"/>
                <w:fitText w:val="220" w:id="-894207990"/>
                <w14:textFill>
                  <w14:solidFill>
                    <w14:srgbClr w14:val="000000">
                      <w14:alpha w14:val="100000"/>
                    </w14:srgbClr>
                  </w14:solidFill>
                </w14:textFill>
              </w:rPr>
              <w:t>||</w:t>
            </w:r>
            <w:r w:rsidRPr="0066157F">
              <w:rPr>
                <w:color w:val="000000"/>
                <w:spacing w:val="1"/>
                <w:shd w:val="solid" w:color="000000" w:fill="000000"/>
                <w:fitText w:val="220" w:id="-894207990"/>
                <w14:textFill>
                  <w14:solidFill>
                    <w14:srgbClr w14:val="000000">
                      <w14:alpha w14:val="100000"/>
                    </w14:srgbClr>
                  </w14:solidFill>
                </w14:textFill>
              </w:rPr>
              <w:t>|</w:t>
            </w:r>
            <w:r w:rsidR="00FF56BE" w:rsidRPr="000F14C3">
              <w:rPr>
                <w:vertAlign w:val="superscript"/>
              </w:rPr>
              <w:t>1</w:t>
            </w:r>
          </w:p>
        </w:tc>
        <w:tc>
          <w:tcPr>
            <w:tcW w:w="520" w:type="pct"/>
          </w:tcPr>
          <w:p w14:paraId="779F7012" w14:textId="170AD099" w:rsidR="00FF56BE" w:rsidRPr="00AA4FE6" w:rsidRDefault="0066157F" w:rsidP="00FF56BE">
            <w:pPr>
              <w:pStyle w:val="TableText0"/>
              <w:keepLines/>
              <w:jc w:val="center"/>
            </w:pPr>
            <w:r w:rsidRPr="0066157F">
              <w:rPr>
                <w:color w:val="000000"/>
                <w:spacing w:val="46"/>
                <w:shd w:val="solid" w:color="000000" w:fill="000000"/>
                <w:fitText w:val="220" w:id="-894207989"/>
                <w14:textFill>
                  <w14:solidFill>
                    <w14:srgbClr w14:val="000000">
                      <w14:alpha w14:val="100000"/>
                    </w14:srgbClr>
                  </w14:solidFill>
                </w14:textFill>
              </w:rPr>
              <w:t>||</w:t>
            </w:r>
            <w:r w:rsidRPr="0066157F">
              <w:rPr>
                <w:color w:val="000000"/>
                <w:spacing w:val="1"/>
                <w:shd w:val="solid" w:color="000000" w:fill="000000"/>
                <w:fitText w:val="220" w:id="-894207989"/>
                <w14:textFill>
                  <w14:solidFill>
                    <w14:srgbClr w14:val="000000">
                      <w14:alpha w14:val="100000"/>
                    </w14:srgbClr>
                  </w14:solidFill>
                </w14:textFill>
              </w:rPr>
              <w:t>|</w:t>
            </w:r>
            <w:r w:rsidR="00FF56BE" w:rsidRPr="004B77C3">
              <w:rPr>
                <w:vertAlign w:val="superscript"/>
              </w:rPr>
              <w:t>1</w:t>
            </w:r>
          </w:p>
        </w:tc>
        <w:tc>
          <w:tcPr>
            <w:tcW w:w="519" w:type="pct"/>
          </w:tcPr>
          <w:p w14:paraId="3A9B4824" w14:textId="14EF8339" w:rsidR="00FF56BE" w:rsidRPr="00AA4FE6" w:rsidRDefault="0066157F" w:rsidP="00FF56BE">
            <w:pPr>
              <w:pStyle w:val="TableText0"/>
              <w:keepLines/>
              <w:jc w:val="center"/>
            </w:pPr>
            <w:r w:rsidRPr="0066157F">
              <w:rPr>
                <w:color w:val="000000"/>
                <w:spacing w:val="46"/>
                <w:shd w:val="solid" w:color="000000" w:fill="000000"/>
                <w:fitText w:val="220" w:id="-894207988"/>
                <w14:textFill>
                  <w14:solidFill>
                    <w14:srgbClr w14:val="000000">
                      <w14:alpha w14:val="100000"/>
                    </w14:srgbClr>
                  </w14:solidFill>
                </w14:textFill>
              </w:rPr>
              <w:t>||</w:t>
            </w:r>
            <w:r w:rsidRPr="0066157F">
              <w:rPr>
                <w:color w:val="000000"/>
                <w:spacing w:val="1"/>
                <w:shd w:val="solid" w:color="000000" w:fill="000000"/>
                <w:fitText w:val="220" w:id="-894207988"/>
                <w14:textFill>
                  <w14:solidFill>
                    <w14:srgbClr w14:val="000000">
                      <w14:alpha w14:val="100000"/>
                    </w14:srgbClr>
                  </w14:solidFill>
                </w14:textFill>
              </w:rPr>
              <w:t>|</w:t>
            </w:r>
            <w:r w:rsidR="00FF56BE" w:rsidRPr="007E4FD2">
              <w:rPr>
                <w:vertAlign w:val="superscript"/>
              </w:rPr>
              <w:t>1</w:t>
            </w:r>
          </w:p>
        </w:tc>
      </w:tr>
      <w:tr w:rsidR="00FF56BE" w:rsidRPr="00AA4FE6" w14:paraId="65A54EFC" w14:textId="77777777" w:rsidTr="00FF56BE">
        <w:trPr>
          <w:trHeight w:val="20"/>
        </w:trPr>
        <w:tc>
          <w:tcPr>
            <w:tcW w:w="1962" w:type="pct"/>
          </w:tcPr>
          <w:p w14:paraId="07D882DF" w14:textId="77777777" w:rsidR="00FF56BE" w:rsidRPr="00AA4FE6" w:rsidRDefault="00FF56BE" w:rsidP="00FF56BE">
            <w:pPr>
              <w:pStyle w:val="TableText0"/>
              <w:keepLines/>
              <w:jc w:val="right"/>
            </w:pPr>
            <w:r w:rsidRPr="00AA4FE6">
              <w:t>At high dose but did not respond at 6 months</w:t>
            </w:r>
          </w:p>
        </w:tc>
        <w:tc>
          <w:tcPr>
            <w:tcW w:w="440" w:type="pct"/>
          </w:tcPr>
          <w:p w14:paraId="1821617B" w14:textId="3750B4CA" w:rsidR="00FF56BE" w:rsidRPr="00AA4FE6" w:rsidRDefault="0066157F" w:rsidP="00FF56BE">
            <w:pPr>
              <w:pStyle w:val="TableText0"/>
              <w:keepLines/>
              <w:jc w:val="center"/>
            </w:pPr>
            <w:r w:rsidRPr="0066157F">
              <w:rPr>
                <w:color w:val="000000"/>
                <w:spacing w:val="204"/>
                <w:shd w:val="solid" w:color="000000" w:fill="000000"/>
                <w:fitText w:val="290" w:id="-894207987"/>
                <w14:textFill>
                  <w14:solidFill>
                    <w14:srgbClr w14:val="000000">
                      <w14:alpha w14:val="100000"/>
                    </w14:srgbClr>
                  </w14:solidFill>
                </w14:textFill>
              </w:rPr>
              <w:t>|</w:t>
            </w:r>
            <w:r w:rsidRPr="0066157F">
              <w:rPr>
                <w:color w:val="000000"/>
                <w:spacing w:val="1"/>
                <w:shd w:val="solid" w:color="000000" w:fill="000000"/>
                <w:fitText w:val="290" w:id="-894207987"/>
                <w14:textFill>
                  <w14:solidFill>
                    <w14:srgbClr w14:val="000000">
                      <w14:alpha w14:val="100000"/>
                    </w14:srgbClr>
                  </w14:solidFill>
                </w14:textFill>
              </w:rPr>
              <w:t>|</w:t>
            </w:r>
            <w:r w:rsidR="00FF56BE">
              <w:rPr>
                <w:vertAlign w:val="superscript"/>
              </w:rPr>
              <w:t>1</w:t>
            </w:r>
          </w:p>
        </w:tc>
        <w:tc>
          <w:tcPr>
            <w:tcW w:w="520" w:type="pct"/>
          </w:tcPr>
          <w:p w14:paraId="53A57590" w14:textId="5EFD8D4C" w:rsidR="00FF56BE" w:rsidRPr="00AA4FE6" w:rsidRDefault="0066157F" w:rsidP="00FF56BE">
            <w:pPr>
              <w:pStyle w:val="TableText0"/>
              <w:keepLines/>
              <w:jc w:val="center"/>
            </w:pPr>
            <w:r w:rsidRPr="0066157F">
              <w:rPr>
                <w:color w:val="000000"/>
                <w:spacing w:val="46"/>
                <w:shd w:val="solid" w:color="000000" w:fill="000000"/>
                <w:fitText w:val="220" w:id="-894207986"/>
                <w14:textFill>
                  <w14:solidFill>
                    <w14:srgbClr w14:val="000000">
                      <w14:alpha w14:val="100000"/>
                    </w14:srgbClr>
                  </w14:solidFill>
                </w14:textFill>
              </w:rPr>
              <w:t>||</w:t>
            </w:r>
            <w:r w:rsidRPr="0066157F">
              <w:rPr>
                <w:color w:val="000000"/>
                <w:spacing w:val="1"/>
                <w:shd w:val="solid" w:color="000000" w:fill="000000"/>
                <w:fitText w:val="220" w:id="-894207986"/>
                <w14:textFill>
                  <w14:solidFill>
                    <w14:srgbClr w14:val="000000">
                      <w14:alpha w14:val="100000"/>
                    </w14:srgbClr>
                  </w14:solidFill>
                </w14:textFill>
              </w:rPr>
              <w:t>|</w:t>
            </w:r>
            <w:r w:rsidR="00FF56BE" w:rsidRPr="00F14E79">
              <w:rPr>
                <w:vertAlign w:val="superscript"/>
              </w:rPr>
              <w:t>1</w:t>
            </w:r>
          </w:p>
        </w:tc>
        <w:tc>
          <w:tcPr>
            <w:tcW w:w="520" w:type="pct"/>
          </w:tcPr>
          <w:p w14:paraId="0D9BF2E7" w14:textId="6ADF10D8" w:rsidR="00FF56BE" w:rsidRPr="00AA4FE6" w:rsidRDefault="0066157F" w:rsidP="00FF56BE">
            <w:pPr>
              <w:pStyle w:val="TableText0"/>
              <w:keepLines/>
              <w:jc w:val="center"/>
            </w:pPr>
            <w:r w:rsidRPr="0066157F">
              <w:rPr>
                <w:color w:val="000000"/>
                <w:spacing w:val="46"/>
                <w:shd w:val="solid" w:color="000000" w:fill="000000"/>
                <w:fitText w:val="220" w:id="-894207985"/>
                <w14:textFill>
                  <w14:solidFill>
                    <w14:srgbClr w14:val="000000">
                      <w14:alpha w14:val="100000"/>
                    </w14:srgbClr>
                  </w14:solidFill>
                </w14:textFill>
              </w:rPr>
              <w:t>||</w:t>
            </w:r>
            <w:r w:rsidRPr="0066157F">
              <w:rPr>
                <w:color w:val="000000"/>
                <w:spacing w:val="1"/>
                <w:shd w:val="solid" w:color="000000" w:fill="000000"/>
                <w:fitText w:val="220" w:id="-894207985"/>
                <w14:textFill>
                  <w14:solidFill>
                    <w14:srgbClr w14:val="000000">
                      <w14:alpha w14:val="100000"/>
                    </w14:srgbClr>
                  </w14:solidFill>
                </w14:textFill>
              </w:rPr>
              <w:t>|</w:t>
            </w:r>
            <w:r w:rsidR="00FF56BE" w:rsidRPr="008D7B78">
              <w:rPr>
                <w:vertAlign w:val="superscript"/>
              </w:rPr>
              <w:t>1</w:t>
            </w:r>
          </w:p>
        </w:tc>
        <w:tc>
          <w:tcPr>
            <w:tcW w:w="519" w:type="pct"/>
          </w:tcPr>
          <w:p w14:paraId="32C23660" w14:textId="68690129" w:rsidR="00FF56BE" w:rsidRPr="00AA4FE6" w:rsidRDefault="0066157F" w:rsidP="00FF56BE">
            <w:pPr>
              <w:pStyle w:val="TableText0"/>
              <w:keepLines/>
              <w:jc w:val="center"/>
            </w:pPr>
            <w:r w:rsidRPr="0066157F">
              <w:rPr>
                <w:color w:val="000000"/>
                <w:spacing w:val="46"/>
                <w:shd w:val="solid" w:color="000000" w:fill="000000"/>
                <w:fitText w:val="220" w:id="-894207984"/>
                <w14:textFill>
                  <w14:solidFill>
                    <w14:srgbClr w14:val="000000">
                      <w14:alpha w14:val="100000"/>
                    </w14:srgbClr>
                  </w14:solidFill>
                </w14:textFill>
              </w:rPr>
              <w:t>||</w:t>
            </w:r>
            <w:r w:rsidRPr="0066157F">
              <w:rPr>
                <w:color w:val="000000"/>
                <w:spacing w:val="1"/>
                <w:shd w:val="solid" w:color="000000" w:fill="000000"/>
                <w:fitText w:val="220" w:id="-894207984"/>
                <w14:textFill>
                  <w14:solidFill>
                    <w14:srgbClr w14:val="000000">
                      <w14:alpha w14:val="100000"/>
                    </w14:srgbClr>
                  </w14:solidFill>
                </w14:textFill>
              </w:rPr>
              <w:t>|</w:t>
            </w:r>
            <w:r w:rsidR="00FF56BE" w:rsidRPr="000F14C3">
              <w:rPr>
                <w:vertAlign w:val="superscript"/>
              </w:rPr>
              <w:t>1</w:t>
            </w:r>
          </w:p>
        </w:tc>
        <w:tc>
          <w:tcPr>
            <w:tcW w:w="520" w:type="pct"/>
          </w:tcPr>
          <w:p w14:paraId="5FACCC07" w14:textId="1715B2F4" w:rsidR="00FF56BE" w:rsidRPr="00AA4FE6" w:rsidRDefault="0066157F" w:rsidP="00FF56BE">
            <w:pPr>
              <w:pStyle w:val="TableText0"/>
              <w:keepLines/>
              <w:jc w:val="center"/>
            </w:pPr>
            <w:r w:rsidRPr="0066157F">
              <w:rPr>
                <w:color w:val="000000"/>
                <w:spacing w:val="46"/>
                <w:shd w:val="solid" w:color="000000" w:fill="000000"/>
                <w:fitText w:val="220" w:id="-894208000"/>
                <w14:textFill>
                  <w14:solidFill>
                    <w14:srgbClr w14:val="000000">
                      <w14:alpha w14:val="100000"/>
                    </w14:srgbClr>
                  </w14:solidFill>
                </w14:textFill>
              </w:rPr>
              <w:t>||</w:t>
            </w:r>
            <w:r w:rsidRPr="0066157F">
              <w:rPr>
                <w:color w:val="000000"/>
                <w:spacing w:val="1"/>
                <w:shd w:val="solid" w:color="000000" w:fill="000000"/>
                <w:fitText w:val="220" w:id="-894208000"/>
                <w14:textFill>
                  <w14:solidFill>
                    <w14:srgbClr w14:val="000000">
                      <w14:alpha w14:val="100000"/>
                    </w14:srgbClr>
                  </w14:solidFill>
                </w14:textFill>
              </w:rPr>
              <w:t>|</w:t>
            </w:r>
            <w:r w:rsidR="00FF56BE" w:rsidRPr="004B77C3">
              <w:rPr>
                <w:vertAlign w:val="superscript"/>
              </w:rPr>
              <w:t>1</w:t>
            </w:r>
          </w:p>
        </w:tc>
        <w:tc>
          <w:tcPr>
            <w:tcW w:w="519" w:type="pct"/>
          </w:tcPr>
          <w:p w14:paraId="031C0981" w14:textId="646356D3" w:rsidR="00FF56BE" w:rsidRPr="00AA4FE6" w:rsidRDefault="0066157F" w:rsidP="00FF56BE">
            <w:pPr>
              <w:pStyle w:val="TableText0"/>
              <w:keepLines/>
              <w:jc w:val="center"/>
            </w:pPr>
            <w:r w:rsidRPr="0066157F">
              <w:rPr>
                <w:color w:val="000000"/>
                <w:spacing w:val="46"/>
                <w:shd w:val="solid" w:color="000000" w:fill="000000"/>
                <w:fitText w:val="220" w:id="-894207999"/>
                <w14:textFill>
                  <w14:solidFill>
                    <w14:srgbClr w14:val="000000">
                      <w14:alpha w14:val="100000"/>
                    </w14:srgbClr>
                  </w14:solidFill>
                </w14:textFill>
              </w:rPr>
              <w:t>||</w:t>
            </w:r>
            <w:r w:rsidRPr="0066157F">
              <w:rPr>
                <w:color w:val="000000"/>
                <w:spacing w:val="1"/>
                <w:shd w:val="solid" w:color="000000" w:fill="000000"/>
                <w:fitText w:val="220" w:id="-894207999"/>
                <w14:textFill>
                  <w14:solidFill>
                    <w14:srgbClr w14:val="000000">
                      <w14:alpha w14:val="100000"/>
                    </w14:srgbClr>
                  </w14:solidFill>
                </w14:textFill>
              </w:rPr>
              <w:t>|</w:t>
            </w:r>
            <w:r w:rsidR="00FF56BE" w:rsidRPr="007E4FD2">
              <w:rPr>
                <w:vertAlign w:val="superscript"/>
              </w:rPr>
              <w:t>1</w:t>
            </w:r>
          </w:p>
        </w:tc>
      </w:tr>
      <w:tr w:rsidR="00FF56BE" w:rsidRPr="00AA4FE6" w14:paraId="60A56926" w14:textId="77777777" w:rsidTr="003614DE">
        <w:trPr>
          <w:trHeight w:val="20"/>
        </w:trPr>
        <w:tc>
          <w:tcPr>
            <w:tcW w:w="1962" w:type="pct"/>
          </w:tcPr>
          <w:p w14:paraId="11D41170" w14:textId="77777777" w:rsidR="00FF56BE" w:rsidRPr="00AA4FE6" w:rsidRDefault="00FF56BE" w:rsidP="00FF56BE">
            <w:pPr>
              <w:pStyle w:val="TableText0"/>
              <w:keepLines/>
            </w:pPr>
            <w:r w:rsidRPr="00AA4FE6">
              <w:t xml:space="preserve">Incident – initiating </w:t>
            </w:r>
          </w:p>
        </w:tc>
        <w:tc>
          <w:tcPr>
            <w:tcW w:w="440" w:type="pct"/>
            <w:vAlign w:val="center"/>
          </w:tcPr>
          <w:p w14:paraId="0FADB1C9" w14:textId="4FD76EB8" w:rsidR="00FF56BE" w:rsidRPr="00AA4FE6" w:rsidRDefault="0066157F" w:rsidP="00FF56BE">
            <w:pPr>
              <w:pStyle w:val="TableText0"/>
              <w:keepLines/>
              <w:jc w:val="center"/>
            </w:pPr>
            <w:r w:rsidRPr="0066157F">
              <w:rPr>
                <w:color w:val="000000"/>
                <w:spacing w:val="204"/>
                <w:shd w:val="solid" w:color="000000" w:fill="000000"/>
                <w:fitText w:val="290" w:id="-894207998"/>
                <w14:textFill>
                  <w14:solidFill>
                    <w14:srgbClr w14:val="000000">
                      <w14:alpha w14:val="100000"/>
                    </w14:srgbClr>
                  </w14:solidFill>
                </w14:textFill>
              </w:rPr>
              <w:t>|</w:t>
            </w:r>
            <w:r w:rsidRPr="0066157F">
              <w:rPr>
                <w:color w:val="000000"/>
                <w:spacing w:val="1"/>
                <w:shd w:val="solid" w:color="000000" w:fill="000000"/>
                <w:fitText w:val="290" w:id="-894207998"/>
                <w14:textFill>
                  <w14:solidFill>
                    <w14:srgbClr w14:val="000000">
                      <w14:alpha w14:val="100000"/>
                    </w14:srgbClr>
                  </w14:solidFill>
                </w14:textFill>
              </w:rPr>
              <w:t>|</w:t>
            </w:r>
            <w:r w:rsidR="00FF56BE">
              <w:rPr>
                <w:vertAlign w:val="superscript"/>
              </w:rPr>
              <w:t>1</w:t>
            </w:r>
          </w:p>
        </w:tc>
        <w:tc>
          <w:tcPr>
            <w:tcW w:w="520" w:type="pct"/>
            <w:vAlign w:val="center"/>
          </w:tcPr>
          <w:p w14:paraId="158A130F" w14:textId="36DA7D3E" w:rsidR="00FF56BE" w:rsidRPr="00AA4FE6" w:rsidRDefault="0066157F" w:rsidP="00FF56BE">
            <w:pPr>
              <w:pStyle w:val="TableText0"/>
              <w:keepLines/>
              <w:jc w:val="center"/>
            </w:pPr>
            <w:r w:rsidRPr="0066157F">
              <w:rPr>
                <w:color w:val="000000"/>
                <w:spacing w:val="51"/>
                <w:shd w:val="solid" w:color="000000" w:fill="000000"/>
                <w:fitText w:val="230" w:id="-894207997"/>
                <w14:textFill>
                  <w14:solidFill>
                    <w14:srgbClr w14:val="000000">
                      <w14:alpha w14:val="100000"/>
                    </w14:srgbClr>
                  </w14:solidFill>
                </w14:textFill>
              </w:rPr>
              <w:t>||</w:t>
            </w:r>
            <w:r w:rsidRPr="0066157F">
              <w:rPr>
                <w:color w:val="000000"/>
                <w:spacing w:val="1"/>
                <w:shd w:val="solid" w:color="000000" w:fill="000000"/>
                <w:fitText w:val="230" w:id="-894207997"/>
                <w14:textFill>
                  <w14:solidFill>
                    <w14:srgbClr w14:val="000000">
                      <w14:alpha w14:val="100000"/>
                    </w14:srgbClr>
                  </w14:solidFill>
                </w14:textFill>
              </w:rPr>
              <w:t>|</w:t>
            </w:r>
            <w:r w:rsidR="00FF56BE">
              <w:rPr>
                <w:vertAlign w:val="superscript"/>
              </w:rPr>
              <w:t xml:space="preserve"> 1</w:t>
            </w:r>
          </w:p>
        </w:tc>
        <w:tc>
          <w:tcPr>
            <w:tcW w:w="520" w:type="pct"/>
          </w:tcPr>
          <w:p w14:paraId="6D09F246" w14:textId="52049E54" w:rsidR="00FF56BE" w:rsidRPr="00AA4FE6" w:rsidRDefault="0066157F" w:rsidP="00FF56BE">
            <w:pPr>
              <w:pStyle w:val="TableText0"/>
              <w:keepLines/>
              <w:jc w:val="center"/>
            </w:pPr>
            <w:r w:rsidRPr="0066157F">
              <w:rPr>
                <w:color w:val="000000"/>
                <w:spacing w:val="51"/>
                <w:shd w:val="solid" w:color="000000" w:fill="000000"/>
                <w:fitText w:val="230" w:id="-894207996"/>
                <w14:textFill>
                  <w14:solidFill>
                    <w14:srgbClr w14:val="000000">
                      <w14:alpha w14:val="100000"/>
                    </w14:srgbClr>
                  </w14:solidFill>
                </w14:textFill>
              </w:rPr>
              <w:t>||</w:t>
            </w:r>
            <w:r w:rsidRPr="0066157F">
              <w:rPr>
                <w:color w:val="000000"/>
                <w:spacing w:val="1"/>
                <w:shd w:val="solid" w:color="000000" w:fill="000000"/>
                <w:fitText w:val="230" w:id="-894207996"/>
                <w14:textFill>
                  <w14:solidFill>
                    <w14:srgbClr w14:val="000000">
                      <w14:alpha w14:val="100000"/>
                    </w14:srgbClr>
                  </w14:solidFill>
                </w14:textFill>
              </w:rPr>
              <w:t>|</w:t>
            </w:r>
            <w:r w:rsidR="00FF56BE" w:rsidRPr="004569B0">
              <w:rPr>
                <w:vertAlign w:val="superscript"/>
              </w:rPr>
              <w:t xml:space="preserve"> 1</w:t>
            </w:r>
          </w:p>
        </w:tc>
        <w:tc>
          <w:tcPr>
            <w:tcW w:w="519" w:type="pct"/>
          </w:tcPr>
          <w:p w14:paraId="31A060BD" w14:textId="11D4D16B" w:rsidR="00FF56BE" w:rsidRPr="00AA4FE6" w:rsidRDefault="0066157F" w:rsidP="00FF56BE">
            <w:pPr>
              <w:pStyle w:val="TableText0"/>
              <w:keepLines/>
              <w:jc w:val="center"/>
            </w:pPr>
            <w:r w:rsidRPr="0066157F">
              <w:rPr>
                <w:color w:val="000000"/>
                <w:spacing w:val="46"/>
                <w:shd w:val="solid" w:color="000000" w:fill="000000"/>
                <w:fitText w:val="220" w:id="-894207995"/>
                <w14:textFill>
                  <w14:solidFill>
                    <w14:srgbClr w14:val="000000">
                      <w14:alpha w14:val="100000"/>
                    </w14:srgbClr>
                  </w14:solidFill>
                </w14:textFill>
              </w:rPr>
              <w:t>||</w:t>
            </w:r>
            <w:r w:rsidRPr="0066157F">
              <w:rPr>
                <w:color w:val="000000"/>
                <w:spacing w:val="1"/>
                <w:shd w:val="solid" w:color="000000" w:fill="000000"/>
                <w:fitText w:val="220" w:id="-894207995"/>
                <w14:textFill>
                  <w14:solidFill>
                    <w14:srgbClr w14:val="000000">
                      <w14:alpha w14:val="100000"/>
                    </w14:srgbClr>
                  </w14:solidFill>
                </w14:textFill>
              </w:rPr>
              <w:t>|</w:t>
            </w:r>
            <w:r w:rsidR="00FF56BE" w:rsidRPr="004569B0">
              <w:rPr>
                <w:vertAlign w:val="superscript"/>
              </w:rPr>
              <w:t xml:space="preserve"> 1</w:t>
            </w:r>
          </w:p>
        </w:tc>
        <w:tc>
          <w:tcPr>
            <w:tcW w:w="520" w:type="pct"/>
          </w:tcPr>
          <w:p w14:paraId="70AC0F7E" w14:textId="0A22FE12" w:rsidR="00FF56BE" w:rsidRPr="00AA4FE6" w:rsidRDefault="0066157F" w:rsidP="00FF56BE">
            <w:pPr>
              <w:pStyle w:val="TableText0"/>
              <w:keepLines/>
              <w:jc w:val="center"/>
            </w:pPr>
            <w:r w:rsidRPr="0066157F">
              <w:rPr>
                <w:color w:val="000000"/>
                <w:spacing w:val="51"/>
                <w:shd w:val="solid" w:color="000000" w:fill="000000"/>
                <w:fitText w:val="230" w:id="-894207994"/>
                <w14:textFill>
                  <w14:solidFill>
                    <w14:srgbClr w14:val="000000">
                      <w14:alpha w14:val="100000"/>
                    </w14:srgbClr>
                  </w14:solidFill>
                </w14:textFill>
              </w:rPr>
              <w:t>||</w:t>
            </w:r>
            <w:r w:rsidRPr="0066157F">
              <w:rPr>
                <w:color w:val="000000"/>
                <w:spacing w:val="1"/>
                <w:shd w:val="solid" w:color="000000" w:fill="000000"/>
                <w:fitText w:val="230" w:id="-894207994"/>
                <w14:textFill>
                  <w14:solidFill>
                    <w14:srgbClr w14:val="000000">
                      <w14:alpha w14:val="100000"/>
                    </w14:srgbClr>
                  </w14:solidFill>
                </w14:textFill>
              </w:rPr>
              <w:t>|</w:t>
            </w:r>
            <w:r w:rsidR="00FF56BE" w:rsidRPr="004569B0">
              <w:rPr>
                <w:vertAlign w:val="superscript"/>
              </w:rPr>
              <w:t xml:space="preserve"> 1</w:t>
            </w:r>
          </w:p>
        </w:tc>
        <w:tc>
          <w:tcPr>
            <w:tcW w:w="519" w:type="pct"/>
          </w:tcPr>
          <w:p w14:paraId="13DB5700" w14:textId="2A8D0381" w:rsidR="00FF56BE" w:rsidRPr="00AA4FE6" w:rsidRDefault="0066157F" w:rsidP="00FF56BE">
            <w:pPr>
              <w:pStyle w:val="TableText0"/>
              <w:keepLines/>
              <w:jc w:val="center"/>
            </w:pPr>
            <w:r w:rsidRPr="0066157F">
              <w:rPr>
                <w:color w:val="000000"/>
                <w:spacing w:val="46"/>
                <w:shd w:val="solid" w:color="000000" w:fill="000000"/>
                <w:fitText w:val="220" w:id="-894207993"/>
                <w14:textFill>
                  <w14:solidFill>
                    <w14:srgbClr w14:val="000000">
                      <w14:alpha w14:val="100000"/>
                    </w14:srgbClr>
                  </w14:solidFill>
                </w14:textFill>
              </w:rPr>
              <w:t>||</w:t>
            </w:r>
            <w:r w:rsidRPr="0066157F">
              <w:rPr>
                <w:color w:val="000000"/>
                <w:spacing w:val="1"/>
                <w:shd w:val="solid" w:color="000000" w:fill="000000"/>
                <w:fitText w:val="220" w:id="-894207993"/>
                <w14:textFill>
                  <w14:solidFill>
                    <w14:srgbClr w14:val="000000">
                      <w14:alpha w14:val="100000"/>
                    </w14:srgbClr>
                  </w14:solidFill>
                </w14:textFill>
              </w:rPr>
              <w:t>|</w:t>
            </w:r>
            <w:r w:rsidR="00FF56BE" w:rsidRPr="004569B0">
              <w:rPr>
                <w:vertAlign w:val="superscript"/>
              </w:rPr>
              <w:t xml:space="preserve"> 1</w:t>
            </w:r>
          </w:p>
        </w:tc>
      </w:tr>
      <w:tr w:rsidR="00FF56BE" w:rsidRPr="00AA4FE6" w14:paraId="1FD19F2E" w14:textId="77777777" w:rsidTr="00757593">
        <w:trPr>
          <w:trHeight w:val="20"/>
        </w:trPr>
        <w:tc>
          <w:tcPr>
            <w:tcW w:w="1962" w:type="pct"/>
          </w:tcPr>
          <w:p w14:paraId="44BFC1F4" w14:textId="77777777" w:rsidR="00FF56BE" w:rsidRPr="00AA4FE6" w:rsidRDefault="00FF56BE" w:rsidP="00FF56BE">
            <w:pPr>
              <w:pStyle w:val="TableText0"/>
              <w:keepLines/>
              <w:rPr>
                <w:vertAlign w:val="superscript"/>
              </w:rPr>
            </w:pPr>
            <w:r w:rsidRPr="00AA4FE6">
              <w:t xml:space="preserve">Incident – continuing </w:t>
            </w:r>
            <w:r w:rsidRPr="00AA4FE6">
              <w:rPr>
                <w:vertAlign w:val="superscript"/>
              </w:rPr>
              <w:t>d</w:t>
            </w:r>
          </w:p>
        </w:tc>
        <w:tc>
          <w:tcPr>
            <w:tcW w:w="440" w:type="pct"/>
            <w:vAlign w:val="center"/>
          </w:tcPr>
          <w:p w14:paraId="0B807DBE" w14:textId="5F484C0D" w:rsidR="00FF56BE" w:rsidRPr="00AA4FE6" w:rsidRDefault="0066157F" w:rsidP="00FF56BE">
            <w:pPr>
              <w:pStyle w:val="TableText0"/>
              <w:keepLines/>
              <w:jc w:val="center"/>
            </w:pPr>
            <w:r w:rsidRPr="0066157F">
              <w:rPr>
                <w:color w:val="000000"/>
                <w:spacing w:val="204"/>
                <w:shd w:val="solid" w:color="000000" w:fill="000000"/>
                <w:fitText w:val="290" w:id="-894207992"/>
                <w14:textFill>
                  <w14:solidFill>
                    <w14:srgbClr w14:val="000000">
                      <w14:alpha w14:val="100000"/>
                    </w14:srgbClr>
                  </w14:solidFill>
                </w14:textFill>
              </w:rPr>
              <w:t>|</w:t>
            </w:r>
            <w:r w:rsidRPr="0066157F">
              <w:rPr>
                <w:color w:val="000000"/>
                <w:spacing w:val="1"/>
                <w:shd w:val="solid" w:color="000000" w:fill="000000"/>
                <w:fitText w:val="290" w:id="-894207992"/>
                <w14:textFill>
                  <w14:solidFill>
                    <w14:srgbClr w14:val="000000">
                      <w14:alpha w14:val="100000"/>
                    </w14:srgbClr>
                  </w14:solidFill>
                </w14:textFill>
              </w:rPr>
              <w:t>|</w:t>
            </w:r>
            <w:r w:rsidR="00FF56BE">
              <w:rPr>
                <w:vertAlign w:val="superscript"/>
              </w:rPr>
              <w:t>1</w:t>
            </w:r>
          </w:p>
        </w:tc>
        <w:tc>
          <w:tcPr>
            <w:tcW w:w="520" w:type="pct"/>
            <w:vAlign w:val="center"/>
          </w:tcPr>
          <w:p w14:paraId="5B649C2B" w14:textId="2556B9DC" w:rsidR="00FF56BE" w:rsidRPr="00AA4FE6" w:rsidRDefault="0066157F" w:rsidP="00FF56BE">
            <w:pPr>
              <w:pStyle w:val="TableText0"/>
              <w:keepLines/>
              <w:jc w:val="center"/>
              <w:rPr>
                <w:vertAlign w:val="superscript"/>
              </w:rPr>
            </w:pPr>
            <w:r w:rsidRPr="0066157F">
              <w:rPr>
                <w:color w:val="000000"/>
                <w:spacing w:val="194"/>
                <w:shd w:val="solid" w:color="000000" w:fill="000000"/>
                <w:fitText w:val="280" w:id="-894207991"/>
                <w14:textFill>
                  <w14:solidFill>
                    <w14:srgbClr w14:val="000000">
                      <w14:alpha w14:val="100000"/>
                    </w14:srgbClr>
                  </w14:solidFill>
                </w14:textFill>
              </w:rPr>
              <w:t>|</w:t>
            </w:r>
            <w:r w:rsidRPr="0066157F">
              <w:rPr>
                <w:color w:val="000000"/>
                <w:spacing w:val="1"/>
                <w:shd w:val="solid" w:color="000000" w:fill="000000"/>
                <w:fitText w:val="280" w:id="-894207991"/>
                <w14:textFill>
                  <w14:solidFill>
                    <w14:srgbClr w14:val="000000">
                      <w14:alpha w14:val="100000"/>
                    </w14:srgbClr>
                  </w14:solidFill>
                </w14:textFill>
              </w:rPr>
              <w:t>|</w:t>
            </w:r>
            <w:r w:rsidR="00FF56BE" w:rsidRPr="00AA4FE6">
              <w:t xml:space="preserve"> </w:t>
            </w:r>
            <w:r w:rsidR="00FF56BE" w:rsidRPr="00AA4FE6">
              <w:rPr>
                <w:vertAlign w:val="superscript"/>
              </w:rPr>
              <w:t>e</w:t>
            </w:r>
            <w:r w:rsidR="00FF56BE">
              <w:rPr>
                <w:vertAlign w:val="superscript"/>
              </w:rPr>
              <w:t xml:space="preserve"> 1</w:t>
            </w:r>
          </w:p>
        </w:tc>
        <w:tc>
          <w:tcPr>
            <w:tcW w:w="520" w:type="pct"/>
          </w:tcPr>
          <w:p w14:paraId="3DC7F5AA" w14:textId="3CDEBD9D" w:rsidR="00FF56BE" w:rsidRPr="00AA4FE6" w:rsidRDefault="0066157F" w:rsidP="00FF56BE">
            <w:pPr>
              <w:pStyle w:val="TableText0"/>
              <w:keepLines/>
              <w:jc w:val="center"/>
            </w:pPr>
            <w:r w:rsidRPr="0066157F">
              <w:rPr>
                <w:color w:val="000000"/>
                <w:spacing w:val="194"/>
                <w:shd w:val="solid" w:color="000000" w:fill="000000"/>
                <w:fitText w:val="280" w:id="-894207990"/>
                <w14:textFill>
                  <w14:solidFill>
                    <w14:srgbClr w14:val="000000">
                      <w14:alpha w14:val="100000"/>
                    </w14:srgbClr>
                  </w14:solidFill>
                </w14:textFill>
              </w:rPr>
              <w:t>|</w:t>
            </w:r>
            <w:r w:rsidRPr="0066157F">
              <w:rPr>
                <w:color w:val="000000"/>
                <w:spacing w:val="1"/>
                <w:shd w:val="solid" w:color="000000" w:fill="000000"/>
                <w:fitText w:val="280" w:id="-894207990"/>
                <w14:textFill>
                  <w14:solidFill>
                    <w14:srgbClr w14:val="000000">
                      <w14:alpha w14:val="100000"/>
                    </w14:srgbClr>
                  </w14:solidFill>
                </w14:textFill>
              </w:rPr>
              <w:t>|</w:t>
            </w:r>
            <w:r w:rsidR="00FF56BE" w:rsidRPr="00772781">
              <w:t xml:space="preserve"> </w:t>
            </w:r>
            <w:r w:rsidR="00FF56BE" w:rsidRPr="00772781">
              <w:rPr>
                <w:vertAlign w:val="superscript"/>
              </w:rPr>
              <w:t>e 1</w:t>
            </w:r>
          </w:p>
        </w:tc>
        <w:tc>
          <w:tcPr>
            <w:tcW w:w="519" w:type="pct"/>
          </w:tcPr>
          <w:p w14:paraId="3B283EA5" w14:textId="543D1FA8" w:rsidR="00FF56BE" w:rsidRPr="00AA4FE6" w:rsidRDefault="0066157F" w:rsidP="00FF56BE">
            <w:pPr>
              <w:pStyle w:val="TableText0"/>
              <w:keepLines/>
              <w:jc w:val="center"/>
            </w:pPr>
            <w:r w:rsidRPr="0066157F">
              <w:rPr>
                <w:color w:val="000000"/>
                <w:spacing w:val="204"/>
                <w:shd w:val="solid" w:color="000000" w:fill="000000"/>
                <w:fitText w:val="290" w:id="-894207989"/>
                <w14:textFill>
                  <w14:solidFill>
                    <w14:srgbClr w14:val="000000">
                      <w14:alpha w14:val="100000"/>
                    </w14:srgbClr>
                  </w14:solidFill>
                </w14:textFill>
              </w:rPr>
              <w:t>|</w:t>
            </w:r>
            <w:r w:rsidRPr="0066157F">
              <w:rPr>
                <w:color w:val="000000"/>
                <w:spacing w:val="1"/>
                <w:shd w:val="solid" w:color="000000" w:fill="000000"/>
                <w:fitText w:val="290" w:id="-894207989"/>
                <w14:textFill>
                  <w14:solidFill>
                    <w14:srgbClr w14:val="000000">
                      <w14:alpha w14:val="100000"/>
                    </w14:srgbClr>
                  </w14:solidFill>
                </w14:textFill>
              </w:rPr>
              <w:t>|</w:t>
            </w:r>
            <w:r w:rsidR="00FF56BE" w:rsidRPr="00772781">
              <w:t xml:space="preserve"> </w:t>
            </w:r>
            <w:r w:rsidR="00FF56BE" w:rsidRPr="00772781">
              <w:rPr>
                <w:vertAlign w:val="superscript"/>
              </w:rPr>
              <w:t>e 1</w:t>
            </w:r>
          </w:p>
        </w:tc>
        <w:tc>
          <w:tcPr>
            <w:tcW w:w="520" w:type="pct"/>
          </w:tcPr>
          <w:p w14:paraId="11F80926" w14:textId="41F21B99" w:rsidR="00FF56BE" w:rsidRPr="00AA4FE6" w:rsidRDefault="0066157F" w:rsidP="00FF56BE">
            <w:pPr>
              <w:pStyle w:val="TableText0"/>
              <w:keepLines/>
              <w:jc w:val="center"/>
            </w:pPr>
            <w:r w:rsidRPr="0066157F">
              <w:rPr>
                <w:color w:val="000000"/>
                <w:spacing w:val="194"/>
                <w:shd w:val="solid" w:color="000000" w:fill="000000"/>
                <w:fitText w:val="280" w:id="-894207988"/>
                <w14:textFill>
                  <w14:solidFill>
                    <w14:srgbClr w14:val="000000">
                      <w14:alpha w14:val="100000"/>
                    </w14:srgbClr>
                  </w14:solidFill>
                </w14:textFill>
              </w:rPr>
              <w:t>|</w:t>
            </w:r>
            <w:r w:rsidRPr="0066157F">
              <w:rPr>
                <w:color w:val="000000"/>
                <w:spacing w:val="1"/>
                <w:shd w:val="solid" w:color="000000" w:fill="000000"/>
                <w:fitText w:val="280" w:id="-894207988"/>
                <w14:textFill>
                  <w14:solidFill>
                    <w14:srgbClr w14:val="000000">
                      <w14:alpha w14:val="100000"/>
                    </w14:srgbClr>
                  </w14:solidFill>
                </w14:textFill>
              </w:rPr>
              <w:t>|</w:t>
            </w:r>
            <w:r w:rsidR="00FF56BE" w:rsidRPr="00772781">
              <w:t xml:space="preserve"> </w:t>
            </w:r>
            <w:r w:rsidR="00FF56BE" w:rsidRPr="00772781">
              <w:rPr>
                <w:vertAlign w:val="superscript"/>
              </w:rPr>
              <w:t>e 1</w:t>
            </w:r>
          </w:p>
        </w:tc>
        <w:tc>
          <w:tcPr>
            <w:tcW w:w="519" w:type="pct"/>
          </w:tcPr>
          <w:p w14:paraId="7383BC09" w14:textId="6810A93D" w:rsidR="00FF56BE" w:rsidRPr="00AA4FE6" w:rsidRDefault="0066157F" w:rsidP="00FF56BE">
            <w:pPr>
              <w:pStyle w:val="TableText0"/>
              <w:keepLines/>
              <w:jc w:val="center"/>
            </w:pPr>
            <w:r w:rsidRPr="0066157F">
              <w:rPr>
                <w:color w:val="000000"/>
                <w:spacing w:val="204"/>
                <w:shd w:val="solid" w:color="000000" w:fill="000000"/>
                <w:fitText w:val="290" w:id="-894207987"/>
                <w14:textFill>
                  <w14:solidFill>
                    <w14:srgbClr w14:val="000000">
                      <w14:alpha w14:val="100000"/>
                    </w14:srgbClr>
                  </w14:solidFill>
                </w14:textFill>
              </w:rPr>
              <w:t>|</w:t>
            </w:r>
            <w:r w:rsidRPr="0066157F">
              <w:rPr>
                <w:color w:val="000000"/>
                <w:spacing w:val="1"/>
                <w:shd w:val="solid" w:color="000000" w:fill="000000"/>
                <w:fitText w:val="290" w:id="-894207987"/>
                <w14:textFill>
                  <w14:solidFill>
                    <w14:srgbClr w14:val="000000">
                      <w14:alpha w14:val="100000"/>
                    </w14:srgbClr>
                  </w14:solidFill>
                </w14:textFill>
              </w:rPr>
              <w:t>|</w:t>
            </w:r>
            <w:r w:rsidR="00FF56BE" w:rsidRPr="00772781">
              <w:t xml:space="preserve"> </w:t>
            </w:r>
            <w:r w:rsidR="00FF56BE" w:rsidRPr="00772781">
              <w:rPr>
                <w:vertAlign w:val="superscript"/>
              </w:rPr>
              <w:t>e 1</w:t>
            </w:r>
          </w:p>
        </w:tc>
      </w:tr>
      <w:tr w:rsidR="00FF56BE" w:rsidRPr="00AA4FE6" w14:paraId="4F27336D" w14:textId="77777777" w:rsidTr="00FF56BE">
        <w:trPr>
          <w:trHeight w:val="20"/>
        </w:trPr>
        <w:tc>
          <w:tcPr>
            <w:tcW w:w="1962" w:type="pct"/>
          </w:tcPr>
          <w:p w14:paraId="47D46F91" w14:textId="77777777" w:rsidR="00FF56BE" w:rsidRPr="00AA4FE6" w:rsidRDefault="00FF56BE" w:rsidP="00FF56BE">
            <w:pPr>
              <w:pStyle w:val="TableText0"/>
              <w:keepLines/>
              <w:jc w:val="right"/>
            </w:pPr>
            <w:r w:rsidRPr="00AA4FE6">
              <w:t>At low dose</w:t>
            </w:r>
          </w:p>
        </w:tc>
        <w:tc>
          <w:tcPr>
            <w:tcW w:w="440" w:type="pct"/>
          </w:tcPr>
          <w:p w14:paraId="3BC8EEEF" w14:textId="25BF6F56" w:rsidR="00FF56BE" w:rsidRPr="00AA4FE6" w:rsidRDefault="0066157F" w:rsidP="00FF56BE">
            <w:pPr>
              <w:pStyle w:val="TableText0"/>
              <w:keepLines/>
              <w:jc w:val="center"/>
            </w:pPr>
            <w:r w:rsidRPr="0066157F">
              <w:rPr>
                <w:color w:val="000000"/>
                <w:spacing w:val="204"/>
                <w:shd w:val="solid" w:color="000000" w:fill="000000"/>
                <w:fitText w:val="290" w:id="-894207986"/>
                <w14:textFill>
                  <w14:solidFill>
                    <w14:srgbClr w14:val="000000">
                      <w14:alpha w14:val="100000"/>
                    </w14:srgbClr>
                  </w14:solidFill>
                </w14:textFill>
              </w:rPr>
              <w:t>|</w:t>
            </w:r>
            <w:r w:rsidRPr="0066157F">
              <w:rPr>
                <w:color w:val="000000"/>
                <w:spacing w:val="1"/>
                <w:shd w:val="solid" w:color="000000" w:fill="000000"/>
                <w:fitText w:val="290" w:id="-894207986"/>
                <w14:textFill>
                  <w14:solidFill>
                    <w14:srgbClr w14:val="000000">
                      <w14:alpha w14:val="100000"/>
                    </w14:srgbClr>
                  </w14:solidFill>
                </w14:textFill>
              </w:rPr>
              <w:t>|</w:t>
            </w:r>
            <w:r w:rsidR="00FF56BE">
              <w:rPr>
                <w:vertAlign w:val="superscript"/>
              </w:rPr>
              <w:t>1</w:t>
            </w:r>
          </w:p>
        </w:tc>
        <w:tc>
          <w:tcPr>
            <w:tcW w:w="520" w:type="pct"/>
          </w:tcPr>
          <w:p w14:paraId="268317D3" w14:textId="50F95F7A" w:rsidR="00FF56BE" w:rsidRPr="00AA4FE6" w:rsidRDefault="0066157F" w:rsidP="00FF56BE">
            <w:pPr>
              <w:pStyle w:val="TableText0"/>
              <w:keepLines/>
              <w:jc w:val="center"/>
            </w:pPr>
            <w:r w:rsidRPr="0066157F">
              <w:rPr>
                <w:color w:val="000000"/>
                <w:spacing w:val="51"/>
                <w:shd w:val="solid" w:color="000000" w:fill="000000"/>
                <w:fitText w:val="230" w:id="-894207985"/>
                <w14:textFill>
                  <w14:solidFill>
                    <w14:srgbClr w14:val="000000">
                      <w14:alpha w14:val="100000"/>
                    </w14:srgbClr>
                  </w14:solidFill>
                </w14:textFill>
              </w:rPr>
              <w:t>||</w:t>
            </w:r>
            <w:r w:rsidRPr="0066157F">
              <w:rPr>
                <w:color w:val="000000"/>
                <w:spacing w:val="1"/>
                <w:shd w:val="solid" w:color="000000" w:fill="000000"/>
                <w:fitText w:val="230" w:id="-894207985"/>
                <w14:textFill>
                  <w14:solidFill>
                    <w14:srgbClr w14:val="000000">
                      <w14:alpha w14:val="100000"/>
                    </w14:srgbClr>
                  </w14:solidFill>
                </w14:textFill>
              </w:rPr>
              <w:t>|</w:t>
            </w:r>
            <w:r w:rsidR="00FF56BE">
              <w:rPr>
                <w:vertAlign w:val="superscript"/>
              </w:rPr>
              <w:t xml:space="preserve"> 1</w:t>
            </w:r>
          </w:p>
        </w:tc>
        <w:tc>
          <w:tcPr>
            <w:tcW w:w="520" w:type="pct"/>
          </w:tcPr>
          <w:p w14:paraId="0E35BAB2" w14:textId="27EF2E8B" w:rsidR="00FF56BE" w:rsidRPr="00AA4FE6" w:rsidRDefault="0066157F" w:rsidP="00FF56BE">
            <w:pPr>
              <w:pStyle w:val="TableText0"/>
              <w:keepLines/>
              <w:jc w:val="center"/>
            </w:pPr>
            <w:r w:rsidRPr="0066157F">
              <w:rPr>
                <w:color w:val="000000"/>
                <w:spacing w:val="51"/>
                <w:shd w:val="solid" w:color="000000" w:fill="000000"/>
                <w:fitText w:val="230" w:id="-894207984"/>
                <w14:textFill>
                  <w14:solidFill>
                    <w14:srgbClr w14:val="000000">
                      <w14:alpha w14:val="100000"/>
                    </w14:srgbClr>
                  </w14:solidFill>
                </w14:textFill>
              </w:rPr>
              <w:t>||</w:t>
            </w:r>
            <w:r w:rsidRPr="0066157F">
              <w:rPr>
                <w:color w:val="000000"/>
                <w:spacing w:val="1"/>
                <w:shd w:val="solid" w:color="000000" w:fill="000000"/>
                <w:fitText w:val="230" w:id="-894207984"/>
                <w14:textFill>
                  <w14:solidFill>
                    <w14:srgbClr w14:val="000000">
                      <w14:alpha w14:val="100000"/>
                    </w14:srgbClr>
                  </w14:solidFill>
                </w14:textFill>
              </w:rPr>
              <w:t>|</w:t>
            </w:r>
            <w:r w:rsidR="00FF56BE" w:rsidRPr="00577CBC">
              <w:rPr>
                <w:vertAlign w:val="superscript"/>
              </w:rPr>
              <w:t xml:space="preserve"> 1</w:t>
            </w:r>
          </w:p>
        </w:tc>
        <w:tc>
          <w:tcPr>
            <w:tcW w:w="519" w:type="pct"/>
          </w:tcPr>
          <w:p w14:paraId="3E47E541" w14:textId="36F95516" w:rsidR="00FF56BE" w:rsidRPr="00AA4FE6" w:rsidRDefault="0066157F" w:rsidP="00FF56BE">
            <w:pPr>
              <w:pStyle w:val="TableText0"/>
              <w:keepLines/>
              <w:jc w:val="center"/>
            </w:pPr>
            <w:r w:rsidRPr="0066157F">
              <w:rPr>
                <w:color w:val="000000"/>
                <w:spacing w:val="46"/>
                <w:shd w:val="solid" w:color="000000" w:fill="000000"/>
                <w:fitText w:val="220" w:id="-894208000"/>
                <w14:textFill>
                  <w14:solidFill>
                    <w14:srgbClr w14:val="000000">
                      <w14:alpha w14:val="100000"/>
                    </w14:srgbClr>
                  </w14:solidFill>
                </w14:textFill>
              </w:rPr>
              <w:t>||</w:t>
            </w:r>
            <w:r w:rsidRPr="0066157F">
              <w:rPr>
                <w:color w:val="000000"/>
                <w:spacing w:val="1"/>
                <w:shd w:val="solid" w:color="000000" w:fill="000000"/>
                <w:fitText w:val="220" w:id="-894208000"/>
                <w14:textFill>
                  <w14:solidFill>
                    <w14:srgbClr w14:val="000000">
                      <w14:alpha w14:val="100000"/>
                    </w14:srgbClr>
                  </w14:solidFill>
                </w14:textFill>
              </w:rPr>
              <w:t>|</w:t>
            </w:r>
            <w:r w:rsidR="00FF56BE" w:rsidRPr="00577CBC">
              <w:rPr>
                <w:vertAlign w:val="superscript"/>
              </w:rPr>
              <w:t xml:space="preserve"> 1</w:t>
            </w:r>
          </w:p>
        </w:tc>
        <w:tc>
          <w:tcPr>
            <w:tcW w:w="520" w:type="pct"/>
          </w:tcPr>
          <w:p w14:paraId="6732B6FE" w14:textId="38C1FB36" w:rsidR="00FF56BE" w:rsidRPr="00AA4FE6" w:rsidRDefault="0066157F" w:rsidP="00FF56BE">
            <w:pPr>
              <w:pStyle w:val="TableText0"/>
              <w:keepLines/>
              <w:jc w:val="center"/>
            </w:pPr>
            <w:r w:rsidRPr="0066157F">
              <w:rPr>
                <w:color w:val="000000"/>
                <w:spacing w:val="51"/>
                <w:shd w:val="solid" w:color="000000" w:fill="000000"/>
                <w:fitText w:val="230" w:id="-894207999"/>
                <w14:textFill>
                  <w14:solidFill>
                    <w14:srgbClr w14:val="000000">
                      <w14:alpha w14:val="100000"/>
                    </w14:srgbClr>
                  </w14:solidFill>
                </w14:textFill>
              </w:rPr>
              <w:t>||</w:t>
            </w:r>
            <w:r w:rsidRPr="0066157F">
              <w:rPr>
                <w:color w:val="000000"/>
                <w:spacing w:val="1"/>
                <w:shd w:val="solid" w:color="000000" w:fill="000000"/>
                <w:fitText w:val="230" w:id="-894207999"/>
                <w14:textFill>
                  <w14:solidFill>
                    <w14:srgbClr w14:val="000000">
                      <w14:alpha w14:val="100000"/>
                    </w14:srgbClr>
                  </w14:solidFill>
                </w14:textFill>
              </w:rPr>
              <w:t>|</w:t>
            </w:r>
            <w:r w:rsidR="00FF56BE" w:rsidRPr="00577CBC">
              <w:rPr>
                <w:vertAlign w:val="superscript"/>
              </w:rPr>
              <w:t xml:space="preserve"> 1</w:t>
            </w:r>
          </w:p>
        </w:tc>
        <w:tc>
          <w:tcPr>
            <w:tcW w:w="519" w:type="pct"/>
          </w:tcPr>
          <w:p w14:paraId="1FA319F3" w14:textId="593144FF" w:rsidR="00FF56BE" w:rsidRPr="00AA4FE6" w:rsidRDefault="0066157F" w:rsidP="00FF56BE">
            <w:pPr>
              <w:pStyle w:val="TableText0"/>
              <w:keepLines/>
              <w:jc w:val="center"/>
            </w:pPr>
            <w:r w:rsidRPr="0066157F">
              <w:rPr>
                <w:color w:val="000000"/>
                <w:spacing w:val="46"/>
                <w:shd w:val="solid" w:color="000000" w:fill="000000"/>
                <w:fitText w:val="220" w:id="-894207998"/>
                <w14:textFill>
                  <w14:solidFill>
                    <w14:srgbClr w14:val="000000">
                      <w14:alpha w14:val="100000"/>
                    </w14:srgbClr>
                  </w14:solidFill>
                </w14:textFill>
              </w:rPr>
              <w:t>||</w:t>
            </w:r>
            <w:r w:rsidRPr="0066157F">
              <w:rPr>
                <w:color w:val="000000"/>
                <w:spacing w:val="1"/>
                <w:shd w:val="solid" w:color="000000" w:fill="000000"/>
                <w:fitText w:val="220" w:id="-894207998"/>
                <w14:textFill>
                  <w14:solidFill>
                    <w14:srgbClr w14:val="000000">
                      <w14:alpha w14:val="100000"/>
                    </w14:srgbClr>
                  </w14:solidFill>
                </w14:textFill>
              </w:rPr>
              <w:t>|</w:t>
            </w:r>
            <w:r w:rsidR="00FF56BE" w:rsidRPr="00577CBC">
              <w:rPr>
                <w:vertAlign w:val="superscript"/>
              </w:rPr>
              <w:t xml:space="preserve"> 1</w:t>
            </w:r>
          </w:p>
        </w:tc>
      </w:tr>
      <w:tr w:rsidR="00FF56BE" w:rsidRPr="00AA4FE6" w14:paraId="47C0FBDB" w14:textId="77777777" w:rsidTr="00FF56BE">
        <w:trPr>
          <w:trHeight w:val="20"/>
        </w:trPr>
        <w:tc>
          <w:tcPr>
            <w:tcW w:w="1962" w:type="pct"/>
          </w:tcPr>
          <w:p w14:paraId="2DECC69F" w14:textId="77777777" w:rsidR="00FF56BE" w:rsidRPr="00AA4FE6" w:rsidRDefault="00FF56BE" w:rsidP="00FF56BE">
            <w:pPr>
              <w:pStyle w:val="TableText0"/>
              <w:keepLines/>
              <w:jc w:val="right"/>
            </w:pPr>
            <w:r w:rsidRPr="00AA4FE6">
              <w:t>At high dose</w:t>
            </w:r>
          </w:p>
        </w:tc>
        <w:tc>
          <w:tcPr>
            <w:tcW w:w="440" w:type="pct"/>
          </w:tcPr>
          <w:p w14:paraId="6F8C9C6C" w14:textId="400AFD4D" w:rsidR="00FF56BE" w:rsidRPr="00AA4FE6" w:rsidRDefault="0066157F" w:rsidP="00FF56BE">
            <w:pPr>
              <w:pStyle w:val="TableText0"/>
              <w:keepLines/>
              <w:jc w:val="center"/>
            </w:pPr>
            <w:r w:rsidRPr="0066157F">
              <w:rPr>
                <w:color w:val="000000"/>
                <w:spacing w:val="204"/>
                <w:shd w:val="solid" w:color="000000" w:fill="000000"/>
                <w:fitText w:val="290" w:id="-894207997"/>
                <w14:textFill>
                  <w14:solidFill>
                    <w14:srgbClr w14:val="000000">
                      <w14:alpha w14:val="100000"/>
                    </w14:srgbClr>
                  </w14:solidFill>
                </w14:textFill>
              </w:rPr>
              <w:t>|</w:t>
            </w:r>
            <w:r w:rsidRPr="0066157F">
              <w:rPr>
                <w:color w:val="000000"/>
                <w:spacing w:val="1"/>
                <w:shd w:val="solid" w:color="000000" w:fill="000000"/>
                <w:fitText w:val="290" w:id="-894207997"/>
                <w14:textFill>
                  <w14:solidFill>
                    <w14:srgbClr w14:val="000000">
                      <w14:alpha w14:val="100000"/>
                    </w14:srgbClr>
                  </w14:solidFill>
                </w14:textFill>
              </w:rPr>
              <w:t>|</w:t>
            </w:r>
            <w:r w:rsidR="00FF56BE">
              <w:rPr>
                <w:vertAlign w:val="superscript"/>
              </w:rPr>
              <w:t>1</w:t>
            </w:r>
          </w:p>
        </w:tc>
        <w:tc>
          <w:tcPr>
            <w:tcW w:w="520" w:type="pct"/>
          </w:tcPr>
          <w:p w14:paraId="0059D333" w14:textId="6487E38E" w:rsidR="00FF56BE" w:rsidRPr="00AA4FE6" w:rsidRDefault="0066157F" w:rsidP="00FF56BE">
            <w:pPr>
              <w:pStyle w:val="TableText0"/>
              <w:keepLines/>
              <w:jc w:val="center"/>
            </w:pPr>
            <w:r w:rsidRPr="0066157F">
              <w:rPr>
                <w:color w:val="000000"/>
                <w:spacing w:val="51"/>
                <w:shd w:val="solid" w:color="000000" w:fill="000000"/>
                <w:fitText w:val="230" w:id="-894207996"/>
                <w14:textFill>
                  <w14:solidFill>
                    <w14:srgbClr w14:val="000000">
                      <w14:alpha w14:val="100000"/>
                    </w14:srgbClr>
                  </w14:solidFill>
                </w14:textFill>
              </w:rPr>
              <w:t>||</w:t>
            </w:r>
            <w:r w:rsidRPr="0066157F">
              <w:rPr>
                <w:color w:val="000000"/>
                <w:spacing w:val="1"/>
                <w:shd w:val="solid" w:color="000000" w:fill="000000"/>
                <w:fitText w:val="230" w:id="-894207996"/>
                <w14:textFill>
                  <w14:solidFill>
                    <w14:srgbClr w14:val="000000">
                      <w14:alpha w14:val="100000"/>
                    </w14:srgbClr>
                  </w14:solidFill>
                </w14:textFill>
              </w:rPr>
              <w:t>|</w:t>
            </w:r>
            <w:r w:rsidR="00FF56BE">
              <w:rPr>
                <w:vertAlign w:val="superscript"/>
              </w:rPr>
              <w:t xml:space="preserve"> 1</w:t>
            </w:r>
          </w:p>
        </w:tc>
        <w:tc>
          <w:tcPr>
            <w:tcW w:w="520" w:type="pct"/>
          </w:tcPr>
          <w:p w14:paraId="1107F7AA" w14:textId="72DE686E" w:rsidR="00FF56BE" w:rsidRPr="00AA4FE6" w:rsidRDefault="0066157F" w:rsidP="00FF56BE">
            <w:pPr>
              <w:pStyle w:val="TableText0"/>
              <w:keepLines/>
              <w:jc w:val="center"/>
            </w:pPr>
            <w:r w:rsidRPr="0066157F">
              <w:rPr>
                <w:color w:val="000000"/>
                <w:spacing w:val="51"/>
                <w:shd w:val="solid" w:color="000000" w:fill="000000"/>
                <w:fitText w:val="230" w:id="-894207995"/>
                <w14:textFill>
                  <w14:solidFill>
                    <w14:srgbClr w14:val="000000">
                      <w14:alpha w14:val="100000"/>
                    </w14:srgbClr>
                  </w14:solidFill>
                </w14:textFill>
              </w:rPr>
              <w:t>||</w:t>
            </w:r>
            <w:r w:rsidRPr="0066157F">
              <w:rPr>
                <w:color w:val="000000"/>
                <w:spacing w:val="1"/>
                <w:shd w:val="solid" w:color="000000" w:fill="000000"/>
                <w:fitText w:val="230" w:id="-894207995"/>
                <w14:textFill>
                  <w14:solidFill>
                    <w14:srgbClr w14:val="000000">
                      <w14:alpha w14:val="100000"/>
                    </w14:srgbClr>
                  </w14:solidFill>
                </w14:textFill>
              </w:rPr>
              <w:t>|</w:t>
            </w:r>
            <w:r w:rsidR="00FF56BE" w:rsidRPr="00566297">
              <w:rPr>
                <w:vertAlign w:val="superscript"/>
              </w:rPr>
              <w:t xml:space="preserve"> 1</w:t>
            </w:r>
          </w:p>
        </w:tc>
        <w:tc>
          <w:tcPr>
            <w:tcW w:w="519" w:type="pct"/>
          </w:tcPr>
          <w:p w14:paraId="79B4E7B5" w14:textId="1D17855E" w:rsidR="00FF56BE" w:rsidRPr="00AA4FE6" w:rsidRDefault="0066157F" w:rsidP="00FF56BE">
            <w:pPr>
              <w:pStyle w:val="TableText0"/>
              <w:keepLines/>
              <w:jc w:val="center"/>
            </w:pPr>
            <w:r w:rsidRPr="0066157F">
              <w:rPr>
                <w:color w:val="000000"/>
                <w:spacing w:val="46"/>
                <w:shd w:val="solid" w:color="000000" w:fill="000000"/>
                <w:fitText w:val="220" w:id="-894207994"/>
                <w14:textFill>
                  <w14:solidFill>
                    <w14:srgbClr w14:val="000000">
                      <w14:alpha w14:val="100000"/>
                    </w14:srgbClr>
                  </w14:solidFill>
                </w14:textFill>
              </w:rPr>
              <w:t>||</w:t>
            </w:r>
            <w:r w:rsidRPr="0066157F">
              <w:rPr>
                <w:color w:val="000000"/>
                <w:spacing w:val="1"/>
                <w:shd w:val="solid" w:color="000000" w:fill="000000"/>
                <w:fitText w:val="220" w:id="-894207994"/>
                <w14:textFill>
                  <w14:solidFill>
                    <w14:srgbClr w14:val="000000">
                      <w14:alpha w14:val="100000"/>
                    </w14:srgbClr>
                  </w14:solidFill>
                </w14:textFill>
              </w:rPr>
              <w:t>|</w:t>
            </w:r>
            <w:r w:rsidR="00FF56BE" w:rsidRPr="00566297">
              <w:rPr>
                <w:vertAlign w:val="superscript"/>
              </w:rPr>
              <w:t xml:space="preserve"> 1</w:t>
            </w:r>
          </w:p>
        </w:tc>
        <w:tc>
          <w:tcPr>
            <w:tcW w:w="520" w:type="pct"/>
          </w:tcPr>
          <w:p w14:paraId="2C2A06BE" w14:textId="62C4322E" w:rsidR="00FF56BE" w:rsidRPr="00AA4FE6" w:rsidRDefault="0066157F" w:rsidP="00FF56BE">
            <w:pPr>
              <w:pStyle w:val="TableText0"/>
              <w:keepLines/>
              <w:jc w:val="center"/>
            </w:pPr>
            <w:r w:rsidRPr="0066157F">
              <w:rPr>
                <w:color w:val="000000"/>
                <w:spacing w:val="51"/>
                <w:shd w:val="solid" w:color="000000" w:fill="000000"/>
                <w:fitText w:val="230" w:id="-894207993"/>
                <w14:textFill>
                  <w14:solidFill>
                    <w14:srgbClr w14:val="000000">
                      <w14:alpha w14:val="100000"/>
                    </w14:srgbClr>
                  </w14:solidFill>
                </w14:textFill>
              </w:rPr>
              <w:t>||</w:t>
            </w:r>
            <w:r w:rsidRPr="0066157F">
              <w:rPr>
                <w:color w:val="000000"/>
                <w:spacing w:val="1"/>
                <w:shd w:val="solid" w:color="000000" w:fill="000000"/>
                <w:fitText w:val="230" w:id="-894207993"/>
                <w14:textFill>
                  <w14:solidFill>
                    <w14:srgbClr w14:val="000000">
                      <w14:alpha w14:val="100000"/>
                    </w14:srgbClr>
                  </w14:solidFill>
                </w14:textFill>
              </w:rPr>
              <w:t>|</w:t>
            </w:r>
            <w:r w:rsidR="00FF56BE" w:rsidRPr="00566297">
              <w:rPr>
                <w:vertAlign w:val="superscript"/>
              </w:rPr>
              <w:t xml:space="preserve"> 1</w:t>
            </w:r>
          </w:p>
        </w:tc>
        <w:tc>
          <w:tcPr>
            <w:tcW w:w="519" w:type="pct"/>
          </w:tcPr>
          <w:p w14:paraId="635179F8" w14:textId="1183F3E2" w:rsidR="00FF56BE" w:rsidRPr="00AA4FE6" w:rsidRDefault="0066157F" w:rsidP="00FF56BE">
            <w:pPr>
              <w:pStyle w:val="TableText0"/>
              <w:keepLines/>
              <w:jc w:val="center"/>
            </w:pPr>
            <w:r w:rsidRPr="0066157F">
              <w:rPr>
                <w:color w:val="000000"/>
                <w:spacing w:val="46"/>
                <w:shd w:val="solid" w:color="000000" w:fill="000000"/>
                <w:fitText w:val="220" w:id="-894207744"/>
                <w14:textFill>
                  <w14:solidFill>
                    <w14:srgbClr w14:val="000000">
                      <w14:alpha w14:val="100000"/>
                    </w14:srgbClr>
                  </w14:solidFill>
                </w14:textFill>
              </w:rPr>
              <w:t>||</w:t>
            </w:r>
            <w:r w:rsidRPr="0066157F">
              <w:rPr>
                <w:color w:val="000000"/>
                <w:spacing w:val="1"/>
                <w:shd w:val="solid" w:color="000000" w:fill="000000"/>
                <w:fitText w:val="220" w:id="-894207744"/>
                <w14:textFill>
                  <w14:solidFill>
                    <w14:srgbClr w14:val="000000">
                      <w14:alpha w14:val="100000"/>
                    </w14:srgbClr>
                  </w14:solidFill>
                </w14:textFill>
              </w:rPr>
              <w:t>|</w:t>
            </w:r>
            <w:r w:rsidR="00FF56BE" w:rsidRPr="00566297">
              <w:rPr>
                <w:vertAlign w:val="superscript"/>
              </w:rPr>
              <w:t xml:space="preserve"> 1</w:t>
            </w:r>
          </w:p>
        </w:tc>
      </w:tr>
      <w:tr w:rsidR="00FF56BE" w:rsidRPr="00AA4FE6" w14:paraId="12AEFCDA" w14:textId="77777777" w:rsidTr="00FF56BE">
        <w:trPr>
          <w:trHeight w:val="20"/>
        </w:trPr>
        <w:tc>
          <w:tcPr>
            <w:tcW w:w="1962" w:type="pct"/>
          </w:tcPr>
          <w:p w14:paraId="518AD574" w14:textId="77777777" w:rsidR="00FF56BE" w:rsidRPr="00AA4FE6" w:rsidRDefault="00FF56BE" w:rsidP="00FF56BE">
            <w:pPr>
              <w:pStyle w:val="TableText0"/>
              <w:keepLines/>
              <w:jc w:val="right"/>
            </w:pPr>
            <w:r w:rsidRPr="00AA4FE6">
              <w:t>At high dose but did not respond at 6 months</w:t>
            </w:r>
          </w:p>
        </w:tc>
        <w:tc>
          <w:tcPr>
            <w:tcW w:w="440" w:type="pct"/>
          </w:tcPr>
          <w:p w14:paraId="562B9543" w14:textId="2B35F721" w:rsidR="00FF56BE" w:rsidRPr="00AA4FE6" w:rsidRDefault="0066157F" w:rsidP="00FF56BE">
            <w:pPr>
              <w:pStyle w:val="TableText0"/>
              <w:keepLines/>
              <w:jc w:val="center"/>
            </w:pPr>
            <w:r w:rsidRPr="0066157F">
              <w:rPr>
                <w:color w:val="000000"/>
                <w:spacing w:val="204"/>
                <w:shd w:val="solid" w:color="000000" w:fill="000000"/>
                <w:fitText w:val="290" w:id="-894207743"/>
                <w14:textFill>
                  <w14:solidFill>
                    <w14:srgbClr w14:val="000000">
                      <w14:alpha w14:val="100000"/>
                    </w14:srgbClr>
                  </w14:solidFill>
                </w14:textFill>
              </w:rPr>
              <w:t>|</w:t>
            </w:r>
            <w:r w:rsidRPr="0066157F">
              <w:rPr>
                <w:color w:val="000000"/>
                <w:spacing w:val="1"/>
                <w:shd w:val="solid" w:color="000000" w:fill="000000"/>
                <w:fitText w:val="290" w:id="-894207743"/>
                <w14:textFill>
                  <w14:solidFill>
                    <w14:srgbClr w14:val="000000">
                      <w14:alpha w14:val="100000"/>
                    </w14:srgbClr>
                  </w14:solidFill>
                </w14:textFill>
              </w:rPr>
              <w:t>|</w:t>
            </w:r>
            <w:r w:rsidR="00FF56BE">
              <w:rPr>
                <w:vertAlign w:val="superscript"/>
              </w:rPr>
              <w:t>1</w:t>
            </w:r>
          </w:p>
        </w:tc>
        <w:tc>
          <w:tcPr>
            <w:tcW w:w="520" w:type="pct"/>
          </w:tcPr>
          <w:p w14:paraId="610A082D" w14:textId="30666FA9" w:rsidR="00FF56BE" w:rsidRPr="00AA4FE6" w:rsidRDefault="0066157F" w:rsidP="00FF56BE">
            <w:pPr>
              <w:pStyle w:val="TableText0"/>
              <w:keepLines/>
              <w:jc w:val="center"/>
            </w:pPr>
            <w:r w:rsidRPr="0066157F">
              <w:rPr>
                <w:color w:val="000000"/>
                <w:spacing w:val="51"/>
                <w:shd w:val="solid" w:color="000000" w:fill="000000"/>
                <w:fitText w:val="230" w:id="-894207742"/>
                <w14:textFill>
                  <w14:solidFill>
                    <w14:srgbClr w14:val="000000">
                      <w14:alpha w14:val="100000"/>
                    </w14:srgbClr>
                  </w14:solidFill>
                </w14:textFill>
              </w:rPr>
              <w:t>||</w:t>
            </w:r>
            <w:r w:rsidRPr="0066157F">
              <w:rPr>
                <w:color w:val="000000"/>
                <w:spacing w:val="1"/>
                <w:shd w:val="solid" w:color="000000" w:fill="000000"/>
                <w:fitText w:val="230" w:id="-894207742"/>
                <w14:textFill>
                  <w14:solidFill>
                    <w14:srgbClr w14:val="000000">
                      <w14:alpha w14:val="100000"/>
                    </w14:srgbClr>
                  </w14:solidFill>
                </w14:textFill>
              </w:rPr>
              <w:t>|</w:t>
            </w:r>
            <w:r w:rsidR="00FF56BE" w:rsidRPr="00D9581C">
              <w:rPr>
                <w:vertAlign w:val="superscript"/>
              </w:rPr>
              <w:t xml:space="preserve"> 1</w:t>
            </w:r>
          </w:p>
        </w:tc>
        <w:tc>
          <w:tcPr>
            <w:tcW w:w="520" w:type="pct"/>
          </w:tcPr>
          <w:p w14:paraId="58E88235" w14:textId="1E9BB15F" w:rsidR="00FF56BE" w:rsidRPr="00AA4FE6" w:rsidRDefault="0066157F" w:rsidP="00FF56BE">
            <w:pPr>
              <w:pStyle w:val="TableText0"/>
              <w:keepLines/>
              <w:jc w:val="center"/>
            </w:pPr>
            <w:r w:rsidRPr="0066157F">
              <w:rPr>
                <w:color w:val="000000"/>
                <w:spacing w:val="51"/>
                <w:shd w:val="solid" w:color="000000" w:fill="000000"/>
                <w:fitText w:val="230" w:id="-894207741"/>
                <w14:textFill>
                  <w14:solidFill>
                    <w14:srgbClr w14:val="000000">
                      <w14:alpha w14:val="100000"/>
                    </w14:srgbClr>
                  </w14:solidFill>
                </w14:textFill>
              </w:rPr>
              <w:t>||</w:t>
            </w:r>
            <w:r w:rsidRPr="0066157F">
              <w:rPr>
                <w:color w:val="000000"/>
                <w:spacing w:val="1"/>
                <w:shd w:val="solid" w:color="000000" w:fill="000000"/>
                <w:fitText w:val="230" w:id="-894207741"/>
                <w14:textFill>
                  <w14:solidFill>
                    <w14:srgbClr w14:val="000000">
                      <w14:alpha w14:val="100000"/>
                    </w14:srgbClr>
                  </w14:solidFill>
                </w14:textFill>
              </w:rPr>
              <w:t>|</w:t>
            </w:r>
            <w:r w:rsidR="00FF56BE" w:rsidRPr="00D9581C">
              <w:rPr>
                <w:vertAlign w:val="superscript"/>
              </w:rPr>
              <w:t xml:space="preserve"> 1</w:t>
            </w:r>
          </w:p>
        </w:tc>
        <w:tc>
          <w:tcPr>
            <w:tcW w:w="519" w:type="pct"/>
          </w:tcPr>
          <w:p w14:paraId="6AD81F9E" w14:textId="0115E54A" w:rsidR="00FF56BE" w:rsidRPr="00AA4FE6" w:rsidRDefault="0066157F" w:rsidP="00FF56BE">
            <w:pPr>
              <w:pStyle w:val="TableText0"/>
              <w:keepLines/>
              <w:jc w:val="center"/>
            </w:pPr>
            <w:r w:rsidRPr="0066157F">
              <w:rPr>
                <w:color w:val="000000"/>
                <w:spacing w:val="46"/>
                <w:shd w:val="solid" w:color="000000" w:fill="000000"/>
                <w:fitText w:val="220" w:id="-894207740"/>
                <w14:textFill>
                  <w14:solidFill>
                    <w14:srgbClr w14:val="000000">
                      <w14:alpha w14:val="100000"/>
                    </w14:srgbClr>
                  </w14:solidFill>
                </w14:textFill>
              </w:rPr>
              <w:t>||</w:t>
            </w:r>
            <w:r w:rsidRPr="0066157F">
              <w:rPr>
                <w:color w:val="000000"/>
                <w:spacing w:val="1"/>
                <w:shd w:val="solid" w:color="000000" w:fill="000000"/>
                <w:fitText w:val="220" w:id="-894207740"/>
                <w14:textFill>
                  <w14:solidFill>
                    <w14:srgbClr w14:val="000000">
                      <w14:alpha w14:val="100000"/>
                    </w14:srgbClr>
                  </w14:solidFill>
                </w14:textFill>
              </w:rPr>
              <w:t>|</w:t>
            </w:r>
            <w:r w:rsidR="00FF56BE" w:rsidRPr="00D9581C">
              <w:rPr>
                <w:vertAlign w:val="superscript"/>
              </w:rPr>
              <w:t xml:space="preserve"> 1</w:t>
            </w:r>
          </w:p>
        </w:tc>
        <w:tc>
          <w:tcPr>
            <w:tcW w:w="520" w:type="pct"/>
          </w:tcPr>
          <w:p w14:paraId="0041CD9D" w14:textId="68DF776E" w:rsidR="00FF56BE" w:rsidRPr="00AA4FE6" w:rsidRDefault="0066157F" w:rsidP="00FF56BE">
            <w:pPr>
              <w:pStyle w:val="TableText0"/>
              <w:keepLines/>
              <w:jc w:val="center"/>
            </w:pPr>
            <w:r w:rsidRPr="0066157F">
              <w:rPr>
                <w:color w:val="000000"/>
                <w:spacing w:val="51"/>
                <w:shd w:val="solid" w:color="000000" w:fill="000000"/>
                <w:fitText w:val="230" w:id="-894207739"/>
                <w14:textFill>
                  <w14:solidFill>
                    <w14:srgbClr w14:val="000000">
                      <w14:alpha w14:val="100000"/>
                    </w14:srgbClr>
                  </w14:solidFill>
                </w14:textFill>
              </w:rPr>
              <w:t>||</w:t>
            </w:r>
            <w:r w:rsidRPr="0066157F">
              <w:rPr>
                <w:color w:val="000000"/>
                <w:spacing w:val="1"/>
                <w:shd w:val="solid" w:color="000000" w:fill="000000"/>
                <w:fitText w:val="230" w:id="-894207739"/>
                <w14:textFill>
                  <w14:solidFill>
                    <w14:srgbClr w14:val="000000">
                      <w14:alpha w14:val="100000"/>
                    </w14:srgbClr>
                  </w14:solidFill>
                </w14:textFill>
              </w:rPr>
              <w:t>|</w:t>
            </w:r>
            <w:r w:rsidR="00FF56BE" w:rsidRPr="00D9581C">
              <w:rPr>
                <w:vertAlign w:val="superscript"/>
              </w:rPr>
              <w:t xml:space="preserve"> 1</w:t>
            </w:r>
          </w:p>
        </w:tc>
        <w:tc>
          <w:tcPr>
            <w:tcW w:w="519" w:type="pct"/>
          </w:tcPr>
          <w:p w14:paraId="7779B202" w14:textId="354FD51B" w:rsidR="00FF56BE" w:rsidRPr="00AA4FE6" w:rsidRDefault="0066157F" w:rsidP="00FF56BE">
            <w:pPr>
              <w:pStyle w:val="TableText0"/>
              <w:keepLines/>
              <w:jc w:val="center"/>
            </w:pPr>
            <w:r w:rsidRPr="0066157F">
              <w:rPr>
                <w:color w:val="000000"/>
                <w:spacing w:val="46"/>
                <w:shd w:val="solid" w:color="000000" w:fill="000000"/>
                <w:fitText w:val="220" w:id="-894207738"/>
                <w14:textFill>
                  <w14:solidFill>
                    <w14:srgbClr w14:val="000000">
                      <w14:alpha w14:val="100000"/>
                    </w14:srgbClr>
                  </w14:solidFill>
                </w14:textFill>
              </w:rPr>
              <w:t>||</w:t>
            </w:r>
            <w:r w:rsidRPr="0066157F">
              <w:rPr>
                <w:color w:val="000000"/>
                <w:spacing w:val="1"/>
                <w:shd w:val="solid" w:color="000000" w:fill="000000"/>
                <w:fitText w:val="220" w:id="-894207738"/>
                <w14:textFill>
                  <w14:solidFill>
                    <w14:srgbClr w14:val="000000">
                      <w14:alpha w14:val="100000"/>
                    </w14:srgbClr>
                  </w14:solidFill>
                </w14:textFill>
              </w:rPr>
              <w:t>|</w:t>
            </w:r>
            <w:r w:rsidR="00FF56BE" w:rsidRPr="00D9581C">
              <w:rPr>
                <w:vertAlign w:val="superscript"/>
              </w:rPr>
              <w:t xml:space="preserve"> 1</w:t>
            </w:r>
          </w:p>
        </w:tc>
      </w:tr>
      <w:tr w:rsidR="00AA4FE6" w:rsidRPr="00AA4FE6" w14:paraId="18F6B847" w14:textId="77777777" w:rsidTr="00173384">
        <w:trPr>
          <w:trHeight w:val="20"/>
        </w:trPr>
        <w:tc>
          <w:tcPr>
            <w:tcW w:w="5000" w:type="pct"/>
            <w:gridSpan w:val="7"/>
          </w:tcPr>
          <w:p w14:paraId="5E26FE4D" w14:textId="77777777" w:rsidR="00AA4FE6" w:rsidRPr="00AA4FE6" w:rsidRDefault="00AA4FE6" w:rsidP="00173384">
            <w:pPr>
              <w:pStyle w:val="TableText0"/>
              <w:keepLines/>
            </w:pPr>
            <w:r w:rsidRPr="00AA4FE6">
              <w:rPr>
                <w:b/>
                <w:bCs w:val="0"/>
              </w:rPr>
              <w:t xml:space="preserve">Scripts (100% compliance and uptake) </w:t>
            </w:r>
            <w:r w:rsidRPr="00AA4FE6">
              <w:rPr>
                <w:b/>
                <w:bCs w:val="0"/>
                <w:vertAlign w:val="superscript"/>
              </w:rPr>
              <w:t>b,</w:t>
            </w:r>
            <w:r w:rsidRPr="00AA4FE6" w:rsidDel="00BD1A27">
              <w:rPr>
                <w:b/>
                <w:bCs w:val="0"/>
                <w:vertAlign w:val="superscript"/>
              </w:rPr>
              <w:t xml:space="preserve"> </w:t>
            </w:r>
          </w:p>
        </w:tc>
      </w:tr>
      <w:tr w:rsidR="00AA4FE6" w:rsidRPr="00AA4FE6" w14:paraId="5E700675" w14:textId="77777777" w:rsidTr="00FF56BE">
        <w:trPr>
          <w:trHeight w:val="20"/>
        </w:trPr>
        <w:tc>
          <w:tcPr>
            <w:tcW w:w="1962" w:type="pct"/>
          </w:tcPr>
          <w:p w14:paraId="4C082946" w14:textId="77777777" w:rsidR="00AA4FE6" w:rsidRPr="00AA4FE6" w:rsidRDefault="00AA4FE6" w:rsidP="00173384">
            <w:pPr>
              <w:pStyle w:val="TableText0"/>
              <w:keepLines/>
            </w:pPr>
            <w:r w:rsidRPr="00AA4FE6">
              <w:t>200 mcg capsules</w:t>
            </w:r>
          </w:p>
        </w:tc>
        <w:tc>
          <w:tcPr>
            <w:tcW w:w="440" w:type="pct"/>
          </w:tcPr>
          <w:p w14:paraId="70244615" w14:textId="1DAD19BB" w:rsidR="00AA4FE6" w:rsidRPr="00AA4FE6" w:rsidRDefault="0066157F" w:rsidP="00173384">
            <w:pPr>
              <w:pStyle w:val="TableText0"/>
              <w:keepLines/>
              <w:jc w:val="center"/>
            </w:pPr>
            <w:r w:rsidRPr="0066157F">
              <w:rPr>
                <w:color w:val="000000"/>
                <w:spacing w:val="204"/>
                <w:shd w:val="solid" w:color="000000" w:fill="000000"/>
                <w:fitText w:val="290" w:id="-894207737"/>
                <w14:textFill>
                  <w14:solidFill>
                    <w14:srgbClr w14:val="000000">
                      <w14:alpha w14:val="100000"/>
                    </w14:srgbClr>
                  </w14:solidFill>
                </w14:textFill>
              </w:rPr>
              <w:t>|</w:t>
            </w:r>
            <w:r w:rsidRPr="0066157F">
              <w:rPr>
                <w:color w:val="000000"/>
                <w:spacing w:val="1"/>
                <w:shd w:val="solid" w:color="000000" w:fill="000000"/>
                <w:fitText w:val="290" w:id="-894207737"/>
                <w14:textFill>
                  <w14:solidFill>
                    <w14:srgbClr w14:val="000000">
                      <w14:alpha w14:val="100000"/>
                    </w14:srgbClr>
                  </w14:solidFill>
                </w14:textFill>
              </w:rPr>
              <w:t>|</w:t>
            </w:r>
            <w:r w:rsidR="00FF56BE">
              <w:rPr>
                <w:vertAlign w:val="superscript"/>
              </w:rPr>
              <w:t>1</w:t>
            </w:r>
          </w:p>
        </w:tc>
        <w:tc>
          <w:tcPr>
            <w:tcW w:w="520" w:type="pct"/>
          </w:tcPr>
          <w:p w14:paraId="3AA183CC" w14:textId="09A118CF" w:rsidR="00AA4FE6" w:rsidRPr="00AA4FE6" w:rsidRDefault="0066157F" w:rsidP="00173384">
            <w:pPr>
              <w:pStyle w:val="TableText0"/>
              <w:keepLines/>
              <w:jc w:val="center"/>
            </w:pPr>
            <w:r w:rsidRPr="0066157F">
              <w:rPr>
                <w:color w:val="000000"/>
                <w:spacing w:val="51"/>
                <w:shd w:val="solid" w:color="000000" w:fill="000000"/>
                <w:fitText w:val="230" w:id="-894207736"/>
                <w14:textFill>
                  <w14:solidFill>
                    <w14:srgbClr w14:val="000000">
                      <w14:alpha w14:val="100000"/>
                    </w14:srgbClr>
                  </w14:solidFill>
                </w14:textFill>
              </w:rPr>
              <w:t>||</w:t>
            </w:r>
            <w:r w:rsidRPr="0066157F">
              <w:rPr>
                <w:color w:val="000000"/>
                <w:spacing w:val="1"/>
                <w:shd w:val="solid" w:color="000000" w:fill="000000"/>
                <w:fitText w:val="230" w:id="-894207736"/>
                <w14:textFill>
                  <w14:solidFill>
                    <w14:srgbClr w14:val="000000">
                      <w14:alpha w14:val="100000"/>
                    </w14:srgbClr>
                  </w14:solidFill>
                </w14:textFill>
              </w:rPr>
              <w:t>|</w:t>
            </w:r>
            <w:r w:rsidR="00362065">
              <w:rPr>
                <w:vertAlign w:val="superscript"/>
              </w:rPr>
              <w:t xml:space="preserve"> 1</w:t>
            </w:r>
          </w:p>
        </w:tc>
        <w:tc>
          <w:tcPr>
            <w:tcW w:w="520" w:type="pct"/>
          </w:tcPr>
          <w:p w14:paraId="6149FFCD" w14:textId="020F5FA5" w:rsidR="00AA4FE6" w:rsidRPr="00AA4FE6" w:rsidRDefault="0066157F" w:rsidP="00173384">
            <w:pPr>
              <w:pStyle w:val="TableText0"/>
              <w:keepLines/>
              <w:jc w:val="center"/>
            </w:pPr>
            <w:r w:rsidRPr="0066157F">
              <w:rPr>
                <w:color w:val="000000"/>
                <w:spacing w:val="51"/>
                <w:shd w:val="solid" w:color="000000" w:fill="000000"/>
                <w:fitText w:val="230" w:id="-894207735"/>
                <w14:textFill>
                  <w14:solidFill>
                    <w14:srgbClr w14:val="000000">
                      <w14:alpha w14:val="100000"/>
                    </w14:srgbClr>
                  </w14:solidFill>
                </w14:textFill>
              </w:rPr>
              <w:t>||</w:t>
            </w:r>
            <w:r w:rsidRPr="0066157F">
              <w:rPr>
                <w:color w:val="000000"/>
                <w:spacing w:val="1"/>
                <w:shd w:val="solid" w:color="000000" w:fill="000000"/>
                <w:fitText w:val="230" w:id="-894207735"/>
                <w14:textFill>
                  <w14:solidFill>
                    <w14:srgbClr w14:val="000000">
                      <w14:alpha w14:val="100000"/>
                    </w14:srgbClr>
                  </w14:solidFill>
                </w14:textFill>
              </w:rPr>
              <w:t>|</w:t>
            </w:r>
            <w:r w:rsidR="00362065">
              <w:rPr>
                <w:vertAlign w:val="superscript"/>
              </w:rPr>
              <w:t xml:space="preserve"> 1</w:t>
            </w:r>
          </w:p>
        </w:tc>
        <w:tc>
          <w:tcPr>
            <w:tcW w:w="519" w:type="pct"/>
          </w:tcPr>
          <w:p w14:paraId="6EE73B61" w14:textId="676EBC2C" w:rsidR="00AA4FE6" w:rsidRPr="00AA4FE6" w:rsidRDefault="0066157F" w:rsidP="00173384">
            <w:pPr>
              <w:pStyle w:val="TableText0"/>
              <w:keepLines/>
              <w:jc w:val="center"/>
            </w:pPr>
            <w:r w:rsidRPr="0066157F">
              <w:rPr>
                <w:color w:val="000000"/>
                <w:spacing w:val="46"/>
                <w:shd w:val="solid" w:color="000000" w:fill="000000"/>
                <w:fitText w:val="220" w:id="-894207734"/>
                <w14:textFill>
                  <w14:solidFill>
                    <w14:srgbClr w14:val="000000">
                      <w14:alpha w14:val="100000"/>
                    </w14:srgbClr>
                  </w14:solidFill>
                </w14:textFill>
              </w:rPr>
              <w:t>||</w:t>
            </w:r>
            <w:r w:rsidRPr="0066157F">
              <w:rPr>
                <w:color w:val="000000"/>
                <w:spacing w:val="1"/>
                <w:shd w:val="solid" w:color="000000" w:fill="000000"/>
                <w:fitText w:val="220" w:id="-894207734"/>
                <w14:textFill>
                  <w14:solidFill>
                    <w14:srgbClr w14:val="000000">
                      <w14:alpha w14:val="100000"/>
                    </w14:srgbClr>
                  </w14:solidFill>
                </w14:textFill>
              </w:rPr>
              <w:t>|</w:t>
            </w:r>
            <w:r w:rsidR="00362065">
              <w:rPr>
                <w:vertAlign w:val="superscript"/>
              </w:rPr>
              <w:t xml:space="preserve"> 1</w:t>
            </w:r>
          </w:p>
        </w:tc>
        <w:tc>
          <w:tcPr>
            <w:tcW w:w="520" w:type="pct"/>
          </w:tcPr>
          <w:p w14:paraId="37DDE543" w14:textId="6D3DB947" w:rsidR="00AA4FE6" w:rsidRPr="00AA4FE6" w:rsidRDefault="0066157F" w:rsidP="00173384">
            <w:pPr>
              <w:pStyle w:val="TableText0"/>
              <w:keepLines/>
              <w:jc w:val="center"/>
            </w:pPr>
            <w:r w:rsidRPr="0066157F">
              <w:rPr>
                <w:color w:val="000000"/>
                <w:spacing w:val="51"/>
                <w:shd w:val="solid" w:color="000000" w:fill="000000"/>
                <w:fitText w:val="230" w:id="-894207733"/>
                <w14:textFill>
                  <w14:solidFill>
                    <w14:srgbClr w14:val="000000">
                      <w14:alpha w14:val="100000"/>
                    </w14:srgbClr>
                  </w14:solidFill>
                </w14:textFill>
              </w:rPr>
              <w:t>||</w:t>
            </w:r>
            <w:r w:rsidRPr="0066157F">
              <w:rPr>
                <w:color w:val="000000"/>
                <w:spacing w:val="1"/>
                <w:shd w:val="solid" w:color="000000" w:fill="000000"/>
                <w:fitText w:val="230" w:id="-894207733"/>
                <w14:textFill>
                  <w14:solidFill>
                    <w14:srgbClr w14:val="000000">
                      <w14:alpha w14:val="100000"/>
                    </w14:srgbClr>
                  </w14:solidFill>
                </w14:textFill>
              </w:rPr>
              <w:t>|</w:t>
            </w:r>
            <w:r w:rsidR="00362065">
              <w:rPr>
                <w:vertAlign w:val="superscript"/>
              </w:rPr>
              <w:t xml:space="preserve"> 1</w:t>
            </w:r>
          </w:p>
        </w:tc>
        <w:tc>
          <w:tcPr>
            <w:tcW w:w="519" w:type="pct"/>
          </w:tcPr>
          <w:p w14:paraId="56B0F9E7" w14:textId="7494FEF4" w:rsidR="00AA4FE6" w:rsidRPr="00AA4FE6" w:rsidRDefault="0066157F" w:rsidP="00173384">
            <w:pPr>
              <w:pStyle w:val="TableText0"/>
              <w:keepLines/>
              <w:jc w:val="center"/>
            </w:pPr>
            <w:r w:rsidRPr="0066157F">
              <w:rPr>
                <w:color w:val="000000"/>
                <w:spacing w:val="46"/>
                <w:shd w:val="solid" w:color="000000" w:fill="000000"/>
                <w:fitText w:val="220" w:id="-894207732"/>
                <w14:textFill>
                  <w14:solidFill>
                    <w14:srgbClr w14:val="000000">
                      <w14:alpha w14:val="100000"/>
                    </w14:srgbClr>
                  </w14:solidFill>
                </w14:textFill>
              </w:rPr>
              <w:t>||</w:t>
            </w:r>
            <w:r w:rsidRPr="0066157F">
              <w:rPr>
                <w:color w:val="000000"/>
                <w:spacing w:val="1"/>
                <w:shd w:val="solid" w:color="000000" w:fill="000000"/>
                <w:fitText w:val="220" w:id="-894207732"/>
                <w14:textFill>
                  <w14:solidFill>
                    <w14:srgbClr w14:val="000000">
                      <w14:alpha w14:val="100000"/>
                    </w14:srgbClr>
                  </w14:solidFill>
                </w14:textFill>
              </w:rPr>
              <w:t>|</w:t>
            </w:r>
            <w:r w:rsidR="00362065">
              <w:rPr>
                <w:vertAlign w:val="superscript"/>
              </w:rPr>
              <w:t xml:space="preserve"> 1</w:t>
            </w:r>
          </w:p>
        </w:tc>
      </w:tr>
      <w:tr w:rsidR="00AA4FE6" w:rsidRPr="00AA4FE6" w14:paraId="341C3F17" w14:textId="77777777" w:rsidTr="00FF56BE">
        <w:trPr>
          <w:trHeight w:val="20"/>
        </w:trPr>
        <w:tc>
          <w:tcPr>
            <w:tcW w:w="1962" w:type="pct"/>
          </w:tcPr>
          <w:p w14:paraId="0AB493CB" w14:textId="77777777" w:rsidR="00AA4FE6" w:rsidRPr="00AA4FE6" w:rsidRDefault="00AA4FE6" w:rsidP="00173384">
            <w:pPr>
              <w:pStyle w:val="TableText0"/>
              <w:keepLines/>
            </w:pPr>
            <w:r w:rsidRPr="00AA4FE6">
              <w:t>400 mcg capsules</w:t>
            </w:r>
          </w:p>
        </w:tc>
        <w:tc>
          <w:tcPr>
            <w:tcW w:w="440" w:type="pct"/>
          </w:tcPr>
          <w:p w14:paraId="4C968BB1" w14:textId="42B86A4B" w:rsidR="00AA4FE6" w:rsidRPr="00AA4FE6" w:rsidRDefault="0066157F" w:rsidP="00173384">
            <w:pPr>
              <w:pStyle w:val="TableText0"/>
              <w:keepLines/>
              <w:jc w:val="center"/>
            </w:pPr>
            <w:r w:rsidRPr="0066157F">
              <w:rPr>
                <w:color w:val="000000"/>
                <w:spacing w:val="214"/>
                <w:shd w:val="solid" w:color="000000" w:fill="000000"/>
                <w:fitText w:val="300" w:id="-894207731"/>
                <w14:textFill>
                  <w14:solidFill>
                    <w14:srgbClr w14:val="000000">
                      <w14:alpha w14:val="100000"/>
                    </w14:srgbClr>
                  </w14:solidFill>
                </w14:textFill>
              </w:rPr>
              <w:t>|</w:t>
            </w:r>
            <w:r w:rsidRPr="0066157F">
              <w:rPr>
                <w:color w:val="000000"/>
                <w:spacing w:val="1"/>
                <w:shd w:val="solid" w:color="000000" w:fill="000000"/>
                <w:fitText w:val="300" w:id="-894207731"/>
                <w14:textFill>
                  <w14:solidFill>
                    <w14:srgbClr w14:val="000000">
                      <w14:alpha w14:val="100000"/>
                    </w14:srgbClr>
                  </w14:solidFill>
                </w14:textFill>
              </w:rPr>
              <w:t>|</w:t>
            </w:r>
            <w:r w:rsidR="00362065">
              <w:rPr>
                <w:vertAlign w:val="superscript"/>
              </w:rPr>
              <w:t xml:space="preserve"> 1</w:t>
            </w:r>
          </w:p>
        </w:tc>
        <w:tc>
          <w:tcPr>
            <w:tcW w:w="520" w:type="pct"/>
          </w:tcPr>
          <w:p w14:paraId="4679E0F0" w14:textId="550FB343" w:rsidR="00AA4FE6" w:rsidRPr="00AA4FE6" w:rsidRDefault="0066157F" w:rsidP="00173384">
            <w:pPr>
              <w:pStyle w:val="TableText0"/>
              <w:keepLines/>
              <w:jc w:val="center"/>
            </w:pPr>
            <w:r w:rsidRPr="0066157F">
              <w:rPr>
                <w:color w:val="000000"/>
                <w:spacing w:val="51"/>
                <w:shd w:val="solid" w:color="000000" w:fill="000000"/>
                <w:fitText w:val="230" w:id="-894207730"/>
                <w14:textFill>
                  <w14:solidFill>
                    <w14:srgbClr w14:val="000000">
                      <w14:alpha w14:val="100000"/>
                    </w14:srgbClr>
                  </w14:solidFill>
                </w14:textFill>
              </w:rPr>
              <w:t>||</w:t>
            </w:r>
            <w:r w:rsidRPr="0066157F">
              <w:rPr>
                <w:color w:val="000000"/>
                <w:spacing w:val="1"/>
                <w:shd w:val="solid" w:color="000000" w:fill="000000"/>
                <w:fitText w:val="230" w:id="-894207730"/>
                <w14:textFill>
                  <w14:solidFill>
                    <w14:srgbClr w14:val="000000">
                      <w14:alpha w14:val="100000"/>
                    </w14:srgbClr>
                  </w14:solidFill>
                </w14:textFill>
              </w:rPr>
              <w:t>|</w:t>
            </w:r>
            <w:r w:rsidR="00362065">
              <w:rPr>
                <w:vertAlign w:val="superscript"/>
              </w:rPr>
              <w:t xml:space="preserve"> 2</w:t>
            </w:r>
          </w:p>
        </w:tc>
        <w:tc>
          <w:tcPr>
            <w:tcW w:w="520" w:type="pct"/>
          </w:tcPr>
          <w:p w14:paraId="4CB736A5" w14:textId="4FC959A4" w:rsidR="00AA4FE6" w:rsidRPr="00AA4FE6" w:rsidRDefault="0066157F" w:rsidP="00173384">
            <w:pPr>
              <w:pStyle w:val="TableText0"/>
              <w:keepLines/>
              <w:jc w:val="center"/>
            </w:pPr>
            <w:r w:rsidRPr="0066157F">
              <w:rPr>
                <w:color w:val="000000"/>
                <w:spacing w:val="51"/>
                <w:shd w:val="solid" w:color="000000" w:fill="000000"/>
                <w:fitText w:val="230" w:id="-894207729"/>
                <w14:textFill>
                  <w14:solidFill>
                    <w14:srgbClr w14:val="000000">
                      <w14:alpha w14:val="100000"/>
                    </w14:srgbClr>
                  </w14:solidFill>
                </w14:textFill>
              </w:rPr>
              <w:t>||</w:t>
            </w:r>
            <w:r w:rsidRPr="0066157F">
              <w:rPr>
                <w:color w:val="000000"/>
                <w:spacing w:val="1"/>
                <w:shd w:val="solid" w:color="000000" w:fill="000000"/>
                <w:fitText w:val="230" w:id="-894207729"/>
                <w14:textFill>
                  <w14:solidFill>
                    <w14:srgbClr w14:val="000000">
                      <w14:alpha w14:val="100000"/>
                    </w14:srgbClr>
                  </w14:solidFill>
                </w14:textFill>
              </w:rPr>
              <w:t>|</w:t>
            </w:r>
            <w:r w:rsidR="00362065">
              <w:rPr>
                <w:vertAlign w:val="superscript"/>
              </w:rPr>
              <w:t xml:space="preserve"> 2</w:t>
            </w:r>
          </w:p>
        </w:tc>
        <w:tc>
          <w:tcPr>
            <w:tcW w:w="519" w:type="pct"/>
          </w:tcPr>
          <w:p w14:paraId="2BB84184" w14:textId="5B825445" w:rsidR="00AA4FE6" w:rsidRPr="00AA4FE6" w:rsidRDefault="0066157F" w:rsidP="00173384">
            <w:pPr>
              <w:pStyle w:val="TableText0"/>
              <w:keepLines/>
              <w:jc w:val="center"/>
            </w:pPr>
            <w:r w:rsidRPr="0066157F">
              <w:rPr>
                <w:color w:val="000000"/>
                <w:spacing w:val="46"/>
                <w:shd w:val="solid" w:color="000000" w:fill="000000"/>
                <w:fitText w:val="220" w:id="-894207728"/>
                <w14:textFill>
                  <w14:solidFill>
                    <w14:srgbClr w14:val="000000">
                      <w14:alpha w14:val="100000"/>
                    </w14:srgbClr>
                  </w14:solidFill>
                </w14:textFill>
              </w:rPr>
              <w:t>||</w:t>
            </w:r>
            <w:r w:rsidRPr="0066157F">
              <w:rPr>
                <w:color w:val="000000"/>
                <w:spacing w:val="1"/>
                <w:shd w:val="solid" w:color="000000" w:fill="000000"/>
                <w:fitText w:val="220" w:id="-894207728"/>
                <w14:textFill>
                  <w14:solidFill>
                    <w14:srgbClr w14:val="000000">
                      <w14:alpha w14:val="100000"/>
                    </w14:srgbClr>
                  </w14:solidFill>
                </w14:textFill>
              </w:rPr>
              <w:t>|</w:t>
            </w:r>
            <w:r w:rsidR="00362065">
              <w:rPr>
                <w:vertAlign w:val="superscript"/>
              </w:rPr>
              <w:t xml:space="preserve"> 2</w:t>
            </w:r>
          </w:p>
        </w:tc>
        <w:tc>
          <w:tcPr>
            <w:tcW w:w="520" w:type="pct"/>
          </w:tcPr>
          <w:p w14:paraId="56B63C2B" w14:textId="60D2B79A" w:rsidR="00AA4FE6" w:rsidRPr="00AA4FE6" w:rsidRDefault="0066157F" w:rsidP="00173384">
            <w:pPr>
              <w:pStyle w:val="TableText0"/>
              <w:keepLines/>
              <w:jc w:val="center"/>
            </w:pPr>
            <w:r w:rsidRPr="0066157F">
              <w:rPr>
                <w:color w:val="000000"/>
                <w:spacing w:val="51"/>
                <w:shd w:val="solid" w:color="000000" w:fill="000000"/>
                <w:fitText w:val="230" w:id="-894207744"/>
                <w14:textFill>
                  <w14:solidFill>
                    <w14:srgbClr w14:val="000000">
                      <w14:alpha w14:val="100000"/>
                    </w14:srgbClr>
                  </w14:solidFill>
                </w14:textFill>
              </w:rPr>
              <w:t>||</w:t>
            </w:r>
            <w:r w:rsidRPr="0066157F">
              <w:rPr>
                <w:color w:val="000000"/>
                <w:spacing w:val="1"/>
                <w:shd w:val="solid" w:color="000000" w:fill="000000"/>
                <w:fitText w:val="230" w:id="-894207744"/>
                <w14:textFill>
                  <w14:solidFill>
                    <w14:srgbClr w14:val="000000">
                      <w14:alpha w14:val="100000"/>
                    </w14:srgbClr>
                  </w14:solidFill>
                </w14:textFill>
              </w:rPr>
              <w:t>|</w:t>
            </w:r>
            <w:r w:rsidR="00362065">
              <w:rPr>
                <w:vertAlign w:val="superscript"/>
              </w:rPr>
              <w:t xml:space="preserve"> 2</w:t>
            </w:r>
          </w:p>
        </w:tc>
        <w:tc>
          <w:tcPr>
            <w:tcW w:w="519" w:type="pct"/>
          </w:tcPr>
          <w:p w14:paraId="282F27F2" w14:textId="5E686010" w:rsidR="00AA4FE6" w:rsidRPr="00AA4FE6" w:rsidRDefault="0066157F" w:rsidP="00173384">
            <w:pPr>
              <w:pStyle w:val="TableText0"/>
              <w:keepLines/>
              <w:jc w:val="center"/>
            </w:pPr>
            <w:r w:rsidRPr="0066157F">
              <w:rPr>
                <w:color w:val="000000"/>
                <w:spacing w:val="46"/>
                <w:shd w:val="solid" w:color="000000" w:fill="000000"/>
                <w:fitText w:val="220" w:id="-894207743"/>
                <w14:textFill>
                  <w14:solidFill>
                    <w14:srgbClr w14:val="000000">
                      <w14:alpha w14:val="100000"/>
                    </w14:srgbClr>
                  </w14:solidFill>
                </w14:textFill>
              </w:rPr>
              <w:t>||</w:t>
            </w:r>
            <w:r w:rsidRPr="0066157F">
              <w:rPr>
                <w:color w:val="000000"/>
                <w:spacing w:val="1"/>
                <w:shd w:val="solid" w:color="000000" w:fill="000000"/>
                <w:fitText w:val="220" w:id="-894207743"/>
                <w14:textFill>
                  <w14:solidFill>
                    <w14:srgbClr w14:val="000000">
                      <w14:alpha w14:val="100000"/>
                    </w14:srgbClr>
                  </w14:solidFill>
                </w14:textFill>
              </w:rPr>
              <w:t>|</w:t>
            </w:r>
            <w:r w:rsidR="00362065">
              <w:rPr>
                <w:vertAlign w:val="superscript"/>
              </w:rPr>
              <w:t xml:space="preserve"> 2</w:t>
            </w:r>
          </w:p>
        </w:tc>
      </w:tr>
      <w:tr w:rsidR="00AA4FE6" w:rsidRPr="00AA4FE6" w14:paraId="748091E1" w14:textId="77777777" w:rsidTr="00FF56BE">
        <w:trPr>
          <w:trHeight w:val="20"/>
        </w:trPr>
        <w:tc>
          <w:tcPr>
            <w:tcW w:w="1962" w:type="pct"/>
          </w:tcPr>
          <w:p w14:paraId="3AAD1678" w14:textId="77777777" w:rsidR="00AA4FE6" w:rsidRPr="00AA4FE6" w:rsidRDefault="00AA4FE6" w:rsidP="00173384">
            <w:pPr>
              <w:pStyle w:val="TableText0"/>
              <w:keepLines/>
            </w:pPr>
            <w:r w:rsidRPr="00AA4FE6">
              <w:t>600 mcg capsules</w:t>
            </w:r>
          </w:p>
        </w:tc>
        <w:tc>
          <w:tcPr>
            <w:tcW w:w="440" w:type="pct"/>
          </w:tcPr>
          <w:p w14:paraId="1D43CD84" w14:textId="175984A3" w:rsidR="00AA4FE6" w:rsidRPr="00AA4FE6" w:rsidRDefault="0066157F" w:rsidP="00173384">
            <w:pPr>
              <w:pStyle w:val="TableText0"/>
              <w:keepLines/>
              <w:jc w:val="center"/>
            </w:pPr>
            <w:r w:rsidRPr="0066157F">
              <w:rPr>
                <w:color w:val="000000"/>
                <w:spacing w:val="204"/>
                <w:shd w:val="solid" w:color="000000" w:fill="000000"/>
                <w:fitText w:val="290" w:id="-894207742"/>
                <w14:textFill>
                  <w14:solidFill>
                    <w14:srgbClr w14:val="000000">
                      <w14:alpha w14:val="100000"/>
                    </w14:srgbClr>
                  </w14:solidFill>
                </w14:textFill>
              </w:rPr>
              <w:t>|</w:t>
            </w:r>
            <w:r w:rsidRPr="0066157F">
              <w:rPr>
                <w:color w:val="000000"/>
                <w:spacing w:val="1"/>
                <w:shd w:val="solid" w:color="000000" w:fill="000000"/>
                <w:fitText w:val="290" w:id="-894207742"/>
                <w14:textFill>
                  <w14:solidFill>
                    <w14:srgbClr w14:val="000000">
                      <w14:alpha w14:val="100000"/>
                    </w14:srgbClr>
                  </w14:solidFill>
                </w14:textFill>
              </w:rPr>
              <w:t>|</w:t>
            </w:r>
            <w:r w:rsidR="00FF56BE">
              <w:rPr>
                <w:vertAlign w:val="superscript"/>
              </w:rPr>
              <w:t>1</w:t>
            </w:r>
          </w:p>
        </w:tc>
        <w:tc>
          <w:tcPr>
            <w:tcW w:w="520" w:type="pct"/>
          </w:tcPr>
          <w:p w14:paraId="4D300536" w14:textId="117598FD" w:rsidR="00AA4FE6" w:rsidRPr="00AA4FE6" w:rsidRDefault="0066157F" w:rsidP="00173384">
            <w:pPr>
              <w:pStyle w:val="TableText0"/>
              <w:keepLines/>
              <w:jc w:val="center"/>
            </w:pPr>
            <w:r w:rsidRPr="0066157F">
              <w:rPr>
                <w:color w:val="000000"/>
                <w:spacing w:val="51"/>
                <w:shd w:val="solid" w:color="000000" w:fill="000000"/>
                <w:fitText w:val="230" w:id="-894207741"/>
                <w14:textFill>
                  <w14:solidFill>
                    <w14:srgbClr w14:val="000000">
                      <w14:alpha w14:val="100000"/>
                    </w14:srgbClr>
                  </w14:solidFill>
                </w14:textFill>
              </w:rPr>
              <w:t>||</w:t>
            </w:r>
            <w:r w:rsidRPr="0066157F">
              <w:rPr>
                <w:color w:val="000000"/>
                <w:spacing w:val="1"/>
                <w:shd w:val="solid" w:color="000000" w:fill="000000"/>
                <w:fitText w:val="230" w:id="-894207741"/>
                <w14:textFill>
                  <w14:solidFill>
                    <w14:srgbClr w14:val="000000">
                      <w14:alpha w14:val="100000"/>
                    </w14:srgbClr>
                  </w14:solidFill>
                </w14:textFill>
              </w:rPr>
              <w:t>|</w:t>
            </w:r>
            <w:r w:rsidR="00362065">
              <w:rPr>
                <w:vertAlign w:val="superscript"/>
              </w:rPr>
              <w:t xml:space="preserve"> 1</w:t>
            </w:r>
          </w:p>
        </w:tc>
        <w:tc>
          <w:tcPr>
            <w:tcW w:w="520" w:type="pct"/>
          </w:tcPr>
          <w:p w14:paraId="4644D4AA" w14:textId="108953DE" w:rsidR="00AA4FE6" w:rsidRPr="00AA4FE6" w:rsidRDefault="0066157F" w:rsidP="00173384">
            <w:pPr>
              <w:pStyle w:val="TableText0"/>
              <w:keepLines/>
              <w:jc w:val="center"/>
            </w:pPr>
            <w:r w:rsidRPr="0066157F">
              <w:rPr>
                <w:color w:val="000000"/>
                <w:spacing w:val="51"/>
                <w:shd w:val="solid" w:color="000000" w:fill="000000"/>
                <w:fitText w:val="230" w:id="-894207740"/>
                <w14:textFill>
                  <w14:solidFill>
                    <w14:srgbClr w14:val="000000">
                      <w14:alpha w14:val="100000"/>
                    </w14:srgbClr>
                  </w14:solidFill>
                </w14:textFill>
              </w:rPr>
              <w:t>||</w:t>
            </w:r>
            <w:r w:rsidRPr="0066157F">
              <w:rPr>
                <w:color w:val="000000"/>
                <w:spacing w:val="1"/>
                <w:shd w:val="solid" w:color="000000" w:fill="000000"/>
                <w:fitText w:val="230" w:id="-894207740"/>
                <w14:textFill>
                  <w14:solidFill>
                    <w14:srgbClr w14:val="000000">
                      <w14:alpha w14:val="100000"/>
                    </w14:srgbClr>
                  </w14:solidFill>
                </w14:textFill>
              </w:rPr>
              <w:t>|</w:t>
            </w:r>
            <w:r w:rsidR="00362065">
              <w:rPr>
                <w:vertAlign w:val="superscript"/>
              </w:rPr>
              <w:t xml:space="preserve"> 1</w:t>
            </w:r>
          </w:p>
        </w:tc>
        <w:tc>
          <w:tcPr>
            <w:tcW w:w="519" w:type="pct"/>
          </w:tcPr>
          <w:p w14:paraId="599F54C0" w14:textId="58CF415F" w:rsidR="00AA4FE6" w:rsidRPr="00AA4FE6" w:rsidRDefault="0066157F" w:rsidP="00173384">
            <w:pPr>
              <w:pStyle w:val="TableText0"/>
              <w:keepLines/>
              <w:jc w:val="center"/>
            </w:pPr>
            <w:r w:rsidRPr="0066157F">
              <w:rPr>
                <w:color w:val="000000"/>
                <w:spacing w:val="46"/>
                <w:shd w:val="solid" w:color="000000" w:fill="000000"/>
                <w:fitText w:val="220" w:id="-894207739"/>
                <w14:textFill>
                  <w14:solidFill>
                    <w14:srgbClr w14:val="000000">
                      <w14:alpha w14:val="100000"/>
                    </w14:srgbClr>
                  </w14:solidFill>
                </w14:textFill>
              </w:rPr>
              <w:t>||</w:t>
            </w:r>
            <w:r w:rsidRPr="0066157F">
              <w:rPr>
                <w:color w:val="000000"/>
                <w:spacing w:val="1"/>
                <w:shd w:val="solid" w:color="000000" w:fill="000000"/>
                <w:fitText w:val="220" w:id="-894207739"/>
                <w14:textFill>
                  <w14:solidFill>
                    <w14:srgbClr w14:val="000000">
                      <w14:alpha w14:val="100000"/>
                    </w14:srgbClr>
                  </w14:solidFill>
                </w14:textFill>
              </w:rPr>
              <w:t>|</w:t>
            </w:r>
            <w:r w:rsidR="00362065">
              <w:rPr>
                <w:vertAlign w:val="superscript"/>
              </w:rPr>
              <w:t xml:space="preserve"> 1</w:t>
            </w:r>
          </w:p>
        </w:tc>
        <w:tc>
          <w:tcPr>
            <w:tcW w:w="520" w:type="pct"/>
          </w:tcPr>
          <w:p w14:paraId="50831F2B" w14:textId="064D8032" w:rsidR="00AA4FE6" w:rsidRPr="00AA4FE6" w:rsidRDefault="0066157F" w:rsidP="00173384">
            <w:pPr>
              <w:pStyle w:val="TableText0"/>
              <w:keepLines/>
              <w:jc w:val="center"/>
            </w:pPr>
            <w:r w:rsidRPr="0066157F">
              <w:rPr>
                <w:color w:val="000000"/>
                <w:spacing w:val="51"/>
                <w:shd w:val="solid" w:color="000000" w:fill="000000"/>
                <w:fitText w:val="230" w:id="-894207738"/>
                <w14:textFill>
                  <w14:solidFill>
                    <w14:srgbClr w14:val="000000">
                      <w14:alpha w14:val="100000"/>
                    </w14:srgbClr>
                  </w14:solidFill>
                </w14:textFill>
              </w:rPr>
              <w:t>||</w:t>
            </w:r>
            <w:r w:rsidRPr="0066157F">
              <w:rPr>
                <w:color w:val="000000"/>
                <w:spacing w:val="1"/>
                <w:shd w:val="solid" w:color="000000" w:fill="000000"/>
                <w:fitText w:val="230" w:id="-894207738"/>
                <w14:textFill>
                  <w14:solidFill>
                    <w14:srgbClr w14:val="000000">
                      <w14:alpha w14:val="100000"/>
                    </w14:srgbClr>
                  </w14:solidFill>
                </w14:textFill>
              </w:rPr>
              <w:t>|</w:t>
            </w:r>
            <w:r w:rsidR="00362065">
              <w:rPr>
                <w:vertAlign w:val="superscript"/>
              </w:rPr>
              <w:t xml:space="preserve"> 1</w:t>
            </w:r>
          </w:p>
        </w:tc>
        <w:tc>
          <w:tcPr>
            <w:tcW w:w="519" w:type="pct"/>
          </w:tcPr>
          <w:p w14:paraId="514F9128" w14:textId="41D848DC" w:rsidR="00AA4FE6" w:rsidRPr="00AA4FE6" w:rsidRDefault="0066157F" w:rsidP="00173384">
            <w:pPr>
              <w:pStyle w:val="TableText0"/>
              <w:keepLines/>
              <w:jc w:val="center"/>
            </w:pPr>
            <w:r w:rsidRPr="0066157F">
              <w:rPr>
                <w:color w:val="000000"/>
                <w:spacing w:val="46"/>
                <w:shd w:val="solid" w:color="000000" w:fill="000000"/>
                <w:fitText w:val="220" w:id="-894207737"/>
                <w14:textFill>
                  <w14:solidFill>
                    <w14:srgbClr w14:val="000000">
                      <w14:alpha w14:val="100000"/>
                    </w14:srgbClr>
                  </w14:solidFill>
                </w14:textFill>
              </w:rPr>
              <w:t>||</w:t>
            </w:r>
            <w:r w:rsidRPr="0066157F">
              <w:rPr>
                <w:color w:val="000000"/>
                <w:spacing w:val="1"/>
                <w:shd w:val="solid" w:color="000000" w:fill="000000"/>
                <w:fitText w:val="220" w:id="-894207737"/>
                <w14:textFill>
                  <w14:solidFill>
                    <w14:srgbClr w14:val="000000">
                      <w14:alpha w14:val="100000"/>
                    </w14:srgbClr>
                  </w14:solidFill>
                </w14:textFill>
              </w:rPr>
              <w:t>|</w:t>
            </w:r>
            <w:r w:rsidR="00362065">
              <w:rPr>
                <w:vertAlign w:val="superscript"/>
              </w:rPr>
              <w:t xml:space="preserve"> 1</w:t>
            </w:r>
          </w:p>
        </w:tc>
      </w:tr>
      <w:tr w:rsidR="00AA4FE6" w:rsidRPr="00AA4FE6" w14:paraId="3EA94958" w14:textId="77777777" w:rsidTr="00FF56BE">
        <w:trPr>
          <w:trHeight w:val="20"/>
        </w:trPr>
        <w:tc>
          <w:tcPr>
            <w:tcW w:w="1962" w:type="pct"/>
          </w:tcPr>
          <w:p w14:paraId="03696997" w14:textId="77777777" w:rsidR="00AA4FE6" w:rsidRPr="00AA4FE6" w:rsidRDefault="00AA4FE6" w:rsidP="00173384">
            <w:pPr>
              <w:pStyle w:val="TableText0"/>
              <w:keepLines/>
            </w:pPr>
            <w:r w:rsidRPr="00AA4FE6">
              <w:t>1200 mcg capsules</w:t>
            </w:r>
          </w:p>
        </w:tc>
        <w:tc>
          <w:tcPr>
            <w:tcW w:w="440" w:type="pct"/>
          </w:tcPr>
          <w:p w14:paraId="7E047B47" w14:textId="4FB31C63" w:rsidR="00AA4FE6" w:rsidRPr="00AA4FE6" w:rsidRDefault="0066157F" w:rsidP="00173384">
            <w:pPr>
              <w:pStyle w:val="TableText0"/>
              <w:keepLines/>
              <w:jc w:val="center"/>
            </w:pPr>
            <w:r w:rsidRPr="0066157F">
              <w:rPr>
                <w:color w:val="000000"/>
                <w:spacing w:val="214"/>
                <w:shd w:val="solid" w:color="000000" w:fill="000000"/>
                <w:fitText w:val="300" w:id="-894207736"/>
                <w14:textFill>
                  <w14:solidFill>
                    <w14:srgbClr w14:val="000000">
                      <w14:alpha w14:val="100000"/>
                    </w14:srgbClr>
                  </w14:solidFill>
                </w14:textFill>
              </w:rPr>
              <w:t>|</w:t>
            </w:r>
            <w:r w:rsidRPr="0066157F">
              <w:rPr>
                <w:color w:val="000000"/>
                <w:spacing w:val="1"/>
                <w:shd w:val="solid" w:color="000000" w:fill="000000"/>
                <w:fitText w:val="300" w:id="-894207736"/>
                <w14:textFill>
                  <w14:solidFill>
                    <w14:srgbClr w14:val="000000">
                      <w14:alpha w14:val="100000"/>
                    </w14:srgbClr>
                  </w14:solidFill>
                </w14:textFill>
              </w:rPr>
              <w:t>|</w:t>
            </w:r>
            <w:r w:rsidR="00362065">
              <w:rPr>
                <w:vertAlign w:val="superscript"/>
              </w:rPr>
              <w:t xml:space="preserve"> 1</w:t>
            </w:r>
          </w:p>
        </w:tc>
        <w:tc>
          <w:tcPr>
            <w:tcW w:w="520" w:type="pct"/>
          </w:tcPr>
          <w:p w14:paraId="0CFA4031" w14:textId="1ED03DEA" w:rsidR="00AA4FE6" w:rsidRPr="00AA4FE6" w:rsidRDefault="0066157F" w:rsidP="00173384">
            <w:pPr>
              <w:pStyle w:val="TableText0"/>
              <w:keepLines/>
              <w:jc w:val="center"/>
            </w:pPr>
            <w:r w:rsidRPr="0066157F">
              <w:rPr>
                <w:color w:val="000000"/>
                <w:spacing w:val="51"/>
                <w:shd w:val="solid" w:color="000000" w:fill="000000"/>
                <w:fitText w:val="230" w:id="-894207735"/>
                <w14:textFill>
                  <w14:solidFill>
                    <w14:srgbClr w14:val="000000">
                      <w14:alpha w14:val="100000"/>
                    </w14:srgbClr>
                  </w14:solidFill>
                </w14:textFill>
              </w:rPr>
              <w:t>||</w:t>
            </w:r>
            <w:r w:rsidRPr="0066157F">
              <w:rPr>
                <w:color w:val="000000"/>
                <w:spacing w:val="1"/>
                <w:shd w:val="solid" w:color="000000" w:fill="000000"/>
                <w:fitText w:val="230" w:id="-894207735"/>
                <w14:textFill>
                  <w14:solidFill>
                    <w14:srgbClr w14:val="000000">
                      <w14:alpha w14:val="100000"/>
                    </w14:srgbClr>
                  </w14:solidFill>
                </w14:textFill>
              </w:rPr>
              <w:t>|</w:t>
            </w:r>
            <w:r w:rsidR="00362065">
              <w:rPr>
                <w:vertAlign w:val="superscript"/>
              </w:rPr>
              <w:t xml:space="preserve"> 1</w:t>
            </w:r>
          </w:p>
        </w:tc>
        <w:tc>
          <w:tcPr>
            <w:tcW w:w="520" w:type="pct"/>
          </w:tcPr>
          <w:p w14:paraId="777D52C4" w14:textId="423A026A" w:rsidR="00AA4FE6" w:rsidRPr="00AA4FE6" w:rsidRDefault="0066157F" w:rsidP="00173384">
            <w:pPr>
              <w:pStyle w:val="TableText0"/>
              <w:keepLines/>
              <w:jc w:val="center"/>
            </w:pPr>
            <w:r w:rsidRPr="0066157F">
              <w:rPr>
                <w:color w:val="000000"/>
                <w:spacing w:val="51"/>
                <w:shd w:val="solid" w:color="000000" w:fill="000000"/>
                <w:fitText w:val="230" w:id="-894207734"/>
                <w14:textFill>
                  <w14:solidFill>
                    <w14:srgbClr w14:val="000000">
                      <w14:alpha w14:val="100000"/>
                    </w14:srgbClr>
                  </w14:solidFill>
                </w14:textFill>
              </w:rPr>
              <w:t>||</w:t>
            </w:r>
            <w:r w:rsidRPr="0066157F">
              <w:rPr>
                <w:color w:val="000000"/>
                <w:spacing w:val="1"/>
                <w:shd w:val="solid" w:color="000000" w:fill="000000"/>
                <w:fitText w:val="230" w:id="-894207734"/>
                <w14:textFill>
                  <w14:solidFill>
                    <w14:srgbClr w14:val="000000">
                      <w14:alpha w14:val="100000"/>
                    </w14:srgbClr>
                  </w14:solidFill>
                </w14:textFill>
              </w:rPr>
              <w:t>|</w:t>
            </w:r>
            <w:r w:rsidR="00362065">
              <w:rPr>
                <w:vertAlign w:val="superscript"/>
              </w:rPr>
              <w:t xml:space="preserve"> 1</w:t>
            </w:r>
          </w:p>
        </w:tc>
        <w:tc>
          <w:tcPr>
            <w:tcW w:w="519" w:type="pct"/>
          </w:tcPr>
          <w:p w14:paraId="1DDD2789" w14:textId="422B9C1C" w:rsidR="00AA4FE6" w:rsidRPr="00AA4FE6" w:rsidRDefault="0066157F" w:rsidP="00173384">
            <w:pPr>
              <w:pStyle w:val="TableText0"/>
              <w:keepLines/>
              <w:jc w:val="center"/>
            </w:pPr>
            <w:r w:rsidRPr="0066157F">
              <w:rPr>
                <w:color w:val="000000"/>
                <w:spacing w:val="46"/>
                <w:shd w:val="solid" w:color="000000" w:fill="000000"/>
                <w:fitText w:val="220" w:id="-894207733"/>
                <w14:textFill>
                  <w14:solidFill>
                    <w14:srgbClr w14:val="000000">
                      <w14:alpha w14:val="100000"/>
                    </w14:srgbClr>
                  </w14:solidFill>
                </w14:textFill>
              </w:rPr>
              <w:t>||</w:t>
            </w:r>
            <w:r w:rsidRPr="0066157F">
              <w:rPr>
                <w:color w:val="000000"/>
                <w:spacing w:val="1"/>
                <w:shd w:val="solid" w:color="000000" w:fill="000000"/>
                <w:fitText w:val="220" w:id="-894207733"/>
                <w14:textFill>
                  <w14:solidFill>
                    <w14:srgbClr w14:val="000000">
                      <w14:alpha w14:val="100000"/>
                    </w14:srgbClr>
                  </w14:solidFill>
                </w14:textFill>
              </w:rPr>
              <w:t>|</w:t>
            </w:r>
            <w:r w:rsidR="00362065">
              <w:rPr>
                <w:vertAlign w:val="superscript"/>
              </w:rPr>
              <w:t xml:space="preserve"> 1</w:t>
            </w:r>
          </w:p>
        </w:tc>
        <w:tc>
          <w:tcPr>
            <w:tcW w:w="520" w:type="pct"/>
          </w:tcPr>
          <w:p w14:paraId="48426FD6" w14:textId="654AF792" w:rsidR="00AA4FE6" w:rsidRPr="00AA4FE6" w:rsidRDefault="0066157F" w:rsidP="00173384">
            <w:pPr>
              <w:pStyle w:val="TableText0"/>
              <w:keepLines/>
              <w:jc w:val="center"/>
            </w:pPr>
            <w:r w:rsidRPr="0066157F">
              <w:rPr>
                <w:color w:val="000000"/>
                <w:spacing w:val="51"/>
                <w:shd w:val="solid" w:color="000000" w:fill="000000"/>
                <w:fitText w:val="230" w:id="-894207732"/>
                <w14:textFill>
                  <w14:solidFill>
                    <w14:srgbClr w14:val="000000">
                      <w14:alpha w14:val="100000"/>
                    </w14:srgbClr>
                  </w14:solidFill>
                </w14:textFill>
              </w:rPr>
              <w:t>||</w:t>
            </w:r>
            <w:r w:rsidRPr="0066157F">
              <w:rPr>
                <w:color w:val="000000"/>
                <w:spacing w:val="1"/>
                <w:shd w:val="solid" w:color="000000" w:fill="000000"/>
                <w:fitText w:val="230" w:id="-894207732"/>
                <w14:textFill>
                  <w14:solidFill>
                    <w14:srgbClr w14:val="000000">
                      <w14:alpha w14:val="100000"/>
                    </w14:srgbClr>
                  </w14:solidFill>
                </w14:textFill>
              </w:rPr>
              <w:t>|</w:t>
            </w:r>
            <w:r w:rsidR="00362065">
              <w:rPr>
                <w:vertAlign w:val="superscript"/>
              </w:rPr>
              <w:t xml:space="preserve"> 1</w:t>
            </w:r>
          </w:p>
        </w:tc>
        <w:tc>
          <w:tcPr>
            <w:tcW w:w="519" w:type="pct"/>
          </w:tcPr>
          <w:p w14:paraId="37C94001" w14:textId="09161151" w:rsidR="00AA4FE6" w:rsidRPr="00AA4FE6" w:rsidRDefault="0066157F" w:rsidP="00173384">
            <w:pPr>
              <w:pStyle w:val="TableText0"/>
              <w:keepLines/>
              <w:jc w:val="center"/>
            </w:pPr>
            <w:r w:rsidRPr="0066157F">
              <w:rPr>
                <w:color w:val="000000"/>
                <w:spacing w:val="46"/>
                <w:shd w:val="solid" w:color="000000" w:fill="000000"/>
                <w:fitText w:val="220" w:id="-894207731"/>
                <w14:textFill>
                  <w14:solidFill>
                    <w14:srgbClr w14:val="000000">
                      <w14:alpha w14:val="100000"/>
                    </w14:srgbClr>
                  </w14:solidFill>
                </w14:textFill>
              </w:rPr>
              <w:t>||</w:t>
            </w:r>
            <w:r w:rsidRPr="0066157F">
              <w:rPr>
                <w:color w:val="000000"/>
                <w:spacing w:val="1"/>
                <w:shd w:val="solid" w:color="000000" w:fill="000000"/>
                <w:fitText w:val="220" w:id="-894207731"/>
                <w14:textFill>
                  <w14:solidFill>
                    <w14:srgbClr w14:val="000000">
                      <w14:alpha w14:val="100000"/>
                    </w14:srgbClr>
                  </w14:solidFill>
                </w14:textFill>
              </w:rPr>
              <w:t>|</w:t>
            </w:r>
            <w:r w:rsidR="00362065">
              <w:rPr>
                <w:vertAlign w:val="superscript"/>
              </w:rPr>
              <w:t xml:space="preserve"> 1</w:t>
            </w:r>
          </w:p>
        </w:tc>
      </w:tr>
      <w:tr w:rsidR="00AA4FE6" w:rsidRPr="00AA4FE6" w14:paraId="2E0B829C" w14:textId="77777777" w:rsidTr="00FF56BE">
        <w:trPr>
          <w:trHeight w:val="20"/>
        </w:trPr>
        <w:tc>
          <w:tcPr>
            <w:tcW w:w="1962" w:type="pct"/>
          </w:tcPr>
          <w:p w14:paraId="7F6F8CC8" w14:textId="77777777" w:rsidR="00AA4FE6" w:rsidRPr="00AA4FE6" w:rsidRDefault="00AA4FE6" w:rsidP="00173384">
            <w:pPr>
              <w:pStyle w:val="TableText0"/>
              <w:keepLines/>
            </w:pPr>
            <w:r w:rsidRPr="00AA4FE6">
              <w:t>Total scripts</w:t>
            </w:r>
          </w:p>
        </w:tc>
        <w:tc>
          <w:tcPr>
            <w:tcW w:w="440" w:type="pct"/>
          </w:tcPr>
          <w:p w14:paraId="7578D05C" w14:textId="0A39CC88" w:rsidR="00AA4FE6" w:rsidRPr="00AA4FE6" w:rsidRDefault="0066157F" w:rsidP="00173384">
            <w:pPr>
              <w:pStyle w:val="TableText0"/>
              <w:keepLines/>
              <w:jc w:val="center"/>
            </w:pPr>
            <w:r w:rsidRPr="0066157F">
              <w:rPr>
                <w:color w:val="000000"/>
                <w:spacing w:val="214"/>
                <w:shd w:val="solid" w:color="000000" w:fill="000000"/>
                <w:fitText w:val="300" w:id="-894207730"/>
                <w14:textFill>
                  <w14:solidFill>
                    <w14:srgbClr w14:val="000000">
                      <w14:alpha w14:val="100000"/>
                    </w14:srgbClr>
                  </w14:solidFill>
                </w14:textFill>
              </w:rPr>
              <w:t>|</w:t>
            </w:r>
            <w:r w:rsidRPr="0066157F">
              <w:rPr>
                <w:color w:val="000000"/>
                <w:spacing w:val="1"/>
                <w:shd w:val="solid" w:color="000000" w:fill="000000"/>
                <w:fitText w:val="300" w:id="-894207730"/>
                <w14:textFill>
                  <w14:solidFill>
                    <w14:srgbClr w14:val="000000">
                      <w14:alpha w14:val="100000"/>
                    </w14:srgbClr>
                  </w14:solidFill>
                </w14:textFill>
              </w:rPr>
              <w:t>|</w:t>
            </w:r>
            <w:r w:rsidR="00362065">
              <w:rPr>
                <w:vertAlign w:val="superscript"/>
              </w:rPr>
              <w:t xml:space="preserve"> 2</w:t>
            </w:r>
          </w:p>
        </w:tc>
        <w:tc>
          <w:tcPr>
            <w:tcW w:w="520" w:type="pct"/>
          </w:tcPr>
          <w:p w14:paraId="36DE556E" w14:textId="1C098514" w:rsidR="00AA4FE6" w:rsidRPr="00AA4FE6" w:rsidRDefault="0066157F" w:rsidP="00173384">
            <w:pPr>
              <w:pStyle w:val="TableText0"/>
              <w:keepLines/>
              <w:jc w:val="center"/>
            </w:pPr>
            <w:r w:rsidRPr="0066157F">
              <w:rPr>
                <w:color w:val="000000"/>
                <w:spacing w:val="51"/>
                <w:shd w:val="solid" w:color="000000" w:fill="000000"/>
                <w:fitText w:val="230" w:id="-894207729"/>
                <w14:textFill>
                  <w14:solidFill>
                    <w14:srgbClr w14:val="000000">
                      <w14:alpha w14:val="100000"/>
                    </w14:srgbClr>
                  </w14:solidFill>
                </w14:textFill>
              </w:rPr>
              <w:t>||</w:t>
            </w:r>
            <w:r w:rsidRPr="0066157F">
              <w:rPr>
                <w:color w:val="000000"/>
                <w:spacing w:val="1"/>
                <w:shd w:val="solid" w:color="000000" w:fill="000000"/>
                <w:fitText w:val="230" w:id="-894207729"/>
                <w14:textFill>
                  <w14:solidFill>
                    <w14:srgbClr w14:val="000000">
                      <w14:alpha w14:val="100000"/>
                    </w14:srgbClr>
                  </w14:solidFill>
                </w14:textFill>
              </w:rPr>
              <w:t>|</w:t>
            </w:r>
            <w:r w:rsidR="00362065">
              <w:rPr>
                <w:vertAlign w:val="superscript"/>
              </w:rPr>
              <w:t xml:space="preserve"> 2</w:t>
            </w:r>
          </w:p>
        </w:tc>
        <w:tc>
          <w:tcPr>
            <w:tcW w:w="520" w:type="pct"/>
          </w:tcPr>
          <w:p w14:paraId="0A80281E" w14:textId="52767F69" w:rsidR="00AA4FE6" w:rsidRPr="00AA4FE6" w:rsidRDefault="0066157F" w:rsidP="00173384">
            <w:pPr>
              <w:pStyle w:val="TableText0"/>
              <w:keepLines/>
              <w:jc w:val="center"/>
            </w:pPr>
            <w:r w:rsidRPr="0066157F">
              <w:rPr>
                <w:color w:val="000000"/>
                <w:spacing w:val="51"/>
                <w:shd w:val="solid" w:color="000000" w:fill="000000"/>
                <w:fitText w:val="230" w:id="-894207728"/>
                <w14:textFill>
                  <w14:solidFill>
                    <w14:srgbClr w14:val="000000">
                      <w14:alpha w14:val="100000"/>
                    </w14:srgbClr>
                  </w14:solidFill>
                </w14:textFill>
              </w:rPr>
              <w:t>||</w:t>
            </w:r>
            <w:r w:rsidRPr="0066157F">
              <w:rPr>
                <w:color w:val="000000"/>
                <w:spacing w:val="1"/>
                <w:shd w:val="solid" w:color="000000" w:fill="000000"/>
                <w:fitText w:val="230" w:id="-894207728"/>
                <w14:textFill>
                  <w14:solidFill>
                    <w14:srgbClr w14:val="000000">
                      <w14:alpha w14:val="100000"/>
                    </w14:srgbClr>
                  </w14:solidFill>
                </w14:textFill>
              </w:rPr>
              <w:t>|</w:t>
            </w:r>
            <w:r w:rsidR="00362065">
              <w:rPr>
                <w:vertAlign w:val="superscript"/>
              </w:rPr>
              <w:t xml:space="preserve"> 2</w:t>
            </w:r>
          </w:p>
        </w:tc>
        <w:tc>
          <w:tcPr>
            <w:tcW w:w="519" w:type="pct"/>
          </w:tcPr>
          <w:p w14:paraId="718FC17D" w14:textId="0DDCD71E" w:rsidR="00AA4FE6" w:rsidRPr="00AA4FE6" w:rsidRDefault="0066157F" w:rsidP="00173384">
            <w:pPr>
              <w:pStyle w:val="TableText0"/>
              <w:keepLines/>
              <w:jc w:val="center"/>
            </w:pPr>
            <w:r w:rsidRPr="0066157F">
              <w:rPr>
                <w:color w:val="000000"/>
                <w:spacing w:val="46"/>
                <w:shd w:val="solid" w:color="000000" w:fill="000000"/>
                <w:fitText w:val="220" w:id="-894207744"/>
                <w14:textFill>
                  <w14:solidFill>
                    <w14:srgbClr w14:val="000000">
                      <w14:alpha w14:val="100000"/>
                    </w14:srgbClr>
                  </w14:solidFill>
                </w14:textFill>
              </w:rPr>
              <w:t>||</w:t>
            </w:r>
            <w:r w:rsidRPr="0066157F">
              <w:rPr>
                <w:color w:val="000000"/>
                <w:spacing w:val="1"/>
                <w:shd w:val="solid" w:color="000000" w:fill="000000"/>
                <w:fitText w:val="220" w:id="-894207744"/>
                <w14:textFill>
                  <w14:solidFill>
                    <w14:srgbClr w14:val="000000">
                      <w14:alpha w14:val="100000"/>
                    </w14:srgbClr>
                  </w14:solidFill>
                </w14:textFill>
              </w:rPr>
              <w:t>|</w:t>
            </w:r>
            <w:r w:rsidR="00362065">
              <w:rPr>
                <w:vertAlign w:val="superscript"/>
              </w:rPr>
              <w:t xml:space="preserve"> 2</w:t>
            </w:r>
          </w:p>
        </w:tc>
        <w:tc>
          <w:tcPr>
            <w:tcW w:w="520" w:type="pct"/>
          </w:tcPr>
          <w:p w14:paraId="32FEDA43" w14:textId="2252D7DF" w:rsidR="00AA4FE6" w:rsidRPr="00AA4FE6" w:rsidRDefault="0066157F" w:rsidP="00173384">
            <w:pPr>
              <w:pStyle w:val="TableText0"/>
              <w:keepLines/>
              <w:jc w:val="center"/>
            </w:pPr>
            <w:r w:rsidRPr="0066157F">
              <w:rPr>
                <w:color w:val="000000"/>
                <w:spacing w:val="51"/>
                <w:shd w:val="solid" w:color="000000" w:fill="000000"/>
                <w:fitText w:val="230" w:id="-894207743"/>
                <w14:textFill>
                  <w14:solidFill>
                    <w14:srgbClr w14:val="000000">
                      <w14:alpha w14:val="100000"/>
                    </w14:srgbClr>
                  </w14:solidFill>
                </w14:textFill>
              </w:rPr>
              <w:t>||</w:t>
            </w:r>
            <w:r w:rsidRPr="0066157F">
              <w:rPr>
                <w:color w:val="000000"/>
                <w:spacing w:val="1"/>
                <w:shd w:val="solid" w:color="000000" w:fill="000000"/>
                <w:fitText w:val="230" w:id="-894207743"/>
                <w14:textFill>
                  <w14:solidFill>
                    <w14:srgbClr w14:val="000000">
                      <w14:alpha w14:val="100000"/>
                    </w14:srgbClr>
                  </w14:solidFill>
                </w14:textFill>
              </w:rPr>
              <w:t>|</w:t>
            </w:r>
            <w:r w:rsidR="00362065">
              <w:rPr>
                <w:vertAlign w:val="superscript"/>
              </w:rPr>
              <w:t xml:space="preserve"> 2</w:t>
            </w:r>
          </w:p>
        </w:tc>
        <w:tc>
          <w:tcPr>
            <w:tcW w:w="519" w:type="pct"/>
          </w:tcPr>
          <w:p w14:paraId="76080DEF" w14:textId="266273EB" w:rsidR="00AA4FE6" w:rsidRPr="00AA4FE6" w:rsidRDefault="0066157F" w:rsidP="00173384">
            <w:pPr>
              <w:pStyle w:val="TableText0"/>
              <w:keepLines/>
              <w:jc w:val="center"/>
            </w:pPr>
            <w:r w:rsidRPr="0066157F">
              <w:rPr>
                <w:color w:val="000000"/>
                <w:spacing w:val="46"/>
                <w:shd w:val="solid" w:color="000000" w:fill="000000"/>
                <w:fitText w:val="220" w:id="-894207742"/>
                <w14:textFill>
                  <w14:solidFill>
                    <w14:srgbClr w14:val="000000">
                      <w14:alpha w14:val="100000"/>
                    </w14:srgbClr>
                  </w14:solidFill>
                </w14:textFill>
              </w:rPr>
              <w:t>||</w:t>
            </w:r>
            <w:r w:rsidRPr="0066157F">
              <w:rPr>
                <w:color w:val="000000"/>
                <w:spacing w:val="1"/>
                <w:shd w:val="solid" w:color="000000" w:fill="000000"/>
                <w:fitText w:val="220" w:id="-894207742"/>
                <w14:textFill>
                  <w14:solidFill>
                    <w14:srgbClr w14:val="000000">
                      <w14:alpha w14:val="100000"/>
                    </w14:srgbClr>
                  </w14:solidFill>
                </w14:textFill>
              </w:rPr>
              <w:t>|</w:t>
            </w:r>
            <w:r w:rsidR="00362065">
              <w:rPr>
                <w:vertAlign w:val="superscript"/>
              </w:rPr>
              <w:t xml:space="preserve"> 2</w:t>
            </w:r>
          </w:p>
        </w:tc>
      </w:tr>
    </w:tbl>
    <w:p w14:paraId="0A9E6D06" w14:textId="77777777" w:rsidR="00AA4FE6" w:rsidRPr="00AA4FE6" w:rsidRDefault="00AA4FE6" w:rsidP="00AA4FE6">
      <w:pPr>
        <w:pStyle w:val="TableFigureFooter"/>
        <w:keepNext/>
        <w:keepLines/>
      </w:pPr>
      <w:r w:rsidRPr="00AA4FE6">
        <w:t xml:space="preserve">Source: Section 4.2.1 of the submission; ‘2a. Patients – Incident’, ‘2b. Patients – Prevalent’, ‘3a. Scripts – proposed’ worksheets from budget impact model. </w:t>
      </w:r>
    </w:p>
    <w:p w14:paraId="7AC92431" w14:textId="77777777" w:rsidR="00AA4FE6" w:rsidRPr="00AA4FE6" w:rsidRDefault="00AA4FE6" w:rsidP="00AA4FE6">
      <w:pPr>
        <w:pStyle w:val="TableFigureFooter"/>
        <w:keepNext/>
        <w:keepLines/>
      </w:pPr>
      <w:r w:rsidRPr="00AA4FE6">
        <w:t>BSEP = bile salt export pump; LT = liver transplantation; PEBD = partial external biliary diversion; PFIC = progressive familial intrahepatic cholestasis</w:t>
      </w:r>
    </w:p>
    <w:p w14:paraId="117E61AB" w14:textId="77777777" w:rsidR="00AA4FE6" w:rsidRPr="00AA4FE6" w:rsidRDefault="00AA4FE6" w:rsidP="00AA4FE6">
      <w:pPr>
        <w:pStyle w:val="TableFigureFooter"/>
        <w:keepNext/>
        <w:keepLines/>
      </w:pPr>
      <w:r w:rsidRPr="00AA4FE6">
        <w:rPr>
          <w:vertAlign w:val="superscript"/>
        </w:rPr>
        <w:t>a</w:t>
      </w:r>
      <w:r w:rsidRPr="00AA4FE6">
        <w:t xml:space="preserve"> Prevalent patients excluded PFIC2 </w:t>
      </w:r>
      <w:r w:rsidRPr="00DB4B9A">
        <w:rPr>
          <w:i/>
          <w:iCs/>
        </w:rPr>
        <w:t>BSEP3</w:t>
      </w:r>
      <w:r w:rsidRPr="00AA4FE6">
        <w:t xml:space="preserve"> and patients with prior PEBD or LT (0.93 × 0.50 × 0.20); Incident patients excluded PFIC2 </w:t>
      </w:r>
      <w:r w:rsidRPr="00DB4B9A">
        <w:rPr>
          <w:i/>
          <w:iCs/>
        </w:rPr>
        <w:t>BSEP3</w:t>
      </w:r>
      <w:r w:rsidRPr="00AA4FE6">
        <w:t xml:space="preserve"> patients (0.93)</w:t>
      </w:r>
    </w:p>
    <w:p w14:paraId="387585F5" w14:textId="77777777" w:rsidR="00AA4FE6" w:rsidRPr="00AA4FE6" w:rsidRDefault="00AA4FE6" w:rsidP="00AA4FE6">
      <w:pPr>
        <w:pStyle w:val="TableFigureFooter"/>
        <w:keepNext/>
        <w:keepLines/>
      </w:pPr>
      <w:r w:rsidRPr="00AA4FE6">
        <w:rPr>
          <w:vertAlign w:val="superscript"/>
        </w:rPr>
        <w:t>b</w:t>
      </w:r>
      <w:r w:rsidRPr="00AA4FE6">
        <w:t xml:space="preserve"> The submission did not report continuation patients as cumulative and did not consider discontinuation after the initial 3 months.</w:t>
      </w:r>
    </w:p>
    <w:p w14:paraId="0FA0E19F" w14:textId="17AA6D93" w:rsidR="00AA4FE6" w:rsidRPr="00AA4FE6" w:rsidRDefault="00AA4FE6" w:rsidP="00AA4FE6">
      <w:pPr>
        <w:pStyle w:val="TableFigureFooter"/>
        <w:keepNext/>
        <w:keepLines/>
      </w:pPr>
      <w:r w:rsidRPr="00AA4FE6">
        <w:rPr>
          <w:vertAlign w:val="superscript"/>
        </w:rPr>
        <w:t xml:space="preserve">c </w:t>
      </w:r>
      <w:r w:rsidRPr="00AA4FE6">
        <w:t xml:space="preserve">Sum of continuing patients = </w:t>
      </w:r>
      <w:r w:rsidR="00FF56BE" w:rsidRPr="00FF56BE">
        <w:rPr>
          <w:iCs/>
        </w:rPr>
        <w:t>&lt; 500</w:t>
      </w:r>
      <w:r w:rsidRPr="00AA4FE6">
        <w:t>+</w:t>
      </w:r>
      <w:r w:rsidR="00FF56BE" w:rsidRPr="00FF56BE">
        <w:rPr>
          <w:iCs/>
        </w:rPr>
        <w:t>&lt; 500</w:t>
      </w:r>
      <w:r w:rsidRPr="00AA4FE6">
        <w:t>+</w:t>
      </w:r>
      <w:r w:rsidR="00FF56BE" w:rsidRPr="00FF56BE">
        <w:rPr>
          <w:iCs/>
        </w:rPr>
        <w:t>&lt; 500</w:t>
      </w:r>
      <w:r w:rsidR="00FF56BE">
        <w:rPr>
          <w:iCs/>
        </w:rPr>
        <w:t xml:space="preserve"> </w:t>
      </w:r>
      <w:r w:rsidRPr="00AA4FE6">
        <w:t xml:space="preserve">= </w:t>
      </w:r>
      <w:r w:rsidR="00FF56BE" w:rsidRPr="00FF56BE">
        <w:rPr>
          <w:iCs/>
        </w:rPr>
        <w:t>&lt; 500</w:t>
      </w:r>
      <w:r w:rsidR="00FF56BE">
        <w:rPr>
          <w:iCs/>
        </w:rPr>
        <w:t xml:space="preserve"> </w:t>
      </w:r>
      <w:r w:rsidRPr="00AA4FE6">
        <w:t>patients</w:t>
      </w:r>
    </w:p>
    <w:p w14:paraId="29FC4D88" w14:textId="663AF5C8" w:rsidR="00AA4FE6" w:rsidRPr="00AA4FE6" w:rsidRDefault="00AA4FE6" w:rsidP="00AA4FE6">
      <w:pPr>
        <w:pStyle w:val="TableFigureFooter"/>
        <w:keepNext/>
        <w:keepLines/>
      </w:pPr>
      <w:r w:rsidRPr="00AA4FE6">
        <w:rPr>
          <w:vertAlign w:val="superscript"/>
        </w:rPr>
        <w:t>d</w:t>
      </w:r>
      <w:r w:rsidRPr="00AA4FE6">
        <w:t xml:space="preserve"> Sum of incident patients = </w:t>
      </w:r>
      <w:r w:rsidR="00FF56BE" w:rsidRPr="00FF56BE">
        <w:rPr>
          <w:iCs/>
        </w:rPr>
        <w:t>&lt; 500</w:t>
      </w:r>
      <w:r w:rsidRPr="00AA4FE6">
        <w:t>+</w:t>
      </w:r>
      <w:r w:rsidR="00FF56BE" w:rsidRPr="00FF56BE">
        <w:rPr>
          <w:iCs/>
        </w:rPr>
        <w:t>&lt; 500</w:t>
      </w:r>
      <w:r w:rsidRPr="00AA4FE6">
        <w:t>+</w:t>
      </w:r>
      <w:r w:rsidR="00FF56BE" w:rsidRPr="00FF56BE">
        <w:rPr>
          <w:iCs/>
        </w:rPr>
        <w:t>&lt; 500</w:t>
      </w:r>
      <w:r w:rsidR="00FF56BE">
        <w:rPr>
          <w:iCs/>
        </w:rPr>
        <w:t xml:space="preserve"> </w:t>
      </w:r>
      <w:r w:rsidRPr="00AA4FE6">
        <w:t xml:space="preserve">= </w:t>
      </w:r>
      <w:r w:rsidR="00FF56BE" w:rsidRPr="00FF56BE">
        <w:rPr>
          <w:iCs/>
        </w:rPr>
        <w:t>&lt; 500</w:t>
      </w:r>
      <w:r w:rsidR="00FF56BE">
        <w:rPr>
          <w:iCs/>
        </w:rPr>
        <w:t xml:space="preserve"> </w:t>
      </w:r>
      <w:r w:rsidRPr="00AA4FE6">
        <w:t>patients</w:t>
      </w:r>
    </w:p>
    <w:p w14:paraId="4F3719CC" w14:textId="77777777" w:rsidR="00AA4FE6" w:rsidRDefault="00AA4FE6" w:rsidP="00735811">
      <w:pPr>
        <w:pStyle w:val="TableFigureFooter"/>
        <w:keepNext/>
        <w:keepLines/>
        <w:spacing w:after="0"/>
      </w:pPr>
      <w:r w:rsidRPr="00AA4FE6">
        <w:rPr>
          <w:vertAlign w:val="superscript"/>
        </w:rPr>
        <w:t xml:space="preserve">e </w:t>
      </w:r>
      <w:r w:rsidRPr="00AA4FE6">
        <w:t>scripts were based the proportion of prevalent and incident patients who receive low (0.13% and 38.6%, respectively) and high strength capsules (99.87% and 61.4%, respectively); the average number of low and high strength capsules for prevalent and incident patients (see Scripts – proposed’ worksheet from the financial model); and assuming 3-month initiation period and 72-month continuation for responders; and 6-month continuation for non-responders.</w:t>
      </w:r>
    </w:p>
    <w:p w14:paraId="39800ECB" w14:textId="77777777" w:rsidR="00735811" w:rsidRPr="009A6D58" w:rsidRDefault="00735811" w:rsidP="00735811">
      <w:pPr>
        <w:keepNext/>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0C4464F" w14:textId="487A78CA" w:rsidR="00735811" w:rsidRPr="009A6D58" w:rsidRDefault="00735811" w:rsidP="00735811">
      <w:pPr>
        <w:keepNext/>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bookmarkStart w:id="110" w:name="_Hlk176943895"/>
      <w:r w:rsidR="00AD75D6" w:rsidRPr="00AD75D6">
        <w:rPr>
          <w:rFonts w:ascii="Arial Narrow" w:hAnsi="Arial Narrow"/>
          <w:i/>
          <w:sz w:val="18"/>
          <w:szCs w:val="18"/>
        </w:rPr>
        <w:t>&lt; 500</w:t>
      </w:r>
      <w:bookmarkEnd w:id="110"/>
    </w:p>
    <w:p w14:paraId="03493EC7" w14:textId="31BE0092" w:rsidR="00735811" w:rsidRPr="00735811" w:rsidRDefault="00735811" w:rsidP="00735811">
      <w:pPr>
        <w:spacing w:after="120"/>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FF56BE" w:rsidRPr="00FF56BE">
        <w:rPr>
          <w:rFonts w:ascii="Arial Narrow" w:hAnsi="Arial Narrow"/>
          <w:i/>
          <w:sz w:val="18"/>
          <w:szCs w:val="18"/>
        </w:rPr>
        <w:t>500 to &lt; 5,000</w:t>
      </w:r>
    </w:p>
    <w:p w14:paraId="0FE57437" w14:textId="2F18EDAA" w:rsidR="00AA4FE6" w:rsidRPr="00AA4FE6" w:rsidRDefault="00AA4FE6" w:rsidP="00AA4FE6">
      <w:pPr>
        <w:pStyle w:val="3-BodyText"/>
      </w:pPr>
      <w:r w:rsidRPr="00AA4FE6">
        <w:t xml:space="preserve">The net financial cost of odevixibat is presented in </w:t>
      </w:r>
      <w:r w:rsidRPr="00AA4FE6">
        <w:fldChar w:fldCharType="begin"/>
      </w:r>
      <w:r w:rsidRPr="00AA4FE6">
        <w:instrText xml:space="preserve"> REF _Ref164690572 \h  \* MERGEFORMAT </w:instrText>
      </w:r>
      <w:r w:rsidRPr="00AA4FE6">
        <w:fldChar w:fldCharType="separate"/>
      </w:r>
      <w:r w:rsidR="008B4717" w:rsidRPr="00AA4FE6">
        <w:t xml:space="preserve">Table </w:t>
      </w:r>
      <w:r w:rsidR="008B4717">
        <w:rPr>
          <w:noProof/>
        </w:rPr>
        <w:t>23</w:t>
      </w:r>
      <w:r w:rsidRPr="00AA4FE6">
        <w:fldChar w:fldCharType="end"/>
      </w:r>
      <w:r w:rsidRPr="00AA4FE6">
        <w:t>.</w:t>
      </w:r>
    </w:p>
    <w:p w14:paraId="70A811EF" w14:textId="5B0332F6" w:rsidR="00AA4FE6" w:rsidRPr="00AA4FE6" w:rsidRDefault="00AA4FE6" w:rsidP="00176952">
      <w:pPr>
        <w:pStyle w:val="TableFigureHeading"/>
        <w:keepLines/>
      </w:pPr>
      <w:bookmarkStart w:id="111" w:name="_Ref164690572"/>
      <w:r w:rsidRPr="00AA4FE6">
        <w:t xml:space="preserve">Table </w:t>
      </w:r>
      <w:r w:rsidR="00DF1200">
        <w:fldChar w:fldCharType="begin"/>
      </w:r>
      <w:r w:rsidR="00DF1200">
        <w:instrText xml:space="preserve"> SEQ Table \* ARABIC </w:instrText>
      </w:r>
      <w:r w:rsidR="00DF1200">
        <w:fldChar w:fldCharType="separate"/>
      </w:r>
      <w:r w:rsidR="008B4717">
        <w:rPr>
          <w:noProof/>
        </w:rPr>
        <w:t>23</w:t>
      </w:r>
      <w:r w:rsidR="00DF1200">
        <w:rPr>
          <w:noProof/>
        </w:rPr>
        <w:fldChar w:fldCharType="end"/>
      </w:r>
      <w:bookmarkEnd w:id="111"/>
      <w:r w:rsidRPr="00AA4FE6">
        <w:t>: Estimated net cost of odevixibat to the PBS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3: Estimated net cost of odevixibat to the PBS"/>
      </w:tblPr>
      <w:tblGrid>
        <w:gridCol w:w="2263"/>
        <w:gridCol w:w="1134"/>
        <w:gridCol w:w="1134"/>
        <w:gridCol w:w="1134"/>
        <w:gridCol w:w="1134"/>
        <w:gridCol w:w="1134"/>
        <w:gridCol w:w="1134"/>
      </w:tblGrid>
      <w:tr w:rsidR="00AA4FE6" w:rsidRPr="00AA4FE6" w14:paraId="0B95A4F1" w14:textId="77777777" w:rsidTr="00173384">
        <w:trPr>
          <w:trHeight w:val="20"/>
          <w:tblHeader/>
        </w:trPr>
        <w:tc>
          <w:tcPr>
            <w:tcW w:w="2263" w:type="dxa"/>
            <w:tcBorders>
              <w:bottom w:val="single" w:sz="4" w:space="0" w:color="auto"/>
            </w:tcBorders>
            <w:shd w:val="clear" w:color="auto" w:fill="auto"/>
            <w:vAlign w:val="center"/>
          </w:tcPr>
          <w:p w14:paraId="7AC4E140" w14:textId="77777777" w:rsidR="00AA4FE6" w:rsidRPr="00AA4FE6" w:rsidRDefault="00AA4FE6" w:rsidP="00176952">
            <w:pPr>
              <w:pStyle w:val="In-tableHeading"/>
              <w:keepLines/>
              <w:rPr>
                <w:lang w:val="en-AU"/>
              </w:rPr>
            </w:pPr>
          </w:p>
        </w:tc>
        <w:tc>
          <w:tcPr>
            <w:tcW w:w="1134" w:type="dxa"/>
            <w:tcBorders>
              <w:bottom w:val="single" w:sz="4" w:space="0" w:color="auto"/>
            </w:tcBorders>
            <w:shd w:val="clear" w:color="auto" w:fill="auto"/>
            <w:vAlign w:val="center"/>
          </w:tcPr>
          <w:p w14:paraId="6E0255F3" w14:textId="77777777" w:rsidR="00AA4FE6" w:rsidRPr="00AA4FE6" w:rsidRDefault="00AA4FE6" w:rsidP="00176952">
            <w:pPr>
              <w:pStyle w:val="In-tableHeading"/>
              <w:keepLines/>
              <w:jc w:val="center"/>
              <w:rPr>
                <w:lang w:val="en-AU"/>
              </w:rPr>
            </w:pPr>
            <w:r w:rsidRPr="00AA4FE6">
              <w:rPr>
                <w:lang w:val="en-AU"/>
              </w:rPr>
              <w:t>Year 1</w:t>
            </w:r>
          </w:p>
        </w:tc>
        <w:tc>
          <w:tcPr>
            <w:tcW w:w="1134" w:type="dxa"/>
            <w:tcBorders>
              <w:bottom w:val="single" w:sz="4" w:space="0" w:color="auto"/>
            </w:tcBorders>
            <w:shd w:val="clear" w:color="auto" w:fill="auto"/>
            <w:vAlign w:val="center"/>
          </w:tcPr>
          <w:p w14:paraId="6AA8354C" w14:textId="77777777" w:rsidR="00AA4FE6" w:rsidRPr="00AA4FE6" w:rsidRDefault="00AA4FE6" w:rsidP="00176952">
            <w:pPr>
              <w:pStyle w:val="In-tableHeading"/>
              <w:keepLines/>
              <w:jc w:val="center"/>
              <w:rPr>
                <w:lang w:val="en-AU"/>
              </w:rPr>
            </w:pPr>
            <w:r w:rsidRPr="00AA4FE6">
              <w:rPr>
                <w:lang w:val="en-AU"/>
              </w:rPr>
              <w:t>Year 2</w:t>
            </w:r>
          </w:p>
        </w:tc>
        <w:tc>
          <w:tcPr>
            <w:tcW w:w="1134" w:type="dxa"/>
            <w:tcBorders>
              <w:bottom w:val="single" w:sz="4" w:space="0" w:color="auto"/>
            </w:tcBorders>
            <w:shd w:val="clear" w:color="auto" w:fill="auto"/>
            <w:vAlign w:val="center"/>
          </w:tcPr>
          <w:p w14:paraId="5211A5B6" w14:textId="77777777" w:rsidR="00AA4FE6" w:rsidRPr="00AA4FE6" w:rsidRDefault="00AA4FE6" w:rsidP="00176952">
            <w:pPr>
              <w:pStyle w:val="In-tableHeading"/>
              <w:keepLines/>
              <w:jc w:val="center"/>
              <w:rPr>
                <w:lang w:val="en-AU"/>
              </w:rPr>
            </w:pPr>
            <w:r w:rsidRPr="00AA4FE6">
              <w:rPr>
                <w:lang w:val="en-AU"/>
              </w:rPr>
              <w:t>Year 3</w:t>
            </w:r>
          </w:p>
        </w:tc>
        <w:tc>
          <w:tcPr>
            <w:tcW w:w="1134" w:type="dxa"/>
            <w:tcBorders>
              <w:bottom w:val="single" w:sz="4" w:space="0" w:color="auto"/>
            </w:tcBorders>
            <w:shd w:val="clear" w:color="auto" w:fill="auto"/>
            <w:vAlign w:val="center"/>
          </w:tcPr>
          <w:p w14:paraId="0A0F0FB0" w14:textId="77777777" w:rsidR="00AA4FE6" w:rsidRPr="00AA4FE6" w:rsidRDefault="00AA4FE6" w:rsidP="00176952">
            <w:pPr>
              <w:pStyle w:val="In-tableHeading"/>
              <w:keepLines/>
              <w:jc w:val="center"/>
              <w:rPr>
                <w:lang w:val="en-AU"/>
              </w:rPr>
            </w:pPr>
            <w:r w:rsidRPr="00AA4FE6">
              <w:rPr>
                <w:lang w:val="en-AU"/>
              </w:rPr>
              <w:t>Year 4</w:t>
            </w:r>
          </w:p>
        </w:tc>
        <w:tc>
          <w:tcPr>
            <w:tcW w:w="1134" w:type="dxa"/>
            <w:tcBorders>
              <w:bottom w:val="single" w:sz="4" w:space="0" w:color="auto"/>
            </w:tcBorders>
            <w:shd w:val="clear" w:color="auto" w:fill="auto"/>
            <w:vAlign w:val="center"/>
          </w:tcPr>
          <w:p w14:paraId="7ED97ADF" w14:textId="77777777" w:rsidR="00AA4FE6" w:rsidRPr="00AA4FE6" w:rsidRDefault="00AA4FE6" w:rsidP="00176952">
            <w:pPr>
              <w:pStyle w:val="In-tableHeading"/>
              <w:keepLines/>
              <w:jc w:val="center"/>
              <w:rPr>
                <w:lang w:val="en-AU"/>
              </w:rPr>
            </w:pPr>
            <w:r w:rsidRPr="00AA4FE6">
              <w:rPr>
                <w:lang w:val="en-AU"/>
              </w:rPr>
              <w:t>Year 5</w:t>
            </w:r>
          </w:p>
        </w:tc>
        <w:tc>
          <w:tcPr>
            <w:tcW w:w="1134" w:type="dxa"/>
            <w:tcBorders>
              <w:bottom w:val="single" w:sz="4" w:space="0" w:color="auto"/>
            </w:tcBorders>
            <w:shd w:val="clear" w:color="auto" w:fill="auto"/>
            <w:vAlign w:val="center"/>
          </w:tcPr>
          <w:p w14:paraId="784BB618" w14:textId="77777777" w:rsidR="00AA4FE6" w:rsidRPr="00AA4FE6" w:rsidRDefault="00AA4FE6" w:rsidP="00176952">
            <w:pPr>
              <w:pStyle w:val="In-tableHeading"/>
              <w:keepLines/>
              <w:jc w:val="center"/>
              <w:rPr>
                <w:lang w:val="en-AU"/>
              </w:rPr>
            </w:pPr>
            <w:r w:rsidRPr="00AA4FE6">
              <w:rPr>
                <w:lang w:val="en-AU"/>
              </w:rPr>
              <w:t>Year 6</w:t>
            </w:r>
          </w:p>
        </w:tc>
      </w:tr>
      <w:tr w:rsidR="00AA4FE6" w:rsidRPr="00AA4FE6" w14:paraId="2993EC1C" w14:textId="77777777" w:rsidTr="00173384">
        <w:trPr>
          <w:trHeight w:val="20"/>
        </w:trPr>
        <w:tc>
          <w:tcPr>
            <w:tcW w:w="2263" w:type="dxa"/>
            <w:tcBorders>
              <w:top w:val="single" w:sz="4" w:space="0" w:color="auto"/>
              <w:left w:val="single" w:sz="4" w:space="0" w:color="auto"/>
              <w:bottom w:val="single" w:sz="4" w:space="0" w:color="auto"/>
              <w:right w:val="nil"/>
            </w:tcBorders>
            <w:shd w:val="clear" w:color="auto" w:fill="auto"/>
            <w:vAlign w:val="center"/>
          </w:tcPr>
          <w:p w14:paraId="06E56C86" w14:textId="77777777" w:rsidR="00AA4FE6" w:rsidRPr="00AA4FE6" w:rsidRDefault="00AA4FE6" w:rsidP="00176952">
            <w:pPr>
              <w:pStyle w:val="TableText0"/>
              <w:keepLines/>
              <w:rPr>
                <w:b/>
                <w:bCs w:val="0"/>
              </w:rPr>
            </w:pPr>
            <w:bookmarkStart w:id="112" w:name="_Hlk164675083"/>
            <w:r w:rsidRPr="00AA4FE6">
              <w:rPr>
                <w:b/>
                <w:bCs w:val="0"/>
              </w:rPr>
              <w:t>Effective prices (SPA)</w:t>
            </w:r>
          </w:p>
        </w:tc>
        <w:tc>
          <w:tcPr>
            <w:tcW w:w="1134" w:type="dxa"/>
            <w:tcBorders>
              <w:top w:val="single" w:sz="4" w:space="0" w:color="auto"/>
              <w:left w:val="nil"/>
              <w:bottom w:val="single" w:sz="4" w:space="0" w:color="auto"/>
              <w:right w:val="nil"/>
            </w:tcBorders>
            <w:shd w:val="clear" w:color="auto" w:fill="auto"/>
          </w:tcPr>
          <w:p w14:paraId="2A810249" w14:textId="77777777" w:rsidR="00AA4FE6" w:rsidRPr="00AA4FE6" w:rsidRDefault="00AA4FE6" w:rsidP="00176952">
            <w:pPr>
              <w:pStyle w:val="TableText0"/>
              <w:keepLines/>
              <w:jc w:val="center"/>
            </w:pPr>
          </w:p>
        </w:tc>
        <w:tc>
          <w:tcPr>
            <w:tcW w:w="1134" w:type="dxa"/>
            <w:tcBorders>
              <w:top w:val="single" w:sz="4" w:space="0" w:color="auto"/>
              <w:left w:val="nil"/>
              <w:bottom w:val="single" w:sz="4" w:space="0" w:color="auto"/>
              <w:right w:val="nil"/>
            </w:tcBorders>
            <w:shd w:val="clear" w:color="auto" w:fill="auto"/>
          </w:tcPr>
          <w:p w14:paraId="32416770" w14:textId="77777777" w:rsidR="00AA4FE6" w:rsidRPr="00AA4FE6" w:rsidRDefault="00AA4FE6" w:rsidP="00176952">
            <w:pPr>
              <w:pStyle w:val="TableText0"/>
              <w:keepLines/>
              <w:jc w:val="center"/>
            </w:pPr>
          </w:p>
        </w:tc>
        <w:tc>
          <w:tcPr>
            <w:tcW w:w="1134" w:type="dxa"/>
            <w:tcBorders>
              <w:top w:val="single" w:sz="4" w:space="0" w:color="auto"/>
              <w:left w:val="nil"/>
              <w:bottom w:val="single" w:sz="4" w:space="0" w:color="auto"/>
              <w:right w:val="nil"/>
            </w:tcBorders>
            <w:shd w:val="clear" w:color="auto" w:fill="auto"/>
          </w:tcPr>
          <w:p w14:paraId="122A0104" w14:textId="77777777" w:rsidR="00AA4FE6" w:rsidRPr="00AA4FE6" w:rsidRDefault="00AA4FE6" w:rsidP="00176952">
            <w:pPr>
              <w:pStyle w:val="TableText0"/>
              <w:keepLines/>
              <w:jc w:val="center"/>
            </w:pPr>
          </w:p>
        </w:tc>
        <w:tc>
          <w:tcPr>
            <w:tcW w:w="1134" w:type="dxa"/>
            <w:tcBorders>
              <w:top w:val="single" w:sz="4" w:space="0" w:color="auto"/>
              <w:left w:val="nil"/>
              <w:bottom w:val="single" w:sz="4" w:space="0" w:color="auto"/>
              <w:right w:val="nil"/>
            </w:tcBorders>
            <w:shd w:val="clear" w:color="auto" w:fill="auto"/>
          </w:tcPr>
          <w:p w14:paraId="7075BB4F" w14:textId="77777777" w:rsidR="00AA4FE6" w:rsidRPr="00AA4FE6" w:rsidRDefault="00AA4FE6" w:rsidP="00176952">
            <w:pPr>
              <w:pStyle w:val="TableText0"/>
              <w:keepLines/>
              <w:jc w:val="center"/>
            </w:pPr>
          </w:p>
        </w:tc>
        <w:tc>
          <w:tcPr>
            <w:tcW w:w="1134" w:type="dxa"/>
            <w:tcBorders>
              <w:top w:val="single" w:sz="4" w:space="0" w:color="auto"/>
              <w:left w:val="nil"/>
              <w:bottom w:val="single" w:sz="4" w:space="0" w:color="auto"/>
              <w:right w:val="nil"/>
            </w:tcBorders>
            <w:shd w:val="clear" w:color="auto" w:fill="auto"/>
          </w:tcPr>
          <w:p w14:paraId="6F9FC320" w14:textId="77777777" w:rsidR="00AA4FE6" w:rsidRPr="00AA4FE6" w:rsidRDefault="00AA4FE6" w:rsidP="00176952">
            <w:pPr>
              <w:pStyle w:val="TableText0"/>
              <w:keepLines/>
              <w:jc w:val="center"/>
            </w:pPr>
          </w:p>
        </w:tc>
        <w:tc>
          <w:tcPr>
            <w:tcW w:w="1134" w:type="dxa"/>
            <w:tcBorders>
              <w:top w:val="single" w:sz="4" w:space="0" w:color="auto"/>
              <w:left w:val="nil"/>
              <w:bottom w:val="single" w:sz="4" w:space="0" w:color="auto"/>
              <w:right w:val="single" w:sz="4" w:space="0" w:color="auto"/>
            </w:tcBorders>
            <w:shd w:val="clear" w:color="auto" w:fill="auto"/>
          </w:tcPr>
          <w:p w14:paraId="5F0DA586" w14:textId="77777777" w:rsidR="00AA4FE6" w:rsidRPr="00AA4FE6" w:rsidRDefault="00AA4FE6" w:rsidP="00176952">
            <w:pPr>
              <w:pStyle w:val="TableText0"/>
              <w:keepLines/>
              <w:jc w:val="center"/>
            </w:pPr>
          </w:p>
        </w:tc>
      </w:tr>
      <w:tr w:rsidR="00AA4FE6" w:rsidRPr="00AA4FE6" w14:paraId="25D65D1B" w14:textId="77777777" w:rsidTr="00173384">
        <w:trPr>
          <w:trHeight w:val="2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2AD5AD43" w14:textId="77777777" w:rsidR="00AA4FE6" w:rsidRPr="00AA4FE6" w:rsidRDefault="00AA4FE6" w:rsidP="00176952">
            <w:pPr>
              <w:pStyle w:val="TableText0"/>
              <w:keepLines/>
            </w:pPr>
            <w:r w:rsidRPr="00AA4FE6">
              <w:t xml:space="preserve">PBS cost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64BAEE" w14:textId="10C1DDB8" w:rsidR="00AA4FE6" w:rsidRPr="00FF56BE" w:rsidRDefault="00AA4FE6" w:rsidP="00176952">
            <w:pPr>
              <w:pStyle w:val="TableText0"/>
              <w:keepLines/>
              <w:jc w:val="center"/>
              <w:rPr>
                <w:vertAlign w:val="superscript"/>
              </w:rPr>
            </w:pPr>
            <w:r w:rsidRPr="00AA4FE6">
              <w:t>$</w:t>
            </w:r>
            <w:r w:rsidR="0066157F" w:rsidRPr="0066157F">
              <w:rPr>
                <w:rFonts w:hint="eastAsia"/>
                <w:color w:val="000000"/>
                <w:w w:val="22"/>
                <w:shd w:val="solid" w:color="000000" w:fill="000000"/>
                <w:fitText w:val="100" w:id="-894207741"/>
                <w14:textFill>
                  <w14:solidFill>
                    <w14:srgbClr w14:val="000000">
                      <w14:alpha w14:val="100000"/>
                    </w14:srgbClr>
                  </w14:solidFill>
                </w14:textFill>
              </w:rPr>
              <w:t xml:space="preserve">　</w:t>
            </w:r>
            <w:r w:rsidR="0066157F" w:rsidRPr="0066157F">
              <w:rPr>
                <w:color w:val="000000"/>
                <w:w w:val="22"/>
                <w:shd w:val="solid" w:color="000000" w:fill="000000"/>
                <w:fitText w:val="100" w:id="-894207741"/>
                <w14:textFill>
                  <w14:solidFill>
                    <w14:srgbClr w14:val="000000">
                      <w14:alpha w14:val="100000"/>
                    </w14:srgbClr>
                  </w14:solidFill>
                </w14:textFill>
              </w:rPr>
              <w:t>|</w:t>
            </w:r>
            <w:r w:rsidR="0066157F" w:rsidRPr="0066157F">
              <w:rPr>
                <w:rFonts w:hint="eastAsia"/>
                <w:color w:val="000000"/>
                <w:spacing w:val="3"/>
                <w:w w:val="22"/>
                <w:shd w:val="solid" w:color="000000" w:fill="000000"/>
                <w:fitText w:val="100" w:id="-894207741"/>
                <w14:textFill>
                  <w14:solidFill>
                    <w14:srgbClr w14:val="000000">
                      <w14:alpha w14:val="100000"/>
                    </w14:srgbClr>
                  </w14:solidFill>
                </w14:textFill>
              </w:rPr>
              <w:t xml:space="preserve">　</w:t>
            </w:r>
            <w:r w:rsidR="00FF56BE">
              <w:rPr>
                <w:vertAlign w:val="superscript"/>
              </w:rPr>
              <w:t xml:space="preserve">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642343" w14:textId="71774F7E" w:rsidR="00AA4FE6" w:rsidRPr="00AA4FE6" w:rsidRDefault="00AA4FE6" w:rsidP="00176952">
            <w:pPr>
              <w:pStyle w:val="TableText0"/>
              <w:keepLines/>
              <w:jc w:val="center"/>
            </w:pPr>
            <w:r w:rsidRPr="00AA4FE6">
              <w:t>$</w:t>
            </w:r>
            <w:r w:rsidR="0066157F" w:rsidRPr="0066157F">
              <w:rPr>
                <w:rFonts w:hint="eastAsia"/>
                <w:color w:val="000000"/>
                <w:w w:val="22"/>
                <w:shd w:val="solid" w:color="000000" w:fill="000000"/>
                <w:fitText w:val="100" w:id="-894207740"/>
                <w14:textFill>
                  <w14:solidFill>
                    <w14:srgbClr w14:val="000000">
                      <w14:alpha w14:val="100000"/>
                    </w14:srgbClr>
                  </w14:solidFill>
                </w14:textFill>
              </w:rPr>
              <w:t xml:space="preserve">　</w:t>
            </w:r>
            <w:r w:rsidR="0066157F" w:rsidRPr="0066157F">
              <w:rPr>
                <w:color w:val="000000"/>
                <w:w w:val="22"/>
                <w:shd w:val="solid" w:color="000000" w:fill="000000"/>
                <w:fitText w:val="100" w:id="-894207740"/>
                <w14:textFill>
                  <w14:solidFill>
                    <w14:srgbClr w14:val="000000">
                      <w14:alpha w14:val="100000"/>
                    </w14:srgbClr>
                  </w14:solidFill>
                </w14:textFill>
              </w:rPr>
              <w:t>|</w:t>
            </w:r>
            <w:r w:rsidR="0066157F" w:rsidRPr="0066157F">
              <w:rPr>
                <w:rFonts w:hint="eastAsia"/>
                <w:color w:val="000000"/>
                <w:spacing w:val="3"/>
                <w:w w:val="22"/>
                <w:shd w:val="solid" w:color="000000" w:fill="000000"/>
                <w:fitText w:val="100" w:id="-894207740"/>
                <w14:textFill>
                  <w14:solidFill>
                    <w14:srgbClr w14:val="000000">
                      <w14:alpha w14:val="100000"/>
                    </w14:srgbClr>
                  </w14:solidFill>
                </w14:textFill>
              </w:rPr>
              <w:t xml:space="preserve">　</w:t>
            </w:r>
            <w:r w:rsidR="00FF56BE">
              <w:rPr>
                <w:vertAlign w:val="superscript"/>
              </w:rPr>
              <w:t xml:space="preserve">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A9A346" w14:textId="57CAE438" w:rsidR="00AA4FE6" w:rsidRPr="00AA4FE6" w:rsidRDefault="00AA4FE6" w:rsidP="00176952">
            <w:pPr>
              <w:pStyle w:val="TableText0"/>
              <w:keepLines/>
              <w:jc w:val="center"/>
            </w:pPr>
            <w:r w:rsidRPr="00AA4FE6">
              <w:t>$</w:t>
            </w:r>
            <w:r w:rsidR="0066157F" w:rsidRPr="0066157F">
              <w:rPr>
                <w:rFonts w:hint="eastAsia"/>
                <w:color w:val="000000"/>
                <w:w w:val="22"/>
                <w:shd w:val="solid" w:color="000000" w:fill="000000"/>
                <w:fitText w:val="100" w:id="-894207739"/>
                <w14:textFill>
                  <w14:solidFill>
                    <w14:srgbClr w14:val="000000">
                      <w14:alpha w14:val="100000"/>
                    </w14:srgbClr>
                  </w14:solidFill>
                </w14:textFill>
              </w:rPr>
              <w:t xml:space="preserve">　</w:t>
            </w:r>
            <w:r w:rsidR="0066157F" w:rsidRPr="0066157F">
              <w:rPr>
                <w:color w:val="000000"/>
                <w:w w:val="22"/>
                <w:shd w:val="solid" w:color="000000" w:fill="000000"/>
                <w:fitText w:val="100" w:id="-894207739"/>
                <w14:textFill>
                  <w14:solidFill>
                    <w14:srgbClr w14:val="000000">
                      <w14:alpha w14:val="100000"/>
                    </w14:srgbClr>
                  </w14:solidFill>
                </w14:textFill>
              </w:rPr>
              <w:t>|</w:t>
            </w:r>
            <w:r w:rsidR="0066157F" w:rsidRPr="0066157F">
              <w:rPr>
                <w:rFonts w:hint="eastAsia"/>
                <w:color w:val="000000"/>
                <w:spacing w:val="3"/>
                <w:w w:val="22"/>
                <w:shd w:val="solid" w:color="000000" w:fill="000000"/>
                <w:fitText w:val="100" w:id="-894207739"/>
                <w14:textFill>
                  <w14:solidFill>
                    <w14:srgbClr w14:val="000000">
                      <w14:alpha w14:val="100000"/>
                    </w14:srgbClr>
                  </w14:solidFill>
                </w14:textFill>
              </w:rPr>
              <w:t xml:space="preserve">　</w:t>
            </w:r>
            <w:r w:rsidR="00FF56BE">
              <w:rPr>
                <w:vertAlign w:val="superscript"/>
              </w:rPr>
              <w:t xml:space="preserve">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E9776B" w14:textId="754616B0" w:rsidR="00AA4FE6" w:rsidRPr="00AA4FE6" w:rsidRDefault="00AA4FE6" w:rsidP="00176952">
            <w:pPr>
              <w:pStyle w:val="TableText0"/>
              <w:keepLines/>
              <w:jc w:val="center"/>
            </w:pPr>
            <w:r w:rsidRPr="00AA4FE6">
              <w:t>$</w:t>
            </w:r>
            <w:r w:rsidR="0066157F" w:rsidRPr="0066157F">
              <w:rPr>
                <w:rFonts w:hint="eastAsia"/>
                <w:color w:val="000000"/>
                <w:w w:val="22"/>
                <w:shd w:val="solid" w:color="000000" w:fill="000000"/>
                <w:fitText w:val="100" w:id="-894207738"/>
                <w14:textFill>
                  <w14:solidFill>
                    <w14:srgbClr w14:val="000000">
                      <w14:alpha w14:val="100000"/>
                    </w14:srgbClr>
                  </w14:solidFill>
                </w14:textFill>
              </w:rPr>
              <w:t xml:space="preserve">　</w:t>
            </w:r>
            <w:r w:rsidR="0066157F" w:rsidRPr="0066157F">
              <w:rPr>
                <w:color w:val="000000"/>
                <w:w w:val="22"/>
                <w:shd w:val="solid" w:color="000000" w:fill="000000"/>
                <w:fitText w:val="100" w:id="-894207738"/>
                <w14:textFill>
                  <w14:solidFill>
                    <w14:srgbClr w14:val="000000">
                      <w14:alpha w14:val="100000"/>
                    </w14:srgbClr>
                  </w14:solidFill>
                </w14:textFill>
              </w:rPr>
              <w:t>|</w:t>
            </w:r>
            <w:r w:rsidR="0066157F" w:rsidRPr="0066157F">
              <w:rPr>
                <w:rFonts w:hint="eastAsia"/>
                <w:color w:val="000000"/>
                <w:spacing w:val="3"/>
                <w:w w:val="22"/>
                <w:shd w:val="solid" w:color="000000" w:fill="000000"/>
                <w:fitText w:val="100" w:id="-894207738"/>
                <w14:textFill>
                  <w14:solidFill>
                    <w14:srgbClr w14:val="000000">
                      <w14:alpha w14:val="100000"/>
                    </w14:srgbClr>
                  </w14:solidFill>
                </w14:textFill>
              </w:rPr>
              <w:t xml:space="preserve">　</w:t>
            </w:r>
            <w:r w:rsidR="00FF56BE">
              <w:rPr>
                <w:vertAlign w:val="superscript"/>
              </w:rPr>
              <w:t xml:space="preserve">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97062F" w14:textId="58B046EA" w:rsidR="00AA4FE6" w:rsidRPr="00AA4FE6" w:rsidRDefault="00AA4FE6" w:rsidP="00176952">
            <w:pPr>
              <w:pStyle w:val="TableText0"/>
              <w:keepLines/>
              <w:jc w:val="center"/>
            </w:pPr>
            <w:r w:rsidRPr="00AA4FE6">
              <w:t>$</w:t>
            </w:r>
            <w:r w:rsidR="0066157F" w:rsidRPr="0066157F">
              <w:rPr>
                <w:rFonts w:hint="eastAsia"/>
                <w:color w:val="000000"/>
                <w:w w:val="22"/>
                <w:shd w:val="solid" w:color="000000" w:fill="000000"/>
                <w:fitText w:val="100" w:id="-894207737"/>
                <w14:textFill>
                  <w14:solidFill>
                    <w14:srgbClr w14:val="000000">
                      <w14:alpha w14:val="100000"/>
                    </w14:srgbClr>
                  </w14:solidFill>
                </w14:textFill>
              </w:rPr>
              <w:t xml:space="preserve">　</w:t>
            </w:r>
            <w:r w:rsidR="0066157F" w:rsidRPr="0066157F">
              <w:rPr>
                <w:color w:val="000000"/>
                <w:w w:val="22"/>
                <w:shd w:val="solid" w:color="000000" w:fill="000000"/>
                <w:fitText w:val="100" w:id="-894207737"/>
                <w14:textFill>
                  <w14:solidFill>
                    <w14:srgbClr w14:val="000000">
                      <w14:alpha w14:val="100000"/>
                    </w14:srgbClr>
                  </w14:solidFill>
                </w14:textFill>
              </w:rPr>
              <w:t>|</w:t>
            </w:r>
            <w:r w:rsidR="0066157F" w:rsidRPr="0066157F">
              <w:rPr>
                <w:rFonts w:hint="eastAsia"/>
                <w:color w:val="000000"/>
                <w:spacing w:val="3"/>
                <w:w w:val="22"/>
                <w:shd w:val="solid" w:color="000000" w:fill="000000"/>
                <w:fitText w:val="100" w:id="-894207737"/>
                <w14:textFill>
                  <w14:solidFill>
                    <w14:srgbClr w14:val="000000">
                      <w14:alpha w14:val="100000"/>
                    </w14:srgbClr>
                  </w14:solidFill>
                </w14:textFill>
              </w:rPr>
              <w:t xml:space="preserve">　</w:t>
            </w:r>
            <w:r w:rsidR="00FF56BE">
              <w:rPr>
                <w:vertAlign w:val="superscript"/>
              </w:rPr>
              <w:t xml:space="preserve">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D50966" w14:textId="2B631A59" w:rsidR="00AA4FE6" w:rsidRPr="00AA4FE6" w:rsidRDefault="00AA4FE6" w:rsidP="00176952">
            <w:pPr>
              <w:pStyle w:val="TableText0"/>
              <w:keepLines/>
              <w:jc w:val="center"/>
            </w:pPr>
            <w:r w:rsidRPr="00AA4FE6">
              <w:t>$</w:t>
            </w:r>
            <w:r w:rsidR="0066157F" w:rsidRPr="0066157F">
              <w:rPr>
                <w:rFonts w:hint="eastAsia"/>
                <w:color w:val="000000"/>
                <w:w w:val="22"/>
                <w:shd w:val="solid" w:color="000000" w:fill="000000"/>
                <w:fitText w:val="100" w:id="-894207736"/>
                <w14:textFill>
                  <w14:solidFill>
                    <w14:srgbClr w14:val="000000">
                      <w14:alpha w14:val="100000"/>
                    </w14:srgbClr>
                  </w14:solidFill>
                </w14:textFill>
              </w:rPr>
              <w:t xml:space="preserve">　</w:t>
            </w:r>
            <w:r w:rsidR="0066157F" w:rsidRPr="0066157F">
              <w:rPr>
                <w:color w:val="000000"/>
                <w:w w:val="22"/>
                <w:shd w:val="solid" w:color="000000" w:fill="000000"/>
                <w:fitText w:val="100" w:id="-894207736"/>
                <w14:textFill>
                  <w14:solidFill>
                    <w14:srgbClr w14:val="000000">
                      <w14:alpha w14:val="100000"/>
                    </w14:srgbClr>
                  </w14:solidFill>
                </w14:textFill>
              </w:rPr>
              <w:t>|</w:t>
            </w:r>
            <w:r w:rsidR="0066157F" w:rsidRPr="0066157F">
              <w:rPr>
                <w:rFonts w:hint="eastAsia"/>
                <w:color w:val="000000"/>
                <w:spacing w:val="3"/>
                <w:w w:val="22"/>
                <w:shd w:val="solid" w:color="000000" w:fill="000000"/>
                <w:fitText w:val="100" w:id="-894207736"/>
                <w14:textFill>
                  <w14:solidFill>
                    <w14:srgbClr w14:val="000000">
                      <w14:alpha w14:val="100000"/>
                    </w14:srgbClr>
                  </w14:solidFill>
                </w14:textFill>
              </w:rPr>
              <w:t xml:space="preserve">　</w:t>
            </w:r>
            <w:r w:rsidR="00FF56BE">
              <w:rPr>
                <w:vertAlign w:val="superscript"/>
              </w:rPr>
              <w:t xml:space="preserve"> 1</w:t>
            </w:r>
          </w:p>
        </w:tc>
      </w:tr>
      <w:tr w:rsidR="00AA4FE6" w:rsidRPr="00AA4FE6" w14:paraId="2373E457" w14:textId="77777777" w:rsidTr="00173384">
        <w:trPr>
          <w:trHeight w:val="2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2BBEA07D" w14:textId="77777777" w:rsidR="00AA4FE6" w:rsidRPr="00AA4FE6" w:rsidRDefault="00AA4FE6" w:rsidP="00176952">
            <w:pPr>
              <w:pStyle w:val="TableText0"/>
              <w:keepLines/>
            </w:pPr>
            <w:r w:rsidRPr="00AA4FE6">
              <w:t xml:space="preserve">Patient copayment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1FA06B" w14:textId="504CCEDC" w:rsidR="00AA4FE6" w:rsidRPr="00AA4FE6" w:rsidRDefault="00AA4FE6" w:rsidP="00176952">
            <w:pPr>
              <w:pStyle w:val="TableText0"/>
              <w:keepLines/>
              <w:jc w:val="center"/>
            </w:pPr>
            <w:r w:rsidRPr="00AA4FE6">
              <w:t>-$</w:t>
            </w:r>
            <w:r w:rsidR="0066157F" w:rsidRPr="0066157F">
              <w:rPr>
                <w:rFonts w:hint="eastAsia"/>
                <w:color w:val="000000"/>
                <w:w w:val="29"/>
                <w:shd w:val="solid" w:color="000000" w:fill="000000"/>
                <w:fitText w:val="130" w:id="-894207735"/>
                <w14:textFill>
                  <w14:solidFill>
                    <w14:srgbClr w14:val="000000">
                      <w14:alpha w14:val="100000"/>
                    </w14:srgbClr>
                  </w14:solidFill>
                </w14:textFill>
              </w:rPr>
              <w:t xml:space="preserve">　</w:t>
            </w:r>
            <w:r w:rsidR="0066157F" w:rsidRPr="0066157F">
              <w:rPr>
                <w:color w:val="000000"/>
                <w:w w:val="29"/>
                <w:shd w:val="solid" w:color="000000" w:fill="000000"/>
                <w:fitText w:val="130" w:id="-894207735"/>
                <w14:textFill>
                  <w14:solidFill>
                    <w14:srgbClr w14:val="000000">
                      <w14:alpha w14:val="100000"/>
                    </w14:srgbClr>
                  </w14:solidFill>
                </w14:textFill>
              </w:rPr>
              <w:t>|</w:t>
            </w:r>
            <w:r w:rsidR="0066157F" w:rsidRPr="0066157F">
              <w:rPr>
                <w:rFonts w:hint="eastAsia"/>
                <w:color w:val="000000"/>
                <w:spacing w:val="2"/>
                <w:w w:val="29"/>
                <w:shd w:val="solid" w:color="000000" w:fill="000000"/>
                <w:fitText w:val="130" w:id="-894207735"/>
                <w14:textFill>
                  <w14:solidFill>
                    <w14:srgbClr w14:val="000000">
                      <w14:alpha w14:val="100000"/>
                    </w14:srgbClr>
                  </w14:solidFill>
                </w14:textFill>
              </w:rPr>
              <w:t xml:space="preserve">　</w:t>
            </w:r>
            <w:r w:rsidR="00FF56BE">
              <w:rPr>
                <w:vertAlign w:val="superscript"/>
              </w:rPr>
              <w:t xml:space="preserve">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5A0DE1" w14:textId="0CFBB34C" w:rsidR="00AA4FE6" w:rsidRPr="00AA4FE6" w:rsidRDefault="00AA4FE6" w:rsidP="00176952">
            <w:pPr>
              <w:pStyle w:val="TableText0"/>
              <w:keepLines/>
              <w:jc w:val="center"/>
            </w:pPr>
            <w:r w:rsidRPr="00AA4FE6">
              <w:t>-$</w:t>
            </w:r>
            <w:r w:rsidR="0066157F" w:rsidRPr="0066157F">
              <w:rPr>
                <w:rFonts w:hint="eastAsia"/>
                <w:color w:val="000000"/>
                <w:w w:val="29"/>
                <w:shd w:val="solid" w:color="000000" w:fill="000000"/>
                <w:fitText w:val="130" w:id="-894207734"/>
                <w14:textFill>
                  <w14:solidFill>
                    <w14:srgbClr w14:val="000000">
                      <w14:alpha w14:val="100000"/>
                    </w14:srgbClr>
                  </w14:solidFill>
                </w14:textFill>
              </w:rPr>
              <w:t xml:space="preserve">　</w:t>
            </w:r>
            <w:r w:rsidR="0066157F" w:rsidRPr="0066157F">
              <w:rPr>
                <w:color w:val="000000"/>
                <w:w w:val="29"/>
                <w:shd w:val="solid" w:color="000000" w:fill="000000"/>
                <w:fitText w:val="130" w:id="-894207734"/>
                <w14:textFill>
                  <w14:solidFill>
                    <w14:srgbClr w14:val="000000">
                      <w14:alpha w14:val="100000"/>
                    </w14:srgbClr>
                  </w14:solidFill>
                </w14:textFill>
              </w:rPr>
              <w:t>|</w:t>
            </w:r>
            <w:r w:rsidR="0066157F" w:rsidRPr="0066157F">
              <w:rPr>
                <w:rFonts w:hint="eastAsia"/>
                <w:color w:val="000000"/>
                <w:spacing w:val="2"/>
                <w:w w:val="29"/>
                <w:shd w:val="solid" w:color="000000" w:fill="000000"/>
                <w:fitText w:val="130" w:id="-894207734"/>
                <w14:textFill>
                  <w14:solidFill>
                    <w14:srgbClr w14:val="000000">
                      <w14:alpha w14:val="100000"/>
                    </w14:srgbClr>
                  </w14:solidFill>
                </w14:textFill>
              </w:rPr>
              <w:t xml:space="preserve">　</w:t>
            </w:r>
            <w:r w:rsidR="00FF56BE">
              <w:rPr>
                <w:vertAlign w:val="superscript"/>
              </w:rPr>
              <w:t xml:space="preserve">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D31E84" w14:textId="0EA1869A" w:rsidR="00AA4FE6" w:rsidRPr="00AA4FE6" w:rsidRDefault="00AA4FE6" w:rsidP="00176952">
            <w:pPr>
              <w:pStyle w:val="TableText0"/>
              <w:keepLines/>
              <w:jc w:val="center"/>
            </w:pPr>
            <w:r w:rsidRPr="00AA4FE6">
              <w:t>-$</w:t>
            </w:r>
            <w:r w:rsidR="0066157F" w:rsidRPr="0066157F">
              <w:rPr>
                <w:rFonts w:hint="eastAsia"/>
                <w:color w:val="000000"/>
                <w:w w:val="29"/>
                <w:shd w:val="solid" w:color="000000" w:fill="000000"/>
                <w:fitText w:val="130" w:id="-894207733"/>
                <w14:textFill>
                  <w14:solidFill>
                    <w14:srgbClr w14:val="000000">
                      <w14:alpha w14:val="100000"/>
                    </w14:srgbClr>
                  </w14:solidFill>
                </w14:textFill>
              </w:rPr>
              <w:t xml:space="preserve">　</w:t>
            </w:r>
            <w:r w:rsidR="0066157F" w:rsidRPr="0066157F">
              <w:rPr>
                <w:color w:val="000000"/>
                <w:w w:val="29"/>
                <w:shd w:val="solid" w:color="000000" w:fill="000000"/>
                <w:fitText w:val="130" w:id="-894207733"/>
                <w14:textFill>
                  <w14:solidFill>
                    <w14:srgbClr w14:val="000000">
                      <w14:alpha w14:val="100000"/>
                    </w14:srgbClr>
                  </w14:solidFill>
                </w14:textFill>
              </w:rPr>
              <w:t>|</w:t>
            </w:r>
            <w:r w:rsidR="0066157F" w:rsidRPr="0066157F">
              <w:rPr>
                <w:rFonts w:hint="eastAsia"/>
                <w:color w:val="000000"/>
                <w:spacing w:val="2"/>
                <w:w w:val="29"/>
                <w:shd w:val="solid" w:color="000000" w:fill="000000"/>
                <w:fitText w:val="130" w:id="-894207733"/>
                <w14:textFill>
                  <w14:solidFill>
                    <w14:srgbClr w14:val="000000">
                      <w14:alpha w14:val="100000"/>
                    </w14:srgbClr>
                  </w14:solidFill>
                </w14:textFill>
              </w:rPr>
              <w:t xml:space="preserve">　</w:t>
            </w:r>
            <w:r w:rsidR="00FF56BE">
              <w:rPr>
                <w:vertAlign w:val="superscript"/>
              </w:rPr>
              <w:t xml:space="preserve">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46AD7B" w14:textId="2ADE03CB" w:rsidR="00AA4FE6" w:rsidRPr="00AA4FE6" w:rsidRDefault="00AA4FE6" w:rsidP="00176952">
            <w:pPr>
              <w:pStyle w:val="TableText0"/>
              <w:keepLines/>
              <w:jc w:val="center"/>
            </w:pPr>
            <w:r w:rsidRPr="00AA4FE6">
              <w:t>-$</w:t>
            </w:r>
            <w:r w:rsidR="0066157F" w:rsidRPr="0066157F">
              <w:rPr>
                <w:rFonts w:hint="eastAsia"/>
                <w:color w:val="000000"/>
                <w:w w:val="29"/>
                <w:shd w:val="solid" w:color="000000" w:fill="000000"/>
                <w:fitText w:val="130" w:id="-894207732"/>
                <w14:textFill>
                  <w14:solidFill>
                    <w14:srgbClr w14:val="000000">
                      <w14:alpha w14:val="100000"/>
                    </w14:srgbClr>
                  </w14:solidFill>
                </w14:textFill>
              </w:rPr>
              <w:t xml:space="preserve">　</w:t>
            </w:r>
            <w:r w:rsidR="0066157F" w:rsidRPr="0066157F">
              <w:rPr>
                <w:color w:val="000000"/>
                <w:w w:val="29"/>
                <w:shd w:val="solid" w:color="000000" w:fill="000000"/>
                <w:fitText w:val="130" w:id="-894207732"/>
                <w14:textFill>
                  <w14:solidFill>
                    <w14:srgbClr w14:val="000000">
                      <w14:alpha w14:val="100000"/>
                    </w14:srgbClr>
                  </w14:solidFill>
                </w14:textFill>
              </w:rPr>
              <w:t>|</w:t>
            </w:r>
            <w:r w:rsidR="0066157F" w:rsidRPr="0066157F">
              <w:rPr>
                <w:rFonts w:hint="eastAsia"/>
                <w:color w:val="000000"/>
                <w:spacing w:val="2"/>
                <w:w w:val="29"/>
                <w:shd w:val="solid" w:color="000000" w:fill="000000"/>
                <w:fitText w:val="130" w:id="-894207732"/>
                <w14:textFill>
                  <w14:solidFill>
                    <w14:srgbClr w14:val="000000">
                      <w14:alpha w14:val="100000"/>
                    </w14:srgbClr>
                  </w14:solidFill>
                </w14:textFill>
              </w:rPr>
              <w:t xml:space="preserve">　</w:t>
            </w:r>
            <w:r w:rsidR="00FF56BE">
              <w:rPr>
                <w:vertAlign w:val="superscript"/>
              </w:rPr>
              <w:t xml:space="preserve">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7A2784" w14:textId="53517DDA" w:rsidR="00AA4FE6" w:rsidRPr="00AA4FE6" w:rsidRDefault="00AA4FE6" w:rsidP="00176952">
            <w:pPr>
              <w:pStyle w:val="TableText0"/>
              <w:keepLines/>
              <w:jc w:val="center"/>
            </w:pPr>
            <w:r w:rsidRPr="00AA4FE6">
              <w:t>-$</w:t>
            </w:r>
            <w:r w:rsidR="0066157F" w:rsidRPr="0066157F">
              <w:rPr>
                <w:rFonts w:hint="eastAsia"/>
                <w:color w:val="000000"/>
                <w:w w:val="29"/>
                <w:shd w:val="solid" w:color="000000" w:fill="000000"/>
                <w:fitText w:val="130" w:id="-894207731"/>
                <w14:textFill>
                  <w14:solidFill>
                    <w14:srgbClr w14:val="000000">
                      <w14:alpha w14:val="100000"/>
                    </w14:srgbClr>
                  </w14:solidFill>
                </w14:textFill>
              </w:rPr>
              <w:t xml:space="preserve">　</w:t>
            </w:r>
            <w:r w:rsidR="0066157F" w:rsidRPr="0066157F">
              <w:rPr>
                <w:color w:val="000000"/>
                <w:w w:val="29"/>
                <w:shd w:val="solid" w:color="000000" w:fill="000000"/>
                <w:fitText w:val="130" w:id="-894207731"/>
                <w14:textFill>
                  <w14:solidFill>
                    <w14:srgbClr w14:val="000000">
                      <w14:alpha w14:val="100000"/>
                    </w14:srgbClr>
                  </w14:solidFill>
                </w14:textFill>
              </w:rPr>
              <w:t>|</w:t>
            </w:r>
            <w:r w:rsidR="0066157F" w:rsidRPr="0066157F">
              <w:rPr>
                <w:rFonts w:hint="eastAsia"/>
                <w:color w:val="000000"/>
                <w:spacing w:val="2"/>
                <w:w w:val="29"/>
                <w:shd w:val="solid" w:color="000000" w:fill="000000"/>
                <w:fitText w:val="130" w:id="-894207731"/>
                <w14:textFill>
                  <w14:solidFill>
                    <w14:srgbClr w14:val="000000">
                      <w14:alpha w14:val="100000"/>
                    </w14:srgbClr>
                  </w14:solidFill>
                </w14:textFill>
              </w:rPr>
              <w:t xml:space="preserve">　</w:t>
            </w:r>
            <w:r w:rsidR="00FF56BE">
              <w:rPr>
                <w:vertAlign w:val="superscript"/>
              </w:rPr>
              <w:t xml:space="preserve">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4AD902" w14:textId="25837A08" w:rsidR="00AA4FE6" w:rsidRPr="00AA4FE6" w:rsidRDefault="00AA4FE6" w:rsidP="00176952">
            <w:pPr>
              <w:pStyle w:val="TableText0"/>
              <w:keepLines/>
              <w:jc w:val="center"/>
            </w:pPr>
            <w:r w:rsidRPr="00AA4FE6">
              <w:t>-$</w:t>
            </w:r>
            <w:r w:rsidR="0066157F" w:rsidRPr="0066157F">
              <w:rPr>
                <w:rFonts w:hint="eastAsia"/>
                <w:color w:val="000000"/>
                <w:w w:val="29"/>
                <w:shd w:val="solid" w:color="000000" w:fill="000000"/>
                <w:fitText w:val="130" w:id="-894207730"/>
                <w14:textFill>
                  <w14:solidFill>
                    <w14:srgbClr w14:val="000000">
                      <w14:alpha w14:val="100000"/>
                    </w14:srgbClr>
                  </w14:solidFill>
                </w14:textFill>
              </w:rPr>
              <w:t xml:space="preserve">　</w:t>
            </w:r>
            <w:r w:rsidR="0066157F" w:rsidRPr="0066157F">
              <w:rPr>
                <w:color w:val="000000"/>
                <w:w w:val="29"/>
                <w:shd w:val="solid" w:color="000000" w:fill="000000"/>
                <w:fitText w:val="130" w:id="-894207730"/>
                <w14:textFill>
                  <w14:solidFill>
                    <w14:srgbClr w14:val="000000">
                      <w14:alpha w14:val="100000"/>
                    </w14:srgbClr>
                  </w14:solidFill>
                </w14:textFill>
              </w:rPr>
              <w:t>|</w:t>
            </w:r>
            <w:r w:rsidR="0066157F" w:rsidRPr="0066157F">
              <w:rPr>
                <w:rFonts w:hint="eastAsia"/>
                <w:color w:val="000000"/>
                <w:spacing w:val="2"/>
                <w:w w:val="29"/>
                <w:shd w:val="solid" w:color="000000" w:fill="000000"/>
                <w:fitText w:val="130" w:id="-894207730"/>
                <w14:textFill>
                  <w14:solidFill>
                    <w14:srgbClr w14:val="000000">
                      <w14:alpha w14:val="100000"/>
                    </w14:srgbClr>
                  </w14:solidFill>
                </w14:textFill>
              </w:rPr>
              <w:t xml:space="preserve">　</w:t>
            </w:r>
            <w:r w:rsidR="00FF56BE">
              <w:rPr>
                <w:vertAlign w:val="superscript"/>
              </w:rPr>
              <w:t xml:space="preserve"> 3</w:t>
            </w:r>
          </w:p>
        </w:tc>
      </w:tr>
      <w:bookmarkEnd w:id="112"/>
      <w:tr w:rsidR="00AA4FE6" w:rsidRPr="00AA4FE6" w14:paraId="1A2BED2A" w14:textId="77777777" w:rsidTr="00173384">
        <w:trPr>
          <w:trHeight w:val="2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300BA371" w14:textId="77777777" w:rsidR="00AA4FE6" w:rsidRPr="00AA4FE6" w:rsidRDefault="00AA4FE6" w:rsidP="00176952">
            <w:pPr>
              <w:pStyle w:val="TableText0"/>
              <w:keepLines/>
              <w:rPr>
                <w:vertAlign w:val="superscript"/>
              </w:rPr>
            </w:pPr>
            <w:r w:rsidRPr="00AA4FE6">
              <w:t xml:space="preserve">Changed listing </w:t>
            </w:r>
            <w:r w:rsidRPr="00AA4FE6">
              <w:rPr>
                <w:vertAlign w:val="superscript"/>
              </w:rPr>
              <w:t>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89E49E" w14:textId="49B7C4AF" w:rsidR="00AA4FE6" w:rsidRPr="00AA4FE6" w:rsidRDefault="00AA4FE6" w:rsidP="00176952">
            <w:pPr>
              <w:pStyle w:val="TableText0"/>
              <w:keepLines/>
              <w:jc w:val="center"/>
            </w:pPr>
            <w:r w:rsidRPr="00AA4FE6">
              <w:t>-$</w:t>
            </w:r>
            <w:r w:rsidR="0066157F" w:rsidRPr="0066157F">
              <w:rPr>
                <w:rFonts w:hint="eastAsia"/>
                <w:color w:val="000000"/>
                <w:w w:val="29"/>
                <w:shd w:val="solid" w:color="000000" w:fill="000000"/>
                <w:fitText w:val="130" w:id="-894207729"/>
                <w14:textFill>
                  <w14:solidFill>
                    <w14:srgbClr w14:val="000000">
                      <w14:alpha w14:val="100000"/>
                    </w14:srgbClr>
                  </w14:solidFill>
                </w14:textFill>
              </w:rPr>
              <w:t xml:space="preserve">　</w:t>
            </w:r>
            <w:r w:rsidR="0066157F" w:rsidRPr="0066157F">
              <w:rPr>
                <w:color w:val="000000"/>
                <w:w w:val="29"/>
                <w:shd w:val="solid" w:color="000000" w:fill="000000"/>
                <w:fitText w:val="130" w:id="-894207729"/>
                <w14:textFill>
                  <w14:solidFill>
                    <w14:srgbClr w14:val="000000">
                      <w14:alpha w14:val="100000"/>
                    </w14:srgbClr>
                  </w14:solidFill>
                </w14:textFill>
              </w:rPr>
              <w:t>|</w:t>
            </w:r>
            <w:r w:rsidR="0066157F" w:rsidRPr="0066157F">
              <w:rPr>
                <w:rFonts w:hint="eastAsia"/>
                <w:color w:val="000000"/>
                <w:spacing w:val="2"/>
                <w:w w:val="29"/>
                <w:shd w:val="solid" w:color="000000" w:fill="000000"/>
                <w:fitText w:val="130" w:id="-894207729"/>
                <w14:textFill>
                  <w14:solidFill>
                    <w14:srgbClr w14:val="000000">
                      <w14:alpha w14:val="100000"/>
                    </w14:srgbClr>
                  </w14:solidFill>
                </w14:textFill>
              </w:rPr>
              <w:t xml:space="preserve">　</w:t>
            </w:r>
            <w:r w:rsidR="00FF56BE">
              <w:rPr>
                <w:vertAlign w:val="superscript"/>
              </w:rPr>
              <w:t xml:space="preserve">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144E93" w14:textId="60DB55DF" w:rsidR="00AA4FE6" w:rsidRPr="00AA4FE6" w:rsidRDefault="00AA4FE6" w:rsidP="00176952">
            <w:pPr>
              <w:pStyle w:val="TableText0"/>
              <w:keepLines/>
              <w:jc w:val="center"/>
            </w:pPr>
            <w:r w:rsidRPr="00AA4FE6">
              <w:t>-$</w:t>
            </w:r>
            <w:r w:rsidR="0066157F" w:rsidRPr="0066157F">
              <w:rPr>
                <w:rFonts w:hint="eastAsia"/>
                <w:color w:val="000000"/>
                <w:w w:val="29"/>
                <w:shd w:val="solid" w:color="000000" w:fill="000000"/>
                <w:fitText w:val="130" w:id="-894207728"/>
                <w14:textFill>
                  <w14:solidFill>
                    <w14:srgbClr w14:val="000000">
                      <w14:alpha w14:val="100000"/>
                    </w14:srgbClr>
                  </w14:solidFill>
                </w14:textFill>
              </w:rPr>
              <w:t xml:space="preserve">　</w:t>
            </w:r>
            <w:r w:rsidR="0066157F" w:rsidRPr="0066157F">
              <w:rPr>
                <w:color w:val="000000"/>
                <w:w w:val="29"/>
                <w:shd w:val="solid" w:color="000000" w:fill="000000"/>
                <w:fitText w:val="130" w:id="-894207728"/>
                <w14:textFill>
                  <w14:solidFill>
                    <w14:srgbClr w14:val="000000">
                      <w14:alpha w14:val="100000"/>
                    </w14:srgbClr>
                  </w14:solidFill>
                </w14:textFill>
              </w:rPr>
              <w:t>|</w:t>
            </w:r>
            <w:r w:rsidR="0066157F" w:rsidRPr="0066157F">
              <w:rPr>
                <w:rFonts w:hint="eastAsia"/>
                <w:color w:val="000000"/>
                <w:spacing w:val="2"/>
                <w:w w:val="29"/>
                <w:shd w:val="solid" w:color="000000" w:fill="000000"/>
                <w:fitText w:val="130" w:id="-894207728"/>
                <w14:textFill>
                  <w14:solidFill>
                    <w14:srgbClr w14:val="000000">
                      <w14:alpha w14:val="100000"/>
                    </w14:srgbClr>
                  </w14:solidFill>
                </w14:textFill>
              </w:rPr>
              <w:t xml:space="preserve">　</w:t>
            </w:r>
            <w:r w:rsidR="00FF56BE">
              <w:rPr>
                <w:vertAlign w:val="superscript"/>
              </w:rPr>
              <w:t xml:space="preserve">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173AB1" w14:textId="2284A900" w:rsidR="00AA4FE6" w:rsidRPr="00AA4FE6" w:rsidRDefault="00AA4FE6" w:rsidP="00176952">
            <w:pPr>
              <w:pStyle w:val="TableText0"/>
              <w:keepLines/>
              <w:jc w:val="center"/>
            </w:pPr>
            <w:r w:rsidRPr="00AA4FE6">
              <w:t>-$</w:t>
            </w:r>
            <w:r w:rsidR="0066157F" w:rsidRPr="0066157F">
              <w:rPr>
                <w:rFonts w:hint="eastAsia"/>
                <w:color w:val="000000"/>
                <w:w w:val="29"/>
                <w:shd w:val="solid" w:color="000000" w:fill="000000"/>
                <w:fitText w:val="130" w:id="-894207744"/>
                <w14:textFill>
                  <w14:solidFill>
                    <w14:srgbClr w14:val="000000">
                      <w14:alpha w14:val="100000"/>
                    </w14:srgbClr>
                  </w14:solidFill>
                </w14:textFill>
              </w:rPr>
              <w:t xml:space="preserve">　</w:t>
            </w:r>
            <w:r w:rsidR="0066157F" w:rsidRPr="0066157F">
              <w:rPr>
                <w:color w:val="000000"/>
                <w:w w:val="29"/>
                <w:shd w:val="solid" w:color="000000" w:fill="000000"/>
                <w:fitText w:val="130" w:id="-894207744"/>
                <w14:textFill>
                  <w14:solidFill>
                    <w14:srgbClr w14:val="000000">
                      <w14:alpha w14:val="100000"/>
                    </w14:srgbClr>
                  </w14:solidFill>
                </w14:textFill>
              </w:rPr>
              <w:t>|</w:t>
            </w:r>
            <w:r w:rsidR="0066157F" w:rsidRPr="0066157F">
              <w:rPr>
                <w:rFonts w:hint="eastAsia"/>
                <w:color w:val="000000"/>
                <w:spacing w:val="2"/>
                <w:w w:val="29"/>
                <w:shd w:val="solid" w:color="000000" w:fill="000000"/>
                <w:fitText w:val="130" w:id="-894207744"/>
                <w14:textFill>
                  <w14:solidFill>
                    <w14:srgbClr w14:val="000000">
                      <w14:alpha w14:val="100000"/>
                    </w14:srgbClr>
                  </w14:solidFill>
                </w14:textFill>
              </w:rPr>
              <w:t xml:space="preserve">　</w:t>
            </w:r>
            <w:r w:rsidR="00FF56BE">
              <w:rPr>
                <w:vertAlign w:val="superscript"/>
              </w:rPr>
              <w:t xml:space="preserve">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33513E" w14:textId="56548D6B" w:rsidR="00AA4FE6" w:rsidRPr="00AA4FE6" w:rsidRDefault="00AA4FE6" w:rsidP="00176952">
            <w:pPr>
              <w:pStyle w:val="TableText0"/>
              <w:keepLines/>
              <w:jc w:val="center"/>
            </w:pPr>
            <w:r w:rsidRPr="00AA4FE6">
              <w:t>-$</w:t>
            </w:r>
            <w:r w:rsidR="0066157F" w:rsidRPr="0066157F">
              <w:rPr>
                <w:rFonts w:hint="eastAsia"/>
                <w:color w:val="000000"/>
                <w:w w:val="29"/>
                <w:shd w:val="solid" w:color="000000" w:fill="000000"/>
                <w:fitText w:val="130" w:id="-894207743"/>
                <w14:textFill>
                  <w14:solidFill>
                    <w14:srgbClr w14:val="000000">
                      <w14:alpha w14:val="100000"/>
                    </w14:srgbClr>
                  </w14:solidFill>
                </w14:textFill>
              </w:rPr>
              <w:t xml:space="preserve">　</w:t>
            </w:r>
            <w:r w:rsidR="0066157F" w:rsidRPr="0066157F">
              <w:rPr>
                <w:color w:val="000000"/>
                <w:w w:val="29"/>
                <w:shd w:val="solid" w:color="000000" w:fill="000000"/>
                <w:fitText w:val="130" w:id="-894207743"/>
                <w14:textFill>
                  <w14:solidFill>
                    <w14:srgbClr w14:val="000000">
                      <w14:alpha w14:val="100000"/>
                    </w14:srgbClr>
                  </w14:solidFill>
                </w14:textFill>
              </w:rPr>
              <w:t>|</w:t>
            </w:r>
            <w:r w:rsidR="0066157F" w:rsidRPr="0066157F">
              <w:rPr>
                <w:rFonts w:hint="eastAsia"/>
                <w:color w:val="000000"/>
                <w:spacing w:val="2"/>
                <w:w w:val="29"/>
                <w:shd w:val="solid" w:color="000000" w:fill="000000"/>
                <w:fitText w:val="130" w:id="-894207743"/>
                <w14:textFill>
                  <w14:solidFill>
                    <w14:srgbClr w14:val="000000">
                      <w14:alpha w14:val="100000"/>
                    </w14:srgbClr>
                  </w14:solidFill>
                </w14:textFill>
              </w:rPr>
              <w:t xml:space="preserve">　</w:t>
            </w:r>
            <w:r w:rsidR="00FF56BE">
              <w:rPr>
                <w:vertAlign w:val="superscript"/>
              </w:rPr>
              <w:t xml:space="preserve">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C0B987" w14:textId="04F6E41D" w:rsidR="00AA4FE6" w:rsidRPr="00AA4FE6" w:rsidRDefault="00AA4FE6" w:rsidP="00176952">
            <w:pPr>
              <w:pStyle w:val="TableText0"/>
              <w:keepLines/>
              <w:jc w:val="center"/>
            </w:pPr>
            <w:r w:rsidRPr="00AA4FE6">
              <w:t>-$</w:t>
            </w:r>
            <w:r w:rsidR="0066157F" w:rsidRPr="0066157F">
              <w:rPr>
                <w:rFonts w:hint="eastAsia"/>
                <w:color w:val="000000"/>
                <w:w w:val="29"/>
                <w:shd w:val="solid" w:color="000000" w:fill="000000"/>
                <w:fitText w:val="130" w:id="-894207742"/>
                <w14:textFill>
                  <w14:solidFill>
                    <w14:srgbClr w14:val="000000">
                      <w14:alpha w14:val="100000"/>
                    </w14:srgbClr>
                  </w14:solidFill>
                </w14:textFill>
              </w:rPr>
              <w:t xml:space="preserve">　</w:t>
            </w:r>
            <w:r w:rsidR="0066157F" w:rsidRPr="0066157F">
              <w:rPr>
                <w:color w:val="000000"/>
                <w:w w:val="29"/>
                <w:shd w:val="solid" w:color="000000" w:fill="000000"/>
                <w:fitText w:val="130" w:id="-894207742"/>
                <w14:textFill>
                  <w14:solidFill>
                    <w14:srgbClr w14:val="000000">
                      <w14:alpha w14:val="100000"/>
                    </w14:srgbClr>
                  </w14:solidFill>
                </w14:textFill>
              </w:rPr>
              <w:t>|</w:t>
            </w:r>
            <w:r w:rsidR="0066157F" w:rsidRPr="0066157F">
              <w:rPr>
                <w:rFonts w:hint="eastAsia"/>
                <w:color w:val="000000"/>
                <w:spacing w:val="2"/>
                <w:w w:val="29"/>
                <w:shd w:val="solid" w:color="000000" w:fill="000000"/>
                <w:fitText w:val="130" w:id="-894207742"/>
                <w14:textFill>
                  <w14:solidFill>
                    <w14:srgbClr w14:val="000000">
                      <w14:alpha w14:val="100000"/>
                    </w14:srgbClr>
                  </w14:solidFill>
                </w14:textFill>
              </w:rPr>
              <w:t xml:space="preserve">　</w:t>
            </w:r>
            <w:r w:rsidR="00FF56BE">
              <w:rPr>
                <w:vertAlign w:val="superscript"/>
              </w:rPr>
              <w:t xml:space="preserve">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9A2937" w14:textId="26E5E20F" w:rsidR="00AA4FE6" w:rsidRPr="00AA4FE6" w:rsidRDefault="00AA4FE6" w:rsidP="00176952">
            <w:pPr>
              <w:pStyle w:val="TableText0"/>
              <w:keepLines/>
              <w:jc w:val="center"/>
            </w:pPr>
            <w:r w:rsidRPr="00AA4FE6">
              <w:t>-$</w:t>
            </w:r>
            <w:r w:rsidR="0066157F" w:rsidRPr="0066157F">
              <w:rPr>
                <w:rFonts w:hint="eastAsia"/>
                <w:color w:val="000000"/>
                <w:w w:val="29"/>
                <w:shd w:val="solid" w:color="000000" w:fill="000000"/>
                <w:fitText w:val="130" w:id="-894207741"/>
                <w14:textFill>
                  <w14:solidFill>
                    <w14:srgbClr w14:val="000000">
                      <w14:alpha w14:val="100000"/>
                    </w14:srgbClr>
                  </w14:solidFill>
                </w14:textFill>
              </w:rPr>
              <w:t xml:space="preserve">　</w:t>
            </w:r>
            <w:r w:rsidR="0066157F" w:rsidRPr="0066157F">
              <w:rPr>
                <w:color w:val="000000"/>
                <w:w w:val="29"/>
                <w:shd w:val="solid" w:color="000000" w:fill="000000"/>
                <w:fitText w:val="130" w:id="-894207741"/>
                <w14:textFill>
                  <w14:solidFill>
                    <w14:srgbClr w14:val="000000">
                      <w14:alpha w14:val="100000"/>
                    </w14:srgbClr>
                  </w14:solidFill>
                </w14:textFill>
              </w:rPr>
              <w:t>|</w:t>
            </w:r>
            <w:r w:rsidR="0066157F" w:rsidRPr="0066157F">
              <w:rPr>
                <w:rFonts w:hint="eastAsia"/>
                <w:color w:val="000000"/>
                <w:spacing w:val="2"/>
                <w:w w:val="29"/>
                <w:shd w:val="solid" w:color="000000" w:fill="000000"/>
                <w:fitText w:val="130" w:id="-894207741"/>
                <w14:textFill>
                  <w14:solidFill>
                    <w14:srgbClr w14:val="000000">
                      <w14:alpha w14:val="100000"/>
                    </w14:srgbClr>
                  </w14:solidFill>
                </w14:textFill>
              </w:rPr>
              <w:t xml:space="preserve">　</w:t>
            </w:r>
            <w:r w:rsidR="00FF56BE">
              <w:rPr>
                <w:vertAlign w:val="superscript"/>
              </w:rPr>
              <w:t xml:space="preserve"> 3</w:t>
            </w:r>
          </w:p>
        </w:tc>
      </w:tr>
      <w:tr w:rsidR="00AA4FE6" w:rsidRPr="00AA4FE6" w14:paraId="5E79A282" w14:textId="77777777" w:rsidTr="00173384">
        <w:trPr>
          <w:trHeight w:val="2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223610FE" w14:textId="77777777" w:rsidR="00AA4FE6" w:rsidRPr="00AA4FE6" w:rsidRDefault="00AA4FE6" w:rsidP="00176952">
            <w:pPr>
              <w:pStyle w:val="TableText0"/>
              <w:keepLines/>
            </w:pPr>
            <w:r w:rsidRPr="00AA4FE6">
              <w:t>Net cost to PBS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36A49D" w14:textId="2676F115" w:rsidR="00AA4FE6" w:rsidRPr="00AA4FE6" w:rsidRDefault="00AA4FE6" w:rsidP="00176952">
            <w:pPr>
              <w:pStyle w:val="TableText0"/>
              <w:keepLines/>
              <w:jc w:val="center"/>
            </w:pPr>
            <w:r w:rsidRPr="00AA4FE6">
              <w:t>$</w:t>
            </w:r>
            <w:r w:rsidR="0066157F" w:rsidRPr="0066157F">
              <w:rPr>
                <w:rFonts w:hint="eastAsia"/>
                <w:color w:val="000000"/>
                <w:w w:val="22"/>
                <w:shd w:val="solid" w:color="000000" w:fill="000000"/>
                <w:fitText w:val="100" w:id="-894207740"/>
                <w14:textFill>
                  <w14:solidFill>
                    <w14:srgbClr w14:val="000000">
                      <w14:alpha w14:val="100000"/>
                    </w14:srgbClr>
                  </w14:solidFill>
                </w14:textFill>
              </w:rPr>
              <w:t xml:space="preserve">　</w:t>
            </w:r>
            <w:r w:rsidR="0066157F" w:rsidRPr="0066157F">
              <w:rPr>
                <w:color w:val="000000"/>
                <w:w w:val="22"/>
                <w:shd w:val="solid" w:color="000000" w:fill="000000"/>
                <w:fitText w:val="100" w:id="-894207740"/>
                <w14:textFill>
                  <w14:solidFill>
                    <w14:srgbClr w14:val="000000">
                      <w14:alpha w14:val="100000"/>
                    </w14:srgbClr>
                  </w14:solidFill>
                </w14:textFill>
              </w:rPr>
              <w:t>|</w:t>
            </w:r>
            <w:r w:rsidR="0066157F" w:rsidRPr="0066157F">
              <w:rPr>
                <w:rFonts w:hint="eastAsia"/>
                <w:color w:val="000000"/>
                <w:spacing w:val="3"/>
                <w:w w:val="22"/>
                <w:shd w:val="solid" w:color="000000" w:fill="000000"/>
                <w:fitText w:val="100" w:id="-894207740"/>
                <w14:textFill>
                  <w14:solidFill>
                    <w14:srgbClr w14:val="000000">
                      <w14:alpha w14:val="100000"/>
                    </w14:srgbClr>
                  </w14:solidFill>
                </w14:textFill>
              </w:rPr>
              <w:t xml:space="preserve">　</w:t>
            </w:r>
            <w:r w:rsidR="00FF56BE">
              <w:rPr>
                <w:vertAlign w:val="superscript"/>
              </w:rPr>
              <w:t xml:space="preserve">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55C153" w14:textId="648A02B5" w:rsidR="00AA4FE6" w:rsidRPr="00AA4FE6" w:rsidRDefault="00AA4FE6" w:rsidP="00176952">
            <w:pPr>
              <w:pStyle w:val="TableText0"/>
              <w:keepLines/>
              <w:jc w:val="center"/>
            </w:pPr>
            <w:r w:rsidRPr="00AA4FE6">
              <w:t>$</w:t>
            </w:r>
            <w:r w:rsidR="0066157F" w:rsidRPr="0066157F">
              <w:rPr>
                <w:rFonts w:hint="eastAsia"/>
                <w:color w:val="000000"/>
                <w:w w:val="22"/>
                <w:shd w:val="solid" w:color="000000" w:fill="000000"/>
                <w:fitText w:val="100" w:id="-894207739"/>
                <w14:textFill>
                  <w14:solidFill>
                    <w14:srgbClr w14:val="000000">
                      <w14:alpha w14:val="100000"/>
                    </w14:srgbClr>
                  </w14:solidFill>
                </w14:textFill>
              </w:rPr>
              <w:t xml:space="preserve">　</w:t>
            </w:r>
            <w:r w:rsidR="0066157F" w:rsidRPr="0066157F">
              <w:rPr>
                <w:color w:val="000000"/>
                <w:w w:val="22"/>
                <w:shd w:val="solid" w:color="000000" w:fill="000000"/>
                <w:fitText w:val="100" w:id="-894207739"/>
                <w14:textFill>
                  <w14:solidFill>
                    <w14:srgbClr w14:val="000000">
                      <w14:alpha w14:val="100000"/>
                    </w14:srgbClr>
                  </w14:solidFill>
                </w14:textFill>
              </w:rPr>
              <w:t>|</w:t>
            </w:r>
            <w:r w:rsidR="0066157F" w:rsidRPr="0066157F">
              <w:rPr>
                <w:rFonts w:hint="eastAsia"/>
                <w:color w:val="000000"/>
                <w:spacing w:val="3"/>
                <w:w w:val="22"/>
                <w:shd w:val="solid" w:color="000000" w:fill="000000"/>
                <w:fitText w:val="100" w:id="-894207739"/>
                <w14:textFill>
                  <w14:solidFill>
                    <w14:srgbClr w14:val="000000">
                      <w14:alpha w14:val="100000"/>
                    </w14:srgbClr>
                  </w14:solidFill>
                </w14:textFill>
              </w:rPr>
              <w:t xml:space="preserve">　</w:t>
            </w:r>
            <w:r w:rsidR="00FF56BE">
              <w:rPr>
                <w:vertAlign w:val="superscript"/>
              </w:rPr>
              <w:t xml:space="preserve">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E66005" w14:textId="67218C91" w:rsidR="00AA4FE6" w:rsidRPr="00AA4FE6" w:rsidRDefault="00AA4FE6" w:rsidP="00176952">
            <w:pPr>
              <w:pStyle w:val="TableText0"/>
              <w:keepLines/>
              <w:jc w:val="center"/>
            </w:pPr>
            <w:r w:rsidRPr="00AA4FE6">
              <w:t>$</w:t>
            </w:r>
            <w:r w:rsidR="0066157F" w:rsidRPr="0066157F">
              <w:rPr>
                <w:rFonts w:hint="eastAsia"/>
                <w:color w:val="000000"/>
                <w:w w:val="22"/>
                <w:shd w:val="solid" w:color="000000" w:fill="000000"/>
                <w:fitText w:val="100" w:id="-894207738"/>
                <w14:textFill>
                  <w14:solidFill>
                    <w14:srgbClr w14:val="000000">
                      <w14:alpha w14:val="100000"/>
                    </w14:srgbClr>
                  </w14:solidFill>
                </w14:textFill>
              </w:rPr>
              <w:t xml:space="preserve">　</w:t>
            </w:r>
            <w:r w:rsidR="0066157F" w:rsidRPr="0066157F">
              <w:rPr>
                <w:color w:val="000000"/>
                <w:w w:val="22"/>
                <w:shd w:val="solid" w:color="000000" w:fill="000000"/>
                <w:fitText w:val="100" w:id="-894207738"/>
                <w14:textFill>
                  <w14:solidFill>
                    <w14:srgbClr w14:val="000000">
                      <w14:alpha w14:val="100000"/>
                    </w14:srgbClr>
                  </w14:solidFill>
                </w14:textFill>
              </w:rPr>
              <w:t>|</w:t>
            </w:r>
            <w:r w:rsidR="0066157F" w:rsidRPr="0066157F">
              <w:rPr>
                <w:rFonts w:hint="eastAsia"/>
                <w:color w:val="000000"/>
                <w:spacing w:val="3"/>
                <w:w w:val="22"/>
                <w:shd w:val="solid" w:color="000000" w:fill="000000"/>
                <w:fitText w:val="100" w:id="-894207738"/>
                <w14:textFill>
                  <w14:solidFill>
                    <w14:srgbClr w14:val="000000">
                      <w14:alpha w14:val="100000"/>
                    </w14:srgbClr>
                  </w14:solidFill>
                </w14:textFill>
              </w:rPr>
              <w:t xml:space="preserve">　</w:t>
            </w:r>
            <w:r w:rsidR="00FF56BE">
              <w:rPr>
                <w:vertAlign w:val="superscript"/>
              </w:rPr>
              <w:t xml:space="preserve">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FE9BF8" w14:textId="04480C67" w:rsidR="00AA4FE6" w:rsidRPr="00AA4FE6" w:rsidRDefault="00AA4FE6" w:rsidP="00176952">
            <w:pPr>
              <w:pStyle w:val="TableText0"/>
              <w:keepLines/>
              <w:jc w:val="center"/>
            </w:pPr>
            <w:r w:rsidRPr="00AA4FE6">
              <w:t>$</w:t>
            </w:r>
            <w:r w:rsidR="0066157F" w:rsidRPr="0066157F">
              <w:rPr>
                <w:rFonts w:hint="eastAsia"/>
                <w:color w:val="000000"/>
                <w:w w:val="22"/>
                <w:shd w:val="solid" w:color="000000" w:fill="000000"/>
                <w:fitText w:val="100" w:id="-894207737"/>
                <w14:textFill>
                  <w14:solidFill>
                    <w14:srgbClr w14:val="000000">
                      <w14:alpha w14:val="100000"/>
                    </w14:srgbClr>
                  </w14:solidFill>
                </w14:textFill>
              </w:rPr>
              <w:t xml:space="preserve">　</w:t>
            </w:r>
            <w:r w:rsidR="0066157F" w:rsidRPr="0066157F">
              <w:rPr>
                <w:color w:val="000000"/>
                <w:w w:val="22"/>
                <w:shd w:val="solid" w:color="000000" w:fill="000000"/>
                <w:fitText w:val="100" w:id="-894207737"/>
                <w14:textFill>
                  <w14:solidFill>
                    <w14:srgbClr w14:val="000000">
                      <w14:alpha w14:val="100000"/>
                    </w14:srgbClr>
                  </w14:solidFill>
                </w14:textFill>
              </w:rPr>
              <w:t>|</w:t>
            </w:r>
            <w:r w:rsidR="0066157F" w:rsidRPr="0066157F">
              <w:rPr>
                <w:rFonts w:hint="eastAsia"/>
                <w:color w:val="000000"/>
                <w:spacing w:val="3"/>
                <w:w w:val="22"/>
                <w:shd w:val="solid" w:color="000000" w:fill="000000"/>
                <w:fitText w:val="100" w:id="-894207737"/>
                <w14:textFill>
                  <w14:solidFill>
                    <w14:srgbClr w14:val="000000">
                      <w14:alpha w14:val="100000"/>
                    </w14:srgbClr>
                  </w14:solidFill>
                </w14:textFill>
              </w:rPr>
              <w:t xml:space="preserve">　</w:t>
            </w:r>
            <w:r w:rsidR="00FF56BE">
              <w:rPr>
                <w:vertAlign w:val="superscript"/>
              </w:rPr>
              <w:t xml:space="preserve">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B2788C" w14:textId="5A755BA5" w:rsidR="00AA4FE6" w:rsidRPr="00AA4FE6" w:rsidRDefault="00AA4FE6" w:rsidP="00176952">
            <w:pPr>
              <w:pStyle w:val="TableText0"/>
              <w:keepLines/>
              <w:jc w:val="center"/>
            </w:pPr>
            <w:r w:rsidRPr="00AA4FE6">
              <w:t>$</w:t>
            </w:r>
            <w:r w:rsidR="0066157F" w:rsidRPr="0066157F">
              <w:rPr>
                <w:rFonts w:hint="eastAsia"/>
                <w:color w:val="000000"/>
                <w:w w:val="22"/>
                <w:shd w:val="solid" w:color="000000" w:fill="000000"/>
                <w:fitText w:val="100" w:id="-894207736"/>
                <w14:textFill>
                  <w14:solidFill>
                    <w14:srgbClr w14:val="000000">
                      <w14:alpha w14:val="100000"/>
                    </w14:srgbClr>
                  </w14:solidFill>
                </w14:textFill>
              </w:rPr>
              <w:t xml:space="preserve">　</w:t>
            </w:r>
            <w:r w:rsidR="0066157F" w:rsidRPr="0066157F">
              <w:rPr>
                <w:color w:val="000000"/>
                <w:w w:val="22"/>
                <w:shd w:val="solid" w:color="000000" w:fill="000000"/>
                <w:fitText w:val="100" w:id="-894207736"/>
                <w14:textFill>
                  <w14:solidFill>
                    <w14:srgbClr w14:val="000000">
                      <w14:alpha w14:val="100000"/>
                    </w14:srgbClr>
                  </w14:solidFill>
                </w14:textFill>
              </w:rPr>
              <w:t>|</w:t>
            </w:r>
            <w:r w:rsidR="0066157F" w:rsidRPr="0066157F">
              <w:rPr>
                <w:rFonts w:hint="eastAsia"/>
                <w:color w:val="000000"/>
                <w:spacing w:val="3"/>
                <w:w w:val="22"/>
                <w:shd w:val="solid" w:color="000000" w:fill="000000"/>
                <w:fitText w:val="100" w:id="-894207736"/>
                <w14:textFill>
                  <w14:solidFill>
                    <w14:srgbClr w14:val="000000">
                      <w14:alpha w14:val="100000"/>
                    </w14:srgbClr>
                  </w14:solidFill>
                </w14:textFill>
              </w:rPr>
              <w:t xml:space="preserve">　</w:t>
            </w:r>
            <w:r w:rsidR="00FF56BE">
              <w:rPr>
                <w:vertAlign w:val="superscript"/>
              </w:rPr>
              <w:t xml:space="preserve">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C76BA6" w14:textId="47AEC1AA" w:rsidR="00AA4FE6" w:rsidRPr="00AA4FE6" w:rsidRDefault="00AA4FE6" w:rsidP="00176952">
            <w:pPr>
              <w:pStyle w:val="TableText0"/>
              <w:keepLines/>
              <w:jc w:val="center"/>
            </w:pPr>
            <w:r w:rsidRPr="00AA4FE6">
              <w:t>$</w:t>
            </w:r>
            <w:r w:rsidR="0066157F" w:rsidRPr="0066157F">
              <w:rPr>
                <w:rFonts w:hint="eastAsia"/>
                <w:color w:val="000000"/>
                <w:w w:val="22"/>
                <w:shd w:val="solid" w:color="000000" w:fill="000000"/>
                <w:fitText w:val="100" w:id="-894207735"/>
                <w14:textFill>
                  <w14:solidFill>
                    <w14:srgbClr w14:val="000000">
                      <w14:alpha w14:val="100000"/>
                    </w14:srgbClr>
                  </w14:solidFill>
                </w14:textFill>
              </w:rPr>
              <w:t xml:space="preserve">　</w:t>
            </w:r>
            <w:r w:rsidR="0066157F" w:rsidRPr="0066157F">
              <w:rPr>
                <w:color w:val="000000"/>
                <w:w w:val="22"/>
                <w:shd w:val="solid" w:color="000000" w:fill="000000"/>
                <w:fitText w:val="100" w:id="-894207735"/>
                <w14:textFill>
                  <w14:solidFill>
                    <w14:srgbClr w14:val="000000">
                      <w14:alpha w14:val="100000"/>
                    </w14:srgbClr>
                  </w14:solidFill>
                </w14:textFill>
              </w:rPr>
              <w:t>|</w:t>
            </w:r>
            <w:r w:rsidR="0066157F" w:rsidRPr="0066157F">
              <w:rPr>
                <w:rFonts w:hint="eastAsia"/>
                <w:color w:val="000000"/>
                <w:spacing w:val="3"/>
                <w:w w:val="22"/>
                <w:shd w:val="solid" w:color="000000" w:fill="000000"/>
                <w:fitText w:val="100" w:id="-894207735"/>
                <w14:textFill>
                  <w14:solidFill>
                    <w14:srgbClr w14:val="000000">
                      <w14:alpha w14:val="100000"/>
                    </w14:srgbClr>
                  </w14:solidFill>
                </w14:textFill>
              </w:rPr>
              <w:t xml:space="preserve">　</w:t>
            </w:r>
            <w:r w:rsidR="00FF56BE">
              <w:rPr>
                <w:vertAlign w:val="superscript"/>
              </w:rPr>
              <w:t xml:space="preserve"> 1</w:t>
            </w:r>
          </w:p>
        </w:tc>
      </w:tr>
    </w:tbl>
    <w:p w14:paraId="7B5C41F2" w14:textId="77777777" w:rsidR="00AA4FE6" w:rsidRPr="00AA4FE6" w:rsidRDefault="00AA4FE6" w:rsidP="00176952">
      <w:pPr>
        <w:pStyle w:val="TableFigureFooter"/>
        <w:keepNext/>
        <w:keepLines/>
      </w:pPr>
      <w:r w:rsidRPr="00AA4FE6">
        <w:t>Source: Table 4-12 and 4-13, p185; Table 4-15, p186 of the submission</w:t>
      </w:r>
    </w:p>
    <w:p w14:paraId="1D5AD043" w14:textId="77777777" w:rsidR="00AA4FE6" w:rsidRPr="00AA4FE6" w:rsidRDefault="00AA4FE6" w:rsidP="00176952">
      <w:pPr>
        <w:pStyle w:val="TableFigureFooter"/>
        <w:keepNext/>
        <w:keepLines/>
      </w:pPr>
      <w:r w:rsidRPr="00AA4FE6">
        <w:t xml:space="preserve">PBS = Pharmaceutical Benefits Scheme; SPA = special pricing arrangement </w:t>
      </w:r>
    </w:p>
    <w:p w14:paraId="3FF44AD2" w14:textId="77777777" w:rsidR="00AA4FE6" w:rsidRDefault="00AA4FE6" w:rsidP="00176952">
      <w:pPr>
        <w:pStyle w:val="TableFigureFooter"/>
        <w:keepNext/>
        <w:keepLines/>
        <w:spacing w:after="0"/>
      </w:pPr>
      <w:r w:rsidRPr="00AA4FE6">
        <w:rPr>
          <w:vertAlign w:val="superscript"/>
        </w:rPr>
        <w:t>a</w:t>
      </w:r>
      <w:r w:rsidRPr="00AA4FE6">
        <w:t xml:space="preserve"> Change in oral therapies from standard of care arm</w:t>
      </w:r>
    </w:p>
    <w:p w14:paraId="42629CC0" w14:textId="77777777" w:rsidR="00176952" w:rsidRPr="009A6D58" w:rsidRDefault="00176952" w:rsidP="00176952">
      <w:pPr>
        <w:keepNext/>
        <w:keepLines/>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C244E23" w14:textId="12D68FF2" w:rsidR="00176952" w:rsidRPr="009A6D58" w:rsidRDefault="00176952" w:rsidP="00176952">
      <w:pPr>
        <w:keepNext/>
        <w:keepLines/>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BE7E40" w:rsidRPr="00BE7E40">
        <w:rPr>
          <w:rFonts w:ascii="Arial Narrow" w:hAnsi="Arial Narrow"/>
          <w:i/>
          <w:sz w:val="18"/>
          <w:szCs w:val="18"/>
        </w:rPr>
        <w:t>$10 million to &lt; $20 million</w:t>
      </w:r>
    </w:p>
    <w:p w14:paraId="77D66D21" w14:textId="543BB02A" w:rsidR="00176952" w:rsidRPr="009A6D58" w:rsidRDefault="00176952" w:rsidP="00176952">
      <w:pPr>
        <w:keepNext/>
        <w:keepLines/>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DD3C05">
        <w:rPr>
          <w:rFonts w:ascii="Arial Narrow" w:hAnsi="Arial Narrow"/>
          <w:i/>
          <w:sz w:val="18"/>
          <w:szCs w:val="18"/>
        </w:rPr>
        <w:t>$</w:t>
      </w:r>
      <w:r w:rsidR="00DD3C05" w:rsidRPr="00DD3C05">
        <w:rPr>
          <w:rFonts w:ascii="Arial Narrow" w:hAnsi="Arial Narrow"/>
          <w:i/>
          <w:sz w:val="18"/>
          <w:szCs w:val="18"/>
        </w:rPr>
        <w:t>0 to &lt; $10 million</w:t>
      </w:r>
    </w:p>
    <w:p w14:paraId="5EE97367" w14:textId="02005939" w:rsidR="00176952" w:rsidRPr="00176952" w:rsidRDefault="00176952" w:rsidP="00176952">
      <w:pPr>
        <w:spacing w:after="120"/>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A8251B" w:rsidRPr="00A8251B">
        <w:rPr>
          <w:rFonts w:ascii="Arial Narrow" w:hAnsi="Arial Narrow"/>
          <w:i/>
          <w:sz w:val="18"/>
          <w:szCs w:val="18"/>
        </w:rPr>
        <w:t>net cost saving</w:t>
      </w:r>
    </w:p>
    <w:p w14:paraId="19E721C6" w14:textId="3D17C725" w:rsidR="00AA4FE6" w:rsidRPr="00535C45" w:rsidRDefault="00AA4FE6" w:rsidP="00AA4FE6">
      <w:pPr>
        <w:pStyle w:val="3-BodyText"/>
        <w:rPr>
          <w:color w:val="0066FF"/>
        </w:rPr>
      </w:pPr>
      <w:r w:rsidRPr="00AA4FE6">
        <w:lastRenderedPageBreak/>
        <w:t xml:space="preserve">The net cost to the PBS of odevixibat was estimated to be </w:t>
      </w:r>
      <w:r w:rsidR="002C782E" w:rsidRPr="002C782E">
        <w:t>$10 million to &lt; $20 million</w:t>
      </w:r>
      <w:r w:rsidR="002C782E" w:rsidRPr="002C782E" w:rsidDel="002C782E">
        <w:t xml:space="preserve"> </w:t>
      </w:r>
      <w:r w:rsidR="00D73E5A">
        <w:t xml:space="preserve">in </w:t>
      </w:r>
      <w:r w:rsidRPr="00AA4FE6">
        <w:t>Year 6</w:t>
      </w:r>
      <w:r w:rsidR="002B5E07">
        <w:t xml:space="preserve"> and </w:t>
      </w:r>
      <w:r w:rsidR="00D73E5A">
        <w:t xml:space="preserve">a </w:t>
      </w:r>
      <w:r w:rsidR="002B5E07">
        <w:t xml:space="preserve">total </w:t>
      </w:r>
      <w:r w:rsidR="00D73E5A">
        <w:t xml:space="preserve">of </w:t>
      </w:r>
      <w:r w:rsidR="00EC7703" w:rsidRPr="00EC7703">
        <w:t>$50 million to &lt; $60 million</w:t>
      </w:r>
      <w:r w:rsidR="00EC7703" w:rsidRPr="00EC7703" w:rsidDel="00EC7703">
        <w:t xml:space="preserve"> </w:t>
      </w:r>
      <w:r w:rsidR="002B5E07">
        <w:t>over the first 6 years</w:t>
      </w:r>
      <w:r w:rsidRPr="00AA4FE6">
        <w:t xml:space="preserve">. The change in SOC oral therapies had a minimal impact on financial estimates. </w:t>
      </w:r>
    </w:p>
    <w:p w14:paraId="59F744FE" w14:textId="6530A915" w:rsidR="00535C45" w:rsidRPr="00535C45" w:rsidRDefault="00AA4FE6" w:rsidP="00535C45">
      <w:pPr>
        <w:pStyle w:val="3-BodyText"/>
        <w:rPr>
          <w:color w:val="0066FF"/>
        </w:rPr>
      </w:pPr>
      <w:r w:rsidRPr="00AA4FE6">
        <w:t xml:space="preserve">The financial risk of underestimating prevalent patient numbers was substantial as the cost per patient per year for each prevalent patient may be as much as </w:t>
      </w:r>
      <w:r w:rsidR="00EC7703" w:rsidRPr="00EC7703">
        <w:rPr>
          <w:iCs/>
        </w:rPr>
        <w:t>$0 to &lt; $10 million</w:t>
      </w:r>
      <w:r w:rsidR="00EC7703" w:rsidRPr="00EC7703" w:rsidDel="00EC7703">
        <w:t xml:space="preserve"> </w:t>
      </w:r>
      <w:r w:rsidRPr="00AA4FE6">
        <w:t>(</w:t>
      </w:r>
      <w:r w:rsidRPr="00535C45">
        <w:rPr>
          <w:rFonts w:cstheme="minorHAnsi"/>
        </w:rPr>
        <w:t>≥</w:t>
      </w:r>
      <w:r w:rsidR="00EC7703">
        <w:rPr>
          <w:rFonts w:cstheme="minorHAnsi"/>
        </w:rPr>
        <w:t> </w:t>
      </w:r>
      <w:r w:rsidRPr="00AA4FE6">
        <w:t xml:space="preserve">55.5 kg treated at </w:t>
      </w:r>
      <w:r w:rsidR="00D24276" w:rsidRPr="00AA4FE6">
        <w:t>120</w:t>
      </w:r>
      <w:r w:rsidR="00D24276">
        <w:t> </w:t>
      </w:r>
      <w:r w:rsidRPr="00AA4FE6">
        <w:t xml:space="preserve">mcg/kg/day), or </w:t>
      </w:r>
      <w:r w:rsidR="00EC7703" w:rsidRPr="00EC7703">
        <w:rPr>
          <w:iCs/>
        </w:rPr>
        <w:t>$0 to &lt; $10 million</w:t>
      </w:r>
      <w:r w:rsidRPr="00AA4FE6">
        <w:t xml:space="preserve"> over six years. </w:t>
      </w:r>
    </w:p>
    <w:p w14:paraId="6B26B800" w14:textId="17A9AF40" w:rsidR="00C16DF7" w:rsidRPr="00535C45" w:rsidRDefault="00C16DF7" w:rsidP="00535C45">
      <w:pPr>
        <w:pStyle w:val="3-BodyText"/>
        <w:rPr>
          <w:color w:val="0066FF"/>
        </w:rPr>
      </w:pPr>
      <w:bookmarkStart w:id="113" w:name="_Ref174693328"/>
      <w:r>
        <w:t>DUSC considered th</w:t>
      </w:r>
      <w:r w:rsidR="006301B6">
        <w:t xml:space="preserve">at </w:t>
      </w:r>
      <w:r w:rsidR="002B1DF8">
        <w:t>overall, the submission’s estimates of the number of incident and prevalent patients likely to receive treatment with odevixibat under the proposed restriction was reasonable. W</w:t>
      </w:r>
      <w:r w:rsidR="006301B6">
        <w:t xml:space="preserve">hile </w:t>
      </w:r>
      <w:r w:rsidR="002B1DF8">
        <w:t xml:space="preserve">DUSC considered that </w:t>
      </w:r>
      <w:r w:rsidR="003E18C7">
        <w:t>t</w:t>
      </w:r>
      <w:r w:rsidR="006301B6">
        <w:t>he submission had likely overestimated the number of prevalent and incident patients (</w:t>
      </w:r>
      <w:r w:rsidR="002B5E07">
        <w:t xml:space="preserve">see </w:t>
      </w:r>
      <w:r w:rsidR="006301B6">
        <w:t>Table 21)</w:t>
      </w:r>
      <w:r w:rsidR="002B5E07">
        <w:t xml:space="preserve">, </w:t>
      </w:r>
      <w:r w:rsidR="006301B6">
        <w:t xml:space="preserve">the </w:t>
      </w:r>
      <w:r w:rsidR="002B1DF8">
        <w:t xml:space="preserve">submission’s approach to excluding patients by </w:t>
      </w:r>
      <w:r w:rsidR="003E18C7">
        <w:t xml:space="preserve">PFIC </w:t>
      </w:r>
      <w:r w:rsidR="002B1DF8">
        <w:t>subtype</w:t>
      </w:r>
      <w:r w:rsidR="006301B6">
        <w:t xml:space="preserve"> may have reduced the estimates to reasonable level</w:t>
      </w:r>
      <w:r w:rsidR="002B1DF8">
        <w:t xml:space="preserve">.  However, DUSC noted that under the proposed PBS restriction, patients with a </w:t>
      </w:r>
      <w:r w:rsidR="003E18C7">
        <w:t xml:space="preserve">PFIC </w:t>
      </w:r>
      <w:r w:rsidR="002B1DF8">
        <w:t xml:space="preserve">subtype excluded by the model would </w:t>
      </w:r>
      <w:r w:rsidR="00285ECC">
        <w:t xml:space="preserve">not be identified and would </w:t>
      </w:r>
      <w:r w:rsidR="002B1DF8">
        <w:t xml:space="preserve">be likely to initiate and </w:t>
      </w:r>
      <w:r w:rsidR="00285ECC">
        <w:t xml:space="preserve">then </w:t>
      </w:r>
      <w:r w:rsidR="002B1DF8">
        <w:t>not respond to odevixibat</w:t>
      </w:r>
      <w:r w:rsidRPr="00535C45">
        <w:rPr>
          <w:bCs/>
          <w:lang w:eastAsia="en-US"/>
        </w:rPr>
        <w:t>.</w:t>
      </w:r>
      <w:r w:rsidR="006301B6" w:rsidRPr="00535C45">
        <w:rPr>
          <w:bCs/>
          <w:lang w:eastAsia="en-US"/>
        </w:rPr>
        <w:t xml:space="preserve"> </w:t>
      </w:r>
      <w:r w:rsidR="00AE5080" w:rsidRPr="00535C45">
        <w:rPr>
          <w:bCs/>
          <w:lang w:eastAsia="en-US"/>
        </w:rPr>
        <w:t xml:space="preserve">Further, </w:t>
      </w:r>
      <w:r w:rsidR="006301B6" w:rsidRPr="00535C45">
        <w:rPr>
          <w:bCs/>
          <w:lang w:eastAsia="en-US"/>
        </w:rPr>
        <w:t>DUSC considered that the submission had overestimated the average age of prevalent patients at initiation of treatment</w:t>
      </w:r>
      <w:r w:rsidR="00AE5080" w:rsidRPr="00535C45">
        <w:rPr>
          <w:bCs/>
          <w:lang w:eastAsia="en-US"/>
        </w:rPr>
        <w:t>.</w:t>
      </w:r>
      <w:bookmarkEnd w:id="113"/>
      <w:r w:rsidR="006301B6" w:rsidRPr="00535C45">
        <w:rPr>
          <w:bCs/>
          <w:lang w:eastAsia="en-US"/>
        </w:rPr>
        <w:t xml:space="preserve"> </w:t>
      </w:r>
    </w:p>
    <w:p w14:paraId="29DC49F8" w14:textId="09715F82" w:rsidR="00341260" w:rsidRPr="00341260" w:rsidRDefault="00341260" w:rsidP="00D24276">
      <w:pPr>
        <w:pStyle w:val="4-SubsectionHeading"/>
      </w:pPr>
      <w:bookmarkStart w:id="114" w:name="_Ref164705213"/>
      <w:bookmarkEnd w:id="107"/>
      <w:r>
        <w:t>Options to present additional relevant information</w:t>
      </w:r>
    </w:p>
    <w:p w14:paraId="5187E961" w14:textId="2F060AD6" w:rsidR="00907674" w:rsidRPr="00FF58F1" w:rsidRDefault="00835221" w:rsidP="002676C7">
      <w:pPr>
        <w:pStyle w:val="ListParagraph"/>
        <w:numPr>
          <w:ilvl w:val="1"/>
          <w:numId w:val="1"/>
        </w:numPr>
        <w:rPr>
          <w:iCs/>
        </w:rPr>
      </w:pPr>
      <w:r w:rsidRPr="00FF58F1">
        <w:rPr>
          <w:iCs/>
        </w:rPr>
        <w:t>T</w:t>
      </w:r>
      <w:r w:rsidR="007C4801" w:rsidRPr="00FF58F1">
        <w:rPr>
          <w:iCs/>
        </w:rPr>
        <w:t xml:space="preserve">he submission requested that the PBAC consider the Rule of Rescue for odevixibat or, alternatively, be considered for the </w:t>
      </w:r>
      <w:r w:rsidR="00341260">
        <w:rPr>
          <w:iCs/>
        </w:rPr>
        <w:t>Life Saving Drugs Program</w:t>
      </w:r>
      <w:r w:rsidR="007C4801" w:rsidRPr="00FF58F1">
        <w:rPr>
          <w:iCs/>
        </w:rPr>
        <w:t xml:space="preserve"> if PBAC does not recommend odevixibat on the grounds of </w:t>
      </w:r>
      <w:r w:rsidR="004A77C5" w:rsidRPr="00FF58F1">
        <w:rPr>
          <w:iCs/>
        </w:rPr>
        <w:t>cost effectiveness</w:t>
      </w:r>
      <w:r w:rsidR="007C4801" w:rsidRPr="00FF58F1">
        <w:rPr>
          <w:iCs/>
        </w:rPr>
        <w:t>.</w:t>
      </w:r>
      <w:r w:rsidR="00CD7E4F" w:rsidRPr="00FF58F1">
        <w:rPr>
          <w:iCs/>
        </w:rPr>
        <w:t xml:space="preserve"> </w:t>
      </w:r>
      <w:bookmarkStart w:id="115" w:name="_Ref166171657"/>
      <w:r w:rsidR="005F0942" w:rsidRPr="00FF58F1">
        <w:rPr>
          <w:iCs/>
        </w:rPr>
        <w:t>I</w:t>
      </w:r>
      <w:r w:rsidR="00685B97" w:rsidRPr="00FF58F1">
        <w:rPr>
          <w:iCs/>
        </w:rPr>
        <w:t>t was unclear whether odevixibat clearly met the Rule of Rescue consideration</w:t>
      </w:r>
      <w:r w:rsidR="00907674" w:rsidRPr="00FF58F1">
        <w:rPr>
          <w:iCs/>
        </w:rPr>
        <w:t xml:space="preserve"> as</w:t>
      </w:r>
      <w:r w:rsidR="00330183" w:rsidRPr="00FF58F1">
        <w:rPr>
          <w:iCs/>
        </w:rPr>
        <w:t>:</w:t>
      </w:r>
      <w:bookmarkEnd w:id="114"/>
      <w:bookmarkEnd w:id="115"/>
    </w:p>
    <w:p w14:paraId="144453F5" w14:textId="4E2CB5F4" w:rsidR="00907674" w:rsidRPr="00D12904" w:rsidRDefault="00685B97" w:rsidP="001825BF">
      <w:pPr>
        <w:pStyle w:val="ListParagraph"/>
        <w:numPr>
          <w:ilvl w:val="0"/>
          <w:numId w:val="9"/>
        </w:numPr>
        <w:ind w:left="1134" w:hanging="425"/>
        <w:rPr>
          <w:iCs/>
        </w:rPr>
      </w:pPr>
      <w:r w:rsidRPr="00D12904">
        <w:rPr>
          <w:iCs/>
        </w:rPr>
        <w:t>Although the evidence presented suggests odevixibat is effective in reducing sBA levels and improving pruritus at 24 weeks</w:t>
      </w:r>
      <w:r w:rsidR="008E6381" w:rsidRPr="00D12904">
        <w:rPr>
          <w:iCs/>
        </w:rPr>
        <w:t xml:space="preserve"> compared to placebo</w:t>
      </w:r>
      <w:r w:rsidRPr="00D12904">
        <w:rPr>
          <w:iCs/>
        </w:rPr>
        <w:t xml:space="preserve">, direct evidence against the </w:t>
      </w:r>
      <w:r w:rsidR="008E6381" w:rsidRPr="00D12904">
        <w:rPr>
          <w:iCs/>
        </w:rPr>
        <w:t xml:space="preserve">nominated </w:t>
      </w:r>
      <w:r w:rsidRPr="00D12904">
        <w:rPr>
          <w:iCs/>
        </w:rPr>
        <w:t>compara</w:t>
      </w:r>
      <w:r w:rsidR="0054785E" w:rsidRPr="00D12904">
        <w:rPr>
          <w:iCs/>
        </w:rPr>
        <w:t>tor</w:t>
      </w:r>
      <w:r w:rsidR="008E6381" w:rsidRPr="00D12904">
        <w:rPr>
          <w:iCs/>
        </w:rPr>
        <w:t>, SOC,</w:t>
      </w:r>
      <w:r w:rsidRPr="00D12904">
        <w:rPr>
          <w:iCs/>
        </w:rPr>
        <w:t xml:space="preserve"> was lacking, and the ITC presented was inadequate to support the comparison;</w:t>
      </w:r>
    </w:p>
    <w:p w14:paraId="2F07E67C" w14:textId="244D354C" w:rsidR="00907674" w:rsidRPr="00D12904" w:rsidRDefault="00907674" w:rsidP="001825BF">
      <w:pPr>
        <w:pStyle w:val="ListParagraph"/>
        <w:numPr>
          <w:ilvl w:val="0"/>
          <w:numId w:val="9"/>
        </w:numPr>
        <w:ind w:left="1134" w:hanging="425"/>
        <w:rPr>
          <w:iCs/>
        </w:rPr>
      </w:pPr>
      <w:r w:rsidRPr="00D12904">
        <w:rPr>
          <w:iCs/>
        </w:rPr>
        <w:t xml:space="preserve">The risk of imminent death </w:t>
      </w:r>
      <w:r w:rsidR="004A77C5" w:rsidRPr="00D12904">
        <w:rPr>
          <w:iCs/>
        </w:rPr>
        <w:t>wa</w:t>
      </w:r>
      <w:r w:rsidRPr="00D12904">
        <w:rPr>
          <w:iCs/>
        </w:rPr>
        <w:t xml:space="preserve">s uncertain </w:t>
      </w:r>
      <w:r w:rsidR="00707BFB" w:rsidRPr="00D12904">
        <w:rPr>
          <w:iCs/>
        </w:rPr>
        <w:t xml:space="preserve">as </w:t>
      </w:r>
      <w:r w:rsidRPr="00D12904">
        <w:rPr>
          <w:iCs/>
        </w:rPr>
        <w:t xml:space="preserve">in the model pre-LT mortality was 0.27% and long-term post-LT mortality </w:t>
      </w:r>
      <w:r w:rsidR="00707BFB" w:rsidRPr="00D12904">
        <w:rPr>
          <w:iCs/>
        </w:rPr>
        <w:t xml:space="preserve">was </w:t>
      </w:r>
      <w:r w:rsidRPr="00D12904">
        <w:rPr>
          <w:iCs/>
        </w:rPr>
        <w:t>1.91%</w:t>
      </w:r>
      <w:r w:rsidR="00707BFB" w:rsidRPr="00D12904">
        <w:rPr>
          <w:iCs/>
        </w:rPr>
        <w:t>. T</w:t>
      </w:r>
      <w:r w:rsidRPr="00D12904">
        <w:rPr>
          <w:iCs/>
        </w:rPr>
        <w:t xml:space="preserve">he </w:t>
      </w:r>
      <w:r w:rsidR="008E6381" w:rsidRPr="00D12904">
        <w:rPr>
          <w:iCs/>
        </w:rPr>
        <w:t>life years gained in the</w:t>
      </w:r>
      <w:r w:rsidRPr="00D12904">
        <w:rPr>
          <w:iCs/>
        </w:rPr>
        <w:t xml:space="preserve"> SOC </w:t>
      </w:r>
      <w:r w:rsidR="008E6381" w:rsidRPr="00D12904">
        <w:rPr>
          <w:iCs/>
        </w:rPr>
        <w:t xml:space="preserve">arm </w:t>
      </w:r>
      <w:r w:rsidRPr="00D12904">
        <w:rPr>
          <w:iCs/>
        </w:rPr>
        <w:t xml:space="preserve">was 51.95 years compared to 63.33 years in the odevixibat arm. The literature also </w:t>
      </w:r>
      <w:r w:rsidRPr="00D12904">
        <w:rPr>
          <w:rFonts w:cstheme="minorHAnsi"/>
          <w:iCs/>
        </w:rPr>
        <w:t>reported 5-year post-LT survival to be over 98%</w:t>
      </w:r>
      <w:r w:rsidR="0054785E" w:rsidRPr="00D12904">
        <w:rPr>
          <w:iCs/>
        </w:rPr>
        <w:t>; and</w:t>
      </w:r>
    </w:p>
    <w:p w14:paraId="1BC6DD63" w14:textId="0416FD4F" w:rsidR="00307CAC" w:rsidRPr="00D12904" w:rsidRDefault="00907674" w:rsidP="001825BF">
      <w:pPr>
        <w:pStyle w:val="ListParagraph"/>
        <w:numPr>
          <w:ilvl w:val="0"/>
          <w:numId w:val="9"/>
        </w:numPr>
        <w:ind w:left="1134" w:hanging="425"/>
        <w:rPr>
          <w:iCs/>
        </w:rPr>
      </w:pPr>
      <w:r w:rsidRPr="00D12904">
        <w:rPr>
          <w:iCs/>
        </w:rPr>
        <w:t>While</w:t>
      </w:r>
      <w:r w:rsidR="00685B97" w:rsidRPr="00D12904">
        <w:rPr>
          <w:iCs/>
        </w:rPr>
        <w:t xml:space="preserve"> PFIC is a rare condition</w:t>
      </w:r>
      <w:r w:rsidR="002E55E4" w:rsidRPr="00D12904">
        <w:rPr>
          <w:iCs/>
        </w:rPr>
        <w:t xml:space="preserve">, </w:t>
      </w:r>
      <w:r w:rsidR="00685B97" w:rsidRPr="00D12904">
        <w:rPr>
          <w:iCs/>
        </w:rPr>
        <w:t xml:space="preserve">the eligible population who would likely benefit from treatment were </w:t>
      </w:r>
      <w:r w:rsidR="00B06974" w:rsidRPr="00D12904">
        <w:rPr>
          <w:iCs/>
        </w:rPr>
        <w:t xml:space="preserve">likely </w:t>
      </w:r>
      <w:r w:rsidR="00685B97" w:rsidRPr="00D12904">
        <w:rPr>
          <w:iCs/>
        </w:rPr>
        <w:t xml:space="preserve">underestimated in the financial estimates. </w:t>
      </w:r>
    </w:p>
    <w:p w14:paraId="55412623" w14:textId="77777777" w:rsidR="00D12904" w:rsidRPr="003C6C42" w:rsidRDefault="00D12904" w:rsidP="00D12904">
      <w:pPr>
        <w:spacing w:after="120"/>
        <w:ind w:firstLine="709"/>
        <w:rPr>
          <w:rFonts w:asciiTheme="minorHAnsi" w:hAnsiTheme="minorHAnsi" w:cs="Times New Roman"/>
          <w:i/>
          <w:lang w:eastAsia="en-US"/>
        </w:rPr>
      </w:pPr>
      <w:r w:rsidRPr="003C6C42">
        <w:rPr>
          <w:rFonts w:asciiTheme="minorHAnsi" w:hAnsiTheme="minorHAnsi" w:cs="Times New Roman"/>
          <w:i/>
          <w:lang w:eastAsia="en-US"/>
        </w:rPr>
        <w:t>For more detail on PBAC’s view, see section 7 PBAC outcome.</w:t>
      </w:r>
    </w:p>
    <w:p w14:paraId="1A018D62" w14:textId="77777777" w:rsidR="000A45B0" w:rsidRPr="003C6C42" w:rsidRDefault="000A45B0" w:rsidP="006E30B4">
      <w:pPr>
        <w:pStyle w:val="2-SectionHeading"/>
      </w:pPr>
      <w:bookmarkStart w:id="116" w:name="_Hlk76381249"/>
      <w:bookmarkStart w:id="117" w:name="_Hlk76377955"/>
      <w:r w:rsidRPr="003C6C42">
        <w:t>PBAC Outcome</w:t>
      </w:r>
    </w:p>
    <w:p w14:paraId="78E35A55" w14:textId="588AF60B" w:rsidR="000A45B0" w:rsidRPr="003C6C42" w:rsidRDefault="005A3D47" w:rsidP="00DB4B9A">
      <w:pPr>
        <w:widowControl w:val="0"/>
        <w:numPr>
          <w:ilvl w:val="1"/>
          <w:numId w:val="1"/>
        </w:numPr>
        <w:spacing w:after="120"/>
        <w:rPr>
          <w:rFonts w:asciiTheme="minorHAnsi" w:hAnsiTheme="minorHAnsi" w:cstheme="minorHAnsi"/>
          <w:snapToGrid w:val="0"/>
          <w:lang w:val="en-GB" w:eastAsia="en-US"/>
        </w:rPr>
      </w:pPr>
      <w:bookmarkStart w:id="118" w:name="_Hlk172036260"/>
      <w:r w:rsidRPr="005A3D47">
        <w:rPr>
          <w:rFonts w:asciiTheme="minorHAnsi" w:hAnsiTheme="minorHAnsi" w:cstheme="minorHAnsi"/>
        </w:rPr>
        <w:t xml:space="preserve">The PBAC did not recommend odevixibat for the treatment of progressive familial intrahepatic cholestasis (PFIC). Although the PBAC recognised that there was a high clinical need for treatments for this rare condition, the PBAC noted that there were significant </w:t>
      </w:r>
      <w:r w:rsidR="00E52AD3">
        <w:rPr>
          <w:rFonts w:asciiTheme="minorHAnsi" w:hAnsiTheme="minorHAnsi" w:cstheme="minorHAnsi"/>
        </w:rPr>
        <w:t>uncertainties regarding</w:t>
      </w:r>
      <w:r w:rsidR="00E52AD3" w:rsidRPr="005A3D47">
        <w:rPr>
          <w:rFonts w:asciiTheme="minorHAnsi" w:hAnsiTheme="minorHAnsi" w:cstheme="minorHAnsi"/>
        </w:rPr>
        <w:t xml:space="preserve"> </w:t>
      </w:r>
      <w:r w:rsidRPr="005A3D47">
        <w:rPr>
          <w:rFonts w:asciiTheme="minorHAnsi" w:hAnsiTheme="minorHAnsi" w:cstheme="minorHAnsi"/>
        </w:rPr>
        <w:t xml:space="preserve">the proposed restriction, the clinical evidence </w:t>
      </w:r>
      <w:r w:rsidRPr="005A3D47">
        <w:rPr>
          <w:rFonts w:asciiTheme="minorHAnsi" w:hAnsiTheme="minorHAnsi" w:cstheme="minorHAnsi"/>
        </w:rPr>
        <w:lastRenderedPageBreak/>
        <w:t xml:space="preserve">presented, the economic model and the utilisation estimates. The PBAC advised a facilitated resolution pathway would be appropriate given the </w:t>
      </w:r>
      <w:r w:rsidR="00AE59DB">
        <w:rPr>
          <w:rFonts w:asciiTheme="minorHAnsi" w:hAnsiTheme="minorHAnsi" w:cstheme="minorHAnsi"/>
        </w:rPr>
        <w:t>potential</w:t>
      </w:r>
      <w:r w:rsidR="00A26C91">
        <w:rPr>
          <w:rFonts w:asciiTheme="minorHAnsi" w:hAnsiTheme="minorHAnsi" w:cstheme="minorHAnsi"/>
        </w:rPr>
        <w:t>ly</w:t>
      </w:r>
      <w:r w:rsidR="00AE59DB">
        <w:rPr>
          <w:rFonts w:asciiTheme="minorHAnsi" w:hAnsiTheme="minorHAnsi" w:cstheme="minorHAnsi"/>
        </w:rPr>
        <w:t xml:space="preserve"> </w:t>
      </w:r>
      <w:r w:rsidRPr="005A3D47">
        <w:rPr>
          <w:rFonts w:asciiTheme="minorHAnsi" w:hAnsiTheme="minorHAnsi" w:cstheme="minorHAnsi"/>
        </w:rPr>
        <w:t xml:space="preserve">high added therapeutic value and </w:t>
      </w:r>
      <w:r w:rsidR="00E835B8">
        <w:rPr>
          <w:rFonts w:asciiTheme="minorHAnsi" w:hAnsiTheme="minorHAnsi" w:cstheme="minorHAnsi"/>
        </w:rPr>
        <w:t xml:space="preserve">complex </w:t>
      </w:r>
      <w:r w:rsidR="00C245FA">
        <w:rPr>
          <w:rFonts w:asciiTheme="minorHAnsi" w:hAnsiTheme="minorHAnsi" w:cstheme="minorHAnsi"/>
        </w:rPr>
        <w:t xml:space="preserve">nature of the </w:t>
      </w:r>
      <w:r w:rsidRPr="005A3D47">
        <w:rPr>
          <w:rFonts w:asciiTheme="minorHAnsi" w:hAnsiTheme="minorHAnsi" w:cstheme="minorHAnsi"/>
        </w:rPr>
        <w:t>outstanding issues.</w:t>
      </w:r>
    </w:p>
    <w:bookmarkEnd w:id="118"/>
    <w:p w14:paraId="33C21CCC" w14:textId="77777777" w:rsidR="00DB4B9A" w:rsidRDefault="00DB4B9A" w:rsidP="00DB4B9A">
      <w:pPr>
        <w:widowControl w:val="0"/>
        <w:numPr>
          <w:ilvl w:val="1"/>
          <w:numId w:val="1"/>
        </w:numPr>
        <w:spacing w:after="120"/>
        <w:rPr>
          <w:rFonts w:asciiTheme="minorHAnsi" w:hAnsiTheme="minorHAnsi"/>
          <w:snapToGrid w:val="0"/>
        </w:rPr>
      </w:pPr>
      <w:r w:rsidRPr="007F0649">
        <w:rPr>
          <w:rFonts w:asciiTheme="minorHAnsi" w:hAnsiTheme="minorHAnsi"/>
          <w:snapToGrid w:val="0"/>
        </w:rPr>
        <w:t xml:space="preserve">The PBAC considered the primary reason for this outcome was due to the economic evaluation provided. </w:t>
      </w:r>
    </w:p>
    <w:p w14:paraId="08477375" w14:textId="4FE409CF" w:rsidR="005F6290" w:rsidRDefault="005F6290" w:rsidP="00DB4B9A">
      <w:pPr>
        <w:widowControl w:val="0"/>
        <w:numPr>
          <w:ilvl w:val="1"/>
          <w:numId w:val="1"/>
        </w:numPr>
        <w:spacing w:after="120"/>
        <w:rPr>
          <w:rFonts w:asciiTheme="minorHAnsi" w:hAnsiTheme="minorHAnsi"/>
          <w:snapToGrid w:val="0"/>
        </w:rPr>
      </w:pPr>
      <w:r>
        <w:rPr>
          <w:rFonts w:asciiTheme="minorHAnsi" w:hAnsiTheme="minorHAnsi"/>
          <w:snapToGrid w:val="0"/>
        </w:rPr>
        <w:t xml:space="preserve">The PBAC noted and welcomed the substantial consumer comments provided in support of this submission. The comments described the </w:t>
      </w:r>
      <w:r w:rsidR="002D1920">
        <w:rPr>
          <w:rFonts w:asciiTheme="minorHAnsi" w:hAnsiTheme="minorHAnsi"/>
          <w:snapToGrid w:val="0"/>
        </w:rPr>
        <w:t xml:space="preserve">significant </w:t>
      </w:r>
      <w:r>
        <w:rPr>
          <w:rFonts w:asciiTheme="minorHAnsi" w:hAnsiTheme="minorHAnsi"/>
          <w:snapToGrid w:val="0"/>
        </w:rPr>
        <w:t>burden PFIC has on the quality of life of patients, carers and their families. The PBAC considered there was a high and urgent need for effective therapies for patients with PFIC. The PBAC</w:t>
      </w:r>
      <w:r w:rsidRPr="000478AD">
        <w:rPr>
          <w:rFonts w:asciiTheme="minorHAnsi" w:hAnsiTheme="minorHAnsi"/>
          <w:snapToGrid w:val="0"/>
        </w:rPr>
        <w:t xml:space="preserve"> </w:t>
      </w:r>
      <w:r>
        <w:rPr>
          <w:rFonts w:asciiTheme="minorHAnsi" w:hAnsiTheme="minorHAnsi"/>
          <w:snapToGrid w:val="0"/>
        </w:rPr>
        <w:t xml:space="preserve">noted </w:t>
      </w:r>
      <w:r w:rsidRPr="000478AD">
        <w:rPr>
          <w:rFonts w:asciiTheme="minorHAnsi" w:hAnsiTheme="minorHAnsi"/>
          <w:snapToGrid w:val="0"/>
        </w:rPr>
        <w:t xml:space="preserve">the comments </w:t>
      </w:r>
      <w:r>
        <w:rPr>
          <w:rFonts w:asciiTheme="minorHAnsi" w:hAnsiTheme="minorHAnsi"/>
          <w:snapToGrid w:val="0"/>
        </w:rPr>
        <w:t>received indicate</w:t>
      </w:r>
      <w:r w:rsidRPr="000478AD">
        <w:rPr>
          <w:rFonts w:asciiTheme="minorHAnsi" w:hAnsiTheme="minorHAnsi"/>
          <w:snapToGrid w:val="0"/>
        </w:rPr>
        <w:t xml:space="preserve">d </w:t>
      </w:r>
      <w:r>
        <w:rPr>
          <w:rFonts w:asciiTheme="minorHAnsi" w:hAnsiTheme="minorHAnsi"/>
          <w:snapToGrid w:val="0"/>
        </w:rPr>
        <w:t>that treatment with odevixibat reduce</w:t>
      </w:r>
      <w:r w:rsidR="002D1920">
        <w:rPr>
          <w:rFonts w:asciiTheme="minorHAnsi" w:hAnsiTheme="minorHAnsi"/>
          <w:snapToGrid w:val="0"/>
        </w:rPr>
        <w:t>d</w:t>
      </w:r>
      <w:r>
        <w:rPr>
          <w:rFonts w:asciiTheme="minorHAnsi" w:hAnsiTheme="minorHAnsi"/>
          <w:snapToGrid w:val="0"/>
        </w:rPr>
        <w:t xml:space="preserve"> severe itch leading to </w:t>
      </w:r>
      <w:r w:rsidRPr="000478AD">
        <w:rPr>
          <w:rFonts w:asciiTheme="minorHAnsi" w:hAnsiTheme="minorHAnsi"/>
          <w:bCs/>
          <w:snapToGrid w:val="0"/>
        </w:rPr>
        <w:t>improved quality of life, reduce</w:t>
      </w:r>
      <w:r w:rsidR="002D1920">
        <w:rPr>
          <w:rFonts w:asciiTheme="minorHAnsi" w:hAnsiTheme="minorHAnsi"/>
          <w:bCs/>
          <w:snapToGrid w:val="0"/>
        </w:rPr>
        <w:t>d</w:t>
      </w:r>
      <w:r w:rsidRPr="000478AD">
        <w:rPr>
          <w:rFonts w:asciiTheme="minorHAnsi" w:hAnsiTheme="minorHAnsi"/>
          <w:bCs/>
          <w:snapToGrid w:val="0"/>
        </w:rPr>
        <w:t xml:space="preserve"> bleeding due to scratching, </w:t>
      </w:r>
      <w:r>
        <w:rPr>
          <w:rFonts w:asciiTheme="minorHAnsi" w:hAnsiTheme="minorHAnsi"/>
          <w:bCs/>
          <w:snapToGrid w:val="0"/>
        </w:rPr>
        <w:t>reduce</w:t>
      </w:r>
      <w:r w:rsidR="002D1920">
        <w:rPr>
          <w:rFonts w:asciiTheme="minorHAnsi" w:hAnsiTheme="minorHAnsi"/>
          <w:bCs/>
          <w:snapToGrid w:val="0"/>
        </w:rPr>
        <w:t xml:space="preserve">d </w:t>
      </w:r>
      <w:r>
        <w:rPr>
          <w:rFonts w:asciiTheme="minorHAnsi" w:hAnsiTheme="minorHAnsi"/>
          <w:bCs/>
          <w:snapToGrid w:val="0"/>
        </w:rPr>
        <w:t xml:space="preserve">anxiety, </w:t>
      </w:r>
      <w:r w:rsidRPr="000478AD">
        <w:rPr>
          <w:rFonts w:asciiTheme="minorHAnsi" w:hAnsiTheme="minorHAnsi"/>
          <w:bCs/>
          <w:snapToGrid w:val="0"/>
        </w:rPr>
        <w:t>and improve</w:t>
      </w:r>
      <w:r w:rsidR="002D1920">
        <w:rPr>
          <w:rFonts w:asciiTheme="minorHAnsi" w:hAnsiTheme="minorHAnsi"/>
          <w:bCs/>
          <w:snapToGrid w:val="0"/>
        </w:rPr>
        <w:t>d</w:t>
      </w:r>
      <w:r w:rsidRPr="000478AD">
        <w:rPr>
          <w:rFonts w:asciiTheme="minorHAnsi" w:hAnsiTheme="minorHAnsi"/>
          <w:bCs/>
          <w:snapToGrid w:val="0"/>
        </w:rPr>
        <w:t xml:space="preserve"> sleep, appetite, growth and energy.</w:t>
      </w:r>
    </w:p>
    <w:p w14:paraId="611D124C" w14:textId="63134641" w:rsidR="002D1920" w:rsidRDefault="00F83813" w:rsidP="00AE5080">
      <w:pPr>
        <w:widowControl w:val="0"/>
        <w:numPr>
          <w:ilvl w:val="1"/>
          <w:numId w:val="1"/>
        </w:numPr>
        <w:spacing w:after="120"/>
        <w:rPr>
          <w:rFonts w:asciiTheme="minorHAnsi" w:hAnsiTheme="minorHAnsi"/>
          <w:snapToGrid w:val="0"/>
        </w:rPr>
      </w:pPr>
      <w:r>
        <w:rPr>
          <w:rFonts w:asciiTheme="minorHAnsi" w:hAnsiTheme="minorHAnsi"/>
          <w:snapToGrid w:val="0"/>
        </w:rPr>
        <w:t>In regard to</w:t>
      </w:r>
      <w:r w:rsidR="00C8253D">
        <w:rPr>
          <w:rFonts w:asciiTheme="minorHAnsi" w:hAnsiTheme="minorHAnsi"/>
          <w:snapToGrid w:val="0"/>
        </w:rPr>
        <w:t xml:space="preserve"> the </w:t>
      </w:r>
      <w:r w:rsidR="002D1920">
        <w:rPr>
          <w:rFonts w:asciiTheme="minorHAnsi" w:hAnsiTheme="minorHAnsi"/>
          <w:snapToGrid w:val="0"/>
        </w:rPr>
        <w:t xml:space="preserve">proposed </w:t>
      </w:r>
      <w:r w:rsidR="00C8253D">
        <w:rPr>
          <w:rFonts w:asciiTheme="minorHAnsi" w:hAnsiTheme="minorHAnsi"/>
          <w:snapToGrid w:val="0"/>
        </w:rPr>
        <w:t>restriction</w:t>
      </w:r>
      <w:r w:rsidR="002D1920">
        <w:rPr>
          <w:rFonts w:asciiTheme="minorHAnsi" w:hAnsiTheme="minorHAnsi"/>
          <w:snapToGrid w:val="0"/>
        </w:rPr>
        <w:t xml:space="preserve"> criteria</w:t>
      </w:r>
      <w:r w:rsidR="00C8253D">
        <w:rPr>
          <w:rFonts w:asciiTheme="minorHAnsi" w:hAnsiTheme="minorHAnsi"/>
          <w:snapToGrid w:val="0"/>
        </w:rPr>
        <w:t>,</w:t>
      </w:r>
      <w:r w:rsidR="009C5E95">
        <w:rPr>
          <w:rFonts w:asciiTheme="minorHAnsi" w:hAnsiTheme="minorHAnsi"/>
          <w:snapToGrid w:val="0"/>
        </w:rPr>
        <w:t xml:space="preserve"> the PBAC</w:t>
      </w:r>
      <w:r w:rsidR="002D1920">
        <w:rPr>
          <w:rFonts w:asciiTheme="minorHAnsi" w:hAnsiTheme="minorHAnsi"/>
          <w:snapToGrid w:val="0"/>
        </w:rPr>
        <w:t xml:space="preserve"> noted the following:</w:t>
      </w:r>
    </w:p>
    <w:p w14:paraId="0FE8C936" w14:textId="077693A0" w:rsidR="002D1920" w:rsidRDefault="005A3D47" w:rsidP="008C5253">
      <w:pPr>
        <w:pStyle w:val="ListParagraph"/>
        <w:widowControl w:val="0"/>
        <w:numPr>
          <w:ilvl w:val="0"/>
          <w:numId w:val="40"/>
        </w:numPr>
        <w:ind w:left="1134"/>
      </w:pPr>
      <w:r w:rsidRPr="002D1920">
        <w:t>the</w:t>
      </w:r>
      <w:r w:rsidR="008404C5" w:rsidRPr="002D1920">
        <w:t xml:space="preserve"> requested</w:t>
      </w:r>
      <w:r w:rsidRPr="002D1920">
        <w:t xml:space="preserve"> </w:t>
      </w:r>
      <w:r w:rsidR="00E467AB" w:rsidRPr="002D1920">
        <w:t>A</w:t>
      </w:r>
      <w:r w:rsidR="009C5E95" w:rsidRPr="002D1920">
        <w:t xml:space="preserve">uthority </w:t>
      </w:r>
      <w:r w:rsidR="00E467AB" w:rsidRPr="002D1920">
        <w:t>Required</w:t>
      </w:r>
      <w:r w:rsidRPr="002D1920">
        <w:t xml:space="preserve"> (Streamlined) </w:t>
      </w:r>
      <w:r w:rsidR="009C5E95" w:rsidRPr="002D1920">
        <w:t>listing</w:t>
      </w:r>
      <w:r w:rsidRPr="002D1920">
        <w:t xml:space="preserve"> was not reasonable and an </w:t>
      </w:r>
      <w:r w:rsidR="008404C5" w:rsidRPr="002D1920">
        <w:t xml:space="preserve">Authority Required </w:t>
      </w:r>
      <w:r w:rsidRPr="002D1920">
        <w:t>(</w:t>
      </w:r>
      <w:r w:rsidR="008404C5" w:rsidRPr="002D1920">
        <w:t>in writing only via post o</w:t>
      </w:r>
      <w:r w:rsidR="00871ACD" w:rsidRPr="002D1920">
        <w:t>r</w:t>
      </w:r>
      <w:r w:rsidR="008404C5" w:rsidRPr="002D1920">
        <w:t xml:space="preserve"> HPOS upload</w:t>
      </w:r>
      <w:r w:rsidRPr="002D1920">
        <w:t>)</w:t>
      </w:r>
      <w:r w:rsidR="002D1920">
        <w:t xml:space="preserve"> </w:t>
      </w:r>
      <w:r w:rsidR="00D427EE">
        <w:t xml:space="preserve">would </w:t>
      </w:r>
      <w:r w:rsidR="002D1920">
        <w:t>be more appropriate</w:t>
      </w:r>
      <w:r w:rsidR="008404C5" w:rsidRPr="002D1920">
        <w:t xml:space="preserve">. </w:t>
      </w:r>
    </w:p>
    <w:p w14:paraId="35A477AE" w14:textId="3D2FCFD1" w:rsidR="002D1920" w:rsidRPr="002D1920" w:rsidRDefault="002D1920" w:rsidP="008C5253">
      <w:pPr>
        <w:pStyle w:val="ListBullet"/>
        <w:numPr>
          <w:ilvl w:val="0"/>
          <w:numId w:val="40"/>
        </w:numPr>
        <w:spacing w:after="120"/>
        <w:ind w:left="1134" w:hanging="357"/>
        <w:contextualSpacing w:val="0"/>
      </w:pPr>
      <w:r>
        <w:t>no criteria for dose escalation was provided.</w:t>
      </w:r>
    </w:p>
    <w:p w14:paraId="6B4817E9" w14:textId="59DD2612" w:rsidR="002D1920" w:rsidRDefault="00F21C05" w:rsidP="008C5253">
      <w:pPr>
        <w:pStyle w:val="ListParagraph"/>
        <w:widowControl w:val="0"/>
        <w:numPr>
          <w:ilvl w:val="0"/>
          <w:numId w:val="40"/>
        </w:numPr>
        <w:ind w:left="1134"/>
      </w:pPr>
      <w:r w:rsidRPr="002D1920">
        <w:t xml:space="preserve">the </w:t>
      </w:r>
      <w:r w:rsidR="008507CB" w:rsidRPr="002D1920">
        <w:t xml:space="preserve">initial </w:t>
      </w:r>
      <w:r w:rsidRPr="002D1920">
        <w:t>restriction did not include genetic testing for diagnosi</w:t>
      </w:r>
      <w:r w:rsidR="0045574D" w:rsidRPr="002D1920">
        <w:t xml:space="preserve">s </w:t>
      </w:r>
      <w:r w:rsidR="00FF2778">
        <w:t>despite</w:t>
      </w:r>
      <w:r w:rsidR="00FF2778" w:rsidRPr="002D1920">
        <w:t xml:space="preserve"> </w:t>
      </w:r>
      <w:r w:rsidR="0045574D" w:rsidRPr="002D1920">
        <w:t xml:space="preserve">some patients with PFIC (including those with PFIC2 </w:t>
      </w:r>
      <w:r w:rsidR="0045574D" w:rsidRPr="002D1920">
        <w:rPr>
          <w:i/>
          <w:iCs/>
        </w:rPr>
        <w:t>BSEP3</w:t>
      </w:r>
      <w:r w:rsidR="0045574D" w:rsidRPr="002D1920">
        <w:t xml:space="preserve"> genotype and PFIC5) </w:t>
      </w:r>
      <w:r w:rsidR="00D71AC4">
        <w:t xml:space="preserve">being </w:t>
      </w:r>
      <w:r w:rsidRPr="002D1920">
        <w:t>unlikely to respond to odevixibat.</w:t>
      </w:r>
      <w:r w:rsidR="00E74414">
        <w:t xml:space="preserve"> </w:t>
      </w:r>
      <w:r w:rsidR="007879C3">
        <w:t>The PBAC noted that a</w:t>
      </w:r>
      <w:r w:rsidR="00AC6B2A">
        <w:t xml:space="preserve">bsence of </w:t>
      </w:r>
      <w:r w:rsidR="00FE4783">
        <w:t>confirmatory genetic testing</w:t>
      </w:r>
      <w:r w:rsidR="00AC6B2A">
        <w:t xml:space="preserve"> was contrary to the clinical trial</w:t>
      </w:r>
      <w:r w:rsidR="00FE4783">
        <w:t xml:space="preserve">, </w:t>
      </w:r>
      <w:r w:rsidR="007879C3">
        <w:t>is likely to expose some patients</w:t>
      </w:r>
      <w:r w:rsidR="00FE4783">
        <w:t xml:space="preserve"> </w:t>
      </w:r>
      <w:r w:rsidR="007879C3">
        <w:t xml:space="preserve">to potential toxicity </w:t>
      </w:r>
      <w:r w:rsidR="006167A3">
        <w:t xml:space="preserve">without clinical benefit, and reduce the net effectiveness and </w:t>
      </w:r>
      <w:r w:rsidR="00906655">
        <w:t xml:space="preserve">cost-effectiveness of </w:t>
      </w:r>
      <w:r w:rsidR="00906655" w:rsidRPr="002D1920">
        <w:t>odevixibat</w:t>
      </w:r>
      <w:r w:rsidR="00906655">
        <w:t>.</w:t>
      </w:r>
      <w:r w:rsidR="00435F8C">
        <w:t xml:space="preserve"> The PBAC also noted that confirmatory genetic testing was not required</w:t>
      </w:r>
      <w:r w:rsidR="00D30CC1">
        <w:t xml:space="preserve"> in the proposed TGA indication</w:t>
      </w:r>
      <w:r w:rsidR="00471A91">
        <w:t>.</w:t>
      </w:r>
      <w:r w:rsidR="00D30CC1">
        <w:t xml:space="preserve"> </w:t>
      </w:r>
    </w:p>
    <w:p w14:paraId="7CE59B7E" w14:textId="6D3FF839" w:rsidR="00AF0C02" w:rsidRPr="00AF0C02" w:rsidRDefault="002D1920" w:rsidP="008C5253">
      <w:pPr>
        <w:pStyle w:val="ListParagraph"/>
        <w:widowControl w:val="0"/>
        <w:numPr>
          <w:ilvl w:val="0"/>
          <w:numId w:val="40"/>
        </w:numPr>
        <w:ind w:left="1134"/>
      </w:pPr>
      <w:r>
        <w:t>the initial restriction</w:t>
      </w:r>
      <w:r w:rsidRPr="002D1920">
        <w:t xml:space="preserve"> </w:t>
      </w:r>
      <w:r>
        <w:t xml:space="preserve">did </w:t>
      </w:r>
      <w:r w:rsidRPr="002D1920">
        <w:t xml:space="preserve">not specify diagnostic criteria, </w:t>
      </w:r>
      <w:r w:rsidR="00EB5702">
        <w:t>lacking</w:t>
      </w:r>
      <w:r w:rsidR="00EB5702" w:rsidRPr="002D1920">
        <w:t xml:space="preserve"> </w:t>
      </w:r>
      <w:r w:rsidRPr="002D1920">
        <w:t>both the severity of symptomatic pruritis and a minimum level of serum bile acid (sBA), for patients to be eligible for treatment.</w:t>
      </w:r>
      <w:r w:rsidR="00620465">
        <w:t xml:space="preserve"> </w:t>
      </w:r>
      <w:r w:rsidR="005537F9">
        <w:t xml:space="preserve">The PBAC </w:t>
      </w:r>
      <w:r w:rsidR="001A79BE">
        <w:t xml:space="preserve">noted that the </w:t>
      </w:r>
      <w:r w:rsidR="00A75C08" w:rsidRPr="00A75C08">
        <w:t xml:space="preserve">Canadian Agency for Drugs and Technologies in Health </w:t>
      </w:r>
      <w:r w:rsidR="001A79BE">
        <w:t xml:space="preserve">reimbursement recommendations </w:t>
      </w:r>
      <w:r w:rsidR="00A75C08">
        <w:t xml:space="preserve">for </w:t>
      </w:r>
      <w:r w:rsidR="00A75C08" w:rsidRPr="005A3D47">
        <w:rPr>
          <w:rFonts w:cstheme="minorHAnsi"/>
        </w:rPr>
        <w:t xml:space="preserve">odevixibat </w:t>
      </w:r>
      <w:r w:rsidR="001A79BE">
        <w:t xml:space="preserve">included </w:t>
      </w:r>
      <w:r w:rsidR="00CC7516">
        <w:t>diagnostic criteria that were consistent with the clinical trial and implementable in clinical practice.</w:t>
      </w:r>
    </w:p>
    <w:p w14:paraId="66B41E38" w14:textId="4C28C30F" w:rsidR="00AF0C02" w:rsidRDefault="00AF0C02" w:rsidP="008C5253">
      <w:pPr>
        <w:pStyle w:val="ListParagraph"/>
        <w:widowControl w:val="0"/>
        <w:numPr>
          <w:ilvl w:val="0"/>
          <w:numId w:val="40"/>
        </w:numPr>
        <w:ind w:left="1134"/>
      </w:pPr>
      <w:r>
        <w:t xml:space="preserve">no data </w:t>
      </w:r>
      <w:r w:rsidR="00D46BF0">
        <w:t xml:space="preserve">was provided </w:t>
      </w:r>
      <w:r w:rsidR="00B51CA4">
        <w:t>for</w:t>
      </w:r>
      <w:r>
        <w:t xml:space="preserve"> patients </w:t>
      </w:r>
      <w:r w:rsidR="00D46BF0">
        <w:t>initiating treatment at an age of &gt;</w:t>
      </w:r>
      <w:r>
        <w:t xml:space="preserve"> 18 years.</w:t>
      </w:r>
      <w:r w:rsidR="007C2E50">
        <w:t xml:space="preserve"> The PBAC </w:t>
      </w:r>
      <w:r w:rsidR="000A4FA8">
        <w:t xml:space="preserve">considered it appropriate for the </w:t>
      </w:r>
      <w:r w:rsidR="00236EFF">
        <w:t>restriction</w:t>
      </w:r>
      <w:r w:rsidR="000A4FA8">
        <w:t xml:space="preserve"> to </w:t>
      </w:r>
      <w:r w:rsidR="00236EFF">
        <w:t xml:space="preserve">require </w:t>
      </w:r>
      <w:r w:rsidR="000A4FA8" w:rsidRPr="000A4FA8">
        <w:rPr>
          <w:lang w:val="en-US"/>
        </w:rPr>
        <w:t>initiat</w:t>
      </w:r>
      <w:r w:rsidR="00236EFF" w:rsidRPr="003A2768">
        <w:rPr>
          <w:lang w:val="en-US"/>
        </w:rPr>
        <w:t>ion</w:t>
      </w:r>
      <w:r w:rsidR="000A4FA8" w:rsidRPr="000A4FA8">
        <w:rPr>
          <w:lang w:val="en-US"/>
        </w:rPr>
        <w:t xml:space="preserve"> at age </w:t>
      </w:r>
      <w:r w:rsidR="005C5CDF" w:rsidRPr="000A4FA8">
        <w:rPr>
          <w:lang w:val="en-US"/>
        </w:rPr>
        <w:t>&lt;</w:t>
      </w:r>
      <w:r w:rsidR="005C5CDF">
        <w:rPr>
          <w:lang w:val="en-US"/>
        </w:rPr>
        <w:t> </w:t>
      </w:r>
      <w:r w:rsidR="000A4FA8" w:rsidRPr="000A4FA8">
        <w:rPr>
          <w:lang w:val="en-US"/>
        </w:rPr>
        <w:t>18</w:t>
      </w:r>
      <w:r w:rsidR="005C5CDF">
        <w:rPr>
          <w:lang w:val="en-US"/>
        </w:rPr>
        <w:t> </w:t>
      </w:r>
      <w:r w:rsidR="000A4FA8" w:rsidRPr="000A4FA8">
        <w:rPr>
          <w:lang w:val="en-US"/>
        </w:rPr>
        <w:t>years</w:t>
      </w:r>
      <w:r w:rsidR="003A2768" w:rsidRPr="003A2768">
        <w:rPr>
          <w:lang w:val="en-US"/>
        </w:rPr>
        <w:t>.</w:t>
      </w:r>
    </w:p>
    <w:p w14:paraId="3415B6EC" w14:textId="1B2B499F" w:rsidR="002D1920" w:rsidRDefault="009C5E95" w:rsidP="008C5253">
      <w:pPr>
        <w:pStyle w:val="ListParagraph"/>
        <w:widowControl w:val="0"/>
        <w:numPr>
          <w:ilvl w:val="0"/>
          <w:numId w:val="40"/>
        </w:numPr>
        <w:ind w:left="1134"/>
      </w:pPr>
      <w:r w:rsidRPr="002D1920">
        <w:t xml:space="preserve">the </w:t>
      </w:r>
      <w:r w:rsidR="005A3D47" w:rsidRPr="002D1920">
        <w:t xml:space="preserve">initial </w:t>
      </w:r>
      <w:r w:rsidRPr="002D1920">
        <w:t xml:space="preserve">restriction </w:t>
      </w:r>
      <w:r w:rsidR="0045574D" w:rsidRPr="002D1920">
        <w:t xml:space="preserve">did not </w:t>
      </w:r>
      <w:r w:rsidR="003B4E2D" w:rsidRPr="002D1920">
        <w:t xml:space="preserve">exclude patients who had previously received </w:t>
      </w:r>
      <w:r w:rsidR="005A3D47" w:rsidRPr="002D1920">
        <w:t>surgical biliary diversion (</w:t>
      </w:r>
      <w:r w:rsidR="003B4E2D" w:rsidRPr="002D1920">
        <w:t>SBD</w:t>
      </w:r>
      <w:r w:rsidR="005A3D47" w:rsidRPr="002D1920">
        <w:t>)</w:t>
      </w:r>
      <w:r w:rsidR="003B4E2D" w:rsidRPr="002D1920">
        <w:t xml:space="preserve"> or </w:t>
      </w:r>
      <w:r w:rsidR="005A3D47" w:rsidRPr="002D1920">
        <w:t>liver transplant (</w:t>
      </w:r>
      <w:r w:rsidR="003B4E2D" w:rsidRPr="002D1920">
        <w:t>LT</w:t>
      </w:r>
      <w:r w:rsidR="005A3D47" w:rsidRPr="002D1920">
        <w:t>)</w:t>
      </w:r>
      <w:r w:rsidR="008404C5" w:rsidRPr="002D1920">
        <w:t xml:space="preserve">. </w:t>
      </w:r>
    </w:p>
    <w:p w14:paraId="563227CB" w14:textId="1764BD82" w:rsidR="002D1920" w:rsidRDefault="002D1920" w:rsidP="008C5253">
      <w:pPr>
        <w:pStyle w:val="ListParagraph"/>
        <w:widowControl w:val="0"/>
        <w:numPr>
          <w:ilvl w:val="0"/>
          <w:numId w:val="40"/>
        </w:numPr>
        <w:ind w:left="1134"/>
      </w:pPr>
      <w:r>
        <w:t>the continuing restriction did not include a response criteria</w:t>
      </w:r>
      <w:r w:rsidR="00E74414">
        <w:t xml:space="preserve"> or discontinuation rule if patients, for example, progress to SBD</w:t>
      </w:r>
      <w:r>
        <w:t xml:space="preserve">. </w:t>
      </w:r>
    </w:p>
    <w:p w14:paraId="6B163587" w14:textId="2C92BB87" w:rsidR="00094A5C" w:rsidRDefault="002D1920" w:rsidP="008C5253">
      <w:pPr>
        <w:pStyle w:val="ListBullet"/>
        <w:numPr>
          <w:ilvl w:val="0"/>
          <w:numId w:val="40"/>
        </w:numPr>
        <w:spacing w:after="120"/>
        <w:ind w:left="1134" w:hanging="357"/>
        <w:contextualSpacing w:val="0"/>
      </w:pPr>
      <w:r>
        <w:lastRenderedPageBreak/>
        <w:t>the restriction criteria did not allow for patients to stop and restart treatment</w:t>
      </w:r>
      <w:r w:rsidR="00E74414">
        <w:t>, with the clinical criteria specifying that the p</w:t>
      </w:r>
      <w:r w:rsidR="00E74414" w:rsidRPr="00D33C2C">
        <w:t>atient must be experiencing symptomatic pruritus</w:t>
      </w:r>
      <w:r w:rsidR="00E74414">
        <w:t>, which would not necessarily be the case for responders</w:t>
      </w:r>
      <w:r>
        <w:t>.</w:t>
      </w:r>
    </w:p>
    <w:p w14:paraId="1B7F0EEA" w14:textId="1016A37A" w:rsidR="00094A5C" w:rsidRPr="00E343F8" w:rsidRDefault="00094A5C" w:rsidP="008C5253">
      <w:pPr>
        <w:pStyle w:val="ListBullet"/>
        <w:numPr>
          <w:ilvl w:val="0"/>
          <w:numId w:val="40"/>
        </w:numPr>
        <w:spacing w:after="120"/>
        <w:ind w:left="1134" w:hanging="357"/>
        <w:contextualSpacing w:val="0"/>
        <w:rPr>
          <w:rFonts w:asciiTheme="minorHAnsi" w:hAnsiTheme="minorHAnsi"/>
          <w:snapToGrid w:val="0"/>
          <w:lang w:val="en-GB" w:eastAsia="en-US"/>
        </w:rPr>
      </w:pPr>
      <w:bookmarkStart w:id="119" w:name="_Ref174179218"/>
      <w:r>
        <w:t>the</w:t>
      </w:r>
      <w:r w:rsidRPr="00094A5C">
        <w:t xml:space="preserve"> restriction allowed for patients to escalate from a dose of </w:t>
      </w:r>
      <w:r w:rsidR="005C5CDF" w:rsidRPr="00094A5C">
        <w:t>40</w:t>
      </w:r>
      <w:r w:rsidR="005C5CDF">
        <w:t> </w:t>
      </w:r>
      <w:r w:rsidRPr="00094A5C">
        <w:t xml:space="preserve">mcg/kg/day to </w:t>
      </w:r>
      <w:r w:rsidR="005C5CDF" w:rsidRPr="00094A5C">
        <w:t>120</w:t>
      </w:r>
      <w:r w:rsidR="005C5CDF">
        <w:t> </w:t>
      </w:r>
      <w:r w:rsidRPr="00094A5C">
        <w:t xml:space="preserve">mcg/kg/day if there </w:t>
      </w:r>
      <w:r w:rsidR="00285ECC">
        <w:t>wa</w:t>
      </w:r>
      <w:r w:rsidRPr="00094A5C">
        <w:t xml:space="preserve">s an inadequate response at 3 months, </w:t>
      </w:r>
      <w:r>
        <w:t xml:space="preserve">however </w:t>
      </w:r>
      <w:r w:rsidR="00630EF7">
        <w:t>dose escalation</w:t>
      </w:r>
      <w:r w:rsidR="00630EF7" w:rsidRPr="00094A5C">
        <w:t xml:space="preserve"> </w:t>
      </w:r>
      <w:r w:rsidRPr="00094A5C">
        <w:t xml:space="preserve">was not supported </w:t>
      </w:r>
      <w:r>
        <w:t xml:space="preserve">by the clinical data </w:t>
      </w:r>
      <w:r w:rsidRPr="00094A5C">
        <w:t>in the submission.</w:t>
      </w:r>
      <w:bookmarkEnd w:id="119"/>
      <w:r w:rsidRPr="00094A5C">
        <w:t xml:space="preserve"> </w:t>
      </w:r>
    </w:p>
    <w:p w14:paraId="7F9F9AFE" w14:textId="3651E392" w:rsidR="00E343F8" w:rsidRDefault="00E343F8" w:rsidP="008C5253">
      <w:pPr>
        <w:pStyle w:val="ListBullet"/>
        <w:numPr>
          <w:ilvl w:val="0"/>
          <w:numId w:val="40"/>
        </w:numPr>
        <w:spacing w:after="120"/>
        <w:ind w:left="1134" w:hanging="357"/>
        <w:contextualSpacing w:val="0"/>
        <w:rPr>
          <w:rFonts w:asciiTheme="minorHAnsi" w:hAnsiTheme="minorHAnsi"/>
          <w:snapToGrid w:val="0"/>
          <w:lang w:val="en-GB" w:eastAsia="en-US"/>
        </w:rPr>
      </w:pPr>
      <w:r>
        <w:t xml:space="preserve">the restriction </w:t>
      </w:r>
      <w:r w:rsidR="00AF761E">
        <w:t xml:space="preserve">should </w:t>
      </w:r>
      <w:r w:rsidR="00155152">
        <w:t xml:space="preserve">require prescription by </w:t>
      </w:r>
      <w:r w:rsidR="00AF761E">
        <w:t>a specialist experienced in the management of PFIC</w:t>
      </w:r>
      <w:r w:rsidR="003C529B">
        <w:t>.</w:t>
      </w:r>
    </w:p>
    <w:p w14:paraId="4F63013E" w14:textId="4F8A4527" w:rsidR="00C8253D" w:rsidRPr="00B30BCC" w:rsidRDefault="00C8253D" w:rsidP="000D3904">
      <w:pPr>
        <w:pStyle w:val="ListBullet"/>
        <w:widowControl w:val="0"/>
        <w:numPr>
          <w:ilvl w:val="1"/>
          <w:numId w:val="1"/>
        </w:numPr>
        <w:spacing w:after="120"/>
        <w:rPr>
          <w:rFonts w:asciiTheme="minorHAnsi" w:hAnsiTheme="minorHAnsi"/>
          <w:snapToGrid w:val="0"/>
        </w:rPr>
      </w:pPr>
      <w:bookmarkStart w:id="120" w:name="_Ref174116117"/>
      <w:r w:rsidRPr="00B30BCC">
        <w:rPr>
          <w:rFonts w:asciiTheme="minorHAnsi" w:hAnsiTheme="minorHAnsi"/>
          <w:snapToGrid w:val="0"/>
        </w:rPr>
        <w:t xml:space="preserve">The PBAC considered the nomination of </w:t>
      </w:r>
      <w:r w:rsidR="005A3D47" w:rsidRPr="00B30BCC">
        <w:rPr>
          <w:rFonts w:asciiTheme="minorHAnsi" w:hAnsiTheme="minorHAnsi"/>
          <w:snapToGrid w:val="0"/>
        </w:rPr>
        <w:t>standard of care (</w:t>
      </w:r>
      <w:r w:rsidR="00D07BDC" w:rsidRPr="00B30BCC">
        <w:rPr>
          <w:rFonts w:asciiTheme="minorHAnsi" w:hAnsiTheme="minorHAnsi"/>
          <w:snapToGrid w:val="0"/>
        </w:rPr>
        <w:t>SOC</w:t>
      </w:r>
      <w:r w:rsidR="005A3D47" w:rsidRPr="00B30BCC">
        <w:rPr>
          <w:rFonts w:asciiTheme="minorHAnsi" w:hAnsiTheme="minorHAnsi"/>
          <w:snapToGrid w:val="0"/>
        </w:rPr>
        <w:t>)</w:t>
      </w:r>
      <w:r w:rsidRPr="00B30BCC">
        <w:rPr>
          <w:rFonts w:asciiTheme="minorHAnsi" w:hAnsiTheme="minorHAnsi"/>
          <w:snapToGrid w:val="0"/>
        </w:rPr>
        <w:t xml:space="preserve">, including </w:t>
      </w:r>
      <w:r w:rsidR="009F3302" w:rsidRPr="00B30BCC">
        <w:rPr>
          <w:rFonts w:asciiTheme="minorHAnsi" w:hAnsiTheme="minorHAnsi"/>
          <w:snapToGrid w:val="0"/>
        </w:rPr>
        <w:t xml:space="preserve">off-label use of medicines such as ursodeoxycholic acid and rifampicin, as well as </w:t>
      </w:r>
      <w:r w:rsidRPr="00B30BCC">
        <w:rPr>
          <w:rFonts w:asciiTheme="minorHAnsi" w:hAnsiTheme="minorHAnsi"/>
          <w:snapToGrid w:val="0"/>
        </w:rPr>
        <w:t xml:space="preserve">partial external biliary diversion </w:t>
      </w:r>
      <w:r w:rsidR="009F3302" w:rsidRPr="00B30BCC">
        <w:rPr>
          <w:rFonts w:asciiTheme="minorHAnsi" w:hAnsiTheme="minorHAnsi"/>
          <w:snapToGrid w:val="0"/>
        </w:rPr>
        <w:t>(PEBD) surgery</w:t>
      </w:r>
      <w:r w:rsidR="005A3D47" w:rsidRPr="00B30BCC">
        <w:rPr>
          <w:rFonts w:asciiTheme="minorHAnsi" w:hAnsiTheme="minorHAnsi"/>
          <w:snapToGrid w:val="0"/>
        </w:rPr>
        <w:t>, as a proxy for all SBDs,</w:t>
      </w:r>
      <w:r w:rsidR="009F3302" w:rsidRPr="00B30BCC">
        <w:rPr>
          <w:rFonts w:asciiTheme="minorHAnsi" w:hAnsiTheme="minorHAnsi"/>
          <w:snapToGrid w:val="0"/>
        </w:rPr>
        <w:t xml:space="preserve"> </w:t>
      </w:r>
      <w:r w:rsidRPr="00B30BCC">
        <w:rPr>
          <w:rFonts w:asciiTheme="minorHAnsi" w:hAnsiTheme="minorHAnsi"/>
          <w:snapToGrid w:val="0"/>
        </w:rPr>
        <w:t xml:space="preserve">and </w:t>
      </w:r>
      <w:r w:rsidR="009F3302" w:rsidRPr="00B30BCC">
        <w:rPr>
          <w:rFonts w:asciiTheme="minorHAnsi" w:hAnsiTheme="minorHAnsi"/>
          <w:snapToGrid w:val="0"/>
        </w:rPr>
        <w:t>LT</w:t>
      </w:r>
      <w:r w:rsidRPr="00B30BCC">
        <w:rPr>
          <w:rFonts w:asciiTheme="minorHAnsi" w:hAnsiTheme="minorHAnsi"/>
          <w:snapToGrid w:val="0"/>
        </w:rPr>
        <w:t>, as the main comparator was reasonable</w:t>
      </w:r>
      <w:r w:rsidR="00C245FA" w:rsidRPr="00B30BCC">
        <w:rPr>
          <w:rFonts w:asciiTheme="minorHAnsi" w:hAnsiTheme="minorHAnsi"/>
          <w:snapToGrid w:val="0"/>
        </w:rPr>
        <w:t xml:space="preserve">. </w:t>
      </w:r>
      <w:r w:rsidR="00F83966" w:rsidRPr="00B30BCC">
        <w:rPr>
          <w:rFonts w:asciiTheme="minorHAnsi" w:hAnsiTheme="minorHAnsi"/>
          <w:snapToGrid w:val="0"/>
        </w:rPr>
        <w:t xml:space="preserve">However, the PBAC noted the submission </w:t>
      </w:r>
      <w:r w:rsidR="00411E04" w:rsidRPr="00B30BCC">
        <w:rPr>
          <w:rFonts w:asciiTheme="minorHAnsi" w:hAnsiTheme="minorHAnsi"/>
          <w:snapToGrid w:val="0"/>
        </w:rPr>
        <w:t xml:space="preserve">appeared </w:t>
      </w:r>
      <w:r w:rsidR="00F83966" w:rsidRPr="00B30BCC">
        <w:rPr>
          <w:rFonts w:asciiTheme="minorHAnsi" w:hAnsiTheme="minorHAnsi"/>
          <w:snapToGrid w:val="0"/>
        </w:rPr>
        <w:t xml:space="preserve">to position odevixibat largely as an alternative to </w:t>
      </w:r>
      <w:r w:rsidR="00F83966" w:rsidRPr="00D12904">
        <w:t xml:space="preserve">PEBD </w:t>
      </w:r>
      <w:r w:rsidR="00F83966">
        <w:t xml:space="preserve">in </w:t>
      </w:r>
      <w:r w:rsidR="00F83966" w:rsidRPr="00D12904">
        <w:t>the proposed clinical management algorithm and the economic model</w:t>
      </w:r>
      <w:r w:rsidR="00F83966">
        <w:t>.</w:t>
      </w:r>
      <w:bookmarkEnd w:id="120"/>
      <w:r w:rsidR="00F83966">
        <w:t xml:space="preserve"> </w:t>
      </w:r>
    </w:p>
    <w:p w14:paraId="76A74ECC" w14:textId="068BCE1A" w:rsidR="00061B5A" w:rsidRPr="00330733" w:rsidRDefault="008E1049" w:rsidP="005B3F12">
      <w:pPr>
        <w:widowControl w:val="0"/>
        <w:numPr>
          <w:ilvl w:val="1"/>
          <w:numId w:val="1"/>
        </w:numPr>
        <w:spacing w:after="120"/>
        <w:rPr>
          <w:rFonts w:asciiTheme="minorHAnsi" w:hAnsiTheme="minorHAnsi"/>
          <w:snapToGrid w:val="0"/>
          <w:lang w:val="en-GB" w:eastAsia="en-US"/>
        </w:rPr>
      </w:pPr>
      <w:r w:rsidRPr="00330733">
        <w:rPr>
          <w:rFonts w:asciiTheme="minorHAnsi" w:hAnsiTheme="minorHAnsi"/>
          <w:snapToGrid w:val="0"/>
          <w:lang w:val="en-GB" w:eastAsia="en-US"/>
        </w:rPr>
        <w:t>The PBAC noted the submission was based on</w:t>
      </w:r>
      <w:r w:rsidR="005B3F12" w:rsidRPr="00330733">
        <w:rPr>
          <w:rFonts w:asciiTheme="minorHAnsi" w:hAnsiTheme="minorHAnsi"/>
          <w:snapToGrid w:val="0"/>
          <w:lang w:val="en-GB" w:eastAsia="en-US"/>
        </w:rPr>
        <w:t xml:space="preserve"> the results from</w:t>
      </w:r>
      <w:r w:rsidR="00106B5F" w:rsidRPr="00330733">
        <w:rPr>
          <w:rFonts w:asciiTheme="minorHAnsi" w:hAnsiTheme="minorHAnsi"/>
          <w:snapToGrid w:val="0"/>
          <w:lang w:val="en-GB" w:eastAsia="en-US"/>
        </w:rPr>
        <w:t xml:space="preserve"> a </w:t>
      </w:r>
      <w:r w:rsidR="008539FC" w:rsidRPr="00330733">
        <w:rPr>
          <w:rFonts w:asciiTheme="minorHAnsi" w:hAnsiTheme="minorHAnsi"/>
          <w:snapToGrid w:val="0"/>
          <w:lang w:val="en-GB" w:eastAsia="en-US"/>
        </w:rPr>
        <w:t xml:space="preserve">randomised </w:t>
      </w:r>
      <w:r w:rsidR="00F1485C" w:rsidRPr="00330733">
        <w:rPr>
          <w:rFonts w:asciiTheme="minorHAnsi" w:hAnsiTheme="minorHAnsi"/>
          <w:snapToGrid w:val="0"/>
          <w:lang w:val="en-GB" w:eastAsia="en-US"/>
        </w:rPr>
        <w:t>trial</w:t>
      </w:r>
      <w:r w:rsidR="00106B5F" w:rsidRPr="00330733">
        <w:rPr>
          <w:rFonts w:asciiTheme="minorHAnsi" w:hAnsiTheme="minorHAnsi"/>
          <w:snapToGrid w:val="0"/>
          <w:lang w:val="en-GB" w:eastAsia="en-US"/>
        </w:rPr>
        <w:t xml:space="preserve"> </w:t>
      </w:r>
      <w:r w:rsidR="005A3D47" w:rsidRPr="00330733">
        <w:rPr>
          <w:rFonts w:asciiTheme="minorHAnsi" w:hAnsiTheme="minorHAnsi"/>
          <w:snapToGrid w:val="0"/>
          <w:lang w:val="en-GB" w:eastAsia="en-US"/>
        </w:rPr>
        <w:t xml:space="preserve">that compared </w:t>
      </w:r>
      <w:r w:rsidR="00F1485C" w:rsidRPr="00330733">
        <w:rPr>
          <w:rFonts w:asciiTheme="minorHAnsi" w:hAnsiTheme="minorHAnsi"/>
          <w:snapToGrid w:val="0"/>
          <w:lang w:val="en-GB" w:eastAsia="en-US"/>
        </w:rPr>
        <w:t xml:space="preserve">odevixibat </w:t>
      </w:r>
      <w:r w:rsidR="005A3D47" w:rsidRPr="00330733">
        <w:rPr>
          <w:rFonts w:asciiTheme="minorHAnsi" w:hAnsiTheme="minorHAnsi"/>
          <w:snapToGrid w:val="0"/>
          <w:lang w:val="en-GB" w:eastAsia="en-US"/>
        </w:rPr>
        <w:t>with</w:t>
      </w:r>
      <w:r w:rsidR="00F1485C" w:rsidRPr="00330733">
        <w:rPr>
          <w:rFonts w:asciiTheme="minorHAnsi" w:hAnsiTheme="minorHAnsi"/>
          <w:snapToGrid w:val="0"/>
          <w:lang w:val="en-GB" w:eastAsia="en-US"/>
        </w:rPr>
        <w:t xml:space="preserve"> placebo</w:t>
      </w:r>
      <w:r w:rsidR="00F83966" w:rsidRPr="00330733">
        <w:rPr>
          <w:rFonts w:asciiTheme="minorHAnsi" w:hAnsiTheme="minorHAnsi"/>
          <w:snapToGrid w:val="0"/>
          <w:lang w:val="en-GB" w:eastAsia="en-US"/>
        </w:rPr>
        <w:t xml:space="preserve"> (PEDFIC 1)</w:t>
      </w:r>
      <w:r w:rsidR="005B3F12" w:rsidRPr="00330733">
        <w:rPr>
          <w:rFonts w:asciiTheme="minorHAnsi" w:hAnsiTheme="minorHAnsi"/>
          <w:snapToGrid w:val="0"/>
          <w:lang w:val="en-GB" w:eastAsia="en-US"/>
        </w:rPr>
        <w:t>,</w:t>
      </w:r>
      <w:r w:rsidR="00F83966" w:rsidRPr="00330733">
        <w:rPr>
          <w:rFonts w:asciiTheme="minorHAnsi" w:hAnsiTheme="minorHAnsi"/>
          <w:snapToGrid w:val="0"/>
          <w:lang w:val="en-GB" w:eastAsia="en-US"/>
        </w:rPr>
        <w:t xml:space="preserve"> </w:t>
      </w:r>
      <w:r w:rsidR="00106B5F" w:rsidRPr="00330733">
        <w:rPr>
          <w:rFonts w:asciiTheme="minorHAnsi" w:hAnsiTheme="minorHAnsi"/>
          <w:snapToGrid w:val="0"/>
          <w:lang w:val="en-GB" w:eastAsia="en-US"/>
        </w:rPr>
        <w:t xml:space="preserve">a </w:t>
      </w:r>
      <w:r w:rsidR="00F1485C" w:rsidRPr="00330733">
        <w:rPr>
          <w:rFonts w:asciiTheme="minorHAnsi" w:hAnsiTheme="minorHAnsi"/>
          <w:snapToGrid w:val="0"/>
          <w:lang w:val="en-GB" w:eastAsia="en-US"/>
        </w:rPr>
        <w:t xml:space="preserve">single arm </w:t>
      </w:r>
      <w:r w:rsidR="00F83966" w:rsidRPr="00330733">
        <w:rPr>
          <w:rFonts w:asciiTheme="minorHAnsi" w:hAnsiTheme="minorHAnsi"/>
          <w:snapToGrid w:val="0"/>
          <w:lang w:val="en-GB" w:eastAsia="en-US"/>
        </w:rPr>
        <w:t>“</w:t>
      </w:r>
      <w:r w:rsidR="00F1485C" w:rsidRPr="00330733">
        <w:rPr>
          <w:rFonts w:asciiTheme="minorHAnsi" w:hAnsiTheme="minorHAnsi"/>
          <w:snapToGrid w:val="0"/>
          <w:lang w:val="en-GB" w:eastAsia="en-US"/>
        </w:rPr>
        <w:t>extension</w:t>
      </w:r>
      <w:r w:rsidR="00F83966" w:rsidRPr="00330733">
        <w:rPr>
          <w:rFonts w:asciiTheme="minorHAnsi" w:hAnsiTheme="minorHAnsi"/>
          <w:snapToGrid w:val="0"/>
          <w:lang w:val="en-GB" w:eastAsia="en-US"/>
        </w:rPr>
        <w:t>”</w:t>
      </w:r>
      <w:r w:rsidR="00F1485C" w:rsidRPr="00330733">
        <w:rPr>
          <w:rFonts w:asciiTheme="minorHAnsi" w:hAnsiTheme="minorHAnsi"/>
          <w:snapToGrid w:val="0"/>
          <w:lang w:val="en-GB" w:eastAsia="en-US"/>
        </w:rPr>
        <w:t xml:space="preserve"> study </w:t>
      </w:r>
      <w:r w:rsidR="00F83966" w:rsidRPr="00330733">
        <w:rPr>
          <w:rFonts w:asciiTheme="minorHAnsi" w:hAnsiTheme="minorHAnsi"/>
          <w:snapToGrid w:val="0"/>
          <w:lang w:val="en-GB" w:eastAsia="en-US"/>
        </w:rPr>
        <w:t>(PEDFIC</w:t>
      </w:r>
      <w:r w:rsidR="004667A8">
        <w:rPr>
          <w:rFonts w:asciiTheme="minorHAnsi" w:hAnsiTheme="minorHAnsi"/>
          <w:snapToGrid w:val="0"/>
          <w:lang w:val="en-GB" w:eastAsia="en-US"/>
        </w:rPr>
        <w:t> </w:t>
      </w:r>
      <w:r w:rsidR="00F83966" w:rsidRPr="00330733">
        <w:rPr>
          <w:rFonts w:asciiTheme="minorHAnsi" w:hAnsiTheme="minorHAnsi"/>
          <w:snapToGrid w:val="0"/>
          <w:lang w:val="en-GB" w:eastAsia="en-US"/>
        </w:rPr>
        <w:t xml:space="preserve">2) </w:t>
      </w:r>
      <w:r w:rsidR="003C6C42" w:rsidRPr="00330733">
        <w:rPr>
          <w:rFonts w:asciiTheme="minorHAnsi" w:hAnsiTheme="minorHAnsi"/>
          <w:snapToGrid w:val="0"/>
          <w:lang w:val="en-GB" w:eastAsia="en-US"/>
        </w:rPr>
        <w:t xml:space="preserve">and </w:t>
      </w:r>
      <w:r w:rsidR="00F1485C" w:rsidRPr="00330733">
        <w:rPr>
          <w:rFonts w:asciiTheme="minorHAnsi" w:hAnsiTheme="minorHAnsi"/>
          <w:snapToGrid w:val="0"/>
          <w:lang w:val="en-GB" w:eastAsia="en-US"/>
        </w:rPr>
        <w:t xml:space="preserve">the results of </w:t>
      </w:r>
      <w:r w:rsidR="00314EF8" w:rsidRPr="00330733">
        <w:t xml:space="preserve">an </w:t>
      </w:r>
      <w:r w:rsidR="00486C6D" w:rsidRPr="00330733">
        <w:t xml:space="preserve">unanchored </w:t>
      </w:r>
      <w:r w:rsidR="003C6C42" w:rsidRPr="00330733">
        <w:t>indirect treatment comparison</w:t>
      </w:r>
      <w:r w:rsidR="00FB37F8" w:rsidRPr="00330733">
        <w:t xml:space="preserve"> (ITC)</w:t>
      </w:r>
      <w:r w:rsidR="00F21C05" w:rsidRPr="00330733">
        <w:t xml:space="preserve"> </w:t>
      </w:r>
      <w:r w:rsidR="00106B5F" w:rsidRPr="00330733">
        <w:t>(</w:t>
      </w:r>
      <w:r w:rsidR="001B5433" w:rsidRPr="00330733">
        <w:t>OvEC</w:t>
      </w:r>
      <w:r w:rsidR="00106B5F" w:rsidRPr="00330733">
        <w:t>)</w:t>
      </w:r>
      <w:r w:rsidR="00F83966" w:rsidRPr="00330733">
        <w:t>. The OvEC</w:t>
      </w:r>
      <w:r w:rsidR="005A3D47" w:rsidRPr="00330733">
        <w:t xml:space="preserve"> </w:t>
      </w:r>
      <w:r w:rsidR="00F83966" w:rsidRPr="00330733">
        <w:t xml:space="preserve">study </w:t>
      </w:r>
      <w:r w:rsidR="003C6C42" w:rsidRPr="00330733">
        <w:t>compar</w:t>
      </w:r>
      <w:r w:rsidR="005A3D47" w:rsidRPr="00330733">
        <w:t>ed</w:t>
      </w:r>
      <w:r w:rsidR="003C6C42" w:rsidRPr="00330733">
        <w:t xml:space="preserve"> odevixibat (</w:t>
      </w:r>
      <w:r w:rsidR="005A3D47" w:rsidRPr="00330733">
        <w:t xml:space="preserve">patients from </w:t>
      </w:r>
      <w:r w:rsidR="003C6C42" w:rsidRPr="00330733">
        <w:t>PEDFIC 1 and PEDFIC 2) to external controls (patients from</w:t>
      </w:r>
      <w:r w:rsidR="001B5433" w:rsidRPr="00330733">
        <w:t xml:space="preserve"> a natural history study of PFIC (NAPPED)). </w:t>
      </w:r>
      <w:r w:rsidR="0035179A" w:rsidRPr="00330733">
        <w:t xml:space="preserve">The </w:t>
      </w:r>
      <w:r w:rsidR="005A3D47" w:rsidRPr="00330733">
        <w:t xml:space="preserve">PBAC </w:t>
      </w:r>
      <w:r w:rsidR="0035179A" w:rsidRPr="00330733">
        <w:t xml:space="preserve">noted </w:t>
      </w:r>
      <w:r w:rsidR="005A3D47" w:rsidRPr="00330733">
        <w:t>that PEDFIC 1 included patients with PFIC1 and PFI</w:t>
      </w:r>
      <w:r w:rsidR="00C517C7" w:rsidRPr="00330733">
        <w:t>C</w:t>
      </w:r>
      <w:r w:rsidR="005A3D47" w:rsidRPr="00330733">
        <w:t>2 subtypes only</w:t>
      </w:r>
      <w:r w:rsidR="002D1920" w:rsidRPr="00330733">
        <w:t xml:space="preserve"> (</w:t>
      </w:r>
      <w:r w:rsidR="00285ECC">
        <w:t>info</w:t>
      </w:r>
      <w:r w:rsidR="00285ECC" w:rsidRPr="00330733">
        <w:t xml:space="preserve">rmed </w:t>
      </w:r>
      <w:r w:rsidR="002D1920" w:rsidRPr="00330733">
        <w:t>by genetic testing)</w:t>
      </w:r>
      <w:r w:rsidR="00F21C05" w:rsidRPr="00330733">
        <w:t>,</w:t>
      </w:r>
      <w:r w:rsidR="005A3D47" w:rsidRPr="00330733">
        <w:t xml:space="preserve"> </w:t>
      </w:r>
      <w:r w:rsidR="00F21C05" w:rsidRPr="00330733">
        <w:t>whereas</w:t>
      </w:r>
      <w:r w:rsidR="005A3D47" w:rsidRPr="00330733">
        <w:t xml:space="preserve"> PEDFIC 2 included</w:t>
      </w:r>
      <w:r w:rsidR="00C517C7" w:rsidRPr="00330733">
        <w:t xml:space="preserve"> some</w:t>
      </w:r>
      <w:r w:rsidR="005A3D47" w:rsidRPr="00330733">
        <w:t xml:space="preserve"> patients with PFIC3 and PFIC6. The </w:t>
      </w:r>
      <w:r w:rsidR="0035179A" w:rsidRPr="00330733">
        <w:t xml:space="preserve">submission provided </w:t>
      </w:r>
      <w:r w:rsidR="005A3D47" w:rsidRPr="00330733">
        <w:t xml:space="preserve">no comparative evidence for patients with PFIC3 or PFIC6 and </w:t>
      </w:r>
      <w:r w:rsidR="0035179A" w:rsidRPr="00330733">
        <w:t>no evidence for patients with PFIC4 and PFIC5 subtypes.</w:t>
      </w:r>
    </w:p>
    <w:p w14:paraId="102C820C" w14:textId="593865EE" w:rsidR="00F83966" w:rsidRPr="00B30BCC" w:rsidRDefault="005B3F12" w:rsidP="00F83966">
      <w:pPr>
        <w:widowControl w:val="0"/>
        <w:numPr>
          <w:ilvl w:val="1"/>
          <w:numId w:val="1"/>
        </w:numPr>
        <w:spacing w:after="120"/>
        <w:rPr>
          <w:rFonts w:asciiTheme="minorHAnsi" w:hAnsiTheme="minorHAnsi"/>
          <w:snapToGrid w:val="0"/>
          <w:lang w:val="en-GB" w:eastAsia="en-US"/>
        </w:rPr>
      </w:pPr>
      <w:r w:rsidRPr="00330733">
        <w:rPr>
          <w:rFonts w:asciiTheme="minorHAnsi" w:hAnsiTheme="minorHAnsi"/>
          <w:snapToGrid w:val="0"/>
          <w:lang w:val="en-GB" w:eastAsia="en-US"/>
        </w:rPr>
        <w:t xml:space="preserve">The </w:t>
      </w:r>
      <w:r w:rsidR="005A3D47" w:rsidRPr="00330733">
        <w:rPr>
          <w:rFonts w:asciiTheme="minorHAnsi" w:hAnsiTheme="minorHAnsi"/>
          <w:snapToGrid w:val="0"/>
          <w:lang w:val="en-GB" w:eastAsia="en-US"/>
        </w:rPr>
        <w:t xml:space="preserve">PBAC </w:t>
      </w:r>
      <w:r w:rsidRPr="00330733">
        <w:rPr>
          <w:rFonts w:asciiTheme="minorHAnsi" w:hAnsiTheme="minorHAnsi"/>
          <w:snapToGrid w:val="0"/>
          <w:lang w:val="en-GB" w:eastAsia="en-US"/>
        </w:rPr>
        <w:t>noted that PEDFIC</w:t>
      </w:r>
      <w:r w:rsidR="005A3D47" w:rsidRPr="00330733">
        <w:rPr>
          <w:rFonts w:asciiTheme="minorHAnsi" w:hAnsiTheme="minorHAnsi"/>
          <w:snapToGrid w:val="0"/>
          <w:lang w:val="en-GB" w:eastAsia="en-US"/>
        </w:rPr>
        <w:t xml:space="preserve"> </w:t>
      </w:r>
      <w:r w:rsidRPr="00330733">
        <w:rPr>
          <w:rFonts w:asciiTheme="minorHAnsi" w:hAnsiTheme="minorHAnsi"/>
          <w:snapToGrid w:val="0"/>
          <w:lang w:val="en-GB" w:eastAsia="en-US"/>
        </w:rPr>
        <w:t xml:space="preserve">1 compared the efficacy and safety of 42 patients </w:t>
      </w:r>
      <w:r w:rsidR="00C31890" w:rsidRPr="00330733">
        <w:t>aged between 6 months and 18</w:t>
      </w:r>
      <w:r w:rsidR="008539FC" w:rsidRPr="00330733">
        <w:t xml:space="preserve"> </w:t>
      </w:r>
      <w:r w:rsidR="00C31890" w:rsidRPr="00330733">
        <w:t xml:space="preserve">years </w:t>
      </w:r>
      <w:r w:rsidR="008539FC" w:rsidRPr="00330733">
        <w:t xml:space="preserve">of age </w:t>
      </w:r>
      <w:r w:rsidR="00C31890" w:rsidRPr="00330733">
        <w:t>who had elevated sBA concentrations (≥</w:t>
      </w:r>
      <w:r w:rsidR="004667A8">
        <w:t> </w:t>
      </w:r>
      <w:r w:rsidR="00C31890" w:rsidRPr="00330733">
        <w:t>100</w:t>
      </w:r>
      <w:r w:rsidR="004667A8">
        <w:t> </w:t>
      </w:r>
      <w:r w:rsidR="00C31890" w:rsidRPr="00330733">
        <w:t xml:space="preserve">µmol/L) </w:t>
      </w:r>
      <w:r w:rsidR="002C3BF6" w:rsidRPr="00330733">
        <w:t xml:space="preserve">and </w:t>
      </w:r>
      <w:r w:rsidRPr="00330733">
        <w:rPr>
          <w:rFonts w:asciiTheme="minorHAnsi" w:hAnsiTheme="minorHAnsi"/>
          <w:snapToGrid w:val="0"/>
          <w:lang w:val="en-GB" w:eastAsia="en-US"/>
        </w:rPr>
        <w:t xml:space="preserve">who were treated with </w:t>
      </w:r>
      <w:r w:rsidR="0009379D" w:rsidRPr="00330733">
        <w:rPr>
          <w:rFonts w:asciiTheme="minorHAnsi" w:hAnsiTheme="minorHAnsi"/>
          <w:snapToGrid w:val="0"/>
          <w:lang w:val="en-GB" w:eastAsia="en-US"/>
        </w:rPr>
        <w:t xml:space="preserve">orally administered </w:t>
      </w:r>
      <w:r w:rsidRPr="00330733">
        <w:rPr>
          <w:rFonts w:asciiTheme="minorHAnsi" w:hAnsiTheme="minorHAnsi"/>
          <w:snapToGrid w:val="0"/>
          <w:lang w:val="en-GB" w:eastAsia="en-US"/>
        </w:rPr>
        <w:t>odevixibat compared to 20 patients treated with placebo</w:t>
      </w:r>
      <w:r w:rsidR="005D1911" w:rsidRPr="00330733">
        <w:rPr>
          <w:rFonts w:asciiTheme="minorHAnsi" w:hAnsiTheme="minorHAnsi"/>
          <w:snapToGrid w:val="0"/>
          <w:lang w:val="en-GB" w:eastAsia="en-US"/>
        </w:rPr>
        <w:t xml:space="preserve"> over 24 weeks</w:t>
      </w:r>
      <w:r w:rsidR="003C6C42" w:rsidRPr="00330733">
        <w:rPr>
          <w:rFonts w:asciiTheme="minorHAnsi" w:hAnsiTheme="minorHAnsi"/>
          <w:snapToGrid w:val="0"/>
          <w:lang w:val="en-GB" w:eastAsia="en-US"/>
        </w:rPr>
        <w:t>.</w:t>
      </w:r>
      <w:r w:rsidR="00F83966" w:rsidRPr="00330733">
        <w:rPr>
          <w:rFonts w:asciiTheme="minorHAnsi" w:hAnsiTheme="minorHAnsi"/>
          <w:snapToGrid w:val="0"/>
          <w:lang w:val="en-GB" w:eastAsia="en-US"/>
        </w:rPr>
        <w:t xml:space="preserve"> </w:t>
      </w:r>
      <w:r w:rsidR="008E1049" w:rsidRPr="00330733">
        <w:rPr>
          <w:rFonts w:asciiTheme="minorHAnsi" w:hAnsiTheme="minorHAnsi"/>
          <w:snapToGrid w:val="0"/>
          <w:lang w:val="en-GB" w:eastAsia="en-US"/>
        </w:rPr>
        <w:t xml:space="preserve">The PBAC noted that </w:t>
      </w:r>
      <w:r w:rsidR="00F83966" w:rsidRPr="00330733">
        <w:rPr>
          <w:rFonts w:asciiTheme="minorHAnsi" w:hAnsiTheme="minorHAnsi"/>
          <w:snapToGrid w:val="0"/>
          <w:lang w:val="en-GB" w:eastAsia="en-US"/>
        </w:rPr>
        <w:t xml:space="preserve">33.3% of patients treated with </w:t>
      </w:r>
      <w:r w:rsidR="008E1049" w:rsidRPr="00330733">
        <w:rPr>
          <w:rFonts w:asciiTheme="minorHAnsi" w:hAnsiTheme="minorHAnsi"/>
          <w:snapToGrid w:val="0"/>
          <w:lang w:val="en-GB" w:eastAsia="en-US"/>
        </w:rPr>
        <w:t>odevixibat</w:t>
      </w:r>
      <w:r w:rsidR="00F83966" w:rsidRPr="00330733">
        <w:rPr>
          <w:rFonts w:asciiTheme="minorHAnsi" w:hAnsiTheme="minorHAnsi"/>
          <w:snapToGrid w:val="0"/>
          <w:lang w:val="en-GB" w:eastAsia="en-US"/>
        </w:rPr>
        <w:t xml:space="preserve"> achieved </w:t>
      </w:r>
      <w:r w:rsidR="008E1049" w:rsidRPr="00330733">
        <w:rPr>
          <w:rFonts w:asciiTheme="minorHAnsi" w:hAnsiTheme="minorHAnsi"/>
          <w:snapToGrid w:val="0"/>
          <w:lang w:val="en-GB" w:eastAsia="en-US"/>
        </w:rPr>
        <w:t>a sBA response</w:t>
      </w:r>
      <w:r w:rsidR="00F83966" w:rsidRPr="00330733">
        <w:rPr>
          <w:rStyle w:val="FootnoteReference"/>
          <w:rFonts w:asciiTheme="minorHAnsi" w:hAnsiTheme="minorHAnsi"/>
          <w:snapToGrid w:val="0"/>
          <w:lang w:val="en-GB" w:eastAsia="en-US"/>
        </w:rPr>
        <w:footnoteReference w:id="22"/>
      </w:r>
      <w:r w:rsidR="00F83966" w:rsidRPr="00330733">
        <w:rPr>
          <w:rFonts w:asciiTheme="minorHAnsi" w:hAnsiTheme="minorHAnsi"/>
          <w:snapToGrid w:val="0"/>
          <w:lang w:val="en-GB" w:eastAsia="en-US"/>
        </w:rPr>
        <w:t xml:space="preserve">, compared to 0% in the placebo arm (adjusted risk difference (RD): 30.7, 95% confidence interval (CI): 12.6, 48.8). The PBAC noted the RD for the comparison with placebo for the </w:t>
      </w:r>
      <w:r w:rsidR="00AA3F91" w:rsidRPr="00330733">
        <w:rPr>
          <w:rFonts w:asciiTheme="minorHAnsi" w:hAnsiTheme="minorHAnsi"/>
          <w:snapToGrid w:val="0"/>
          <w:lang w:val="en-GB" w:eastAsia="en-US"/>
        </w:rPr>
        <w:t>40</w:t>
      </w:r>
      <w:r w:rsidR="00AA3F91">
        <w:rPr>
          <w:rFonts w:asciiTheme="minorHAnsi" w:hAnsiTheme="minorHAnsi"/>
          <w:snapToGrid w:val="0"/>
          <w:lang w:val="en-GB" w:eastAsia="en-US"/>
        </w:rPr>
        <w:t> </w:t>
      </w:r>
      <w:r w:rsidR="00F83966" w:rsidRPr="00330733">
        <w:rPr>
          <w:rFonts w:asciiTheme="minorHAnsi" w:hAnsiTheme="minorHAnsi"/>
          <w:snapToGrid w:val="0"/>
          <w:lang w:val="en-GB" w:eastAsia="en-US"/>
        </w:rPr>
        <w:t>mcg/kg/day dose was 44.1% (95% CI</w:t>
      </w:r>
      <w:r w:rsidR="00B95ACB">
        <w:rPr>
          <w:rFonts w:asciiTheme="minorHAnsi" w:hAnsiTheme="minorHAnsi"/>
          <w:snapToGrid w:val="0"/>
          <w:lang w:val="en-GB" w:eastAsia="en-US"/>
        </w:rPr>
        <w:t>:</w:t>
      </w:r>
      <w:r w:rsidR="00F83966" w:rsidRPr="00330733">
        <w:rPr>
          <w:rFonts w:asciiTheme="minorHAnsi" w:hAnsiTheme="minorHAnsi"/>
          <w:snapToGrid w:val="0"/>
          <w:lang w:val="en-GB" w:eastAsia="en-US"/>
        </w:rPr>
        <w:t xml:space="preserve"> 23.6, 64.6) and for the 120 mcg/kg/day dose was 21.6% (95% CI: -0.5, 43.8). The PBAC noted that 55.1% of patients treated with odevixibat achieved a positive pruritus assessment</w:t>
      </w:r>
      <w:r w:rsidR="00F83966" w:rsidRPr="00330733">
        <w:rPr>
          <w:rStyle w:val="FootnoteReference"/>
          <w:rFonts w:asciiTheme="minorHAnsi" w:hAnsiTheme="minorHAnsi"/>
          <w:snapToGrid w:val="0"/>
          <w:lang w:val="en-GB" w:eastAsia="en-US"/>
        </w:rPr>
        <w:footnoteReference w:id="23"/>
      </w:r>
      <w:r w:rsidR="00F83966" w:rsidRPr="00330733">
        <w:rPr>
          <w:rFonts w:asciiTheme="minorHAnsi" w:hAnsiTheme="minorHAnsi"/>
          <w:snapToGrid w:val="0"/>
          <w:lang w:val="en-GB" w:eastAsia="en-US"/>
        </w:rPr>
        <w:t>, compared to 30.1% in the placebo arm (RD</w:t>
      </w:r>
      <w:r w:rsidR="00B95ACB">
        <w:rPr>
          <w:rFonts w:asciiTheme="minorHAnsi" w:hAnsiTheme="minorHAnsi"/>
          <w:snapToGrid w:val="0"/>
          <w:lang w:val="en-GB" w:eastAsia="en-US"/>
        </w:rPr>
        <w:t>:</w:t>
      </w:r>
      <w:r w:rsidR="00F83966" w:rsidRPr="00330733">
        <w:rPr>
          <w:rFonts w:asciiTheme="minorHAnsi" w:hAnsiTheme="minorHAnsi"/>
          <w:snapToGrid w:val="0"/>
          <w:lang w:val="en-GB" w:eastAsia="en-US"/>
        </w:rPr>
        <w:t xml:space="preserve"> 25.0</w:t>
      </w:r>
      <w:r w:rsidR="001355D2" w:rsidRPr="00330733">
        <w:rPr>
          <w:rFonts w:asciiTheme="minorHAnsi" w:hAnsiTheme="minorHAnsi"/>
          <w:snapToGrid w:val="0"/>
          <w:lang w:val="en-GB" w:eastAsia="en-US"/>
        </w:rPr>
        <w:t>%</w:t>
      </w:r>
      <w:r w:rsidR="00F83966" w:rsidRPr="00330733">
        <w:rPr>
          <w:rFonts w:asciiTheme="minorHAnsi" w:hAnsiTheme="minorHAnsi"/>
          <w:snapToGrid w:val="0"/>
          <w:lang w:val="en-GB" w:eastAsia="en-US"/>
        </w:rPr>
        <w:t xml:space="preserve">, 95% CI: 8.5, 41.5). The PBAC noted the high placebo response for the positive pruritis </w:t>
      </w:r>
      <w:r w:rsidR="00F83966" w:rsidRPr="00B30BCC">
        <w:rPr>
          <w:rFonts w:asciiTheme="minorHAnsi" w:hAnsiTheme="minorHAnsi"/>
          <w:snapToGrid w:val="0"/>
          <w:lang w:val="en-GB" w:eastAsia="en-US"/>
        </w:rPr>
        <w:t xml:space="preserve">assessment and considered this may not be observed in clinical practice. </w:t>
      </w:r>
      <w:r w:rsidR="00A642F1" w:rsidRPr="00B30BCC">
        <w:rPr>
          <w:rFonts w:asciiTheme="minorHAnsi" w:hAnsiTheme="minorHAnsi"/>
          <w:snapToGrid w:val="0"/>
          <w:lang w:val="en-GB" w:eastAsia="en-US"/>
        </w:rPr>
        <w:t xml:space="preserve">Additionally, the PBAC noted that placebo </w:t>
      </w:r>
      <w:r w:rsidR="00B30BCC" w:rsidRPr="00B30BCC">
        <w:rPr>
          <w:rFonts w:asciiTheme="minorHAnsi" w:hAnsiTheme="minorHAnsi"/>
          <w:snapToGrid w:val="0"/>
          <w:lang w:val="en-GB" w:eastAsia="en-US"/>
        </w:rPr>
        <w:t xml:space="preserve">does </w:t>
      </w:r>
      <w:r w:rsidR="00A642F1" w:rsidRPr="00B30BCC">
        <w:rPr>
          <w:rFonts w:asciiTheme="minorHAnsi" w:hAnsiTheme="minorHAnsi"/>
          <w:snapToGrid w:val="0"/>
          <w:lang w:val="en-GB" w:eastAsia="en-US"/>
        </w:rPr>
        <w:t xml:space="preserve">not represent the nominated comparator of SOC, </w:t>
      </w:r>
      <w:r w:rsidR="00A642F1" w:rsidRPr="00B30BCC">
        <w:rPr>
          <w:rFonts w:asciiTheme="minorHAnsi" w:hAnsiTheme="minorHAnsi"/>
          <w:snapToGrid w:val="0"/>
          <w:lang w:val="en-GB" w:eastAsia="en-US"/>
        </w:rPr>
        <w:lastRenderedPageBreak/>
        <w:t xml:space="preserve">as defined in paragraph </w:t>
      </w:r>
      <w:r w:rsidR="00A642F1" w:rsidRPr="00B30BCC">
        <w:rPr>
          <w:rFonts w:asciiTheme="minorHAnsi" w:hAnsiTheme="minorHAnsi"/>
          <w:snapToGrid w:val="0"/>
          <w:lang w:val="en-GB" w:eastAsia="en-US"/>
        </w:rPr>
        <w:fldChar w:fldCharType="begin"/>
      </w:r>
      <w:r w:rsidR="00A642F1" w:rsidRPr="00B30BCC">
        <w:rPr>
          <w:rFonts w:asciiTheme="minorHAnsi" w:hAnsiTheme="minorHAnsi"/>
          <w:snapToGrid w:val="0"/>
          <w:lang w:val="en-GB" w:eastAsia="en-US"/>
        </w:rPr>
        <w:instrText xml:space="preserve"> REF _Ref174116117 \r \h </w:instrText>
      </w:r>
      <w:r w:rsidR="00A13BD3" w:rsidRPr="00B30BCC">
        <w:rPr>
          <w:rFonts w:asciiTheme="minorHAnsi" w:hAnsiTheme="minorHAnsi"/>
          <w:snapToGrid w:val="0"/>
          <w:lang w:val="en-GB" w:eastAsia="en-US"/>
        </w:rPr>
        <w:instrText xml:space="preserve"> \* MERGEFORMAT </w:instrText>
      </w:r>
      <w:r w:rsidR="00A642F1" w:rsidRPr="00B30BCC">
        <w:rPr>
          <w:rFonts w:asciiTheme="minorHAnsi" w:hAnsiTheme="minorHAnsi"/>
          <w:snapToGrid w:val="0"/>
          <w:lang w:val="en-GB" w:eastAsia="en-US"/>
        </w:rPr>
      </w:r>
      <w:r w:rsidR="00A642F1" w:rsidRPr="00B30BCC">
        <w:rPr>
          <w:rFonts w:asciiTheme="minorHAnsi" w:hAnsiTheme="minorHAnsi"/>
          <w:snapToGrid w:val="0"/>
          <w:lang w:val="en-GB" w:eastAsia="en-US"/>
        </w:rPr>
        <w:fldChar w:fldCharType="separate"/>
      </w:r>
      <w:r w:rsidR="008B4717">
        <w:rPr>
          <w:rFonts w:asciiTheme="minorHAnsi" w:hAnsiTheme="minorHAnsi"/>
          <w:snapToGrid w:val="0"/>
          <w:lang w:val="en-GB" w:eastAsia="en-US"/>
        </w:rPr>
        <w:t>7.5</w:t>
      </w:r>
      <w:r w:rsidR="00A642F1" w:rsidRPr="00B30BCC">
        <w:rPr>
          <w:rFonts w:asciiTheme="minorHAnsi" w:hAnsiTheme="minorHAnsi"/>
          <w:snapToGrid w:val="0"/>
          <w:lang w:val="en-GB" w:eastAsia="en-US"/>
        </w:rPr>
        <w:fldChar w:fldCharType="end"/>
      </w:r>
      <w:r w:rsidR="00A642F1" w:rsidRPr="00B30BCC">
        <w:rPr>
          <w:rFonts w:asciiTheme="minorHAnsi" w:hAnsiTheme="minorHAnsi"/>
          <w:snapToGrid w:val="0"/>
          <w:lang w:val="en-GB" w:eastAsia="en-US"/>
        </w:rPr>
        <w:t xml:space="preserve">. </w:t>
      </w:r>
    </w:p>
    <w:p w14:paraId="0C387A50" w14:textId="5BBD65E6" w:rsidR="00FB7EAC" w:rsidRPr="00B30BCC" w:rsidRDefault="00FB7EAC" w:rsidP="00F83966">
      <w:pPr>
        <w:widowControl w:val="0"/>
        <w:numPr>
          <w:ilvl w:val="1"/>
          <w:numId w:val="1"/>
        </w:numPr>
        <w:spacing w:after="120"/>
        <w:rPr>
          <w:rFonts w:asciiTheme="minorHAnsi" w:hAnsiTheme="minorHAnsi"/>
          <w:snapToGrid w:val="0"/>
          <w:lang w:val="en-GB" w:eastAsia="en-US"/>
        </w:rPr>
      </w:pPr>
      <w:bookmarkStart w:id="121" w:name="_Ref174427161"/>
      <w:r w:rsidRPr="00B30BCC">
        <w:t>The PBAC noted the reliability of the ObsRO instrument, which was used in PEDFIC 1 to measure pruritus response, was uncertain given the limited information regarding the scoring of the instrument</w:t>
      </w:r>
      <w:r w:rsidR="0057646B" w:rsidRPr="00B30BCC">
        <w:t>,</w:t>
      </w:r>
      <w:r w:rsidRPr="00B30BCC">
        <w:t xml:space="preserve"> the unclear clinical significance of the definition of a positive </w:t>
      </w:r>
      <w:r w:rsidR="0057646B" w:rsidRPr="00B30BCC">
        <w:t>pruritus assessment</w:t>
      </w:r>
      <w:r w:rsidRPr="00B30BCC">
        <w:t xml:space="preserve"> and</w:t>
      </w:r>
      <w:r w:rsidR="0057646B" w:rsidRPr="00B30BCC">
        <w:t xml:space="preserve"> it not being independently validated in a study distinct from PEDFIC 1.</w:t>
      </w:r>
      <w:bookmarkEnd w:id="121"/>
    </w:p>
    <w:p w14:paraId="735CD51D" w14:textId="7E88904A" w:rsidR="00A13BD3" w:rsidRDefault="00A13BD3" w:rsidP="00F83966">
      <w:pPr>
        <w:widowControl w:val="0"/>
        <w:numPr>
          <w:ilvl w:val="1"/>
          <w:numId w:val="1"/>
        </w:numPr>
        <w:spacing w:after="120"/>
        <w:rPr>
          <w:rFonts w:asciiTheme="minorHAnsi" w:hAnsiTheme="minorHAnsi"/>
          <w:snapToGrid w:val="0"/>
          <w:lang w:val="en-GB" w:eastAsia="en-US"/>
        </w:rPr>
      </w:pPr>
      <w:r w:rsidRPr="00B30BCC">
        <w:rPr>
          <w:rFonts w:asciiTheme="minorHAnsi" w:hAnsiTheme="minorHAnsi"/>
          <w:snapToGrid w:val="0"/>
          <w:lang w:val="en-GB" w:eastAsia="en-US"/>
        </w:rPr>
        <w:t xml:space="preserve">The PBAC noted PEDFIC1 provided some comparative safety versus placebo and noted </w:t>
      </w:r>
      <w:r w:rsidRPr="00B30BCC">
        <w:t>the proportion of patients experiencing a TEAE was similar across all arms (82-85%), with diarrhoea the most commonly reported</w:t>
      </w:r>
      <w:r w:rsidRPr="00D12904">
        <w:t xml:space="preserve"> TEAE in both odevixibat-treated (31%) and placebo (30%) patients</w:t>
      </w:r>
      <w:r>
        <w:t>.</w:t>
      </w:r>
    </w:p>
    <w:p w14:paraId="777B1639" w14:textId="4D25D839" w:rsidR="00F91123" w:rsidRDefault="006F7F78" w:rsidP="008E1049">
      <w:pPr>
        <w:widowControl w:val="0"/>
        <w:numPr>
          <w:ilvl w:val="1"/>
          <w:numId w:val="1"/>
        </w:numPr>
        <w:spacing w:after="120"/>
        <w:rPr>
          <w:rFonts w:asciiTheme="minorHAnsi" w:hAnsiTheme="minorHAnsi"/>
          <w:snapToGrid w:val="0"/>
          <w:lang w:val="en-GB" w:eastAsia="en-US"/>
        </w:rPr>
      </w:pPr>
      <w:r>
        <w:rPr>
          <w:rFonts w:asciiTheme="minorHAnsi" w:hAnsiTheme="minorHAnsi"/>
          <w:snapToGrid w:val="0"/>
          <w:lang w:val="en-GB" w:eastAsia="en-US"/>
        </w:rPr>
        <w:t>The PBAC noted that PEDFIC</w:t>
      </w:r>
      <w:r w:rsidR="005A3D47">
        <w:rPr>
          <w:rFonts w:asciiTheme="minorHAnsi" w:hAnsiTheme="minorHAnsi"/>
          <w:snapToGrid w:val="0"/>
          <w:lang w:val="en-GB" w:eastAsia="en-US"/>
        </w:rPr>
        <w:t xml:space="preserve"> </w:t>
      </w:r>
      <w:r>
        <w:rPr>
          <w:rFonts w:asciiTheme="minorHAnsi" w:hAnsiTheme="minorHAnsi"/>
          <w:snapToGrid w:val="0"/>
          <w:lang w:val="en-GB" w:eastAsia="en-US"/>
        </w:rPr>
        <w:t xml:space="preserve">2 was </w:t>
      </w:r>
      <w:r w:rsidR="0035179A">
        <w:rPr>
          <w:rFonts w:asciiTheme="minorHAnsi" w:hAnsiTheme="minorHAnsi"/>
          <w:snapToGrid w:val="0"/>
          <w:lang w:val="en-GB" w:eastAsia="en-US"/>
        </w:rPr>
        <w:t xml:space="preserve">a </w:t>
      </w:r>
      <w:r>
        <w:rPr>
          <w:rFonts w:asciiTheme="minorHAnsi" w:hAnsiTheme="minorHAnsi"/>
          <w:snapToGrid w:val="0"/>
          <w:lang w:val="en-GB" w:eastAsia="en-US"/>
        </w:rPr>
        <w:t xml:space="preserve">noncomparative </w:t>
      </w:r>
      <w:r w:rsidR="0035179A">
        <w:rPr>
          <w:rFonts w:asciiTheme="minorHAnsi" w:hAnsiTheme="minorHAnsi"/>
          <w:snapToGrid w:val="0"/>
          <w:lang w:val="en-GB" w:eastAsia="en-US"/>
        </w:rPr>
        <w:t xml:space="preserve">study that enrolled mostly PFIC1 and PFIC2 patients (5/69 patients had PFIC3 and 1/69 patients had PFIC6), </w:t>
      </w:r>
      <w:r w:rsidR="0013504A">
        <w:rPr>
          <w:rFonts w:asciiTheme="minorHAnsi" w:hAnsiTheme="minorHAnsi"/>
          <w:snapToGrid w:val="0"/>
          <w:lang w:val="en-GB" w:eastAsia="en-US"/>
        </w:rPr>
        <w:t xml:space="preserve">with all patients receiving a dose of </w:t>
      </w:r>
      <w:r w:rsidR="007C4444">
        <w:rPr>
          <w:rFonts w:asciiTheme="minorHAnsi" w:hAnsiTheme="minorHAnsi"/>
          <w:snapToGrid w:val="0"/>
          <w:lang w:val="en-GB" w:eastAsia="en-US"/>
        </w:rPr>
        <w:t>120 </w:t>
      </w:r>
      <w:r w:rsidR="0013504A">
        <w:rPr>
          <w:rFonts w:asciiTheme="minorHAnsi" w:hAnsiTheme="minorHAnsi"/>
          <w:snapToGrid w:val="0"/>
          <w:lang w:val="en-GB" w:eastAsia="en-US"/>
        </w:rPr>
        <w:t xml:space="preserve">mcg/kg/day regardless of previous </w:t>
      </w:r>
      <w:r w:rsidR="00411E04">
        <w:rPr>
          <w:rFonts w:asciiTheme="minorHAnsi" w:hAnsiTheme="minorHAnsi"/>
          <w:snapToGrid w:val="0"/>
          <w:lang w:val="en-GB" w:eastAsia="en-US"/>
        </w:rPr>
        <w:t xml:space="preserve">exposure or </w:t>
      </w:r>
      <w:r w:rsidR="0013504A">
        <w:rPr>
          <w:rFonts w:asciiTheme="minorHAnsi" w:hAnsiTheme="minorHAnsi"/>
          <w:snapToGrid w:val="0"/>
          <w:lang w:val="en-GB" w:eastAsia="en-US"/>
        </w:rPr>
        <w:t>response</w:t>
      </w:r>
      <w:r w:rsidR="00C517C7">
        <w:rPr>
          <w:rFonts w:asciiTheme="minorHAnsi" w:hAnsiTheme="minorHAnsi"/>
          <w:snapToGrid w:val="0"/>
          <w:lang w:val="en-GB" w:eastAsia="en-US"/>
        </w:rPr>
        <w:t xml:space="preserve"> to odevixibat</w:t>
      </w:r>
      <w:r w:rsidR="001355D2">
        <w:rPr>
          <w:rFonts w:asciiTheme="minorHAnsi" w:hAnsiTheme="minorHAnsi"/>
          <w:snapToGrid w:val="0"/>
          <w:lang w:val="en-GB" w:eastAsia="en-US"/>
        </w:rPr>
        <w:t xml:space="preserve"> in PEDFIC 1</w:t>
      </w:r>
      <w:r w:rsidR="005A3D47">
        <w:rPr>
          <w:rFonts w:asciiTheme="minorHAnsi" w:hAnsiTheme="minorHAnsi"/>
          <w:snapToGrid w:val="0"/>
          <w:lang w:val="en-GB" w:eastAsia="en-US"/>
        </w:rPr>
        <w:t>.</w:t>
      </w:r>
      <w:r w:rsidR="001355D2">
        <w:rPr>
          <w:rFonts w:asciiTheme="minorHAnsi" w:hAnsiTheme="minorHAnsi"/>
          <w:snapToGrid w:val="0"/>
          <w:lang w:val="en-GB" w:eastAsia="en-US"/>
        </w:rPr>
        <w:t xml:space="preserve"> The submission included data from </w:t>
      </w:r>
      <w:r w:rsidR="001355D2" w:rsidRPr="001355D2">
        <w:rPr>
          <w:rFonts w:asciiTheme="minorHAnsi" w:hAnsiTheme="minorHAnsi"/>
          <w:snapToGrid w:val="0"/>
          <w:lang w:val="en-GB" w:eastAsia="en-US"/>
        </w:rPr>
        <w:t xml:space="preserve">the </w:t>
      </w:r>
      <w:r w:rsidR="00F20453" w:rsidRPr="001355D2">
        <w:rPr>
          <w:rFonts w:asciiTheme="minorHAnsi" w:hAnsiTheme="minorHAnsi"/>
          <w:snapToGrid w:val="0"/>
          <w:lang w:val="en-GB" w:eastAsia="en-US"/>
        </w:rPr>
        <w:t>July</w:t>
      </w:r>
      <w:r w:rsidR="00F20453">
        <w:rPr>
          <w:rFonts w:asciiTheme="minorHAnsi" w:hAnsiTheme="minorHAnsi"/>
          <w:snapToGrid w:val="0"/>
          <w:lang w:val="en-GB" w:eastAsia="en-US"/>
        </w:rPr>
        <w:t> </w:t>
      </w:r>
      <w:r w:rsidR="001355D2" w:rsidRPr="001355D2">
        <w:rPr>
          <w:rFonts w:asciiTheme="minorHAnsi" w:hAnsiTheme="minorHAnsi"/>
          <w:snapToGrid w:val="0"/>
          <w:lang w:val="en-GB" w:eastAsia="en-US"/>
        </w:rPr>
        <w:t>2020 data cut-off, however the PBAC noted that data wi</w:t>
      </w:r>
      <w:r w:rsidR="001355D2">
        <w:rPr>
          <w:rFonts w:asciiTheme="minorHAnsi" w:hAnsiTheme="minorHAnsi"/>
          <w:snapToGrid w:val="0"/>
          <w:lang w:val="en-GB" w:eastAsia="en-US"/>
        </w:rPr>
        <w:t>th</w:t>
      </w:r>
      <w:r w:rsidR="001355D2" w:rsidRPr="001355D2">
        <w:rPr>
          <w:rFonts w:asciiTheme="minorHAnsi" w:hAnsiTheme="minorHAnsi"/>
          <w:snapToGrid w:val="0"/>
          <w:lang w:val="en-GB" w:eastAsia="en-US"/>
        </w:rPr>
        <w:t xml:space="preserve"> additional follow-up (</w:t>
      </w:r>
      <w:r w:rsidR="00F20453" w:rsidRPr="001355D2">
        <w:rPr>
          <w:rFonts w:asciiTheme="minorHAnsi" w:hAnsiTheme="minorHAnsi"/>
          <w:snapToGrid w:val="0"/>
          <w:lang w:val="en-GB" w:eastAsia="en-US"/>
        </w:rPr>
        <w:t>July</w:t>
      </w:r>
      <w:r w:rsidR="00F20453">
        <w:rPr>
          <w:rFonts w:asciiTheme="minorHAnsi" w:hAnsiTheme="minorHAnsi"/>
          <w:snapToGrid w:val="0"/>
          <w:lang w:val="en-GB" w:eastAsia="en-US"/>
        </w:rPr>
        <w:t> </w:t>
      </w:r>
      <w:r w:rsidR="001355D2" w:rsidRPr="001355D2">
        <w:rPr>
          <w:rFonts w:asciiTheme="minorHAnsi" w:hAnsiTheme="minorHAnsi"/>
          <w:snapToGrid w:val="0"/>
          <w:lang w:val="en-GB" w:eastAsia="en-US"/>
        </w:rPr>
        <w:t>202</w:t>
      </w:r>
      <w:r w:rsidR="001355D2">
        <w:rPr>
          <w:rFonts w:asciiTheme="minorHAnsi" w:hAnsiTheme="minorHAnsi"/>
          <w:snapToGrid w:val="0"/>
          <w:lang w:val="en-GB" w:eastAsia="en-US"/>
        </w:rPr>
        <w:t>2</w:t>
      </w:r>
      <w:r w:rsidR="001355D2" w:rsidRPr="001355D2">
        <w:rPr>
          <w:rFonts w:asciiTheme="minorHAnsi" w:hAnsiTheme="minorHAnsi"/>
          <w:snapToGrid w:val="0"/>
          <w:lang w:val="en-GB" w:eastAsia="en-US"/>
        </w:rPr>
        <w:t xml:space="preserve"> data cut-off) were available and provided to the TGA. </w:t>
      </w:r>
      <w:r w:rsidR="00A642F1">
        <w:rPr>
          <w:rFonts w:asciiTheme="minorHAnsi" w:hAnsiTheme="minorHAnsi"/>
          <w:snapToGrid w:val="0"/>
          <w:lang w:val="en-GB" w:eastAsia="en-US"/>
        </w:rPr>
        <w:t xml:space="preserve">The PBAC noted that, based on the July 2020 data cut-off, sBA and pruritis scores reduced over time (see </w:t>
      </w:r>
      <w:r w:rsidR="00A642F1">
        <w:rPr>
          <w:rFonts w:asciiTheme="minorHAnsi" w:hAnsiTheme="minorHAnsi"/>
          <w:snapToGrid w:val="0"/>
          <w:lang w:val="en-GB" w:eastAsia="en-US"/>
        </w:rPr>
        <w:fldChar w:fldCharType="begin"/>
      </w:r>
      <w:r w:rsidR="00A642F1">
        <w:rPr>
          <w:rFonts w:asciiTheme="minorHAnsi" w:hAnsiTheme="minorHAnsi"/>
          <w:snapToGrid w:val="0"/>
          <w:lang w:val="en-GB" w:eastAsia="en-US"/>
        </w:rPr>
        <w:instrText xml:space="preserve"> REF _Ref166849231 \h </w:instrText>
      </w:r>
      <w:r w:rsidR="00A642F1">
        <w:rPr>
          <w:rFonts w:asciiTheme="minorHAnsi" w:hAnsiTheme="minorHAnsi"/>
          <w:snapToGrid w:val="0"/>
          <w:lang w:val="en-GB" w:eastAsia="en-US"/>
        </w:rPr>
      </w:r>
      <w:r w:rsidR="00A642F1">
        <w:rPr>
          <w:rFonts w:asciiTheme="minorHAnsi" w:hAnsiTheme="minorHAnsi"/>
          <w:snapToGrid w:val="0"/>
          <w:lang w:val="en-GB" w:eastAsia="en-US"/>
        </w:rPr>
        <w:fldChar w:fldCharType="separate"/>
      </w:r>
      <w:r w:rsidR="008B4717">
        <w:t xml:space="preserve">Figure </w:t>
      </w:r>
      <w:r w:rsidR="008B4717">
        <w:rPr>
          <w:noProof/>
        </w:rPr>
        <w:t>4</w:t>
      </w:r>
      <w:r w:rsidR="00A642F1">
        <w:rPr>
          <w:rFonts w:asciiTheme="minorHAnsi" w:hAnsiTheme="minorHAnsi"/>
          <w:snapToGrid w:val="0"/>
          <w:lang w:val="en-GB" w:eastAsia="en-US"/>
        </w:rPr>
        <w:fldChar w:fldCharType="end"/>
      </w:r>
      <w:r w:rsidR="00A642F1">
        <w:rPr>
          <w:rFonts w:asciiTheme="minorHAnsi" w:hAnsiTheme="minorHAnsi"/>
          <w:snapToGrid w:val="0"/>
          <w:lang w:val="en-GB" w:eastAsia="en-US"/>
        </w:rPr>
        <w:t xml:space="preserve"> and </w:t>
      </w:r>
      <w:r w:rsidR="00A642F1">
        <w:rPr>
          <w:rFonts w:asciiTheme="minorHAnsi" w:hAnsiTheme="minorHAnsi"/>
          <w:snapToGrid w:val="0"/>
          <w:lang w:val="en-GB" w:eastAsia="en-US"/>
        </w:rPr>
        <w:fldChar w:fldCharType="begin"/>
      </w:r>
      <w:r w:rsidR="00A642F1">
        <w:rPr>
          <w:rFonts w:asciiTheme="minorHAnsi" w:hAnsiTheme="minorHAnsi"/>
          <w:snapToGrid w:val="0"/>
          <w:lang w:val="en-GB" w:eastAsia="en-US"/>
        </w:rPr>
        <w:instrText xml:space="preserve"> REF _Ref166849232 \h </w:instrText>
      </w:r>
      <w:r w:rsidR="00A642F1">
        <w:rPr>
          <w:rFonts w:asciiTheme="minorHAnsi" w:hAnsiTheme="minorHAnsi"/>
          <w:snapToGrid w:val="0"/>
          <w:lang w:val="en-GB" w:eastAsia="en-US"/>
        </w:rPr>
      </w:r>
      <w:r w:rsidR="00A642F1">
        <w:rPr>
          <w:rFonts w:asciiTheme="minorHAnsi" w:hAnsiTheme="minorHAnsi"/>
          <w:snapToGrid w:val="0"/>
          <w:lang w:val="en-GB" w:eastAsia="en-US"/>
        </w:rPr>
        <w:fldChar w:fldCharType="separate"/>
      </w:r>
      <w:r w:rsidR="008B4717">
        <w:t xml:space="preserve">Figure </w:t>
      </w:r>
      <w:r w:rsidR="008B4717">
        <w:rPr>
          <w:noProof/>
        </w:rPr>
        <w:t>5</w:t>
      </w:r>
      <w:r w:rsidR="00A642F1">
        <w:rPr>
          <w:rFonts w:asciiTheme="minorHAnsi" w:hAnsiTheme="minorHAnsi"/>
          <w:snapToGrid w:val="0"/>
          <w:lang w:val="en-GB" w:eastAsia="en-US"/>
        </w:rPr>
        <w:fldChar w:fldCharType="end"/>
      </w:r>
      <w:r w:rsidR="00A642F1">
        <w:rPr>
          <w:rFonts w:asciiTheme="minorHAnsi" w:hAnsiTheme="minorHAnsi"/>
          <w:snapToGrid w:val="0"/>
          <w:lang w:val="en-GB" w:eastAsia="en-US"/>
        </w:rPr>
        <w:t xml:space="preserve">). </w:t>
      </w:r>
    </w:p>
    <w:p w14:paraId="1E0A8D2C" w14:textId="3A225AE8" w:rsidR="00A13BD3" w:rsidRDefault="00A13BD3" w:rsidP="002E6F46">
      <w:pPr>
        <w:widowControl w:val="0"/>
        <w:numPr>
          <w:ilvl w:val="1"/>
          <w:numId w:val="1"/>
        </w:numPr>
        <w:spacing w:after="120"/>
        <w:rPr>
          <w:rFonts w:asciiTheme="minorHAnsi" w:hAnsiTheme="minorHAnsi"/>
          <w:snapToGrid w:val="0"/>
          <w:lang w:val="en-GB" w:eastAsia="en-US"/>
        </w:rPr>
      </w:pPr>
      <w:r>
        <w:rPr>
          <w:rFonts w:asciiTheme="minorHAnsi" w:hAnsiTheme="minorHAnsi"/>
          <w:snapToGrid w:val="0"/>
          <w:lang w:val="en-GB" w:eastAsia="en-US"/>
        </w:rPr>
        <w:t>The PBAC noted the submission presented an indirect treatment comparison (</w:t>
      </w:r>
      <w:r w:rsidRPr="00A13BD3">
        <w:rPr>
          <w:rFonts w:asciiTheme="minorHAnsi" w:hAnsiTheme="minorHAnsi"/>
          <w:snapToGrid w:val="0"/>
          <w:lang w:val="en-GB" w:eastAsia="en-US"/>
        </w:rPr>
        <w:t>OvEC</w:t>
      </w:r>
      <w:r>
        <w:rPr>
          <w:rFonts w:asciiTheme="minorHAnsi" w:hAnsiTheme="minorHAnsi"/>
          <w:snapToGrid w:val="0"/>
          <w:lang w:val="en-GB" w:eastAsia="en-US"/>
        </w:rPr>
        <w:t>)</w:t>
      </w:r>
      <w:r w:rsidRPr="00A13BD3">
        <w:rPr>
          <w:rFonts w:asciiTheme="minorHAnsi" w:hAnsiTheme="minorHAnsi"/>
          <w:snapToGrid w:val="0"/>
          <w:lang w:val="en-GB" w:eastAsia="en-US"/>
        </w:rPr>
        <w:t xml:space="preserve">, comparing odevixibat (based on patients from PEDFIC 1 and PEDFIC 2, n=69) to external controls (based on patients </w:t>
      </w:r>
      <w:r>
        <w:rPr>
          <w:rFonts w:asciiTheme="minorHAnsi" w:hAnsiTheme="minorHAnsi"/>
          <w:snapToGrid w:val="0"/>
          <w:lang w:val="en-GB" w:eastAsia="en-US"/>
        </w:rPr>
        <w:t xml:space="preserve">from </w:t>
      </w:r>
      <w:r w:rsidRPr="00A13BD3">
        <w:rPr>
          <w:rFonts w:asciiTheme="minorHAnsi" w:hAnsiTheme="minorHAnsi"/>
          <w:snapToGrid w:val="0"/>
          <w:lang w:val="en-GB" w:eastAsia="en-US"/>
        </w:rPr>
        <w:t>NAPPED, n=80 [Part A] and n=24 [Part B]).</w:t>
      </w:r>
      <w:r>
        <w:rPr>
          <w:rFonts w:asciiTheme="minorHAnsi" w:hAnsiTheme="minorHAnsi"/>
          <w:snapToGrid w:val="0"/>
          <w:lang w:val="en-GB" w:eastAsia="en-US"/>
        </w:rPr>
        <w:t xml:space="preserve"> OvEC </w:t>
      </w:r>
      <w:r w:rsidRPr="00D12904">
        <w:t xml:space="preserve">Part A compared odevixibat to controls who had not undergone SBD and </w:t>
      </w:r>
      <w:r>
        <w:t xml:space="preserve">OvEC </w:t>
      </w:r>
      <w:r w:rsidRPr="00D12904">
        <w:t>Part B compared odevixibat to controls who had undergone SBD.</w:t>
      </w:r>
      <w:r>
        <w:t xml:space="preserve"> The PBAC noted there were substantial transitivity issues with OvEC Part A (see paragraph </w:t>
      </w:r>
      <w:r>
        <w:fldChar w:fldCharType="begin"/>
      </w:r>
      <w:r>
        <w:instrText xml:space="preserve"> REF _Ref166073355 \r \h </w:instrText>
      </w:r>
      <w:r>
        <w:fldChar w:fldCharType="separate"/>
      </w:r>
      <w:r w:rsidR="008B4717">
        <w:t>6.14</w:t>
      </w:r>
      <w:r>
        <w:fldChar w:fldCharType="end"/>
      </w:r>
      <w:r>
        <w:t>) and limited details were provided for OvEC Part B (</w:t>
      </w:r>
      <w:r w:rsidR="00094A5C">
        <w:t xml:space="preserve">see </w:t>
      </w:r>
      <w:r w:rsidR="00841DDF">
        <w:t xml:space="preserve">paragraph </w:t>
      </w:r>
      <w:r>
        <w:fldChar w:fldCharType="begin"/>
      </w:r>
      <w:r>
        <w:instrText xml:space="preserve"> REF _Ref174174086 \r \h </w:instrText>
      </w:r>
      <w:r>
        <w:fldChar w:fldCharType="separate"/>
      </w:r>
      <w:r w:rsidR="008B4717">
        <w:t>6.16</w:t>
      </w:r>
      <w:r>
        <w:fldChar w:fldCharType="end"/>
      </w:r>
      <w:r>
        <w:t xml:space="preserve">). The PBAC noted OvEC Part B </w:t>
      </w:r>
      <w:r w:rsidR="00285ECC">
        <w:t>was</w:t>
      </w:r>
      <w:r>
        <w:t xml:space="preserve"> more relevant as it compared odevixibat to SBD. The PBAC noted Ov</w:t>
      </w:r>
      <w:r w:rsidR="0047056E">
        <w:t>E</w:t>
      </w:r>
      <w:r>
        <w:t xml:space="preserve">C Part B reported </w:t>
      </w:r>
      <w:r w:rsidRPr="00A13BD3">
        <w:t>a numerical improvement in native liver survival in the odevixibat arm (6% [4/69]) compared to the SBD arm (25% [6/24]) over a median follow up of 22.6 months for the odevixibat arm (the duration of follow up in the SBD arm was unclear).</w:t>
      </w:r>
    </w:p>
    <w:p w14:paraId="13B0ADD8" w14:textId="2793B206" w:rsidR="00A13BD3" w:rsidRDefault="00A724BC" w:rsidP="009C711B">
      <w:pPr>
        <w:widowControl w:val="0"/>
        <w:numPr>
          <w:ilvl w:val="1"/>
          <w:numId w:val="1"/>
        </w:numPr>
        <w:spacing w:after="120"/>
        <w:rPr>
          <w:rFonts w:asciiTheme="minorHAnsi" w:hAnsiTheme="minorHAnsi"/>
          <w:snapToGrid w:val="0"/>
          <w:lang w:val="en-GB" w:eastAsia="en-US"/>
        </w:rPr>
      </w:pPr>
      <w:r>
        <w:rPr>
          <w:rFonts w:asciiTheme="minorHAnsi" w:hAnsiTheme="minorHAnsi"/>
          <w:snapToGrid w:val="0"/>
          <w:lang w:val="en-GB" w:eastAsia="en-US"/>
        </w:rPr>
        <w:t xml:space="preserve">The PBAC considered that </w:t>
      </w:r>
      <w:r w:rsidR="00F21C05">
        <w:rPr>
          <w:rFonts w:asciiTheme="minorHAnsi" w:hAnsiTheme="minorHAnsi"/>
          <w:snapToGrid w:val="0"/>
          <w:lang w:val="en-GB" w:eastAsia="en-US"/>
        </w:rPr>
        <w:t>odevixibat was</w:t>
      </w:r>
      <w:r>
        <w:rPr>
          <w:rFonts w:asciiTheme="minorHAnsi" w:hAnsiTheme="minorHAnsi"/>
          <w:snapToGrid w:val="0"/>
          <w:lang w:val="en-GB" w:eastAsia="en-US"/>
        </w:rPr>
        <w:t xml:space="preserve"> superior </w:t>
      </w:r>
      <w:r w:rsidR="00F21C05">
        <w:rPr>
          <w:rFonts w:asciiTheme="minorHAnsi" w:hAnsiTheme="minorHAnsi"/>
          <w:snapToGrid w:val="0"/>
          <w:lang w:val="en-GB" w:eastAsia="en-US"/>
        </w:rPr>
        <w:t xml:space="preserve">in terms of </w:t>
      </w:r>
      <w:r>
        <w:rPr>
          <w:rFonts w:asciiTheme="minorHAnsi" w:hAnsiTheme="minorHAnsi"/>
          <w:snapToGrid w:val="0"/>
          <w:lang w:val="en-GB" w:eastAsia="en-US"/>
        </w:rPr>
        <w:t>effectiveness compared to placebo for patients with PFIC1 and PFIC2 (based on the results from PEDFIC</w:t>
      </w:r>
      <w:r w:rsidR="002E6F46">
        <w:rPr>
          <w:rFonts w:asciiTheme="minorHAnsi" w:hAnsiTheme="minorHAnsi"/>
          <w:snapToGrid w:val="0"/>
          <w:lang w:val="en-GB" w:eastAsia="en-US"/>
        </w:rPr>
        <w:t xml:space="preserve"> </w:t>
      </w:r>
      <w:r>
        <w:rPr>
          <w:rFonts w:asciiTheme="minorHAnsi" w:hAnsiTheme="minorHAnsi"/>
          <w:snapToGrid w:val="0"/>
          <w:lang w:val="en-GB" w:eastAsia="en-US"/>
        </w:rPr>
        <w:t xml:space="preserve">1) </w:t>
      </w:r>
      <w:r w:rsidR="00F21C05">
        <w:rPr>
          <w:rFonts w:asciiTheme="minorHAnsi" w:hAnsiTheme="minorHAnsi"/>
          <w:snapToGrid w:val="0"/>
          <w:lang w:val="en-GB" w:eastAsia="en-US"/>
        </w:rPr>
        <w:t xml:space="preserve">but noted that the patient numbers were small and the trial </w:t>
      </w:r>
      <w:r w:rsidR="00A13BD3">
        <w:rPr>
          <w:rFonts w:asciiTheme="minorHAnsi" w:hAnsiTheme="minorHAnsi"/>
          <w:snapToGrid w:val="0"/>
          <w:lang w:val="en-GB" w:eastAsia="en-US"/>
        </w:rPr>
        <w:t>was of a short duration, only providing 24 weeks of comparative data</w:t>
      </w:r>
      <w:r w:rsidR="00F21C05">
        <w:rPr>
          <w:rFonts w:asciiTheme="minorHAnsi" w:hAnsiTheme="minorHAnsi"/>
          <w:snapToGrid w:val="0"/>
          <w:lang w:val="en-GB" w:eastAsia="en-US"/>
        </w:rPr>
        <w:t xml:space="preserve">. </w:t>
      </w:r>
    </w:p>
    <w:p w14:paraId="6C83AEF1" w14:textId="58ECEE08" w:rsidR="00A724BC" w:rsidRDefault="00F21C05" w:rsidP="009C711B">
      <w:pPr>
        <w:widowControl w:val="0"/>
        <w:numPr>
          <w:ilvl w:val="1"/>
          <w:numId w:val="1"/>
        </w:numPr>
        <w:spacing w:after="120"/>
        <w:rPr>
          <w:rFonts w:asciiTheme="minorHAnsi" w:hAnsiTheme="minorHAnsi"/>
          <w:snapToGrid w:val="0"/>
          <w:lang w:val="en-GB" w:eastAsia="en-US"/>
        </w:rPr>
      </w:pPr>
      <w:r>
        <w:rPr>
          <w:rFonts w:asciiTheme="minorHAnsi" w:hAnsiTheme="minorHAnsi"/>
          <w:snapToGrid w:val="0"/>
          <w:lang w:val="en-GB" w:eastAsia="en-US"/>
        </w:rPr>
        <w:t xml:space="preserve">The PBAC considered that the </w:t>
      </w:r>
      <w:bookmarkStart w:id="122" w:name="_Hlk172124283"/>
      <w:r w:rsidR="00A724BC">
        <w:rPr>
          <w:rFonts w:asciiTheme="minorHAnsi" w:hAnsiTheme="minorHAnsi"/>
          <w:snapToGrid w:val="0"/>
          <w:lang w:val="en-GB" w:eastAsia="en-US"/>
        </w:rPr>
        <w:t>claim of superior effectiveness against SOC was uncertain, but possibly supported based on the results from OvEC</w:t>
      </w:r>
      <w:r>
        <w:rPr>
          <w:rFonts w:asciiTheme="minorHAnsi" w:hAnsiTheme="minorHAnsi"/>
          <w:snapToGrid w:val="0"/>
          <w:lang w:val="en-GB" w:eastAsia="en-US"/>
        </w:rPr>
        <w:t xml:space="preserve"> Part B. The magnitude of benefit versus SOC </w:t>
      </w:r>
      <w:r w:rsidR="00A724BC">
        <w:rPr>
          <w:rFonts w:asciiTheme="minorHAnsi" w:hAnsiTheme="minorHAnsi"/>
          <w:snapToGrid w:val="0"/>
          <w:lang w:val="en-GB" w:eastAsia="en-US"/>
        </w:rPr>
        <w:t xml:space="preserve">was highly uncertain given the small patient numbers, limited comparative data, </w:t>
      </w:r>
      <w:r w:rsidR="00086A7F">
        <w:rPr>
          <w:rFonts w:asciiTheme="minorHAnsi" w:hAnsiTheme="minorHAnsi"/>
          <w:snapToGrid w:val="0"/>
          <w:lang w:val="en-GB" w:eastAsia="en-US"/>
        </w:rPr>
        <w:t xml:space="preserve">and </w:t>
      </w:r>
      <w:r w:rsidR="000412FE">
        <w:rPr>
          <w:rFonts w:asciiTheme="minorHAnsi" w:hAnsiTheme="minorHAnsi"/>
          <w:snapToGrid w:val="0"/>
          <w:lang w:val="en-GB" w:eastAsia="en-US"/>
        </w:rPr>
        <w:t xml:space="preserve">likely </w:t>
      </w:r>
      <w:r w:rsidR="00A724BC">
        <w:rPr>
          <w:rFonts w:asciiTheme="minorHAnsi" w:hAnsiTheme="minorHAnsi"/>
          <w:snapToGrid w:val="0"/>
          <w:lang w:val="en-GB" w:eastAsia="en-US"/>
        </w:rPr>
        <w:t xml:space="preserve">transitivity issues. </w:t>
      </w:r>
      <w:bookmarkEnd w:id="122"/>
    </w:p>
    <w:p w14:paraId="68308DAF" w14:textId="1C9411C8" w:rsidR="007E53DC" w:rsidRDefault="007E53DC" w:rsidP="009C711B">
      <w:pPr>
        <w:widowControl w:val="0"/>
        <w:numPr>
          <w:ilvl w:val="1"/>
          <w:numId w:val="1"/>
        </w:numPr>
        <w:spacing w:after="120"/>
        <w:rPr>
          <w:rFonts w:asciiTheme="minorHAnsi" w:hAnsiTheme="minorHAnsi"/>
          <w:snapToGrid w:val="0"/>
          <w:lang w:val="en-GB" w:eastAsia="en-US"/>
        </w:rPr>
      </w:pPr>
      <w:r>
        <w:rPr>
          <w:rFonts w:asciiTheme="minorHAnsi" w:hAnsiTheme="minorHAnsi"/>
          <w:snapToGrid w:val="0"/>
          <w:lang w:val="en-GB" w:eastAsia="en-US"/>
        </w:rPr>
        <w:t xml:space="preserve">The PBAC considered the clinical claim that odevixibat is non-inferior in </w:t>
      </w:r>
      <w:r w:rsidR="00A13BD3">
        <w:rPr>
          <w:rFonts w:asciiTheme="minorHAnsi" w:hAnsiTheme="minorHAnsi"/>
          <w:snapToGrid w:val="0"/>
          <w:lang w:val="en-GB" w:eastAsia="en-US"/>
        </w:rPr>
        <w:t xml:space="preserve">terms of </w:t>
      </w:r>
      <w:r>
        <w:rPr>
          <w:rFonts w:asciiTheme="minorHAnsi" w:hAnsiTheme="minorHAnsi"/>
          <w:snapToGrid w:val="0"/>
          <w:lang w:val="en-GB" w:eastAsia="en-US"/>
        </w:rPr>
        <w:t>safety to SOC to be inadequately supported</w:t>
      </w:r>
      <w:r w:rsidR="00A13BD3">
        <w:rPr>
          <w:rFonts w:asciiTheme="minorHAnsi" w:hAnsiTheme="minorHAnsi"/>
          <w:snapToGrid w:val="0"/>
          <w:lang w:val="en-GB" w:eastAsia="en-US"/>
        </w:rPr>
        <w:t xml:space="preserve">, given the lack of comparative data. </w:t>
      </w:r>
    </w:p>
    <w:p w14:paraId="545AB7A5" w14:textId="08835BAA" w:rsidR="008B207B" w:rsidRDefault="00DF2F7B" w:rsidP="008B207B">
      <w:pPr>
        <w:widowControl w:val="0"/>
        <w:numPr>
          <w:ilvl w:val="1"/>
          <w:numId w:val="1"/>
        </w:numPr>
        <w:spacing w:after="120"/>
        <w:rPr>
          <w:rFonts w:asciiTheme="minorHAnsi" w:hAnsiTheme="minorHAnsi"/>
          <w:snapToGrid w:val="0"/>
          <w:lang w:val="en-GB" w:eastAsia="en-US"/>
        </w:rPr>
      </w:pPr>
      <w:r>
        <w:rPr>
          <w:rFonts w:asciiTheme="minorHAnsi" w:hAnsiTheme="minorHAnsi"/>
          <w:snapToGrid w:val="0"/>
          <w:lang w:val="en-GB" w:eastAsia="en-US"/>
        </w:rPr>
        <w:lastRenderedPageBreak/>
        <w:t xml:space="preserve">The PBAC noted the </w:t>
      </w:r>
      <w:r w:rsidR="009C711B">
        <w:rPr>
          <w:rFonts w:asciiTheme="minorHAnsi" w:hAnsiTheme="minorHAnsi"/>
          <w:snapToGrid w:val="0"/>
          <w:lang w:val="en-GB" w:eastAsia="en-US"/>
        </w:rPr>
        <w:t xml:space="preserve">submission presented a </w:t>
      </w:r>
      <w:r w:rsidR="00D97BED">
        <w:rPr>
          <w:rFonts w:asciiTheme="minorHAnsi" w:hAnsiTheme="minorHAnsi"/>
          <w:snapToGrid w:val="0"/>
          <w:lang w:val="en-GB" w:eastAsia="en-US"/>
        </w:rPr>
        <w:t>cost-utility analysis</w:t>
      </w:r>
      <w:r w:rsidR="00A642F1">
        <w:rPr>
          <w:rFonts w:asciiTheme="minorHAnsi" w:hAnsiTheme="minorHAnsi"/>
          <w:snapToGrid w:val="0"/>
          <w:lang w:val="en-GB" w:eastAsia="en-US"/>
        </w:rPr>
        <w:t xml:space="preserve"> </w:t>
      </w:r>
      <w:r w:rsidR="00D97BED">
        <w:rPr>
          <w:rFonts w:asciiTheme="minorHAnsi" w:hAnsiTheme="minorHAnsi"/>
          <w:snapToGrid w:val="0"/>
          <w:lang w:val="en-GB" w:eastAsia="en-US"/>
        </w:rPr>
        <w:t xml:space="preserve">in the form of a </w:t>
      </w:r>
      <w:r w:rsidR="009C711B">
        <w:rPr>
          <w:rFonts w:asciiTheme="minorHAnsi" w:hAnsiTheme="minorHAnsi"/>
          <w:snapToGrid w:val="0"/>
          <w:lang w:val="en-GB" w:eastAsia="en-US"/>
        </w:rPr>
        <w:t xml:space="preserve">Markov state transition model </w:t>
      </w:r>
      <w:r w:rsidR="00D97BED">
        <w:rPr>
          <w:rFonts w:asciiTheme="minorHAnsi" w:hAnsiTheme="minorHAnsi"/>
          <w:snapToGrid w:val="0"/>
          <w:lang w:val="en-GB" w:eastAsia="en-US"/>
        </w:rPr>
        <w:t xml:space="preserve">with a 100-year time horizon. </w:t>
      </w:r>
      <w:r w:rsidR="007001B5" w:rsidRPr="00D97BED">
        <w:rPr>
          <w:rFonts w:asciiTheme="minorHAnsi" w:hAnsiTheme="minorHAnsi"/>
          <w:snapToGrid w:val="0"/>
          <w:lang w:val="en-GB" w:eastAsia="en-US"/>
        </w:rPr>
        <w:t xml:space="preserve">The Committee considered the </w:t>
      </w:r>
      <w:r w:rsidR="009C711B" w:rsidRPr="00D97BED">
        <w:rPr>
          <w:rFonts w:asciiTheme="minorHAnsi" w:hAnsiTheme="minorHAnsi"/>
          <w:snapToGrid w:val="0"/>
          <w:lang w:val="en-GB" w:eastAsia="en-US"/>
        </w:rPr>
        <w:t xml:space="preserve">time horizon to be </w:t>
      </w:r>
      <w:r w:rsidR="00486C6D" w:rsidRPr="00D97BED">
        <w:rPr>
          <w:rFonts w:asciiTheme="minorHAnsi" w:hAnsiTheme="minorHAnsi"/>
          <w:snapToGrid w:val="0"/>
          <w:lang w:val="en-GB" w:eastAsia="en-US"/>
        </w:rPr>
        <w:t>too long, given the short-term duration of the comparative trial data from PEDFIC</w:t>
      </w:r>
      <w:r w:rsidR="00F21C05">
        <w:rPr>
          <w:rFonts w:asciiTheme="minorHAnsi" w:hAnsiTheme="minorHAnsi"/>
          <w:snapToGrid w:val="0"/>
          <w:lang w:val="en-GB" w:eastAsia="en-US"/>
        </w:rPr>
        <w:t xml:space="preserve"> </w:t>
      </w:r>
      <w:r w:rsidR="00486C6D" w:rsidRPr="00D97BED">
        <w:rPr>
          <w:rFonts w:asciiTheme="minorHAnsi" w:hAnsiTheme="minorHAnsi"/>
          <w:snapToGrid w:val="0"/>
          <w:lang w:val="en-GB" w:eastAsia="en-US"/>
        </w:rPr>
        <w:t>1</w:t>
      </w:r>
      <w:r w:rsidR="00115881" w:rsidRPr="00D97BED">
        <w:rPr>
          <w:rFonts w:asciiTheme="minorHAnsi" w:hAnsiTheme="minorHAnsi"/>
          <w:snapToGrid w:val="0"/>
          <w:lang w:val="en-GB" w:eastAsia="en-US"/>
        </w:rPr>
        <w:t xml:space="preserve"> </w:t>
      </w:r>
      <w:r w:rsidR="00F21C05">
        <w:rPr>
          <w:rFonts w:asciiTheme="minorHAnsi" w:hAnsiTheme="minorHAnsi"/>
          <w:snapToGrid w:val="0"/>
          <w:lang w:val="en-GB" w:eastAsia="en-US"/>
        </w:rPr>
        <w:t xml:space="preserve">(24 weeks) </w:t>
      </w:r>
      <w:r w:rsidR="00115881" w:rsidRPr="00D97BED">
        <w:rPr>
          <w:rFonts w:asciiTheme="minorHAnsi" w:hAnsiTheme="minorHAnsi"/>
          <w:snapToGrid w:val="0"/>
          <w:lang w:val="en-GB" w:eastAsia="en-US"/>
        </w:rPr>
        <w:t>and the natural history of the disease</w:t>
      </w:r>
      <w:r w:rsidR="00F21C05">
        <w:rPr>
          <w:rFonts w:asciiTheme="minorHAnsi" w:hAnsiTheme="minorHAnsi"/>
          <w:snapToGrid w:val="0"/>
          <w:lang w:val="en-GB" w:eastAsia="en-US"/>
        </w:rPr>
        <w:t xml:space="preserve">. </w:t>
      </w:r>
      <w:r w:rsidR="008B207B">
        <w:rPr>
          <w:rFonts w:asciiTheme="minorHAnsi" w:hAnsiTheme="minorHAnsi"/>
          <w:snapToGrid w:val="0"/>
          <w:lang w:val="en-GB" w:eastAsia="en-US"/>
        </w:rPr>
        <w:t xml:space="preserve">The PBAC noted the base case ICER presented in the submission was </w:t>
      </w:r>
      <w:r w:rsidR="0099328F" w:rsidRPr="0099328F">
        <w:rPr>
          <w:rFonts w:asciiTheme="minorHAnsi" w:hAnsiTheme="minorHAnsi"/>
          <w:snapToGrid w:val="0"/>
          <w:lang w:eastAsia="en-US"/>
        </w:rPr>
        <w:t>&gt; $1,055,000</w:t>
      </w:r>
      <w:r w:rsidR="0099328F">
        <w:rPr>
          <w:rFonts w:asciiTheme="minorHAnsi" w:hAnsiTheme="minorHAnsi"/>
          <w:snapToGrid w:val="0"/>
          <w:lang w:eastAsia="en-US"/>
        </w:rPr>
        <w:t xml:space="preserve"> </w:t>
      </w:r>
      <w:r w:rsidR="008B207B">
        <w:rPr>
          <w:rFonts w:asciiTheme="minorHAnsi" w:hAnsiTheme="minorHAnsi"/>
          <w:snapToGrid w:val="0"/>
          <w:lang w:val="en-GB" w:eastAsia="en-US"/>
        </w:rPr>
        <w:t>per quality adjusted life year (QALY).</w:t>
      </w:r>
    </w:p>
    <w:p w14:paraId="7643F31D" w14:textId="33734FFD" w:rsidR="00B30BCC" w:rsidRPr="00B30BCC" w:rsidRDefault="00F21C05" w:rsidP="00B30BCC">
      <w:pPr>
        <w:widowControl w:val="0"/>
        <w:numPr>
          <w:ilvl w:val="1"/>
          <w:numId w:val="1"/>
        </w:numPr>
        <w:spacing w:after="120"/>
        <w:rPr>
          <w:rFonts w:asciiTheme="minorHAnsi" w:hAnsiTheme="minorHAnsi"/>
          <w:snapToGrid w:val="0"/>
          <w:lang w:val="en-GB" w:eastAsia="en-US"/>
        </w:rPr>
      </w:pPr>
      <w:r w:rsidRPr="00094A5C">
        <w:rPr>
          <w:rFonts w:asciiTheme="minorHAnsi" w:hAnsiTheme="minorHAnsi"/>
          <w:snapToGrid w:val="0"/>
          <w:lang w:val="en-GB" w:eastAsia="en-US"/>
        </w:rPr>
        <w:t xml:space="preserve">The </w:t>
      </w:r>
      <w:r w:rsidR="008B207B" w:rsidRPr="00094A5C">
        <w:rPr>
          <w:rFonts w:asciiTheme="minorHAnsi" w:hAnsiTheme="minorHAnsi"/>
          <w:snapToGrid w:val="0"/>
          <w:lang w:val="en-GB" w:eastAsia="en-US"/>
        </w:rPr>
        <w:t xml:space="preserve">PBAC </w:t>
      </w:r>
      <w:r w:rsidRPr="00094A5C">
        <w:rPr>
          <w:rFonts w:asciiTheme="minorHAnsi" w:hAnsiTheme="minorHAnsi"/>
          <w:snapToGrid w:val="0"/>
          <w:lang w:val="en-GB" w:eastAsia="en-US"/>
        </w:rPr>
        <w:t xml:space="preserve">noted that although the model defined response to treatment as ‘pruritis response with or without sBA response’, </w:t>
      </w:r>
      <w:r w:rsidRPr="00094A5C">
        <w:rPr>
          <w:lang w:val="en-GB" w:eastAsia="en-US"/>
        </w:rPr>
        <w:t>the economic model used sBA as a surrogate for pruritis response. The PBAC considered that use of sBA as a surrogate was reasonable, noting there were a number of issues with the pruritis tool used in PEDFIC</w:t>
      </w:r>
      <w:r w:rsidR="00A25A28">
        <w:rPr>
          <w:lang w:val="en-GB" w:eastAsia="en-US"/>
        </w:rPr>
        <w:t> </w:t>
      </w:r>
      <w:r w:rsidRPr="00094A5C">
        <w:rPr>
          <w:lang w:val="en-GB" w:eastAsia="en-US"/>
        </w:rPr>
        <w:t>1, the PRUCISION ObsRO instrument</w:t>
      </w:r>
      <w:r w:rsidR="008B207B" w:rsidRPr="00094A5C">
        <w:rPr>
          <w:lang w:val="en-GB" w:eastAsia="en-US"/>
        </w:rPr>
        <w:t xml:space="preserve"> (see paragraph </w:t>
      </w:r>
      <w:r w:rsidR="00AA5B97" w:rsidRPr="00094A5C">
        <w:rPr>
          <w:lang w:val="en-GB" w:eastAsia="en-US"/>
        </w:rPr>
        <w:t>6.</w:t>
      </w:r>
      <w:r w:rsidR="00606A36" w:rsidRPr="00094A5C">
        <w:rPr>
          <w:lang w:val="en-GB" w:eastAsia="en-US"/>
        </w:rPr>
        <w:t>21</w:t>
      </w:r>
      <w:r w:rsidR="00094A5C" w:rsidRPr="00094A5C">
        <w:rPr>
          <w:lang w:val="en-GB" w:eastAsia="en-US"/>
        </w:rPr>
        <w:t xml:space="preserve"> and paragraph </w:t>
      </w:r>
      <w:r w:rsidR="00094A5C" w:rsidRPr="00094A5C">
        <w:rPr>
          <w:lang w:val="en-GB" w:eastAsia="en-US"/>
        </w:rPr>
        <w:fldChar w:fldCharType="begin"/>
      </w:r>
      <w:r w:rsidR="00094A5C" w:rsidRPr="00094A5C">
        <w:rPr>
          <w:lang w:val="en-GB" w:eastAsia="en-US"/>
        </w:rPr>
        <w:instrText xml:space="preserve"> REF _Ref174427161 \r \h </w:instrText>
      </w:r>
      <w:r w:rsidR="00094A5C" w:rsidRPr="00094A5C">
        <w:rPr>
          <w:lang w:val="en-GB" w:eastAsia="en-US"/>
        </w:rPr>
      </w:r>
      <w:r w:rsidR="00094A5C" w:rsidRPr="00094A5C">
        <w:rPr>
          <w:lang w:val="en-GB" w:eastAsia="en-US"/>
        </w:rPr>
        <w:fldChar w:fldCharType="separate"/>
      </w:r>
      <w:r w:rsidR="008B4717">
        <w:rPr>
          <w:lang w:val="en-GB" w:eastAsia="en-US"/>
        </w:rPr>
        <w:t>7.8</w:t>
      </w:r>
      <w:r w:rsidR="00094A5C" w:rsidRPr="00094A5C">
        <w:rPr>
          <w:lang w:val="en-GB" w:eastAsia="en-US"/>
        </w:rPr>
        <w:fldChar w:fldCharType="end"/>
      </w:r>
      <w:r w:rsidR="008B207B" w:rsidRPr="00094A5C">
        <w:rPr>
          <w:lang w:val="en-GB" w:eastAsia="en-US"/>
        </w:rPr>
        <w:t xml:space="preserve">). </w:t>
      </w:r>
    </w:p>
    <w:p w14:paraId="508053C1" w14:textId="7A941602" w:rsidR="00D97BED" w:rsidRPr="00B30BCC" w:rsidRDefault="00F21C05" w:rsidP="00B30BCC">
      <w:pPr>
        <w:widowControl w:val="0"/>
        <w:numPr>
          <w:ilvl w:val="1"/>
          <w:numId w:val="1"/>
        </w:numPr>
        <w:spacing w:after="120"/>
        <w:rPr>
          <w:rFonts w:asciiTheme="minorHAnsi" w:hAnsiTheme="minorHAnsi"/>
          <w:snapToGrid w:val="0"/>
          <w:lang w:val="en-GB" w:eastAsia="en-US"/>
        </w:rPr>
      </w:pPr>
      <w:r w:rsidRPr="00B30BCC">
        <w:rPr>
          <w:rFonts w:asciiTheme="minorHAnsi" w:hAnsiTheme="minorHAnsi"/>
          <w:snapToGrid w:val="0"/>
          <w:lang w:val="en-GB" w:eastAsia="en-US"/>
        </w:rPr>
        <w:t xml:space="preserve">The PBAC noted that the transition probabilities were primarily informed by </w:t>
      </w:r>
      <w:r>
        <w:t xml:space="preserve">data from OvEC </w:t>
      </w:r>
      <w:r w:rsidR="000070E7">
        <w:t>which</w:t>
      </w:r>
      <w:r>
        <w:t xml:space="preserve"> </w:t>
      </w:r>
      <w:r w:rsidR="008B207B" w:rsidRPr="00B30BCC">
        <w:rPr>
          <w:rFonts w:asciiTheme="minorHAnsi" w:hAnsiTheme="minorHAnsi"/>
          <w:snapToGrid w:val="0"/>
          <w:lang w:val="en-GB" w:eastAsia="en-US"/>
        </w:rPr>
        <w:t xml:space="preserve">favoured odevixibat (see paragraph </w:t>
      </w:r>
      <w:r w:rsidR="008B207B" w:rsidRPr="00B30BCC">
        <w:rPr>
          <w:rFonts w:asciiTheme="minorHAnsi" w:hAnsiTheme="minorHAnsi"/>
          <w:snapToGrid w:val="0"/>
          <w:lang w:val="en-GB" w:eastAsia="en-US"/>
        </w:rPr>
        <w:fldChar w:fldCharType="begin"/>
      </w:r>
      <w:r w:rsidR="008B207B" w:rsidRPr="00B30BCC">
        <w:rPr>
          <w:rFonts w:asciiTheme="minorHAnsi" w:hAnsiTheme="minorHAnsi"/>
          <w:snapToGrid w:val="0"/>
          <w:lang w:val="en-GB" w:eastAsia="en-US"/>
        </w:rPr>
        <w:instrText xml:space="preserve"> REF _Ref174177851 \r \h </w:instrText>
      </w:r>
      <w:r w:rsidR="008B207B" w:rsidRPr="00B30BCC">
        <w:rPr>
          <w:rFonts w:asciiTheme="minorHAnsi" w:hAnsiTheme="minorHAnsi"/>
          <w:snapToGrid w:val="0"/>
          <w:lang w:val="en-GB" w:eastAsia="en-US"/>
        </w:rPr>
      </w:r>
      <w:r w:rsidR="008B207B" w:rsidRPr="00B30BCC">
        <w:rPr>
          <w:rFonts w:asciiTheme="minorHAnsi" w:hAnsiTheme="minorHAnsi"/>
          <w:snapToGrid w:val="0"/>
          <w:lang w:val="en-GB" w:eastAsia="en-US"/>
        </w:rPr>
        <w:fldChar w:fldCharType="separate"/>
      </w:r>
      <w:r w:rsidR="008B4717">
        <w:rPr>
          <w:rFonts w:asciiTheme="minorHAnsi" w:hAnsiTheme="minorHAnsi"/>
          <w:snapToGrid w:val="0"/>
          <w:lang w:val="en-GB" w:eastAsia="en-US"/>
        </w:rPr>
        <w:t>6.71</w:t>
      </w:r>
      <w:r w:rsidR="008B207B" w:rsidRPr="00B30BCC">
        <w:rPr>
          <w:rFonts w:asciiTheme="minorHAnsi" w:hAnsiTheme="minorHAnsi"/>
          <w:snapToGrid w:val="0"/>
          <w:lang w:val="en-GB" w:eastAsia="en-US"/>
        </w:rPr>
        <w:fldChar w:fldCharType="end"/>
      </w:r>
      <w:r w:rsidR="008B207B" w:rsidRPr="00B30BCC">
        <w:rPr>
          <w:rFonts w:asciiTheme="minorHAnsi" w:hAnsiTheme="minorHAnsi"/>
          <w:snapToGrid w:val="0"/>
          <w:lang w:val="en-GB" w:eastAsia="en-US"/>
        </w:rPr>
        <w:t>)</w:t>
      </w:r>
      <w:r w:rsidR="000070E7" w:rsidRPr="00B30BCC">
        <w:rPr>
          <w:rFonts w:asciiTheme="minorHAnsi" w:hAnsiTheme="minorHAnsi"/>
          <w:snapToGrid w:val="0"/>
          <w:lang w:val="en-GB" w:eastAsia="en-US"/>
        </w:rPr>
        <w:t xml:space="preserve"> and</w:t>
      </w:r>
      <w:r w:rsidR="00B31163">
        <w:rPr>
          <w:rFonts w:asciiTheme="minorHAnsi" w:hAnsiTheme="minorHAnsi"/>
          <w:snapToGrid w:val="0"/>
          <w:lang w:val="en-GB" w:eastAsia="en-US"/>
        </w:rPr>
        <w:t>,</w:t>
      </w:r>
      <w:r w:rsidR="000070E7" w:rsidRPr="00B30BCC">
        <w:rPr>
          <w:rFonts w:asciiTheme="minorHAnsi" w:hAnsiTheme="minorHAnsi"/>
          <w:snapToGrid w:val="0"/>
          <w:lang w:val="en-GB" w:eastAsia="en-US"/>
        </w:rPr>
        <w:t xml:space="preserve"> based on the information presented in the submission</w:t>
      </w:r>
      <w:r w:rsidR="00B31163">
        <w:rPr>
          <w:rFonts w:asciiTheme="minorHAnsi" w:hAnsiTheme="minorHAnsi"/>
          <w:snapToGrid w:val="0"/>
          <w:lang w:val="en-GB" w:eastAsia="en-US"/>
        </w:rPr>
        <w:t>,</w:t>
      </w:r>
      <w:r w:rsidR="00D20FDE" w:rsidRPr="00B30BCC">
        <w:rPr>
          <w:rFonts w:asciiTheme="minorHAnsi" w:hAnsiTheme="minorHAnsi"/>
          <w:snapToGrid w:val="0"/>
          <w:lang w:val="en-GB" w:eastAsia="en-US"/>
        </w:rPr>
        <w:t xml:space="preserve"> </w:t>
      </w:r>
      <w:r w:rsidRPr="00B30BCC">
        <w:rPr>
          <w:rFonts w:asciiTheme="minorHAnsi" w:hAnsiTheme="minorHAnsi"/>
          <w:snapToGrid w:val="0"/>
          <w:lang w:val="en-GB" w:eastAsia="en-US"/>
        </w:rPr>
        <w:t>the OvEC data could not be independently verified</w:t>
      </w:r>
      <w:r w:rsidR="00D97BED" w:rsidRPr="00B30BCC">
        <w:rPr>
          <w:rFonts w:asciiTheme="minorHAnsi" w:hAnsiTheme="minorHAnsi"/>
          <w:snapToGrid w:val="0"/>
          <w:lang w:val="en-GB" w:eastAsia="en-US"/>
        </w:rPr>
        <w:t xml:space="preserve">. </w:t>
      </w:r>
    </w:p>
    <w:p w14:paraId="6B8768BC" w14:textId="3864A8A6" w:rsidR="00F21C05" w:rsidRPr="00D97BED" w:rsidRDefault="00F21C05" w:rsidP="00D97BED">
      <w:pPr>
        <w:widowControl w:val="0"/>
        <w:numPr>
          <w:ilvl w:val="1"/>
          <w:numId w:val="1"/>
        </w:numPr>
        <w:spacing w:after="120"/>
        <w:rPr>
          <w:rFonts w:asciiTheme="minorHAnsi" w:hAnsiTheme="minorHAnsi"/>
          <w:snapToGrid w:val="0"/>
          <w:lang w:val="en-GB" w:eastAsia="en-US"/>
        </w:rPr>
      </w:pPr>
      <w:r>
        <w:t xml:space="preserve">The PBAC noted that the </w:t>
      </w:r>
      <w:r w:rsidRPr="00F21C05">
        <w:rPr>
          <w:rFonts w:asciiTheme="minorHAnsi" w:hAnsiTheme="minorHAnsi"/>
          <w:snapToGrid w:val="0"/>
          <w:lang w:val="en-GB" w:eastAsia="en-US"/>
        </w:rPr>
        <w:t>submission assumed that odevixibat treated patients would not undergo PEBD after losing response</w:t>
      </w:r>
      <w:r w:rsidR="008B207B">
        <w:rPr>
          <w:rFonts w:asciiTheme="minorHAnsi" w:hAnsiTheme="minorHAnsi"/>
          <w:snapToGrid w:val="0"/>
          <w:lang w:val="en-GB" w:eastAsia="en-US"/>
        </w:rPr>
        <w:t xml:space="preserve"> and remained in the ‘no PEBD, no response, health state for an extended period of time compared to SOC (28 years in odevixibat arm vs 11 years in SOC arm, see </w:t>
      </w:r>
      <w:r w:rsidR="008B207B">
        <w:rPr>
          <w:rFonts w:asciiTheme="minorHAnsi" w:hAnsiTheme="minorHAnsi"/>
          <w:snapToGrid w:val="0"/>
          <w:lang w:val="en-GB" w:eastAsia="en-US"/>
        </w:rPr>
        <w:fldChar w:fldCharType="begin"/>
      </w:r>
      <w:r w:rsidR="008B207B">
        <w:rPr>
          <w:rFonts w:asciiTheme="minorHAnsi" w:hAnsiTheme="minorHAnsi"/>
          <w:snapToGrid w:val="0"/>
          <w:lang w:val="en-GB" w:eastAsia="en-US"/>
        </w:rPr>
        <w:instrText xml:space="preserve"> REF _Ref164687977 \h </w:instrText>
      </w:r>
      <w:r w:rsidR="008B207B">
        <w:rPr>
          <w:rFonts w:asciiTheme="minorHAnsi" w:hAnsiTheme="minorHAnsi"/>
          <w:snapToGrid w:val="0"/>
          <w:lang w:val="en-GB" w:eastAsia="en-US"/>
        </w:rPr>
      </w:r>
      <w:r w:rsidR="008B207B">
        <w:rPr>
          <w:rFonts w:asciiTheme="minorHAnsi" w:hAnsiTheme="minorHAnsi"/>
          <w:snapToGrid w:val="0"/>
          <w:lang w:val="en-GB" w:eastAsia="en-US"/>
        </w:rPr>
        <w:fldChar w:fldCharType="separate"/>
      </w:r>
      <w:r w:rsidR="008B4717" w:rsidRPr="00D33C2C">
        <w:t xml:space="preserve">Table </w:t>
      </w:r>
      <w:r w:rsidR="008B4717">
        <w:rPr>
          <w:noProof/>
        </w:rPr>
        <w:t>18</w:t>
      </w:r>
      <w:r w:rsidR="008B207B">
        <w:rPr>
          <w:rFonts w:asciiTheme="minorHAnsi" w:hAnsiTheme="minorHAnsi"/>
          <w:snapToGrid w:val="0"/>
          <w:lang w:val="en-GB" w:eastAsia="en-US"/>
        </w:rPr>
        <w:fldChar w:fldCharType="end"/>
      </w:r>
      <w:r w:rsidR="008B207B">
        <w:rPr>
          <w:rFonts w:asciiTheme="minorHAnsi" w:hAnsiTheme="minorHAnsi"/>
          <w:snapToGrid w:val="0"/>
          <w:lang w:val="en-GB" w:eastAsia="en-US"/>
        </w:rPr>
        <w:t>)</w:t>
      </w:r>
      <w:r>
        <w:rPr>
          <w:rFonts w:asciiTheme="minorHAnsi" w:hAnsiTheme="minorHAnsi"/>
          <w:snapToGrid w:val="0"/>
          <w:lang w:val="en-GB" w:eastAsia="en-US"/>
        </w:rPr>
        <w:t xml:space="preserve">. </w:t>
      </w:r>
      <w:r w:rsidR="008B207B">
        <w:rPr>
          <w:rFonts w:asciiTheme="minorHAnsi" w:hAnsiTheme="minorHAnsi"/>
          <w:snapToGrid w:val="0"/>
          <w:lang w:val="en-GB" w:eastAsia="en-US"/>
        </w:rPr>
        <w:t>The PBAC noted t</w:t>
      </w:r>
      <w:r w:rsidR="008B207B" w:rsidRPr="008B207B">
        <w:rPr>
          <w:rFonts w:asciiTheme="minorHAnsi" w:hAnsiTheme="minorHAnsi"/>
          <w:snapToGrid w:val="0"/>
          <w:lang w:val="en-GB" w:eastAsia="en-US"/>
        </w:rPr>
        <w:t xml:space="preserve">he ‘no PEBD, no response’ </w:t>
      </w:r>
      <w:r w:rsidR="008B207B">
        <w:rPr>
          <w:rFonts w:asciiTheme="minorHAnsi" w:hAnsiTheme="minorHAnsi"/>
          <w:snapToGrid w:val="0"/>
          <w:lang w:val="en-GB" w:eastAsia="en-US"/>
        </w:rPr>
        <w:t xml:space="preserve">health </w:t>
      </w:r>
      <w:r w:rsidR="008B207B" w:rsidRPr="008B207B">
        <w:rPr>
          <w:rFonts w:asciiTheme="minorHAnsi" w:hAnsiTheme="minorHAnsi"/>
          <w:snapToGrid w:val="0"/>
          <w:lang w:val="en-GB" w:eastAsia="en-US"/>
        </w:rPr>
        <w:t>state had a higher utility compared to the PEBD states</w:t>
      </w:r>
      <w:r w:rsidR="008B207B">
        <w:rPr>
          <w:rFonts w:asciiTheme="minorHAnsi" w:hAnsiTheme="minorHAnsi"/>
          <w:snapToGrid w:val="0"/>
          <w:lang w:val="en-GB" w:eastAsia="en-US"/>
        </w:rPr>
        <w:t xml:space="preserve"> (see paragraph </w:t>
      </w:r>
      <w:r w:rsidR="008B207B">
        <w:rPr>
          <w:rFonts w:asciiTheme="minorHAnsi" w:hAnsiTheme="minorHAnsi"/>
          <w:snapToGrid w:val="0"/>
          <w:lang w:val="en-GB" w:eastAsia="en-US"/>
        </w:rPr>
        <w:fldChar w:fldCharType="begin"/>
      </w:r>
      <w:r w:rsidR="008B207B">
        <w:rPr>
          <w:rFonts w:asciiTheme="minorHAnsi" w:hAnsiTheme="minorHAnsi"/>
          <w:snapToGrid w:val="0"/>
          <w:lang w:val="en-GB" w:eastAsia="en-US"/>
        </w:rPr>
        <w:instrText xml:space="preserve"> REF _Ref174177552 \r \h </w:instrText>
      </w:r>
      <w:r w:rsidR="008B207B">
        <w:rPr>
          <w:rFonts w:asciiTheme="minorHAnsi" w:hAnsiTheme="minorHAnsi"/>
          <w:snapToGrid w:val="0"/>
          <w:lang w:val="en-GB" w:eastAsia="en-US"/>
        </w:rPr>
      </w:r>
      <w:r w:rsidR="008B207B">
        <w:rPr>
          <w:rFonts w:asciiTheme="minorHAnsi" w:hAnsiTheme="minorHAnsi"/>
          <w:snapToGrid w:val="0"/>
          <w:lang w:val="en-GB" w:eastAsia="en-US"/>
        </w:rPr>
        <w:fldChar w:fldCharType="separate"/>
      </w:r>
      <w:r w:rsidR="008B4717">
        <w:rPr>
          <w:rFonts w:asciiTheme="minorHAnsi" w:hAnsiTheme="minorHAnsi"/>
          <w:snapToGrid w:val="0"/>
          <w:lang w:val="en-GB" w:eastAsia="en-US"/>
        </w:rPr>
        <w:t>7.19</w:t>
      </w:r>
      <w:r w:rsidR="008B207B">
        <w:rPr>
          <w:rFonts w:asciiTheme="minorHAnsi" w:hAnsiTheme="minorHAnsi"/>
          <w:snapToGrid w:val="0"/>
          <w:lang w:val="en-GB" w:eastAsia="en-US"/>
        </w:rPr>
        <w:fldChar w:fldCharType="end"/>
      </w:r>
      <w:r w:rsidR="008B207B">
        <w:rPr>
          <w:rFonts w:asciiTheme="minorHAnsi" w:hAnsiTheme="minorHAnsi"/>
          <w:snapToGrid w:val="0"/>
          <w:lang w:val="en-GB" w:eastAsia="en-US"/>
        </w:rPr>
        <w:t xml:space="preserve">) and did not </w:t>
      </w:r>
      <w:r w:rsidR="008B207B" w:rsidRPr="008B207B">
        <w:rPr>
          <w:rFonts w:asciiTheme="minorHAnsi" w:hAnsiTheme="minorHAnsi"/>
          <w:snapToGrid w:val="0"/>
          <w:lang w:val="en-GB" w:eastAsia="en-US"/>
        </w:rPr>
        <w:t>accrue</w:t>
      </w:r>
      <w:r w:rsidR="008B207B">
        <w:rPr>
          <w:rFonts w:asciiTheme="minorHAnsi" w:hAnsiTheme="minorHAnsi"/>
          <w:snapToGrid w:val="0"/>
          <w:lang w:val="en-GB" w:eastAsia="en-US"/>
        </w:rPr>
        <w:t xml:space="preserve"> </w:t>
      </w:r>
      <w:r w:rsidR="008B207B" w:rsidRPr="008B207B">
        <w:rPr>
          <w:rFonts w:asciiTheme="minorHAnsi" w:hAnsiTheme="minorHAnsi"/>
          <w:snapToGrid w:val="0"/>
          <w:lang w:val="en-GB" w:eastAsia="en-US"/>
        </w:rPr>
        <w:t>costs of ongoing treatment.</w:t>
      </w:r>
      <w:r w:rsidR="008B207B">
        <w:rPr>
          <w:rFonts w:asciiTheme="minorHAnsi" w:hAnsiTheme="minorHAnsi"/>
          <w:snapToGrid w:val="0"/>
          <w:lang w:val="en-GB" w:eastAsia="en-US"/>
        </w:rPr>
        <w:t xml:space="preserve"> </w:t>
      </w:r>
      <w:r>
        <w:rPr>
          <w:rFonts w:asciiTheme="minorHAnsi" w:hAnsiTheme="minorHAnsi"/>
          <w:snapToGrid w:val="0"/>
          <w:lang w:val="en-GB" w:eastAsia="en-US"/>
        </w:rPr>
        <w:t>T</w:t>
      </w:r>
      <w:r w:rsidRPr="00F21C05">
        <w:rPr>
          <w:rFonts w:asciiTheme="minorHAnsi" w:hAnsiTheme="minorHAnsi"/>
          <w:snapToGrid w:val="0"/>
          <w:lang w:val="en-GB" w:eastAsia="en-US"/>
        </w:rPr>
        <w:t xml:space="preserve">he </w:t>
      </w:r>
      <w:r>
        <w:rPr>
          <w:rFonts w:asciiTheme="minorHAnsi" w:hAnsiTheme="minorHAnsi"/>
          <w:snapToGrid w:val="0"/>
          <w:lang w:val="en-GB" w:eastAsia="en-US"/>
        </w:rPr>
        <w:t>PBAC</w:t>
      </w:r>
      <w:r w:rsidRPr="00F21C05">
        <w:rPr>
          <w:rFonts w:asciiTheme="minorHAnsi" w:hAnsiTheme="minorHAnsi"/>
          <w:snapToGrid w:val="0"/>
          <w:lang w:val="en-GB" w:eastAsia="en-US"/>
        </w:rPr>
        <w:t xml:space="preserve"> considered this </w:t>
      </w:r>
      <w:r w:rsidR="008B207B">
        <w:rPr>
          <w:rFonts w:asciiTheme="minorHAnsi" w:hAnsiTheme="minorHAnsi"/>
          <w:snapToGrid w:val="0"/>
          <w:lang w:val="en-GB" w:eastAsia="en-US"/>
        </w:rPr>
        <w:t xml:space="preserve">favoured odevixibat and </w:t>
      </w:r>
      <w:r w:rsidRPr="00F21C05">
        <w:rPr>
          <w:rFonts w:asciiTheme="minorHAnsi" w:hAnsiTheme="minorHAnsi"/>
          <w:snapToGrid w:val="0"/>
          <w:lang w:val="en-GB" w:eastAsia="en-US"/>
        </w:rPr>
        <w:t>was not likely to reflect clinical practice given that three patients in PEDFIC</w:t>
      </w:r>
      <w:r>
        <w:rPr>
          <w:rFonts w:asciiTheme="minorHAnsi" w:hAnsiTheme="minorHAnsi"/>
          <w:snapToGrid w:val="0"/>
          <w:lang w:val="en-GB" w:eastAsia="en-US"/>
        </w:rPr>
        <w:t xml:space="preserve"> </w:t>
      </w:r>
      <w:r w:rsidRPr="00F21C05">
        <w:rPr>
          <w:rFonts w:asciiTheme="minorHAnsi" w:hAnsiTheme="minorHAnsi"/>
          <w:snapToGrid w:val="0"/>
          <w:lang w:val="en-GB" w:eastAsia="en-US"/>
        </w:rPr>
        <w:t>2 received PEBD following odevixibat</w:t>
      </w:r>
      <w:r>
        <w:rPr>
          <w:rFonts w:asciiTheme="minorHAnsi" w:hAnsiTheme="minorHAnsi"/>
          <w:snapToGrid w:val="0"/>
          <w:lang w:val="en-GB" w:eastAsia="en-US"/>
        </w:rPr>
        <w:t xml:space="preserve"> and that the </w:t>
      </w:r>
      <w:r w:rsidRPr="00F21C05">
        <w:rPr>
          <w:rFonts w:asciiTheme="minorHAnsi" w:hAnsiTheme="minorHAnsi"/>
          <w:snapToGrid w:val="0"/>
          <w:lang w:val="en-GB" w:eastAsia="en-US"/>
        </w:rPr>
        <w:t xml:space="preserve">advice from the sponsor hearing </w:t>
      </w:r>
      <w:r>
        <w:rPr>
          <w:rFonts w:asciiTheme="minorHAnsi" w:hAnsiTheme="minorHAnsi"/>
          <w:snapToGrid w:val="0"/>
          <w:lang w:val="en-GB" w:eastAsia="en-US"/>
        </w:rPr>
        <w:t xml:space="preserve">was </w:t>
      </w:r>
      <w:r w:rsidRPr="00F21C05">
        <w:rPr>
          <w:rFonts w:asciiTheme="minorHAnsi" w:hAnsiTheme="minorHAnsi"/>
          <w:snapToGrid w:val="0"/>
          <w:lang w:val="en-GB" w:eastAsia="en-US"/>
        </w:rPr>
        <w:t>that some patients may also undergo PEBD in addition to remaining on treatment with odevixibat, should resolution of symptoms with odevixibat be suboptimal</w:t>
      </w:r>
      <w:r>
        <w:rPr>
          <w:rFonts w:asciiTheme="minorHAnsi" w:hAnsiTheme="minorHAnsi"/>
          <w:snapToGrid w:val="0"/>
          <w:lang w:val="en-GB" w:eastAsia="en-US"/>
        </w:rPr>
        <w:t>, or after losing response</w:t>
      </w:r>
      <w:r w:rsidRPr="00F21C05">
        <w:rPr>
          <w:rFonts w:asciiTheme="minorHAnsi" w:hAnsiTheme="minorHAnsi"/>
          <w:snapToGrid w:val="0"/>
          <w:lang w:val="en-GB" w:eastAsia="en-US"/>
        </w:rPr>
        <w:t>.</w:t>
      </w:r>
    </w:p>
    <w:p w14:paraId="51A5F894" w14:textId="1C9BD41C" w:rsidR="006B107F" w:rsidRPr="00606A36" w:rsidRDefault="00F21C05" w:rsidP="00F21C05">
      <w:pPr>
        <w:pStyle w:val="3-BodyText"/>
        <w:rPr>
          <w:lang w:val="en-GB" w:eastAsia="en-US"/>
        </w:rPr>
      </w:pPr>
      <w:bookmarkStart w:id="123" w:name="_Ref174177552"/>
      <w:r w:rsidRPr="00606A36">
        <w:rPr>
          <w:lang w:val="en-GB" w:eastAsia="en-US"/>
        </w:rPr>
        <w:t xml:space="preserve">In terms of the utility values, the PBAC noted that although the utilities from </w:t>
      </w:r>
      <w:r w:rsidR="00747C3B" w:rsidRPr="00606A36">
        <w:rPr>
          <w:lang w:val="en-GB" w:eastAsia="en-US"/>
        </w:rPr>
        <w:t>PEDFIC</w:t>
      </w:r>
      <w:r w:rsidR="00747C3B">
        <w:rPr>
          <w:lang w:val="en-GB" w:eastAsia="en-US"/>
        </w:rPr>
        <w:t> </w:t>
      </w:r>
      <w:r w:rsidRPr="00606A36">
        <w:rPr>
          <w:lang w:val="en-GB" w:eastAsia="en-US"/>
        </w:rPr>
        <w:t xml:space="preserve">1 would have been the most representative of PFIC patients, </w:t>
      </w:r>
      <w:r w:rsidR="00B636A2" w:rsidRPr="00606A36">
        <w:rPr>
          <w:lang w:val="en-GB" w:eastAsia="en-US"/>
        </w:rPr>
        <w:t xml:space="preserve">results were reported for </w:t>
      </w:r>
      <w:r w:rsidRPr="00606A36">
        <w:rPr>
          <w:lang w:val="en-GB" w:eastAsia="en-US"/>
        </w:rPr>
        <w:t>only 50% of the trial population and some of the results were considered implausible. The PBAC considered that some of the literature-based values applied in the model were highly uncertain as none of the selected studies were in the PFIC population</w:t>
      </w:r>
      <w:r w:rsidRPr="00E4652E">
        <w:rPr>
          <w:lang w:val="en-GB" w:eastAsia="en-US"/>
        </w:rPr>
        <w:t xml:space="preserve">. </w:t>
      </w:r>
      <w:r w:rsidRPr="00E4652E">
        <w:t>Notably, the</w:t>
      </w:r>
      <w:r w:rsidRPr="00606A36">
        <w:t xml:space="preserve"> ‘no PEBD, no response’ health state had higher utility (0.83) than the ‘PEBD, response’ state (0.659). This favoured the odevixibat arm and implied that patients preferred pruritus symptoms above achieving a response after PEBD, which </w:t>
      </w:r>
      <w:r w:rsidR="008B207B" w:rsidRPr="00606A36">
        <w:t xml:space="preserve">was not </w:t>
      </w:r>
      <w:r w:rsidRPr="00606A36">
        <w:t>plausible.</w:t>
      </w:r>
      <w:bookmarkEnd w:id="123"/>
    </w:p>
    <w:p w14:paraId="7BE9D632" w14:textId="0D34DEC1" w:rsidR="008B207B" w:rsidRDefault="008B207B" w:rsidP="00F21C05">
      <w:pPr>
        <w:pStyle w:val="3-BodyText"/>
        <w:rPr>
          <w:lang w:val="en-GB" w:eastAsia="en-US"/>
        </w:rPr>
      </w:pPr>
      <w:r w:rsidRPr="00606A36">
        <w:rPr>
          <w:lang w:val="en-GB" w:eastAsia="en-US"/>
        </w:rPr>
        <w:t xml:space="preserve">The PBAC noted the model assumed 30.15% of patients would be treated with odevixibat </w:t>
      </w:r>
      <w:r w:rsidR="00747C3B" w:rsidRPr="00606A36">
        <w:rPr>
          <w:lang w:val="en-GB" w:eastAsia="en-US"/>
        </w:rPr>
        <w:t>120</w:t>
      </w:r>
      <w:r w:rsidR="00747C3B">
        <w:rPr>
          <w:lang w:val="en-GB" w:eastAsia="en-US"/>
        </w:rPr>
        <w:t> </w:t>
      </w:r>
      <w:r w:rsidRPr="00606A36">
        <w:rPr>
          <w:lang w:val="en-GB" w:eastAsia="en-US"/>
        </w:rPr>
        <w:t xml:space="preserve">mcg/ kg/ day and this was a key driver of the model (see </w:t>
      </w:r>
      <w:r w:rsidRPr="00606A36">
        <w:rPr>
          <w:lang w:val="en-GB" w:eastAsia="en-US"/>
        </w:rPr>
        <w:fldChar w:fldCharType="begin"/>
      </w:r>
      <w:r w:rsidRPr="00606A36">
        <w:rPr>
          <w:lang w:val="en-GB" w:eastAsia="en-US"/>
        </w:rPr>
        <w:instrText xml:space="preserve"> REF _Ref164663526 \h  \* MERGEFORMAT </w:instrText>
      </w:r>
      <w:r w:rsidRPr="00606A36">
        <w:rPr>
          <w:lang w:val="en-GB" w:eastAsia="en-US"/>
        </w:rPr>
      </w:r>
      <w:r w:rsidRPr="00606A36">
        <w:rPr>
          <w:lang w:val="en-GB" w:eastAsia="en-US"/>
        </w:rPr>
        <w:fldChar w:fldCharType="separate"/>
      </w:r>
      <w:r w:rsidR="008B4717" w:rsidRPr="00D33C2C">
        <w:t xml:space="preserve">Table </w:t>
      </w:r>
      <w:r w:rsidR="008B4717">
        <w:rPr>
          <w:noProof/>
        </w:rPr>
        <w:t>16</w:t>
      </w:r>
      <w:r w:rsidRPr="00606A36">
        <w:rPr>
          <w:lang w:val="en-GB" w:eastAsia="en-US"/>
        </w:rPr>
        <w:fldChar w:fldCharType="end"/>
      </w:r>
      <w:r w:rsidRPr="00606A36">
        <w:rPr>
          <w:lang w:val="en-GB" w:eastAsia="en-US"/>
        </w:rPr>
        <w:t xml:space="preserve">). </w:t>
      </w:r>
      <w:r w:rsidR="009A7076" w:rsidRPr="00587186">
        <w:rPr>
          <w:lang w:val="en-GB" w:eastAsia="en-US"/>
        </w:rPr>
        <w:t xml:space="preserve">The PBAC noted </w:t>
      </w:r>
      <w:r w:rsidR="009A7076">
        <w:rPr>
          <w:lang w:val="en-GB" w:eastAsia="en-US"/>
        </w:rPr>
        <w:t xml:space="preserve">that a higher price was proposed for the </w:t>
      </w:r>
      <w:r w:rsidR="00265EE2">
        <w:rPr>
          <w:lang w:val="en-GB" w:eastAsia="en-US"/>
        </w:rPr>
        <w:t>120 </w:t>
      </w:r>
      <w:r w:rsidR="009A7076">
        <w:rPr>
          <w:lang w:val="en-GB" w:eastAsia="en-US"/>
        </w:rPr>
        <w:t>mcg/kg/day dose</w:t>
      </w:r>
      <w:r w:rsidR="009A7076" w:rsidRPr="00587186">
        <w:rPr>
          <w:rFonts w:cstheme="minorHAnsi"/>
        </w:rPr>
        <w:t xml:space="preserve">, despite significant uncertainty regarding the benefit of dose escalation. </w:t>
      </w:r>
      <w:r w:rsidRPr="00606A36">
        <w:rPr>
          <w:lang w:val="en-GB" w:eastAsia="en-US"/>
        </w:rPr>
        <w:t xml:space="preserve">The PBAC noted assuming patients are only treated with the </w:t>
      </w:r>
      <w:r w:rsidR="00265EE2" w:rsidRPr="00606A36">
        <w:rPr>
          <w:lang w:val="en-GB" w:eastAsia="en-US"/>
        </w:rPr>
        <w:t>40</w:t>
      </w:r>
      <w:r w:rsidR="00265EE2">
        <w:rPr>
          <w:lang w:val="en-GB" w:eastAsia="en-US"/>
        </w:rPr>
        <w:t> </w:t>
      </w:r>
      <w:r w:rsidRPr="00606A36">
        <w:rPr>
          <w:lang w:val="en-GB" w:eastAsia="en-US"/>
        </w:rPr>
        <w:t>mcg/kg/day dose (i.e., no dose escalation) decreased the ICER by 4</w:t>
      </w:r>
      <w:r w:rsidR="00AB109F">
        <w:rPr>
          <w:lang w:val="en-GB" w:eastAsia="en-US"/>
        </w:rPr>
        <w:t>7</w:t>
      </w:r>
      <w:r w:rsidRPr="00606A36">
        <w:rPr>
          <w:lang w:val="en-GB" w:eastAsia="en-US"/>
        </w:rPr>
        <w:t xml:space="preserve">% and assuming flat treatment cost (i.e., cost of </w:t>
      </w:r>
      <w:r w:rsidR="002F76D4" w:rsidRPr="00606A36">
        <w:rPr>
          <w:lang w:val="en-GB" w:eastAsia="en-US"/>
        </w:rPr>
        <w:lastRenderedPageBreak/>
        <w:t>120</w:t>
      </w:r>
      <w:r w:rsidR="002F76D4">
        <w:rPr>
          <w:lang w:val="en-GB" w:eastAsia="en-US"/>
        </w:rPr>
        <w:t> </w:t>
      </w:r>
      <w:r w:rsidRPr="00606A36">
        <w:rPr>
          <w:lang w:val="en-GB" w:eastAsia="en-US"/>
        </w:rPr>
        <w:t xml:space="preserve">mcg/kg/day dose the same as the </w:t>
      </w:r>
      <w:r w:rsidR="002F76D4" w:rsidRPr="00606A36">
        <w:rPr>
          <w:lang w:val="en-GB" w:eastAsia="en-US"/>
        </w:rPr>
        <w:t>40</w:t>
      </w:r>
      <w:r w:rsidR="002F76D4">
        <w:rPr>
          <w:lang w:val="en-GB" w:eastAsia="en-US"/>
        </w:rPr>
        <w:t> </w:t>
      </w:r>
      <w:r w:rsidRPr="00606A36">
        <w:rPr>
          <w:lang w:val="en-GB" w:eastAsia="en-US"/>
        </w:rPr>
        <w:t>mcg/kg/day dose) decreased the ICER by 38%.</w:t>
      </w:r>
    </w:p>
    <w:p w14:paraId="4F6CB7EC" w14:textId="28C7BD57" w:rsidR="000A45B0" w:rsidRDefault="00F745F0" w:rsidP="009C711B">
      <w:pPr>
        <w:widowControl w:val="0"/>
        <w:numPr>
          <w:ilvl w:val="1"/>
          <w:numId w:val="1"/>
        </w:numPr>
        <w:spacing w:after="120"/>
        <w:rPr>
          <w:rFonts w:asciiTheme="minorHAnsi" w:hAnsiTheme="minorHAnsi"/>
          <w:snapToGrid w:val="0"/>
          <w:lang w:val="en-GB" w:eastAsia="en-US"/>
        </w:rPr>
      </w:pPr>
      <w:bookmarkStart w:id="124" w:name="_Ref176787641"/>
      <w:r w:rsidRPr="00606A36">
        <w:rPr>
          <w:rFonts w:asciiTheme="minorHAnsi" w:hAnsiTheme="minorHAnsi"/>
          <w:snapToGrid w:val="0"/>
          <w:lang w:val="en-GB" w:eastAsia="en-US"/>
        </w:rPr>
        <w:t>Overall, the PBAC</w:t>
      </w:r>
      <w:r w:rsidR="009C711B" w:rsidRPr="00606A36">
        <w:rPr>
          <w:rFonts w:asciiTheme="minorHAnsi" w:hAnsiTheme="minorHAnsi"/>
          <w:snapToGrid w:val="0"/>
          <w:lang w:val="en-GB" w:eastAsia="en-US"/>
        </w:rPr>
        <w:t xml:space="preserve"> considered tha</w:t>
      </w:r>
      <w:r w:rsidRPr="00606A36">
        <w:rPr>
          <w:rFonts w:asciiTheme="minorHAnsi" w:hAnsiTheme="minorHAnsi"/>
          <w:snapToGrid w:val="0"/>
          <w:lang w:val="en-GB" w:eastAsia="en-US"/>
        </w:rPr>
        <w:t>t</w:t>
      </w:r>
      <w:r w:rsidR="009C711B" w:rsidRPr="00606A36">
        <w:rPr>
          <w:rFonts w:asciiTheme="minorHAnsi" w:hAnsiTheme="minorHAnsi"/>
          <w:snapToGrid w:val="0"/>
          <w:lang w:val="en-GB" w:eastAsia="en-US"/>
        </w:rPr>
        <w:t xml:space="preserve"> the </w:t>
      </w:r>
      <w:r w:rsidR="007001B5" w:rsidRPr="00606A36">
        <w:rPr>
          <w:rFonts w:asciiTheme="minorHAnsi" w:hAnsiTheme="minorHAnsi"/>
          <w:snapToGrid w:val="0"/>
          <w:lang w:val="en-GB" w:eastAsia="en-US"/>
        </w:rPr>
        <w:t xml:space="preserve">economic model was biased in favour of odevixibat, </w:t>
      </w:r>
      <w:r w:rsidR="009C711B" w:rsidRPr="00606A36">
        <w:rPr>
          <w:rFonts w:asciiTheme="minorHAnsi" w:hAnsiTheme="minorHAnsi"/>
          <w:snapToGrid w:val="0"/>
          <w:lang w:val="en-GB" w:eastAsia="en-US"/>
        </w:rPr>
        <w:t xml:space="preserve">that the incremental cost-effectiveness ratio (ICER) was extremely </w:t>
      </w:r>
      <w:r w:rsidR="000070E7" w:rsidRPr="00606A36">
        <w:rPr>
          <w:rFonts w:asciiTheme="minorHAnsi" w:hAnsiTheme="minorHAnsi"/>
          <w:snapToGrid w:val="0"/>
          <w:lang w:val="en-GB" w:eastAsia="en-US"/>
        </w:rPr>
        <w:t>high and</w:t>
      </w:r>
      <w:r w:rsidR="009C711B" w:rsidRPr="00606A36">
        <w:rPr>
          <w:rFonts w:asciiTheme="minorHAnsi" w:hAnsiTheme="minorHAnsi"/>
          <w:snapToGrid w:val="0"/>
          <w:lang w:val="en-GB" w:eastAsia="en-US"/>
        </w:rPr>
        <w:t xml:space="preserve"> that</w:t>
      </w:r>
      <w:r w:rsidR="009C711B">
        <w:rPr>
          <w:rFonts w:asciiTheme="minorHAnsi" w:hAnsiTheme="minorHAnsi"/>
          <w:snapToGrid w:val="0"/>
          <w:lang w:val="en-GB" w:eastAsia="en-US"/>
        </w:rPr>
        <w:t xml:space="preserve"> odevixibat </w:t>
      </w:r>
      <w:r w:rsidR="00B31163">
        <w:rPr>
          <w:rFonts w:asciiTheme="minorHAnsi" w:hAnsiTheme="minorHAnsi"/>
          <w:snapToGrid w:val="0"/>
          <w:lang w:val="en-GB" w:eastAsia="en-US"/>
        </w:rPr>
        <w:t>would not be</w:t>
      </w:r>
      <w:r w:rsidR="009C711B">
        <w:rPr>
          <w:rFonts w:asciiTheme="minorHAnsi" w:hAnsiTheme="minorHAnsi"/>
          <w:snapToGrid w:val="0"/>
          <w:lang w:val="en-GB" w:eastAsia="en-US"/>
        </w:rPr>
        <w:t xml:space="preserve"> cost-effective without a substantial price reduction.</w:t>
      </w:r>
      <w:bookmarkEnd w:id="124"/>
      <w:r w:rsidR="009C711B">
        <w:rPr>
          <w:rFonts w:asciiTheme="minorHAnsi" w:hAnsiTheme="minorHAnsi"/>
          <w:snapToGrid w:val="0"/>
          <w:lang w:val="en-GB" w:eastAsia="en-US"/>
        </w:rPr>
        <w:t xml:space="preserve"> </w:t>
      </w:r>
    </w:p>
    <w:p w14:paraId="252FB14E" w14:textId="543E8F20" w:rsidR="002B5E07" w:rsidRPr="000A45B0" w:rsidRDefault="002B5E07" w:rsidP="009C711B">
      <w:pPr>
        <w:widowControl w:val="0"/>
        <w:numPr>
          <w:ilvl w:val="1"/>
          <w:numId w:val="1"/>
        </w:numPr>
        <w:spacing w:after="120"/>
        <w:rPr>
          <w:rFonts w:asciiTheme="minorHAnsi" w:hAnsiTheme="minorHAnsi"/>
          <w:snapToGrid w:val="0"/>
          <w:lang w:val="en-GB" w:eastAsia="en-US"/>
        </w:rPr>
      </w:pPr>
      <w:bookmarkStart w:id="125" w:name="_Ref174180015"/>
      <w:r>
        <w:rPr>
          <w:rFonts w:asciiTheme="minorHAnsi" w:hAnsiTheme="minorHAnsi"/>
          <w:snapToGrid w:val="0"/>
          <w:lang w:val="en-GB" w:eastAsia="en-US"/>
        </w:rPr>
        <w:t xml:space="preserve">The PBAC noted that the base case ICER was reduced when carer disutilities were included as a sensitivity analysis. </w:t>
      </w:r>
      <w:r w:rsidR="00C517C7">
        <w:rPr>
          <w:rFonts w:asciiTheme="minorHAnsi" w:hAnsiTheme="minorHAnsi"/>
          <w:snapToGrid w:val="0"/>
          <w:lang w:val="en-GB" w:eastAsia="en-US"/>
        </w:rPr>
        <w:t>Noting the consumer comments received, t</w:t>
      </w:r>
      <w:r>
        <w:rPr>
          <w:rFonts w:asciiTheme="minorHAnsi" w:hAnsiTheme="minorHAnsi"/>
          <w:snapToGrid w:val="0"/>
          <w:lang w:val="en-GB" w:eastAsia="en-US"/>
        </w:rPr>
        <w:t xml:space="preserve">he PBAC considered that </w:t>
      </w:r>
      <w:r w:rsidR="00C517C7">
        <w:rPr>
          <w:rFonts w:asciiTheme="minorHAnsi" w:hAnsiTheme="minorHAnsi"/>
          <w:snapToGrid w:val="0"/>
          <w:lang w:val="en-GB" w:eastAsia="en-US"/>
        </w:rPr>
        <w:t xml:space="preserve">it would be likely that </w:t>
      </w:r>
      <w:r>
        <w:rPr>
          <w:rFonts w:asciiTheme="minorHAnsi" w:hAnsiTheme="minorHAnsi"/>
          <w:snapToGrid w:val="0"/>
          <w:lang w:val="en-GB" w:eastAsia="en-US"/>
        </w:rPr>
        <w:t>odevixibat would result in benefits for others beyond the patient.</w:t>
      </w:r>
      <w:bookmarkEnd w:id="125"/>
      <w:r>
        <w:rPr>
          <w:rFonts w:asciiTheme="minorHAnsi" w:hAnsiTheme="minorHAnsi"/>
          <w:snapToGrid w:val="0"/>
          <w:lang w:val="en-GB" w:eastAsia="en-US"/>
        </w:rPr>
        <w:t xml:space="preserve"> </w:t>
      </w:r>
    </w:p>
    <w:p w14:paraId="42B3A068" w14:textId="50027155" w:rsidR="00F85F1F" w:rsidRPr="00587186" w:rsidRDefault="00325F9B" w:rsidP="00602C3F">
      <w:pPr>
        <w:widowControl w:val="0"/>
        <w:numPr>
          <w:ilvl w:val="1"/>
          <w:numId w:val="1"/>
        </w:numPr>
        <w:spacing w:after="120"/>
        <w:rPr>
          <w:rFonts w:ascii="Times New Roman" w:hAnsi="Times New Roman" w:cs="Times New Roman"/>
          <w:lang w:eastAsia="en-US"/>
        </w:rPr>
      </w:pPr>
      <w:r w:rsidRPr="00587186">
        <w:rPr>
          <w:rFonts w:asciiTheme="minorHAnsi" w:hAnsiTheme="minorHAnsi"/>
          <w:snapToGrid w:val="0"/>
          <w:lang w:val="en-GB" w:eastAsia="en-US"/>
        </w:rPr>
        <w:t xml:space="preserve">The PBAC considered </w:t>
      </w:r>
      <w:r w:rsidR="006F498E" w:rsidRPr="00587186">
        <w:rPr>
          <w:rFonts w:asciiTheme="minorHAnsi" w:hAnsiTheme="minorHAnsi"/>
          <w:snapToGrid w:val="0"/>
          <w:lang w:val="en-GB" w:eastAsia="en-US"/>
        </w:rPr>
        <w:t xml:space="preserve">the utilisation of odevixibat would depend on the average age at initiation of treatment and the response rate, both of which may have been overestimated in the submission. The Committee </w:t>
      </w:r>
      <w:r w:rsidR="00AE5080" w:rsidRPr="00587186">
        <w:rPr>
          <w:rFonts w:asciiTheme="minorHAnsi" w:hAnsiTheme="minorHAnsi"/>
          <w:snapToGrid w:val="0"/>
          <w:lang w:val="en-GB" w:eastAsia="en-US"/>
        </w:rPr>
        <w:t xml:space="preserve">also </w:t>
      </w:r>
      <w:r w:rsidR="006F498E" w:rsidRPr="00587186">
        <w:rPr>
          <w:rFonts w:asciiTheme="minorHAnsi" w:hAnsiTheme="minorHAnsi"/>
          <w:snapToGrid w:val="0"/>
          <w:lang w:val="en-GB" w:eastAsia="en-US"/>
        </w:rPr>
        <w:t xml:space="preserve">considered the number of patients who would undergo dose escalation was uncertain. The PBAC considered that revisions would be required to the financial estimates model, based on a revised restriction, and incorporating revisions to the epidemiological approach taken to define the prevalent and incident patient population in line with that recommended by DUSC </w:t>
      </w:r>
      <w:r w:rsidR="006F498E" w:rsidRPr="00360520">
        <w:rPr>
          <w:rFonts w:asciiTheme="minorHAnsi" w:hAnsiTheme="minorHAnsi"/>
          <w:snapToGrid w:val="0"/>
          <w:lang w:val="en-GB" w:eastAsia="en-US"/>
        </w:rPr>
        <w:t>(paragraph</w:t>
      </w:r>
      <w:r w:rsidR="00AE5080" w:rsidRPr="00360520">
        <w:rPr>
          <w:rFonts w:asciiTheme="minorHAnsi" w:hAnsiTheme="minorHAnsi"/>
          <w:snapToGrid w:val="0"/>
          <w:lang w:val="en-GB" w:eastAsia="en-US"/>
        </w:rPr>
        <w:t xml:space="preserve"> </w:t>
      </w:r>
      <w:r w:rsidR="00360520">
        <w:rPr>
          <w:rFonts w:asciiTheme="minorHAnsi" w:hAnsiTheme="minorHAnsi"/>
          <w:snapToGrid w:val="0"/>
          <w:lang w:val="en-GB" w:eastAsia="en-US"/>
        </w:rPr>
        <w:fldChar w:fldCharType="begin"/>
      </w:r>
      <w:r w:rsidR="00360520">
        <w:rPr>
          <w:rFonts w:asciiTheme="minorHAnsi" w:hAnsiTheme="minorHAnsi"/>
          <w:snapToGrid w:val="0"/>
          <w:lang w:val="en-GB" w:eastAsia="en-US"/>
        </w:rPr>
        <w:instrText xml:space="preserve"> REF _Ref174693328 \r \h </w:instrText>
      </w:r>
      <w:r w:rsidR="00360520">
        <w:rPr>
          <w:rFonts w:asciiTheme="minorHAnsi" w:hAnsiTheme="minorHAnsi"/>
          <w:snapToGrid w:val="0"/>
          <w:lang w:val="en-GB" w:eastAsia="en-US"/>
        </w:rPr>
      </w:r>
      <w:r w:rsidR="00360520">
        <w:rPr>
          <w:rFonts w:asciiTheme="minorHAnsi" w:hAnsiTheme="minorHAnsi"/>
          <w:snapToGrid w:val="0"/>
          <w:lang w:val="en-GB" w:eastAsia="en-US"/>
        </w:rPr>
        <w:fldChar w:fldCharType="separate"/>
      </w:r>
      <w:r w:rsidR="008B4717">
        <w:rPr>
          <w:rFonts w:asciiTheme="minorHAnsi" w:hAnsiTheme="minorHAnsi"/>
          <w:snapToGrid w:val="0"/>
          <w:lang w:val="en-GB" w:eastAsia="en-US"/>
        </w:rPr>
        <w:t>6.80</w:t>
      </w:r>
      <w:r w:rsidR="00360520">
        <w:rPr>
          <w:rFonts w:asciiTheme="minorHAnsi" w:hAnsiTheme="minorHAnsi"/>
          <w:snapToGrid w:val="0"/>
          <w:lang w:val="en-GB" w:eastAsia="en-US"/>
        </w:rPr>
        <w:fldChar w:fldCharType="end"/>
      </w:r>
      <w:r w:rsidR="00360520">
        <w:rPr>
          <w:rFonts w:asciiTheme="minorHAnsi" w:hAnsiTheme="minorHAnsi"/>
          <w:snapToGrid w:val="0"/>
          <w:lang w:val="en-GB" w:eastAsia="en-US"/>
        </w:rPr>
        <w:t xml:space="preserve"> </w:t>
      </w:r>
      <w:r w:rsidR="00AE5080" w:rsidRPr="00587186">
        <w:rPr>
          <w:rFonts w:asciiTheme="minorHAnsi" w:hAnsiTheme="minorHAnsi"/>
          <w:snapToGrid w:val="0"/>
          <w:lang w:val="en-GB" w:eastAsia="en-US"/>
        </w:rPr>
        <w:t xml:space="preserve">and </w:t>
      </w:r>
      <w:r w:rsidR="00AE5080" w:rsidRPr="00587186">
        <w:rPr>
          <w:rFonts w:asciiTheme="minorHAnsi" w:hAnsiTheme="minorHAnsi"/>
          <w:snapToGrid w:val="0"/>
          <w:highlight w:val="yellow"/>
          <w:lang w:val="en-GB" w:eastAsia="en-US"/>
        </w:rPr>
        <w:fldChar w:fldCharType="begin"/>
      </w:r>
      <w:r w:rsidR="00AE5080" w:rsidRPr="00587186">
        <w:rPr>
          <w:rFonts w:asciiTheme="minorHAnsi" w:hAnsiTheme="minorHAnsi"/>
          <w:snapToGrid w:val="0"/>
          <w:highlight w:val="yellow"/>
          <w:lang w:val="en-GB" w:eastAsia="en-US"/>
        </w:rPr>
        <w:instrText xml:space="preserve"> REF _Ref164673218 \h </w:instrText>
      </w:r>
      <w:r w:rsidR="00AE5080" w:rsidRPr="00587186">
        <w:rPr>
          <w:rFonts w:asciiTheme="minorHAnsi" w:hAnsiTheme="minorHAnsi"/>
          <w:snapToGrid w:val="0"/>
          <w:highlight w:val="yellow"/>
          <w:lang w:val="en-GB" w:eastAsia="en-US"/>
        </w:rPr>
      </w:r>
      <w:r w:rsidR="00AE5080" w:rsidRPr="00587186">
        <w:rPr>
          <w:rFonts w:asciiTheme="minorHAnsi" w:hAnsiTheme="minorHAnsi"/>
          <w:snapToGrid w:val="0"/>
          <w:highlight w:val="yellow"/>
          <w:lang w:val="en-GB" w:eastAsia="en-US"/>
        </w:rPr>
        <w:fldChar w:fldCharType="separate"/>
      </w:r>
      <w:r w:rsidR="008B4717" w:rsidRPr="00AA4FE6">
        <w:t xml:space="preserve">Table </w:t>
      </w:r>
      <w:r w:rsidR="008B4717">
        <w:rPr>
          <w:noProof/>
        </w:rPr>
        <w:t>21</w:t>
      </w:r>
      <w:r w:rsidR="00AE5080" w:rsidRPr="00587186">
        <w:rPr>
          <w:rFonts w:asciiTheme="minorHAnsi" w:hAnsiTheme="minorHAnsi"/>
          <w:snapToGrid w:val="0"/>
          <w:highlight w:val="yellow"/>
          <w:lang w:val="en-GB" w:eastAsia="en-US"/>
        </w:rPr>
        <w:fldChar w:fldCharType="end"/>
      </w:r>
      <w:r w:rsidR="006F498E" w:rsidRPr="00587186">
        <w:rPr>
          <w:rFonts w:asciiTheme="minorHAnsi" w:hAnsiTheme="minorHAnsi"/>
          <w:snapToGrid w:val="0"/>
          <w:lang w:val="en-GB" w:eastAsia="en-US"/>
        </w:rPr>
        <w:t xml:space="preserve">). </w:t>
      </w:r>
      <w:r w:rsidR="00D254EA" w:rsidRPr="00587186">
        <w:rPr>
          <w:rFonts w:asciiTheme="minorHAnsi" w:hAnsiTheme="minorHAnsi"/>
          <w:snapToGrid w:val="0"/>
          <w:lang w:val="en-GB" w:eastAsia="en-US"/>
        </w:rPr>
        <w:t>The Committee considered that an RSA would be required, given the level of uncertainty</w:t>
      </w:r>
      <w:r w:rsidR="00AE5080" w:rsidRPr="00587186">
        <w:rPr>
          <w:rFonts w:asciiTheme="minorHAnsi" w:hAnsiTheme="minorHAnsi"/>
          <w:snapToGrid w:val="0"/>
          <w:lang w:val="en-GB" w:eastAsia="en-US"/>
        </w:rPr>
        <w:t xml:space="preserve"> in the estimates</w:t>
      </w:r>
      <w:r w:rsidR="00F51CCB">
        <w:rPr>
          <w:rFonts w:asciiTheme="minorHAnsi" w:hAnsiTheme="minorHAnsi"/>
          <w:snapToGrid w:val="0"/>
          <w:lang w:val="en-GB" w:eastAsia="en-US"/>
        </w:rPr>
        <w:t xml:space="preserve">, including </w:t>
      </w:r>
      <w:r w:rsidR="00360520">
        <w:rPr>
          <w:rFonts w:asciiTheme="minorHAnsi" w:hAnsiTheme="minorHAnsi"/>
          <w:snapToGrid w:val="0"/>
          <w:lang w:val="en-GB" w:eastAsia="en-US"/>
        </w:rPr>
        <w:t xml:space="preserve">uncertainty in </w:t>
      </w:r>
      <w:r w:rsidR="00F51CCB">
        <w:rPr>
          <w:rFonts w:asciiTheme="minorHAnsi" w:hAnsiTheme="minorHAnsi"/>
          <w:snapToGrid w:val="0"/>
          <w:lang w:val="en-GB" w:eastAsia="en-US"/>
        </w:rPr>
        <w:t>the duration of use and uptake</w:t>
      </w:r>
      <w:r w:rsidR="00D254EA" w:rsidRPr="00587186">
        <w:rPr>
          <w:rFonts w:asciiTheme="minorHAnsi" w:hAnsiTheme="minorHAnsi"/>
          <w:snapToGrid w:val="0"/>
          <w:lang w:val="en-GB" w:eastAsia="en-US"/>
        </w:rPr>
        <w:t>.</w:t>
      </w:r>
      <w:r w:rsidR="006971F3" w:rsidRPr="00587186">
        <w:rPr>
          <w:rFonts w:asciiTheme="minorHAnsi" w:hAnsiTheme="minorHAnsi"/>
          <w:snapToGrid w:val="0"/>
          <w:lang w:val="en-GB" w:eastAsia="en-US"/>
        </w:rPr>
        <w:t xml:space="preserve"> </w:t>
      </w:r>
      <w:r w:rsidR="00D06DB3" w:rsidRPr="00587186">
        <w:rPr>
          <w:rFonts w:asciiTheme="minorHAnsi" w:hAnsiTheme="minorHAnsi" w:cstheme="minorHAnsi"/>
        </w:rPr>
        <w:t xml:space="preserve">The PBAC considered that </w:t>
      </w:r>
      <w:r w:rsidR="00792120" w:rsidRPr="00587186">
        <w:rPr>
          <w:rFonts w:asciiTheme="minorHAnsi" w:hAnsiTheme="minorHAnsi" w:cstheme="minorHAnsi"/>
        </w:rPr>
        <w:t xml:space="preserve">if the restriction </w:t>
      </w:r>
      <w:r w:rsidR="00F51CCB">
        <w:rPr>
          <w:rFonts w:asciiTheme="minorHAnsi" w:hAnsiTheme="minorHAnsi" w:cstheme="minorHAnsi"/>
        </w:rPr>
        <w:t>does</w:t>
      </w:r>
      <w:r w:rsidR="00792120" w:rsidRPr="00587186">
        <w:rPr>
          <w:rFonts w:asciiTheme="minorHAnsi" w:hAnsiTheme="minorHAnsi" w:cstheme="minorHAnsi"/>
        </w:rPr>
        <w:t xml:space="preserve"> not require confirmatory genetic testing then </w:t>
      </w:r>
      <w:r w:rsidR="0094300E" w:rsidRPr="00587186">
        <w:rPr>
          <w:rFonts w:asciiTheme="minorHAnsi" w:hAnsiTheme="minorHAnsi" w:cstheme="minorHAnsi"/>
        </w:rPr>
        <w:t xml:space="preserve">the </w:t>
      </w:r>
      <w:r w:rsidR="00F51CCB">
        <w:rPr>
          <w:rFonts w:asciiTheme="minorHAnsi" w:hAnsiTheme="minorHAnsi" w:cstheme="minorHAnsi"/>
        </w:rPr>
        <w:t>RSA should account for</w:t>
      </w:r>
      <w:r w:rsidR="0094300E" w:rsidRPr="00587186">
        <w:rPr>
          <w:rFonts w:asciiTheme="minorHAnsi" w:hAnsiTheme="minorHAnsi" w:cstheme="minorHAnsi"/>
        </w:rPr>
        <w:t xml:space="preserve"> odevixibat be</w:t>
      </w:r>
      <w:r w:rsidR="00F51CCB">
        <w:rPr>
          <w:rFonts w:asciiTheme="minorHAnsi" w:hAnsiTheme="minorHAnsi" w:cstheme="minorHAnsi"/>
        </w:rPr>
        <w:t>ing</w:t>
      </w:r>
      <w:r w:rsidR="0094300E" w:rsidRPr="00587186">
        <w:rPr>
          <w:rFonts w:asciiTheme="minorHAnsi" w:hAnsiTheme="minorHAnsi" w:cstheme="minorHAnsi"/>
        </w:rPr>
        <w:t xml:space="preserve"> ineffective in patients with the non-responsive genotype.</w:t>
      </w:r>
      <w:r w:rsidR="00587186" w:rsidRPr="00587186">
        <w:rPr>
          <w:rFonts w:asciiTheme="minorHAnsi" w:hAnsiTheme="minorHAnsi" w:cstheme="minorHAnsi"/>
        </w:rPr>
        <w:t xml:space="preserve"> </w:t>
      </w:r>
    </w:p>
    <w:p w14:paraId="475E91FE" w14:textId="4C4AE13A" w:rsidR="00D254EA" w:rsidRDefault="00D254EA" w:rsidP="00325F9B">
      <w:pPr>
        <w:widowControl w:val="0"/>
        <w:numPr>
          <w:ilvl w:val="1"/>
          <w:numId w:val="1"/>
        </w:numPr>
        <w:spacing w:after="120"/>
        <w:rPr>
          <w:rFonts w:ascii="Times New Roman" w:hAnsi="Times New Roman" w:cs="Times New Roman"/>
          <w:lang w:eastAsia="en-US"/>
        </w:rPr>
      </w:pPr>
      <w:r>
        <w:rPr>
          <w:rFonts w:asciiTheme="minorHAnsi" w:hAnsiTheme="minorHAnsi"/>
          <w:snapToGrid w:val="0"/>
          <w:lang w:val="en-GB" w:eastAsia="en-US"/>
        </w:rPr>
        <w:t>The PBAC considered that the Rule of Rescue was insufficiently supported</w:t>
      </w:r>
      <w:r w:rsidR="008B207B">
        <w:rPr>
          <w:rFonts w:asciiTheme="minorHAnsi" w:hAnsiTheme="minorHAnsi"/>
          <w:snapToGrid w:val="0"/>
          <w:lang w:val="en-GB" w:eastAsia="en-US"/>
        </w:rPr>
        <w:t xml:space="preserve"> for odevixibat</w:t>
      </w:r>
      <w:r>
        <w:rPr>
          <w:rFonts w:asciiTheme="minorHAnsi" w:hAnsiTheme="minorHAnsi"/>
          <w:snapToGrid w:val="0"/>
          <w:lang w:val="en-GB" w:eastAsia="en-US"/>
        </w:rPr>
        <w:t>, given non-pharmacological therap</w:t>
      </w:r>
      <w:r w:rsidR="002B5E07">
        <w:rPr>
          <w:rFonts w:asciiTheme="minorHAnsi" w:hAnsiTheme="minorHAnsi"/>
          <w:snapToGrid w:val="0"/>
          <w:lang w:val="en-GB" w:eastAsia="en-US"/>
        </w:rPr>
        <w:t>ies (i.e. SBD and LT) are</w:t>
      </w:r>
      <w:r>
        <w:rPr>
          <w:rFonts w:asciiTheme="minorHAnsi" w:hAnsiTheme="minorHAnsi"/>
          <w:snapToGrid w:val="0"/>
          <w:lang w:val="en-GB" w:eastAsia="en-US"/>
        </w:rPr>
        <w:t xml:space="preserve"> available</w:t>
      </w:r>
      <w:r w:rsidR="00B31163">
        <w:rPr>
          <w:rFonts w:asciiTheme="minorHAnsi" w:hAnsiTheme="minorHAnsi"/>
          <w:snapToGrid w:val="0"/>
          <w:lang w:val="en-GB" w:eastAsia="en-US"/>
        </w:rPr>
        <w:t xml:space="preserve"> and that there is no imminent risk of death</w:t>
      </w:r>
      <w:r>
        <w:rPr>
          <w:rFonts w:asciiTheme="minorHAnsi" w:hAnsiTheme="minorHAnsi"/>
          <w:snapToGrid w:val="0"/>
          <w:lang w:val="en-GB" w:eastAsia="en-US"/>
        </w:rPr>
        <w:t xml:space="preserve">. </w:t>
      </w:r>
    </w:p>
    <w:p w14:paraId="0D22EBF5" w14:textId="2F4EAD29" w:rsidR="008B207B" w:rsidRDefault="008B207B" w:rsidP="008B207B">
      <w:pPr>
        <w:widowControl w:val="0"/>
        <w:numPr>
          <w:ilvl w:val="1"/>
          <w:numId w:val="1"/>
        </w:numPr>
        <w:spacing w:after="120"/>
        <w:rPr>
          <w:rFonts w:asciiTheme="minorHAnsi" w:hAnsiTheme="minorHAnsi"/>
          <w:snapToGrid w:val="0"/>
          <w:lang w:val="en-GB"/>
        </w:rPr>
      </w:pPr>
      <w:r w:rsidRPr="00F85F1F">
        <w:rPr>
          <w:rFonts w:asciiTheme="minorHAnsi" w:hAnsiTheme="minorHAnsi"/>
          <w:snapToGrid w:val="0"/>
          <w:lang w:val="en-GB" w:eastAsia="en-US"/>
        </w:rPr>
        <w:t xml:space="preserve">The PBAC considered odevixibat addresses a high and urgent unmet clinical need and </w:t>
      </w:r>
      <w:r>
        <w:rPr>
          <w:rFonts w:asciiTheme="minorHAnsi" w:hAnsiTheme="minorHAnsi"/>
          <w:snapToGrid w:val="0"/>
          <w:lang w:val="en-GB" w:eastAsia="en-US"/>
        </w:rPr>
        <w:t>i</w:t>
      </w:r>
      <w:r w:rsidRPr="00F85F1F">
        <w:rPr>
          <w:rFonts w:asciiTheme="minorHAnsi" w:hAnsiTheme="minorHAnsi"/>
          <w:snapToGrid w:val="0"/>
          <w:lang w:val="en-GB" w:eastAsia="en-US"/>
        </w:rPr>
        <w:t xml:space="preserve">s expected to provide a substantial and clinically relevant improvement in reducing </w:t>
      </w:r>
      <w:r>
        <w:rPr>
          <w:rFonts w:asciiTheme="minorHAnsi" w:hAnsiTheme="minorHAnsi"/>
          <w:snapToGrid w:val="0"/>
          <w:lang w:val="en-GB" w:eastAsia="en-US"/>
        </w:rPr>
        <w:t xml:space="preserve">elevated </w:t>
      </w:r>
      <w:r w:rsidRPr="00172037">
        <w:rPr>
          <w:rFonts w:asciiTheme="minorHAnsi" w:hAnsiTheme="minorHAnsi"/>
          <w:snapToGrid w:val="0"/>
          <w:lang w:val="en-GB" w:eastAsia="en-US"/>
        </w:rPr>
        <w:t>s</w:t>
      </w:r>
      <w:r>
        <w:rPr>
          <w:rFonts w:asciiTheme="minorHAnsi" w:hAnsiTheme="minorHAnsi"/>
          <w:snapToGrid w:val="0"/>
          <w:lang w:val="en-GB" w:eastAsia="en-US"/>
        </w:rPr>
        <w:t>BA</w:t>
      </w:r>
      <w:r w:rsidRPr="00172037">
        <w:rPr>
          <w:rFonts w:asciiTheme="minorHAnsi" w:hAnsiTheme="minorHAnsi"/>
          <w:snapToGrid w:val="0"/>
          <w:lang w:val="en-GB" w:eastAsia="en-US"/>
        </w:rPr>
        <w:t xml:space="preserve"> and severe pruritis,</w:t>
      </w:r>
      <w:r w:rsidRPr="00F85F1F">
        <w:rPr>
          <w:rFonts w:asciiTheme="minorHAnsi" w:hAnsiTheme="minorHAnsi"/>
          <w:snapToGrid w:val="0"/>
          <w:lang w:val="en-GB" w:eastAsia="en-US"/>
        </w:rPr>
        <w:t xml:space="preserve"> over </w:t>
      </w:r>
      <w:r w:rsidR="00D20FDE">
        <w:rPr>
          <w:rFonts w:asciiTheme="minorHAnsi" w:hAnsiTheme="minorHAnsi"/>
          <w:snapToGrid w:val="0"/>
          <w:lang w:val="en-GB" w:eastAsia="en-US"/>
        </w:rPr>
        <w:t>standard of care</w:t>
      </w:r>
      <w:r w:rsidRPr="00F85F1F">
        <w:rPr>
          <w:rFonts w:asciiTheme="minorHAnsi" w:hAnsiTheme="minorHAnsi"/>
          <w:snapToGrid w:val="0"/>
          <w:lang w:val="en-GB" w:eastAsia="en-US"/>
        </w:rPr>
        <w:t>.</w:t>
      </w:r>
      <w:r>
        <w:rPr>
          <w:rFonts w:asciiTheme="minorHAnsi" w:hAnsiTheme="minorHAnsi"/>
          <w:snapToGrid w:val="0"/>
          <w:lang w:val="en-GB" w:eastAsia="en-US"/>
        </w:rPr>
        <w:t xml:space="preserve"> </w:t>
      </w:r>
      <w:r w:rsidRPr="008B207B">
        <w:rPr>
          <w:rFonts w:asciiTheme="minorHAnsi" w:hAnsiTheme="minorHAnsi"/>
          <w:snapToGrid w:val="0"/>
          <w:lang w:val="en-GB" w:eastAsia="en-US"/>
        </w:rPr>
        <w:t xml:space="preserve">The PBAC noted that a significant price reduction </w:t>
      </w:r>
      <w:r>
        <w:rPr>
          <w:rFonts w:asciiTheme="minorHAnsi" w:hAnsiTheme="minorHAnsi"/>
          <w:snapToGrid w:val="0"/>
          <w:lang w:val="en-GB" w:eastAsia="en-US"/>
        </w:rPr>
        <w:t xml:space="preserve">is </w:t>
      </w:r>
      <w:r w:rsidRPr="008B207B">
        <w:rPr>
          <w:rFonts w:asciiTheme="minorHAnsi" w:hAnsiTheme="minorHAnsi"/>
          <w:snapToGrid w:val="0"/>
          <w:lang w:val="en-GB" w:eastAsia="en-US"/>
        </w:rPr>
        <w:t xml:space="preserve">required </w:t>
      </w:r>
      <w:r>
        <w:rPr>
          <w:rFonts w:asciiTheme="minorHAnsi" w:hAnsiTheme="minorHAnsi"/>
          <w:snapToGrid w:val="0"/>
          <w:lang w:val="en-GB" w:eastAsia="en-US"/>
        </w:rPr>
        <w:t xml:space="preserve">for odevixibat </w:t>
      </w:r>
      <w:r w:rsidRPr="008B207B">
        <w:rPr>
          <w:rFonts w:asciiTheme="minorHAnsi" w:hAnsiTheme="minorHAnsi"/>
          <w:snapToGrid w:val="0"/>
          <w:lang w:val="en-GB" w:eastAsia="en-US"/>
        </w:rPr>
        <w:t>to be cost-effective (as outlined in paragraph</w:t>
      </w:r>
      <w:r>
        <w:rPr>
          <w:rFonts w:asciiTheme="minorHAnsi" w:hAnsiTheme="minorHAnsi"/>
          <w:snapToGrid w:val="0"/>
          <w:lang w:val="en-GB" w:eastAsia="en-US"/>
        </w:rPr>
        <w:t xml:space="preserve"> </w:t>
      </w:r>
      <w:r w:rsidR="00250D2D">
        <w:rPr>
          <w:rFonts w:asciiTheme="minorHAnsi" w:hAnsiTheme="minorHAnsi"/>
          <w:snapToGrid w:val="0"/>
          <w:highlight w:val="yellow"/>
          <w:lang w:val="en-GB" w:eastAsia="en-US"/>
        </w:rPr>
        <w:fldChar w:fldCharType="begin"/>
      </w:r>
      <w:r w:rsidR="00250D2D">
        <w:rPr>
          <w:rFonts w:asciiTheme="minorHAnsi" w:hAnsiTheme="minorHAnsi"/>
          <w:snapToGrid w:val="0"/>
          <w:lang w:val="en-GB" w:eastAsia="en-US"/>
        </w:rPr>
        <w:instrText xml:space="preserve"> REF _Ref176787641 \r \h </w:instrText>
      </w:r>
      <w:r w:rsidR="00250D2D">
        <w:rPr>
          <w:rFonts w:asciiTheme="minorHAnsi" w:hAnsiTheme="minorHAnsi"/>
          <w:snapToGrid w:val="0"/>
          <w:highlight w:val="yellow"/>
          <w:lang w:val="en-GB" w:eastAsia="en-US"/>
        </w:rPr>
      </w:r>
      <w:r w:rsidR="00250D2D">
        <w:rPr>
          <w:rFonts w:asciiTheme="minorHAnsi" w:hAnsiTheme="minorHAnsi"/>
          <w:snapToGrid w:val="0"/>
          <w:highlight w:val="yellow"/>
          <w:lang w:val="en-GB" w:eastAsia="en-US"/>
        </w:rPr>
        <w:fldChar w:fldCharType="separate"/>
      </w:r>
      <w:r w:rsidR="008B4717">
        <w:rPr>
          <w:rFonts w:asciiTheme="minorHAnsi" w:hAnsiTheme="minorHAnsi"/>
          <w:snapToGrid w:val="0"/>
          <w:lang w:val="en-GB" w:eastAsia="en-US"/>
        </w:rPr>
        <w:t>7.21</w:t>
      </w:r>
      <w:r w:rsidR="00250D2D">
        <w:rPr>
          <w:rFonts w:asciiTheme="minorHAnsi" w:hAnsiTheme="minorHAnsi"/>
          <w:snapToGrid w:val="0"/>
          <w:highlight w:val="yellow"/>
          <w:lang w:val="en-GB" w:eastAsia="en-US"/>
        </w:rPr>
        <w:fldChar w:fldCharType="end"/>
      </w:r>
      <w:r w:rsidRPr="008B207B">
        <w:rPr>
          <w:rFonts w:asciiTheme="minorHAnsi" w:hAnsiTheme="minorHAnsi"/>
          <w:snapToGrid w:val="0"/>
          <w:lang w:val="en-GB" w:eastAsia="en-US"/>
        </w:rPr>
        <w:t>), but if the sponsor is able to proceed on this basis then a facilitated resolution pathway may be acceptable for a resubmission (as defined in the Procedure Guidance for listing medicines on the Pharmaceutical Benefits Scheme).</w:t>
      </w:r>
      <w:r>
        <w:rPr>
          <w:rFonts w:asciiTheme="minorHAnsi" w:hAnsiTheme="minorHAnsi"/>
          <w:snapToGrid w:val="0"/>
          <w:lang w:val="en-GB" w:eastAsia="en-US"/>
        </w:rPr>
        <w:t xml:space="preserve"> </w:t>
      </w:r>
      <w:r>
        <w:rPr>
          <w:rFonts w:asciiTheme="minorHAnsi" w:hAnsiTheme="minorHAnsi"/>
          <w:snapToGrid w:val="0"/>
          <w:lang w:val="en-GB"/>
        </w:rPr>
        <w:t>As part of this pathway, prior to</w:t>
      </w:r>
      <w:r w:rsidRPr="00171A42">
        <w:rPr>
          <w:rFonts w:asciiTheme="minorHAnsi" w:hAnsiTheme="minorHAnsi"/>
          <w:snapToGrid w:val="0"/>
          <w:lang w:val="en-GB"/>
        </w:rPr>
        <w:t xml:space="preserve"> a resubmission for </w:t>
      </w:r>
      <w:r w:rsidR="00606A36">
        <w:rPr>
          <w:rFonts w:asciiTheme="minorHAnsi" w:hAnsiTheme="minorHAnsi"/>
          <w:snapToGrid w:val="0"/>
          <w:lang w:val="en-GB"/>
        </w:rPr>
        <w:t>odevixibat</w:t>
      </w:r>
      <w:r w:rsidRPr="00171A42">
        <w:rPr>
          <w:rFonts w:asciiTheme="minorHAnsi" w:hAnsiTheme="minorHAnsi"/>
          <w:snapToGrid w:val="0"/>
          <w:lang w:val="en-GB"/>
        </w:rPr>
        <w:t xml:space="preserve"> </w:t>
      </w:r>
      <w:r>
        <w:rPr>
          <w:rFonts w:asciiTheme="minorHAnsi" w:hAnsiTheme="minorHAnsi"/>
          <w:snapToGrid w:val="0"/>
          <w:lang w:val="en-GB"/>
        </w:rPr>
        <w:t>being</w:t>
      </w:r>
      <w:r w:rsidRPr="00171A42">
        <w:rPr>
          <w:rFonts w:asciiTheme="minorHAnsi" w:hAnsiTheme="minorHAnsi"/>
          <w:snapToGrid w:val="0"/>
          <w:lang w:val="en-GB"/>
        </w:rPr>
        <w:t xml:space="preserve"> made, the PBAC would like to offer the sponsor a solution-focussed workshop with one or more members of the PBAC, to explore feasible options to address the following issues: </w:t>
      </w:r>
    </w:p>
    <w:p w14:paraId="0E1E689C" w14:textId="79EE0C21" w:rsidR="00D20FDE" w:rsidRDefault="00D20FDE" w:rsidP="002F76D4">
      <w:pPr>
        <w:pStyle w:val="ListParagraph"/>
        <w:widowControl w:val="0"/>
        <w:numPr>
          <w:ilvl w:val="0"/>
          <w:numId w:val="42"/>
        </w:numPr>
        <w:ind w:left="1077" w:hanging="357"/>
        <w:rPr>
          <w:lang w:val="en-GB"/>
        </w:rPr>
      </w:pPr>
      <w:bookmarkStart w:id="126" w:name="_Hlk174694764"/>
      <w:r>
        <w:rPr>
          <w:lang w:val="en-GB"/>
        </w:rPr>
        <w:t>The restriction issues, as outlined in paragraph</w:t>
      </w:r>
      <w:r w:rsidR="00341260">
        <w:rPr>
          <w:lang w:val="en-GB"/>
        </w:rPr>
        <w:t xml:space="preserve"> 7.4</w:t>
      </w:r>
      <w:r w:rsidR="009C452A">
        <w:rPr>
          <w:lang w:val="en-GB"/>
        </w:rPr>
        <w:t xml:space="preserve">, including the feasibility of </w:t>
      </w:r>
      <w:r w:rsidR="005D2EBF">
        <w:rPr>
          <w:lang w:val="en-GB"/>
        </w:rPr>
        <w:t xml:space="preserve">requiring </w:t>
      </w:r>
      <w:r w:rsidR="009C452A">
        <w:rPr>
          <w:lang w:val="en-GB"/>
        </w:rPr>
        <w:t xml:space="preserve">confirmatory genetic testing </w:t>
      </w:r>
      <w:r w:rsidR="005D2EBF">
        <w:rPr>
          <w:lang w:val="en-GB"/>
        </w:rPr>
        <w:t>as per the clinical trial</w:t>
      </w:r>
      <w:r>
        <w:rPr>
          <w:lang w:val="en-GB"/>
        </w:rPr>
        <w:t xml:space="preserve">; </w:t>
      </w:r>
    </w:p>
    <w:p w14:paraId="1752E8AD" w14:textId="48E73AE4" w:rsidR="00D20FDE" w:rsidRDefault="00D20FDE" w:rsidP="002F76D4">
      <w:pPr>
        <w:pStyle w:val="ListBullet"/>
        <w:numPr>
          <w:ilvl w:val="0"/>
          <w:numId w:val="42"/>
        </w:numPr>
        <w:spacing w:after="120"/>
        <w:contextualSpacing w:val="0"/>
        <w:rPr>
          <w:lang w:val="en-GB"/>
        </w:rPr>
      </w:pPr>
      <w:r>
        <w:rPr>
          <w:lang w:val="en-GB"/>
        </w:rPr>
        <w:t xml:space="preserve">The economic modelling issues, as outlined in paragraphs </w:t>
      </w:r>
      <w:r w:rsidR="00341260">
        <w:rPr>
          <w:lang w:val="en-GB"/>
        </w:rPr>
        <w:t>7.15 to 7.22</w:t>
      </w:r>
      <w:r w:rsidR="00F51CCB">
        <w:rPr>
          <w:lang w:val="en-GB"/>
        </w:rPr>
        <w:t xml:space="preserve">, including a </w:t>
      </w:r>
      <w:r w:rsidR="00E01BE8">
        <w:rPr>
          <w:lang w:val="en-GB"/>
        </w:rPr>
        <w:t xml:space="preserve">higher </w:t>
      </w:r>
      <w:r w:rsidR="00F51CCB">
        <w:rPr>
          <w:lang w:val="en-GB"/>
        </w:rPr>
        <w:t xml:space="preserve">price for the </w:t>
      </w:r>
      <w:r w:rsidR="00F51CCB">
        <w:rPr>
          <w:lang w:val="en-GB" w:eastAsia="en-US"/>
        </w:rPr>
        <w:t xml:space="preserve">120 mcg/kg/day dose </w:t>
      </w:r>
      <w:r w:rsidR="00E01BE8">
        <w:rPr>
          <w:lang w:val="en-GB" w:eastAsia="en-US"/>
        </w:rPr>
        <w:t>versus</w:t>
      </w:r>
      <w:r w:rsidR="00360520">
        <w:rPr>
          <w:lang w:val="en-GB" w:eastAsia="en-US"/>
        </w:rPr>
        <w:t xml:space="preserve"> the 40 mcg/kg/day dose </w:t>
      </w:r>
      <w:r w:rsidR="00F51CCB">
        <w:rPr>
          <w:lang w:val="en-GB" w:eastAsia="en-US"/>
        </w:rPr>
        <w:t>not being supported</w:t>
      </w:r>
      <w:r w:rsidR="00360520">
        <w:rPr>
          <w:lang w:val="en-GB" w:eastAsia="en-US"/>
        </w:rPr>
        <w:t xml:space="preserve"> by the clinical evidence</w:t>
      </w:r>
      <w:r>
        <w:rPr>
          <w:lang w:val="en-GB"/>
        </w:rPr>
        <w:t>; and</w:t>
      </w:r>
    </w:p>
    <w:p w14:paraId="72785058" w14:textId="39370E8C" w:rsidR="008B207B" w:rsidRPr="00D20FDE" w:rsidRDefault="00D20FDE" w:rsidP="002F76D4">
      <w:pPr>
        <w:pStyle w:val="ListBullet"/>
        <w:numPr>
          <w:ilvl w:val="0"/>
          <w:numId w:val="42"/>
        </w:numPr>
        <w:spacing w:after="120"/>
        <w:ind w:left="1077" w:hanging="357"/>
        <w:contextualSpacing w:val="0"/>
        <w:rPr>
          <w:lang w:val="en-GB"/>
        </w:rPr>
      </w:pPr>
      <w:r>
        <w:rPr>
          <w:lang w:val="en-GB"/>
        </w:rPr>
        <w:lastRenderedPageBreak/>
        <w:t xml:space="preserve">The </w:t>
      </w:r>
      <w:r w:rsidR="00765929">
        <w:rPr>
          <w:lang w:val="en-GB"/>
        </w:rPr>
        <w:t>utilisation of</w:t>
      </w:r>
      <w:r>
        <w:rPr>
          <w:lang w:val="en-GB"/>
        </w:rPr>
        <w:t xml:space="preserve"> </w:t>
      </w:r>
      <w:r w:rsidR="003471A1">
        <w:rPr>
          <w:lang w:val="en-GB"/>
        </w:rPr>
        <w:t>odevixibat</w:t>
      </w:r>
      <w:r>
        <w:rPr>
          <w:lang w:val="en-GB"/>
        </w:rPr>
        <w:t xml:space="preserve">, </w:t>
      </w:r>
      <w:r w:rsidR="00F51CCB">
        <w:rPr>
          <w:lang w:val="en-GB"/>
        </w:rPr>
        <w:t xml:space="preserve">and appropriate RSA structure, </w:t>
      </w:r>
      <w:r>
        <w:rPr>
          <w:lang w:val="en-GB"/>
        </w:rPr>
        <w:t>as outlined in paragraph</w:t>
      </w:r>
      <w:r w:rsidR="00341260">
        <w:rPr>
          <w:lang w:val="en-GB"/>
        </w:rPr>
        <w:t xml:space="preserve"> 7.23</w:t>
      </w:r>
      <w:r w:rsidR="00A04221">
        <w:rPr>
          <w:lang w:val="en-GB"/>
        </w:rPr>
        <w:t xml:space="preserve">, including accounting </w:t>
      </w:r>
      <w:r w:rsidR="00AF1901">
        <w:rPr>
          <w:lang w:val="en-GB"/>
        </w:rPr>
        <w:t xml:space="preserve">for the </w:t>
      </w:r>
      <w:r w:rsidR="00F65055">
        <w:rPr>
          <w:lang w:val="en-GB"/>
        </w:rPr>
        <w:t xml:space="preserve">proportion of patients </w:t>
      </w:r>
      <w:r w:rsidR="00043638" w:rsidRPr="002D1920">
        <w:t xml:space="preserve">unlikely to respond </w:t>
      </w:r>
      <w:r w:rsidR="008A521F">
        <w:t>due to</w:t>
      </w:r>
      <w:r w:rsidR="00F51CCB">
        <w:t xml:space="preserve"> a</w:t>
      </w:r>
      <w:r w:rsidR="008A521F">
        <w:t xml:space="preserve"> </w:t>
      </w:r>
      <w:r w:rsidR="00EB15A2">
        <w:t xml:space="preserve">non-responsive </w:t>
      </w:r>
      <w:r w:rsidR="008A521F">
        <w:t>genotype</w:t>
      </w:r>
      <w:r>
        <w:rPr>
          <w:lang w:val="en-GB"/>
        </w:rPr>
        <w:t>.</w:t>
      </w:r>
    </w:p>
    <w:bookmarkEnd w:id="126"/>
    <w:p w14:paraId="38D09A15" w14:textId="384D59A8" w:rsidR="008B207B" w:rsidRDefault="008B207B" w:rsidP="008B207B">
      <w:pPr>
        <w:widowControl w:val="0"/>
        <w:spacing w:after="120"/>
        <w:ind w:left="720"/>
        <w:rPr>
          <w:rFonts w:asciiTheme="minorHAnsi" w:hAnsiTheme="minorHAnsi"/>
          <w:snapToGrid w:val="0"/>
          <w:lang w:val="en-GB"/>
        </w:rPr>
      </w:pPr>
      <w:r w:rsidRPr="00CE42B4">
        <w:rPr>
          <w:rFonts w:asciiTheme="minorHAnsi" w:hAnsiTheme="minorHAnsi"/>
          <w:snapToGrid w:val="0"/>
          <w:lang w:val="en-GB"/>
        </w:rPr>
        <w:t>The workshop agenda would be based on the issues for resolution outlined above. It should be noted that any advice provided by members of the PBAC, the sponsor or the department in a workshop is in no way binding on the PBAC, the department, sponsor, evaluation groups or sub-committees of the PBAC. If this option is not acceptable to the sponsor</w:t>
      </w:r>
      <w:r w:rsidR="00625A11">
        <w:rPr>
          <w:rFonts w:asciiTheme="minorHAnsi" w:hAnsiTheme="minorHAnsi"/>
          <w:snapToGrid w:val="0"/>
          <w:lang w:val="en-GB"/>
        </w:rPr>
        <w:t>,</w:t>
      </w:r>
      <w:r>
        <w:rPr>
          <w:rFonts w:asciiTheme="minorHAnsi" w:hAnsiTheme="minorHAnsi"/>
          <w:snapToGrid w:val="0"/>
          <w:lang w:val="en-GB"/>
        </w:rPr>
        <w:t xml:space="preserve"> </w:t>
      </w:r>
      <w:r w:rsidRPr="00CE42B4">
        <w:rPr>
          <w:rFonts w:asciiTheme="minorHAnsi" w:hAnsiTheme="minorHAnsi"/>
          <w:snapToGrid w:val="0"/>
          <w:lang w:val="en-GB"/>
        </w:rPr>
        <w:t>a standard re-entry pathway is available.</w:t>
      </w:r>
    </w:p>
    <w:p w14:paraId="778A75E6" w14:textId="5AD1D80A" w:rsidR="00517A17" w:rsidRPr="008B207B" w:rsidRDefault="00517A17" w:rsidP="00517A17">
      <w:pPr>
        <w:pStyle w:val="3-BodyText"/>
        <w:rPr>
          <w:lang w:val="en-GB"/>
        </w:rPr>
      </w:pPr>
      <w:r>
        <w:rPr>
          <w:lang w:val="en-GB"/>
        </w:rPr>
        <w:t xml:space="preserve">The PBAC advised that any resubmission </w:t>
      </w:r>
      <w:r>
        <w:t>should be based on most recent clinical data (i.e., latest follow up) and provide adequate details for validation (i.e., OvEC Part A and Part B).</w:t>
      </w:r>
    </w:p>
    <w:p w14:paraId="668F0F09" w14:textId="00425111" w:rsidR="000A45B0" w:rsidRPr="000A45B0" w:rsidRDefault="000A45B0" w:rsidP="00103CAF">
      <w:pPr>
        <w:widowControl w:val="0"/>
        <w:numPr>
          <w:ilvl w:val="1"/>
          <w:numId w:val="1"/>
        </w:numPr>
        <w:spacing w:after="120"/>
        <w:jc w:val="left"/>
        <w:rPr>
          <w:rFonts w:asciiTheme="minorHAnsi" w:hAnsiTheme="minorHAnsi"/>
          <w:bCs/>
          <w:snapToGrid w:val="0"/>
          <w:lang w:val="en-GB" w:eastAsia="en-US"/>
        </w:rPr>
      </w:pPr>
      <w:r w:rsidRPr="000A45B0">
        <w:rPr>
          <w:rFonts w:asciiTheme="minorHAnsi" w:hAnsiTheme="minorHAnsi"/>
          <w:bCs/>
          <w:snapToGrid w:val="0"/>
          <w:lang w:val="en-GB" w:eastAsia="en-US"/>
        </w:rPr>
        <w:t xml:space="preserve">The PBAC noted that this submission is eligible for an Independent Review. </w:t>
      </w:r>
    </w:p>
    <w:p w14:paraId="1940B133" w14:textId="77777777" w:rsidR="000A45B0" w:rsidRPr="000A45B0" w:rsidRDefault="000A45B0" w:rsidP="000A45B0">
      <w:pPr>
        <w:spacing w:before="240"/>
        <w:rPr>
          <w:rFonts w:asciiTheme="minorHAnsi" w:hAnsiTheme="minorHAnsi"/>
          <w:b/>
          <w:bCs/>
          <w:snapToGrid w:val="0"/>
          <w:lang w:val="en-GB" w:eastAsia="en-US"/>
        </w:rPr>
      </w:pPr>
      <w:r w:rsidRPr="000A45B0">
        <w:rPr>
          <w:rFonts w:asciiTheme="minorHAnsi" w:hAnsiTheme="minorHAnsi"/>
          <w:b/>
          <w:bCs/>
          <w:snapToGrid w:val="0"/>
          <w:lang w:val="en-GB" w:eastAsia="en-US"/>
        </w:rPr>
        <w:t>Outcome:</w:t>
      </w:r>
    </w:p>
    <w:p w14:paraId="61DABEB4" w14:textId="2B928FF9" w:rsidR="000A45B0" w:rsidRDefault="000A45B0" w:rsidP="000A45B0">
      <w:pPr>
        <w:spacing w:after="120"/>
        <w:rPr>
          <w:rFonts w:asciiTheme="minorHAnsi" w:hAnsiTheme="minorHAnsi"/>
          <w:bCs/>
          <w:snapToGrid w:val="0"/>
          <w:lang w:val="en-GB" w:eastAsia="en-US"/>
        </w:rPr>
      </w:pPr>
      <w:r w:rsidRPr="000A45B0">
        <w:rPr>
          <w:rFonts w:asciiTheme="minorHAnsi" w:hAnsiTheme="minorHAnsi"/>
          <w:bCs/>
          <w:snapToGrid w:val="0"/>
          <w:lang w:val="en-GB" w:eastAsia="en-US"/>
        </w:rPr>
        <w:t>Not recommended</w:t>
      </w:r>
      <w:bookmarkEnd w:id="34"/>
      <w:bookmarkEnd w:id="116"/>
      <w:bookmarkEnd w:id="117"/>
    </w:p>
    <w:p w14:paraId="714C34EA" w14:textId="3471F240" w:rsidR="00032452" w:rsidRPr="001D532A" w:rsidRDefault="00032452" w:rsidP="001D532A">
      <w:pPr>
        <w:pStyle w:val="2-SectionHeading"/>
      </w:pPr>
      <w:r w:rsidRPr="00C07617">
        <w:t>Context for Decision</w:t>
      </w:r>
    </w:p>
    <w:p w14:paraId="1396DC1D" w14:textId="77777777" w:rsidR="00032452" w:rsidRPr="00311EEF" w:rsidRDefault="00032452" w:rsidP="00032452">
      <w:pPr>
        <w:spacing w:after="120"/>
        <w:ind w:left="720"/>
        <w:rPr>
          <w:rFonts w:asciiTheme="minorHAnsi" w:hAnsiTheme="minorHAnsi"/>
          <w:bCs/>
          <w:lang w:val="en-GB"/>
        </w:rPr>
      </w:pPr>
      <w:r w:rsidRPr="00311EEF">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D86F59E" w14:textId="613C0D31" w:rsidR="00032452" w:rsidRPr="00311EEF" w:rsidRDefault="00032452" w:rsidP="00032452">
      <w:pPr>
        <w:pStyle w:val="2-SectionHeading"/>
      </w:pPr>
      <w:r w:rsidRPr="00311EEF">
        <w:t>Sponsor’s Comment</w:t>
      </w:r>
    </w:p>
    <w:p w14:paraId="4712B244" w14:textId="759A5DA8" w:rsidR="007D2A2C" w:rsidRPr="000A2B81" w:rsidRDefault="00032452" w:rsidP="000A2B81">
      <w:pPr>
        <w:spacing w:after="120"/>
        <w:ind w:left="720"/>
        <w:rPr>
          <w:rFonts w:asciiTheme="minorHAnsi" w:hAnsiTheme="minorHAnsi"/>
          <w:bCs/>
        </w:rPr>
      </w:pPr>
      <w:r w:rsidRPr="00C07617">
        <w:rPr>
          <w:rFonts w:asciiTheme="minorHAnsi" w:hAnsiTheme="minorHAnsi"/>
          <w:bCs/>
        </w:rPr>
        <w:t>The sponsor had no comment.</w:t>
      </w:r>
    </w:p>
    <w:sectPr w:rsidR="007D2A2C" w:rsidRPr="000A2B81" w:rsidSect="00446A5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6C968" w14:textId="77777777" w:rsidR="005F2570" w:rsidRDefault="005F2570" w:rsidP="00124A51">
      <w:r>
        <w:separator/>
      </w:r>
    </w:p>
    <w:p w14:paraId="01795920" w14:textId="77777777" w:rsidR="005F2570" w:rsidRDefault="005F2570"/>
  </w:endnote>
  <w:endnote w:type="continuationSeparator" w:id="0">
    <w:p w14:paraId="2FF9B2D8" w14:textId="77777777" w:rsidR="005F2570" w:rsidRDefault="005F2570" w:rsidP="00124A51">
      <w:r>
        <w:continuationSeparator/>
      </w:r>
    </w:p>
    <w:p w14:paraId="194ECBCB" w14:textId="77777777" w:rsidR="005F2570" w:rsidRDefault="005F2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Sabon">
    <w:altName w:val="Times New Roman"/>
    <w:charset w:val="00"/>
    <w:family w:val="roman"/>
    <w:pitch w:val="variable"/>
    <w:sig w:usb0="00000001" w:usb1="00000000" w:usb2="00000000" w:usb3="00000000" w:csb0="0000009F"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070C" w14:textId="77777777" w:rsidR="0066157F" w:rsidRDefault="00661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77B5" w14:textId="77777777" w:rsidR="00446A51" w:rsidRDefault="00446A51">
    <w:pPr>
      <w:pStyle w:val="Footer"/>
      <w:jc w:val="center"/>
    </w:pPr>
  </w:p>
  <w:p w14:paraId="68E4A4C3" w14:textId="32BFBCA8" w:rsidR="00446A51" w:rsidRPr="007D2A2C" w:rsidRDefault="008B4717" w:rsidP="007D2A2C">
    <w:pPr>
      <w:pStyle w:val="Footer"/>
      <w:jc w:val="center"/>
      <w:rPr>
        <w:b/>
        <w:bCs/>
      </w:rPr>
    </w:pPr>
    <w:sdt>
      <w:sdtPr>
        <w:id w:val="1235750006"/>
        <w:docPartObj>
          <w:docPartGallery w:val="Page Numbers (Bottom of Page)"/>
          <w:docPartUnique/>
        </w:docPartObj>
      </w:sdtPr>
      <w:sdtEndPr>
        <w:rPr>
          <w:b/>
          <w:bCs/>
          <w:noProof/>
        </w:rPr>
      </w:sdtEndPr>
      <w:sdtContent>
        <w:r w:rsidR="00446A51" w:rsidRPr="00D12904">
          <w:rPr>
            <w:b/>
            <w:bCs/>
          </w:rPr>
          <w:fldChar w:fldCharType="begin"/>
        </w:r>
        <w:r w:rsidR="00446A51" w:rsidRPr="00D12904">
          <w:rPr>
            <w:b/>
            <w:bCs/>
          </w:rPr>
          <w:instrText xml:space="preserve"> PAGE   \* MERGEFORMAT </w:instrText>
        </w:r>
        <w:r w:rsidR="00446A51" w:rsidRPr="00D12904">
          <w:rPr>
            <w:b/>
            <w:bCs/>
          </w:rPr>
          <w:fldChar w:fldCharType="separate"/>
        </w:r>
        <w:r w:rsidR="00446A51" w:rsidRPr="00D12904">
          <w:rPr>
            <w:b/>
            <w:bCs/>
            <w:noProof/>
          </w:rPr>
          <w:t>2</w:t>
        </w:r>
        <w:r w:rsidR="00446A51" w:rsidRPr="00D12904">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4CA2" w14:textId="77777777" w:rsidR="0066157F" w:rsidRDefault="00661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04999" w14:textId="77777777" w:rsidR="005F2570" w:rsidRDefault="005F2570" w:rsidP="00124A51">
      <w:r>
        <w:separator/>
      </w:r>
    </w:p>
    <w:p w14:paraId="58C476D4" w14:textId="77777777" w:rsidR="005F2570" w:rsidRDefault="005F2570"/>
  </w:footnote>
  <w:footnote w:type="continuationSeparator" w:id="0">
    <w:p w14:paraId="64A547A8" w14:textId="77777777" w:rsidR="005F2570" w:rsidRDefault="005F2570" w:rsidP="00124A51">
      <w:r>
        <w:continuationSeparator/>
      </w:r>
    </w:p>
    <w:p w14:paraId="33BAD65E" w14:textId="77777777" w:rsidR="005F2570" w:rsidRDefault="005F2570"/>
  </w:footnote>
  <w:footnote w:id="1">
    <w:p w14:paraId="2FE46CC1" w14:textId="038E6892" w:rsidR="001B385E" w:rsidRDefault="001B385E">
      <w:pPr>
        <w:pStyle w:val="FootnoteText"/>
      </w:pPr>
      <w:r>
        <w:rPr>
          <w:rStyle w:val="FootnoteReference"/>
        </w:rPr>
        <w:footnoteRef/>
      </w:r>
      <w:r>
        <w:t xml:space="preserve"> Liver disease basics, PFIC Advocacy &amp; Resource Network, Inc. Available at: </w:t>
      </w:r>
      <w:r w:rsidRPr="001B385E">
        <w:t>https://www.pfic.org/learn-about-pfic-disease/liver-disease/</w:t>
      </w:r>
    </w:p>
  </w:footnote>
  <w:footnote w:id="2">
    <w:p w14:paraId="0FA8602B" w14:textId="5A7EAB28" w:rsidR="004C27E0" w:rsidRDefault="004C27E0">
      <w:pPr>
        <w:pStyle w:val="FootnoteText"/>
      </w:pPr>
      <w:r>
        <w:rPr>
          <w:rStyle w:val="FootnoteReference"/>
        </w:rPr>
        <w:footnoteRef/>
      </w:r>
      <w:r>
        <w:t xml:space="preserve"> Van Wessel DBE, et al. </w:t>
      </w:r>
      <w:r w:rsidRPr="00AA470E">
        <w:t>(2020). Genotype correlates with the natural history of severe bile salt export pump deficiency. J Hepatol 73(1): 84-93.</w:t>
      </w:r>
    </w:p>
  </w:footnote>
  <w:footnote w:id="3">
    <w:p w14:paraId="539D465E" w14:textId="5D9F50EE" w:rsidR="004C27E0" w:rsidRDefault="004C27E0">
      <w:pPr>
        <w:pStyle w:val="FootnoteText"/>
      </w:pPr>
      <w:r>
        <w:rPr>
          <w:rStyle w:val="FootnoteReference"/>
        </w:rPr>
        <w:footnoteRef/>
      </w:r>
      <w:r>
        <w:t xml:space="preserve"> </w:t>
      </w:r>
      <w:r w:rsidRPr="00997B0C">
        <w:t>Alam</w:t>
      </w:r>
      <w:r>
        <w:t xml:space="preserve">, </w:t>
      </w:r>
      <w:r w:rsidRPr="00997B0C">
        <w:t>S</w:t>
      </w:r>
      <w:r>
        <w:t xml:space="preserve"> &amp;</w:t>
      </w:r>
      <w:r w:rsidRPr="00997B0C">
        <w:t xml:space="preserve"> Lal</w:t>
      </w:r>
      <w:r>
        <w:t>,</w:t>
      </w:r>
      <w:r w:rsidRPr="00997B0C">
        <w:t xml:space="preserve"> BB</w:t>
      </w:r>
      <w:r>
        <w:t xml:space="preserve"> (2022)</w:t>
      </w:r>
      <w:r w:rsidRPr="00997B0C">
        <w:t>. Recent updates on progressive familial intrahepatic cholestasis types 1, 2 and 3: Outcome and therapeutic strategies. World J Hepatol. 14(1):98-118. doi: 10.4254/wjh.v14.i1.98. PMID: 35126842; PMCID: PMC8790387.</w:t>
      </w:r>
    </w:p>
  </w:footnote>
  <w:footnote w:id="4">
    <w:p w14:paraId="55E5D82C" w14:textId="15C8EDDE" w:rsidR="008E3206" w:rsidRPr="0030512D" w:rsidRDefault="008E3206" w:rsidP="008E3206">
      <w:pPr>
        <w:pStyle w:val="FootnoteText"/>
      </w:pPr>
      <w:r>
        <w:rPr>
          <w:rStyle w:val="FootnoteReference"/>
        </w:rPr>
        <w:footnoteRef/>
      </w:r>
      <w:r>
        <w:t xml:space="preserve"> </w:t>
      </w:r>
      <w:hyperlink r:id="rId1" w:history="1">
        <w:r w:rsidRPr="0030512D">
          <w:rPr>
            <w:rStyle w:val="Hyperlink"/>
            <w:color w:val="auto"/>
            <w:u w:val="none"/>
          </w:rPr>
          <w:t>Consideration of the evidence</w:t>
        </w:r>
        <w:r w:rsidR="0030512D" w:rsidRPr="0030512D">
          <w:rPr>
            <w:rStyle w:val="Hyperlink"/>
            <w:color w:val="auto"/>
            <w:u w:val="none"/>
          </w:rPr>
          <w:t xml:space="preserve">; </w:t>
        </w:r>
        <w:r w:rsidRPr="0030512D">
          <w:rPr>
            <w:rStyle w:val="Hyperlink"/>
            <w:color w:val="auto"/>
            <w:u w:val="none"/>
          </w:rPr>
          <w:t>Odevixibat for treating progressive familial intrahepatic cholestasis</w:t>
        </w:r>
        <w:r w:rsidR="0030512D" w:rsidRPr="0030512D">
          <w:rPr>
            <w:rStyle w:val="Hyperlink"/>
            <w:color w:val="auto"/>
            <w:u w:val="none"/>
          </w:rPr>
          <w:t>.</w:t>
        </w:r>
        <w:r w:rsidRPr="0030512D">
          <w:rPr>
            <w:rStyle w:val="Hyperlink"/>
            <w:color w:val="auto"/>
            <w:u w:val="none"/>
          </w:rPr>
          <w:t xml:space="preserve"> Guidance</w:t>
        </w:r>
        <w:r w:rsidR="0030512D" w:rsidRPr="0030512D">
          <w:rPr>
            <w:rStyle w:val="Hyperlink"/>
            <w:color w:val="auto"/>
            <w:u w:val="none"/>
          </w:rPr>
          <w:t>,</w:t>
        </w:r>
        <w:r w:rsidRPr="0030512D">
          <w:rPr>
            <w:rStyle w:val="Hyperlink"/>
            <w:color w:val="auto"/>
            <w:u w:val="none"/>
          </w:rPr>
          <w:t xml:space="preserve"> NICE</w:t>
        </w:r>
      </w:hyperlink>
    </w:p>
  </w:footnote>
  <w:footnote w:id="5">
    <w:p w14:paraId="4D1C8B85" w14:textId="77777777" w:rsidR="004463A5" w:rsidRDefault="004463A5" w:rsidP="004463A5">
      <w:pPr>
        <w:pStyle w:val="FootnoteText"/>
      </w:pPr>
      <w:r>
        <w:rPr>
          <w:rStyle w:val="FootnoteReference"/>
        </w:rPr>
        <w:footnoteRef/>
      </w:r>
      <w:r>
        <w:t xml:space="preserve"> McKiernan, P, et al. (2024) Opinion paper on the diagnosis and treatment of progressive familial intrahepatic cholestasis. JHEP Reports, Volume 6, Issue 1, DOI: </w:t>
      </w:r>
      <w:r w:rsidRPr="00632083">
        <w:t>https://doi.org/10.1016/j.jhepr.2023.100949</w:t>
      </w:r>
    </w:p>
  </w:footnote>
  <w:footnote w:id="6">
    <w:p w14:paraId="4B8812D0" w14:textId="77777777" w:rsidR="00A62876" w:rsidRDefault="00A62876" w:rsidP="00A62876">
      <w:pPr>
        <w:pStyle w:val="FootnoteText"/>
      </w:pPr>
      <w:r>
        <w:rPr>
          <w:rStyle w:val="FootnoteReference"/>
        </w:rPr>
        <w:footnoteRef/>
      </w:r>
      <w:r>
        <w:t xml:space="preserve"> </w:t>
      </w:r>
      <w:r w:rsidRPr="00997B0C">
        <w:t>Alam</w:t>
      </w:r>
      <w:r>
        <w:t xml:space="preserve">, </w:t>
      </w:r>
      <w:r w:rsidRPr="00997B0C">
        <w:t>S</w:t>
      </w:r>
      <w:r>
        <w:t xml:space="preserve"> &amp;</w:t>
      </w:r>
      <w:r w:rsidRPr="00997B0C">
        <w:t xml:space="preserve"> Lal</w:t>
      </w:r>
      <w:r>
        <w:t>,</w:t>
      </w:r>
      <w:r w:rsidRPr="00997B0C">
        <w:t xml:space="preserve"> BB</w:t>
      </w:r>
      <w:r>
        <w:t xml:space="preserve"> (2022)</w:t>
      </w:r>
      <w:r w:rsidRPr="00997B0C">
        <w:t>. Recent updates on progressive familial intrahepatic cholestasis types 1, 2 and 3: Outcome and therapeutic strategies. World J Hepatol. 14(1):98-118. doi: 10.4254/wjh.v14.i1.98. PMID: 35126842; PMCID: PMC8790387.</w:t>
      </w:r>
    </w:p>
  </w:footnote>
  <w:footnote w:id="7">
    <w:p w14:paraId="0695173B" w14:textId="77777777" w:rsidR="007844A5" w:rsidRDefault="007844A5" w:rsidP="007844A5">
      <w:pPr>
        <w:pStyle w:val="FootnoteText"/>
      </w:pPr>
      <w:r>
        <w:rPr>
          <w:rStyle w:val="FootnoteReference"/>
        </w:rPr>
        <w:footnoteRef/>
      </w:r>
      <w:r>
        <w:t xml:space="preserve"> </w:t>
      </w:r>
      <w:r w:rsidRPr="008A6F83">
        <w:t xml:space="preserve">Kavallar, </w:t>
      </w:r>
      <w:r>
        <w:t>AM et al. (2023)</w:t>
      </w:r>
      <w:r w:rsidRPr="008A6F83">
        <w:t xml:space="preserve"> Management and outcomes after liver transplantation for progressive familial intrahepatic cholestasis: A systematic review and meta-analysis. Hepatology Communications 7(10):</w:t>
      </w:r>
      <w:r>
        <w:t xml:space="preserve"> </w:t>
      </w:r>
      <w:r w:rsidRPr="008A6F83">
        <w:t>e0286, October 2023. | DOI: 10.1097/HC9.0000000000000286</w:t>
      </w:r>
    </w:p>
  </w:footnote>
  <w:footnote w:id="8">
    <w:p w14:paraId="67AE6116" w14:textId="77777777" w:rsidR="009B4841" w:rsidRDefault="009B4841" w:rsidP="009B4841">
      <w:pPr>
        <w:pStyle w:val="FootnoteText"/>
      </w:pPr>
      <w:r>
        <w:rPr>
          <w:rStyle w:val="FootnoteReference"/>
        </w:rPr>
        <w:footnoteRef/>
      </w:r>
      <w:r>
        <w:t xml:space="preserve"> </w:t>
      </w:r>
      <w:r w:rsidRPr="00997B0C">
        <w:t>Alam</w:t>
      </w:r>
      <w:r>
        <w:t xml:space="preserve">, </w:t>
      </w:r>
      <w:r w:rsidRPr="00997B0C">
        <w:t>S</w:t>
      </w:r>
      <w:r>
        <w:t xml:space="preserve"> &amp;</w:t>
      </w:r>
      <w:r w:rsidRPr="00997B0C">
        <w:t xml:space="preserve"> Lal</w:t>
      </w:r>
      <w:r>
        <w:t>,</w:t>
      </w:r>
      <w:r w:rsidRPr="00997B0C">
        <w:t xml:space="preserve"> BB</w:t>
      </w:r>
      <w:r>
        <w:t xml:space="preserve"> (2022)</w:t>
      </w:r>
      <w:r w:rsidRPr="00997B0C">
        <w:t>. Recent updates on progressive familial intrahepatic cholestasis types 1, 2 and 3: Outcome and therapeutic strategies. World J Hepatol. 14(1):98-118. doi: 10.4254/wjh.v14.i1.98. PMID: 35126842; PMCID: PMC8790387.</w:t>
      </w:r>
    </w:p>
  </w:footnote>
  <w:footnote w:id="9">
    <w:p w14:paraId="7CF665FD" w14:textId="77777777" w:rsidR="00385391" w:rsidRDefault="00385391" w:rsidP="00385391">
      <w:pPr>
        <w:pStyle w:val="FootnoteText"/>
      </w:pPr>
      <w:r>
        <w:rPr>
          <w:rStyle w:val="FootnoteReference"/>
        </w:rPr>
        <w:footnoteRef/>
      </w:r>
      <w:r>
        <w:t xml:space="preserve"> McKiernan, P, et al. (2024) Opinion paper on the diagnosis and treatment of progressive familial intrahepatic cholestasis. JHEP Reports, Volume 6, Issue 1, DOI: </w:t>
      </w:r>
      <w:r w:rsidRPr="00632083">
        <w:t>https://doi.org/10.1016/j.jhepr.2023.100949</w:t>
      </w:r>
    </w:p>
  </w:footnote>
  <w:footnote w:id="10">
    <w:p w14:paraId="26835766" w14:textId="77777777" w:rsidR="00C8109D" w:rsidRDefault="00C8109D" w:rsidP="00C8109D">
      <w:pPr>
        <w:pStyle w:val="FootnoteText"/>
      </w:pPr>
      <w:r>
        <w:rPr>
          <w:rStyle w:val="FootnoteReference"/>
        </w:rPr>
        <w:footnoteRef/>
      </w:r>
      <w:r>
        <w:t xml:space="preserve"> Bolia, R, et al. (2022) Biliary diversion in progressive familial intrahepatic cholestasis: a systematic review and meta-analysis, Expert Review of Gastroenterology &amp; Hepatology, 16:2, 163-172, DOI:10.1080/17474124.2022.2032660</w:t>
      </w:r>
    </w:p>
  </w:footnote>
  <w:footnote w:id="11">
    <w:p w14:paraId="0BEC43DA" w14:textId="77777777" w:rsidR="00CC26B6" w:rsidRDefault="00CC26B6" w:rsidP="00CC26B6">
      <w:pPr>
        <w:pStyle w:val="FootnoteText"/>
      </w:pPr>
      <w:r>
        <w:rPr>
          <w:rStyle w:val="FootnoteReference"/>
        </w:rPr>
        <w:footnoteRef/>
      </w:r>
      <w:r>
        <w:t xml:space="preserve"> Van Wessel DBE, et al. </w:t>
      </w:r>
      <w:r w:rsidRPr="00AA470E">
        <w:t>(2020). Genotype correlates with the natural history of severe bile salt export pump deficiency. J Hepatol 73(1): 84-93.</w:t>
      </w:r>
    </w:p>
  </w:footnote>
  <w:footnote w:id="12">
    <w:p w14:paraId="01F3CB2E" w14:textId="77777777" w:rsidR="00CC26B6" w:rsidRDefault="00CC26B6" w:rsidP="00CC26B6">
      <w:pPr>
        <w:pStyle w:val="FootnoteText"/>
      </w:pPr>
      <w:r>
        <w:rPr>
          <w:rStyle w:val="FootnoteReference"/>
        </w:rPr>
        <w:footnoteRef/>
      </w:r>
      <w:r>
        <w:t xml:space="preserve"> Van Wessel DBE, et al. (2021) </w:t>
      </w:r>
      <w:r w:rsidRPr="00AA470E">
        <w:t>Impact of Genotype, Serum Bile Acids, and Surgical Biliary Diversion on Native Liver Survival in FIC1 Deficiency. Hepatology 74(2): 892-906</w:t>
      </w:r>
    </w:p>
  </w:footnote>
  <w:footnote w:id="13">
    <w:p w14:paraId="73E5B23E" w14:textId="77777777" w:rsidR="00D734DB" w:rsidRDefault="00D734DB" w:rsidP="00D734DB">
      <w:pPr>
        <w:pStyle w:val="FootnoteText"/>
      </w:pPr>
      <w:r>
        <w:rPr>
          <w:rStyle w:val="FootnoteReference"/>
        </w:rPr>
        <w:footnoteRef/>
      </w:r>
      <w:r>
        <w:t xml:space="preserve"> </w:t>
      </w:r>
      <w:r w:rsidRPr="009932E1">
        <w:t xml:space="preserve">Verkade HJ, </w:t>
      </w:r>
      <w:r>
        <w:t xml:space="preserve">et al. (2020) </w:t>
      </w:r>
      <w:r w:rsidRPr="009932E1">
        <w:t>Systematic Review and Meta-analysis: Partial External Biliary Diversion in Progressive Familial Intrahepatic Cholestasis. J Pediatr Gastroenterol Nutr;71(2):176-183. doi: 10.1097/MPG.0000000000002789. PMID: 32433433.</w:t>
      </w:r>
    </w:p>
  </w:footnote>
  <w:footnote w:id="14">
    <w:p w14:paraId="25AC56B3" w14:textId="77777777" w:rsidR="009A194C" w:rsidRPr="001D49A6" w:rsidRDefault="009A194C" w:rsidP="009A194C">
      <w:pPr>
        <w:rPr>
          <w:sz w:val="20"/>
          <w:szCs w:val="20"/>
        </w:rPr>
      </w:pPr>
      <w:r>
        <w:rPr>
          <w:rStyle w:val="FootnoteReference"/>
        </w:rPr>
        <w:footnoteRef/>
      </w:r>
      <w:r>
        <w:t xml:space="preserve"> </w:t>
      </w:r>
      <w:r w:rsidRPr="001D49A6">
        <w:rPr>
          <w:sz w:val="20"/>
          <w:szCs w:val="20"/>
        </w:rPr>
        <w:t>Gwaltney, C., et al.</w:t>
      </w:r>
      <w:r>
        <w:rPr>
          <w:sz w:val="20"/>
          <w:szCs w:val="20"/>
        </w:rPr>
        <w:t xml:space="preserve"> (2022)</w:t>
      </w:r>
      <w:r w:rsidRPr="001D49A6">
        <w:rPr>
          <w:sz w:val="20"/>
          <w:szCs w:val="20"/>
        </w:rPr>
        <w:t xml:space="preserve"> Validation of the PRUCISION Instruments in Pediatric Patients with Progressive Familial Intrahepatic Cholestasis. Adv Ther 39, 5105–5125. https://doi.org/10.1007/s12325-022-02262-7</w:t>
      </w:r>
    </w:p>
    <w:p w14:paraId="5F86D882" w14:textId="77777777" w:rsidR="009A194C" w:rsidRDefault="009A194C" w:rsidP="009A194C">
      <w:pPr>
        <w:pStyle w:val="FootnoteText"/>
      </w:pPr>
    </w:p>
  </w:footnote>
  <w:footnote w:id="15">
    <w:p w14:paraId="7977E3C2" w14:textId="77777777" w:rsidR="00C2235F" w:rsidRDefault="00C2235F" w:rsidP="00C2235F">
      <w:pPr>
        <w:pStyle w:val="FootnoteText"/>
      </w:pPr>
      <w:r>
        <w:rPr>
          <w:rStyle w:val="FootnoteReference"/>
        </w:rPr>
        <w:footnoteRef/>
      </w:r>
      <w:r>
        <w:t xml:space="preserve"> </w:t>
      </w:r>
      <w:r w:rsidRPr="00A31F7E">
        <w:t>Thompson R, et al</w:t>
      </w:r>
      <w:r>
        <w:t xml:space="preserve">. (2022) </w:t>
      </w:r>
      <w:r w:rsidRPr="00A31F7E">
        <w:t>OC46 Native liver survival in odevixibat serum bile acid responders: data from PEDFIC studies in patients with progressive familial intrahepatic cholestasis</w:t>
      </w:r>
      <w:r>
        <w:t xml:space="preserve">. </w:t>
      </w:r>
      <w:r w:rsidRPr="00A31F7E">
        <w:t>Frontline Gastroenterology 2023;14:A28-A29</w:t>
      </w:r>
    </w:p>
  </w:footnote>
  <w:footnote w:id="16">
    <w:p w14:paraId="1CD0FCD6" w14:textId="77777777" w:rsidR="00E5561C" w:rsidRDefault="00E5561C" w:rsidP="00E5561C">
      <w:pPr>
        <w:pStyle w:val="FootnoteText"/>
        <w:jc w:val="left"/>
      </w:pPr>
      <w:r>
        <w:rPr>
          <w:rStyle w:val="FootnoteReference"/>
        </w:rPr>
        <w:footnoteRef/>
      </w:r>
      <w:r>
        <w:t xml:space="preserve"> </w:t>
      </w:r>
      <w:r w:rsidRPr="00E94C6C">
        <w:t>Kavallar AM, et al. (2023) Management and outcomes after liver transplantation for progressive familial intrahepatic cholestasis: A systematic review and meta-analysis. Hepatol Commun. 7:e0286. https://doi.org/10.1097/HC9.0000000000000286</w:t>
      </w:r>
    </w:p>
  </w:footnote>
  <w:footnote w:id="17">
    <w:p w14:paraId="188067D9" w14:textId="77777777" w:rsidR="00E5561C" w:rsidRDefault="00E5561C" w:rsidP="00E5561C">
      <w:pPr>
        <w:pStyle w:val="FootnoteText"/>
      </w:pPr>
      <w:r>
        <w:rPr>
          <w:rStyle w:val="FootnoteReference"/>
        </w:rPr>
        <w:footnoteRef/>
      </w:r>
      <w:r>
        <w:t xml:space="preserve"> </w:t>
      </w:r>
      <w:r w:rsidRPr="000E55A6">
        <w:t xml:space="preserve">% high dose odevixibat </w:t>
      </w:r>
      <w:r>
        <w:t xml:space="preserve">(OvEC) </w:t>
      </w:r>
      <w:r w:rsidRPr="000E55A6">
        <w:t>= 1 – (43.5% / 62.28%) = 30.15%</w:t>
      </w:r>
    </w:p>
  </w:footnote>
  <w:footnote w:id="18">
    <w:p w14:paraId="111CBBF6" w14:textId="77777777" w:rsidR="00E5561C" w:rsidRDefault="00E5561C" w:rsidP="00E5561C">
      <w:pPr>
        <w:pStyle w:val="FootnoteText"/>
      </w:pPr>
      <w:r>
        <w:rPr>
          <w:rStyle w:val="FootnoteReference"/>
        </w:rPr>
        <w:footnoteRef/>
      </w:r>
      <w:r>
        <w:t xml:space="preserve"> </w:t>
      </w:r>
      <w:r w:rsidRPr="00795BE7">
        <w:t xml:space="preserve">% high dose odevixibat </w:t>
      </w:r>
      <w:r>
        <w:t xml:space="preserve">(PEDFIC) </w:t>
      </w:r>
      <w:r w:rsidRPr="00795BE7">
        <w:t>= 1 – (43.5% / 57.63%) = 24.5%</w:t>
      </w:r>
    </w:p>
  </w:footnote>
  <w:footnote w:id="19">
    <w:p w14:paraId="557AC252" w14:textId="7212AA76" w:rsidR="001825BF" w:rsidRPr="00DE7B08" w:rsidRDefault="001825BF">
      <w:pPr>
        <w:pStyle w:val="FootnoteText"/>
      </w:pPr>
      <w:r w:rsidRPr="00DE7B08">
        <w:rPr>
          <w:rStyle w:val="FootnoteReference"/>
        </w:rPr>
        <w:footnoteRef/>
      </w:r>
      <w:r w:rsidRPr="00DE7B08">
        <w:t xml:space="preserve"> </w:t>
      </w:r>
      <w:r w:rsidRPr="00DE7B08">
        <w:rPr>
          <w:rFonts w:asciiTheme="minorHAnsi" w:hAnsiTheme="minorHAnsi" w:cstheme="minorHAnsi"/>
        </w:rPr>
        <w:t>https://www.pbs.gov.au/industry/listing/elements/pbac-meetings/psd/2021-11/files/eculizumab-psd-nov-2021.pdf</w:t>
      </w:r>
    </w:p>
  </w:footnote>
  <w:footnote w:id="20">
    <w:p w14:paraId="4B14A50B" w14:textId="3798DD5B" w:rsidR="001825BF" w:rsidRPr="00DE7B08" w:rsidRDefault="001825BF">
      <w:pPr>
        <w:pStyle w:val="FootnoteText"/>
      </w:pPr>
      <w:r w:rsidRPr="00DE7B08">
        <w:rPr>
          <w:rStyle w:val="FootnoteReference"/>
        </w:rPr>
        <w:footnoteRef/>
      </w:r>
      <w:r w:rsidRPr="00DE7B08">
        <w:t xml:space="preserve"> </w:t>
      </w:r>
      <w:r w:rsidRPr="00DE7B08">
        <w:rPr>
          <w:rFonts w:asciiTheme="minorHAnsi" w:hAnsiTheme="minorHAnsi" w:cstheme="minorHAnsi"/>
        </w:rPr>
        <w:t>https://www.pbs.gov.au/info/industry/listing/elements/pbac-meetings/psd/2022-03/nusinersen-solution-for-injection-12-mg-in-5-ml-spinraza</w:t>
      </w:r>
    </w:p>
  </w:footnote>
  <w:footnote w:id="21">
    <w:p w14:paraId="2205F194" w14:textId="6F579F48" w:rsidR="001825BF" w:rsidRPr="00DE7B08" w:rsidRDefault="001825BF">
      <w:pPr>
        <w:pStyle w:val="FootnoteText"/>
      </w:pPr>
      <w:r w:rsidRPr="00DE7B08">
        <w:rPr>
          <w:rStyle w:val="FootnoteReference"/>
        </w:rPr>
        <w:footnoteRef/>
      </w:r>
      <w:r w:rsidRPr="00DE7B08">
        <w:t xml:space="preserve"> </w:t>
      </w:r>
      <w:r w:rsidRPr="00DE7B08">
        <w:rPr>
          <w:rFonts w:asciiTheme="minorHAnsi" w:hAnsiTheme="minorHAnsi" w:cstheme="minorHAnsi"/>
          <w:snapToGrid w:val="0"/>
          <w:lang w:val="en-GB"/>
        </w:rPr>
        <w:t xml:space="preserve">Berdud, Drummond &amp; Towse (2020) Establishing a reasonable price for an orphan drug. </w:t>
      </w:r>
      <w:r w:rsidRPr="00DE7B08">
        <w:rPr>
          <w:rFonts w:asciiTheme="minorHAnsi" w:hAnsiTheme="minorHAnsi" w:cstheme="minorHAnsi"/>
          <w:i/>
          <w:snapToGrid w:val="0"/>
          <w:lang w:val="en-GB"/>
        </w:rPr>
        <w:t>Cost Eff. Resour. Alloc.</w:t>
      </w:r>
      <w:r w:rsidRPr="00DE7B08">
        <w:rPr>
          <w:rFonts w:asciiTheme="minorHAnsi" w:hAnsiTheme="minorHAnsi" w:cstheme="minorHAnsi"/>
          <w:snapToGrid w:val="0"/>
          <w:lang w:val="en-GB"/>
        </w:rPr>
        <w:t xml:space="preserve"> </w:t>
      </w:r>
      <w:r w:rsidRPr="00DE7B08">
        <w:rPr>
          <w:rFonts w:asciiTheme="minorHAnsi" w:hAnsiTheme="minorHAnsi" w:cstheme="minorHAnsi"/>
          <w:bCs/>
          <w:snapToGrid w:val="0"/>
          <w:lang w:val="en-GB"/>
        </w:rPr>
        <w:t>18</w:t>
      </w:r>
      <w:r w:rsidRPr="00DE7B08">
        <w:rPr>
          <w:rFonts w:asciiTheme="minorHAnsi" w:hAnsiTheme="minorHAnsi" w:cstheme="minorHAnsi"/>
          <w:snapToGrid w:val="0"/>
          <w:lang w:val="en-GB"/>
        </w:rPr>
        <w:t>, 1–18 (2020).</w:t>
      </w:r>
    </w:p>
  </w:footnote>
  <w:footnote w:id="22">
    <w:p w14:paraId="7A766D71" w14:textId="4A70A75B" w:rsidR="00F83966" w:rsidRDefault="00F83966">
      <w:pPr>
        <w:pStyle w:val="FootnoteText"/>
      </w:pPr>
      <w:r>
        <w:rPr>
          <w:rStyle w:val="FootnoteReference"/>
        </w:rPr>
        <w:footnoteRef/>
      </w:r>
      <w:r>
        <w:t xml:space="preserve"> Defined as a </w:t>
      </w:r>
      <w:r>
        <w:rPr>
          <w:rFonts w:cstheme="minorHAnsi"/>
        </w:rPr>
        <w:t>≥</w:t>
      </w:r>
      <w:r w:rsidRPr="00E626A1">
        <w:rPr>
          <w:rFonts w:cstheme="minorHAnsi"/>
        </w:rPr>
        <w:t>70% reduction in fasting sBA concentration from baseline to the end of treatment or reaching a level ≤70 µmol/L</w:t>
      </w:r>
    </w:p>
  </w:footnote>
  <w:footnote w:id="23">
    <w:p w14:paraId="3D342483" w14:textId="1757774C" w:rsidR="00F83966" w:rsidRDefault="00F83966">
      <w:pPr>
        <w:pStyle w:val="FootnoteText"/>
      </w:pPr>
      <w:r>
        <w:rPr>
          <w:rStyle w:val="FootnoteReference"/>
        </w:rPr>
        <w:footnoteRef/>
      </w:r>
      <w:r>
        <w:t xml:space="preserve"> D</w:t>
      </w:r>
      <w:r w:rsidRPr="00E626A1">
        <w:t xml:space="preserve">efined as a scratching score of ≤1 or at least a 1-point drop from baseline on the </w:t>
      </w:r>
      <w:r>
        <w:t xml:space="preserve">PRUCISION </w:t>
      </w:r>
      <w:r w:rsidRPr="00E626A1">
        <w:t>ObsRO instrument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7AA9" w14:textId="77777777" w:rsidR="0066157F" w:rsidRDefault="00661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B530" w14:textId="1724E243" w:rsidR="00446A51" w:rsidRDefault="007D2A2C">
    <w:pPr>
      <w:pStyle w:val="Header"/>
      <w:rPr>
        <w:i/>
        <w:iCs/>
      </w:rPr>
    </w:pPr>
    <w:r>
      <w:rPr>
        <w:rFonts w:asciiTheme="minorHAnsi" w:hAnsiTheme="minorHAnsi"/>
        <w:i/>
      </w:rPr>
      <w:t>Public Summary Document</w:t>
    </w:r>
    <w:r w:rsidR="00D12904" w:rsidRPr="00362D6D">
      <w:rPr>
        <w:rFonts w:asciiTheme="minorHAnsi" w:hAnsiTheme="minorHAnsi"/>
        <w:i/>
      </w:rPr>
      <w:t xml:space="preserve"> – </w:t>
    </w:r>
    <w:r w:rsidR="00446A51" w:rsidRPr="00362D6D">
      <w:rPr>
        <w:i/>
        <w:iCs/>
      </w:rPr>
      <w:t>July 2024 PBAC Meeting</w:t>
    </w:r>
  </w:p>
  <w:p w14:paraId="67CBD1DC" w14:textId="77777777" w:rsidR="00446A51" w:rsidRDefault="00446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B33C" w14:textId="77777777" w:rsidR="0066157F" w:rsidRDefault="00661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708C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5B4C6E"/>
    <w:multiLevelType w:val="hybridMultilevel"/>
    <w:tmpl w:val="978A2144"/>
    <w:lvl w:ilvl="0" w:tplc="0C090001">
      <w:start w:val="1"/>
      <w:numFmt w:val="bullet"/>
      <w:lvlText w:val=""/>
      <w:lvlJc w:val="left"/>
      <w:pPr>
        <w:ind w:left="1440" w:hanging="360"/>
      </w:pPr>
      <w:rPr>
        <w:rFonts w:ascii="Symbol" w:hAnsi="Symbol" w:hint="default"/>
        <w:color w:val="000000" w:themeColor="text1"/>
      </w:rPr>
    </w:lvl>
    <w:lvl w:ilvl="1" w:tplc="0C090001">
      <w:start w:val="1"/>
      <w:numFmt w:val="bullet"/>
      <w:lvlText w:val=""/>
      <w:lvlJc w:val="left"/>
      <w:pPr>
        <w:ind w:left="2160" w:hanging="360"/>
      </w:pPr>
      <w:rPr>
        <w:rFonts w:ascii="Symbol" w:hAnsi="Symbol"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7F73ED6"/>
    <w:multiLevelType w:val="hybridMultilevel"/>
    <w:tmpl w:val="9EDCF0D0"/>
    <w:lvl w:ilvl="0" w:tplc="21CCE994">
      <w:start w:val="1"/>
      <w:numFmt w:val="bullet"/>
      <w:lvlText w:val=""/>
      <w:lvlJc w:val="left"/>
      <w:pPr>
        <w:ind w:left="720" w:hanging="360"/>
      </w:pPr>
      <w:rPr>
        <w:rFonts w:ascii="Symbol" w:hAnsi="Symbol"/>
      </w:rPr>
    </w:lvl>
    <w:lvl w:ilvl="1" w:tplc="6B38E43C">
      <w:start w:val="1"/>
      <w:numFmt w:val="bullet"/>
      <w:lvlText w:val=""/>
      <w:lvlJc w:val="left"/>
      <w:pPr>
        <w:ind w:left="720" w:hanging="360"/>
      </w:pPr>
      <w:rPr>
        <w:rFonts w:ascii="Symbol" w:hAnsi="Symbol"/>
      </w:rPr>
    </w:lvl>
    <w:lvl w:ilvl="2" w:tplc="90882D42">
      <w:start w:val="1"/>
      <w:numFmt w:val="bullet"/>
      <w:lvlText w:val=""/>
      <w:lvlJc w:val="left"/>
      <w:pPr>
        <w:ind w:left="720" w:hanging="360"/>
      </w:pPr>
      <w:rPr>
        <w:rFonts w:ascii="Symbol" w:hAnsi="Symbol"/>
      </w:rPr>
    </w:lvl>
    <w:lvl w:ilvl="3" w:tplc="ABA2F482">
      <w:start w:val="1"/>
      <w:numFmt w:val="bullet"/>
      <w:lvlText w:val=""/>
      <w:lvlJc w:val="left"/>
      <w:pPr>
        <w:ind w:left="720" w:hanging="360"/>
      </w:pPr>
      <w:rPr>
        <w:rFonts w:ascii="Symbol" w:hAnsi="Symbol"/>
      </w:rPr>
    </w:lvl>
    <w:lvl w:ilvl="4" w:tplc="B66AAB5C">
      <w:start w:val="1"/>
      <w:numFmt w:val="bullet"/>
      <w:lvlText w:val=""/>
      <w:lvlJc w:val="left"/>
      <w:pPr>
        <w:ind w:left="720" w:hanging="360"/>
      </w:pPr>
      <w:rPr>
        <w:rFonts w:ascii="Symbol" w:hAnsi="Symbol"/>
      </w:rPr>
    </w:lvl>
    <w:lvl w:ilvl="5" w:tplc="64EC21C4">
      <w:start w:val="1"/>
      <w:numFmt w:val="bullet"/>
      <w:lvlText w:val=""/>
      <w:lvlJc w:val="left"/>
      <w:pPr>
        <w:ind w:left="720" w:hanging="360"/>
      </w:pPr>
      <w:rPr>
        <w:rFonts w:ascii="Symbol" w:hAnsi="Symbol"/>
      </w:rPr>
    </w:lvl>
    <w:lvl w:ilvl="6" w:tplc="DE504464">
      <w:start w:val="1"/>
      <w:numFmt w:val="bullet"/>
      <w:lvlText w:val=""/>
      <w:lvlJc w:val="left"/>
      <w:pPr>
        <w:ind w:left="720" w:hanging="360"/>
      </w:pPr>
      <w:rPr>
        <w:rFonts w:ascii="Symbol" w:hAnsi="Symbol"/>
      </w:rPr>
    </w:lvl>
    <w:lvl w:ilvl="7" w:tplc="029C5F9E">
      <w:start w:val="1"/>
      <w:numFmt w:val="bullet"/>
      <w:lvlText w:val=""/>
      <w:lvlJc w:val="left"/>
      <w:pPr>
        <w:ind w:left="720" w:hanging="360"/>
      </w:pPr>
      <w:rPr>
        <w:rFonts w:ascii="Symbol" w:hAnsi="Symbol"/>
      </w:rPr>
    </w:lvl>
    <w:lvl w:ilvl="8" w:tplc="95960E02">
      <w:start w:val="1"/>
      <w:numFmt w:val="bullet"/>
      <w:lvlText w:val=""/>
      <w:lvlJc w:val="left"/>
      <w:pPr>
        <w:ind w:left="720" w:hanging="360"/>
      </w:pPr>
      <w:rPr>
        <w:rFonts w:ascii="Symbol" w:hAnsi="Symbol"/>
      </w:rPr>
    </w:lvl>
  </w:abstractNum>
  <w:abstractNum w:abstractNumId="4" w15:restartNumberingAfterBreak="0">
    <w:nsid w:val="093025C4"/>
    <w:multiLevelType w:val="hybridMultilevel"/>
    <w:tmpl w:val="352AF958"/>
    <w:lvl w:ilvl="0" w:tplc="3868509E">
      <w:start w:val="1"/>
      <w:numFmt w:val="decimal"/>
      <w:lvlText w:val="%1."/>
      <w:lvlJc w:val="left"/>
      <w:pPr>
        <w:ind w:left="720" w:hanging="360"/>
      </w:pPr>
    </w:lvl>
    <w:lvl w:ilvl="1" w:tplc="37D6580C">
      <w:start w:val="1"/>
      <w:numFmt w:val="decimal"/>
      <w:lvlText w:val="%2."/>
      <w:lvlJc w:val="left"/>
      <w:pPr>
        <w:ind w:left="720" w:hanging="360"/>
      </w:pPr>
    </w:lvl>
    <w:lvl w:ilvl="2" w:tplc="3272C264">
      <w:start w:val="1"/>
      <w:numFmt w:val="decimal"/>
      <w:lvlText w:val="%3."/>
      <w:lvlJc w:val="left"/>
      <w:pPr>
        <w:ind w:left="720" w:hanging="360"/>
      </w:pPr>
    </w:lvl>
    <w:lvl w:ilvl="3" w:tplc="FB22076C">
      <w:start w:val="1"/>
      <w:numFmt w:val="decimal"/>
      <w:lvlText w:val="%4."/>
      <w:lvlJc w:val="left"/>
      <w:pPr>
        <w:ind w:left="720" w:hanging="360"/>
      </w:pPr>
    </w:lvl>
    <w:lvl w:ilvl="4" w:tplc="003EB4A2">
      <w:start w:val="1"/>
      <w:numFmt w:val="decimal"/>
      <w:lvlText w:val="%5."/>
      <w:lvlJc w:val="left"/>
      <w:pPr>
        <w:ind w:left="720" w:hanging="360"/>
      </w:pPr>
    </w:lvl>
    <w:lvl w:ilvl="5" w:tplc="45F08C2C">
      <w:start w:val="1"/>
      <w:numFmt w:val="decimal"/>
      <w:lvlText w:val="%6."/>
      <w:lvlJc w:val="left"/>
      <w:pPr>
        <w:ind w:left="720" w:hanging="360"/>
      </w:pPr>
    </w:lvl>
    <w:lvl w:ilvl="6" w:tplc="1970633C">
      <w:start w:val="1"/>
      <w:numFmt w:val="decimal"/>
      <w:lvlText w:val="%7."/>
      <w:lvlJc w:val="left"/>
      <w:pPr>
        <w:ind w:left="720" w:hanging="360"/>
      </w:pPr>
    </w:lvl>
    <w:lvl w:ilvl="7" w:tplc="61B4AE5A">
      <w:start w:val="1"/>
      <w:numFmt w:val="decimal"/>
      <w:lvlText w:val="%8."/>
      <w:lvlJc w:val="left"/>
      <w:pPr>
        <w:ind w:left="720" w:hanging="360"/>
      </w:pPr>
    </w:lvl>
    <w:lvl w:ilvl="8" w:tplc="5DB8C8F4">
      <w:start w:val="1"/>
      <w:numFmt w:val="decimal"/>
      <w:lvlText w:val="%9."/>
      <w:lvlJc w:val="left"/>
      <w:pPr>
        <w:ind w:left="720" w:hanging="36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07792C"/>
    <w:multiLevelType w:val="hybridMultilevel"/>
    <w:tmpl w:val="E3282F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173F2B"/>
    <w:multiLevelType w:val="hybridMultilevel"/>
    <w:tmpl w:val="2A0EB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C525C2"/>
    <w:multiLevelType w:val="hybridMultilevel"/>
    <w:tmpl w:val="803AD6C0"/>
    <w:lvl w:ilvl="0" w:tplc="0630D72A">
      <w:start w:val="1"/>
      <w:numFmt w:val="bullet"/>
      <w:lvlText w:val="–"/>
      <w:lvlJc w:val="left"/>
      <w:pPr>
        <w:tabs>
          <w:tab w:val="num" w:pos="720"/>
        </w:tabs>
        <w:ind w:left="720" w:hanging="360"/>
      </w:pPr>
      <w:rPr>
        <w:rFonts w:ascii="Arial" w:hAnsi="Arial" w:hint="default"/>
      </w:rPr>
    </w:lvl>
    <w:lvl w:ilvl="1" w:tplc="F762104A">
      <w:start w:val="1"/>
      <w:numFmt w:val="bullet"/>
      <w:lvlText w:val="–"/>
      <w:lvlJc w:val="left"/>
      <w:pPr>
        <w:tabs>
          <w:tab w:val="num" w:pos="1440"/>
        </w:tabs>
        <w:ind w:left="1440" w:hanging="360"/>
      </w:pPr>
      <w:rPr>
        <w:rFonts w:ascii="Arial" w:hAnsi="Arial" w:hint="default"/>
      </w:rPr>
    </w:lvl>
    <w:lvl w:ilvl="2" w:tplc="4310354E" w:tentative="1">
      <w:start w:val="1"/>
      <w:numFmt w:val="bullet"/>
      <w:lvlText w:val="–"/>
      <w:lvlJc w:val="left"/>
      <w:pPr>
        <w:tabs>
          <w:tab w:val="num" w:pos="2160"/>
        </w:tabs>
        <w:ind w:left="2160" w:hanging="360"/>
      </w:pPr>
      <w:rPr>
        <w:rFonts w:ascii="Arial" w:hAnsi="Arial" w:hint="default"/>
      </w:rPr>
    </w:lvl>
    <w:lvl w:ilvl="3" w:tplc="56DC9EDE" w:tentative="1">
      <w:start w:val="1"/>
      <w:numFmt w:val="bullet"/>
      <w:lvlText w:val="–"/>
      <w:lvlJc w:val="left"/>
      <w:pPr>
        <w:tabs>
          <w:tab w:val="num" w:pos="2880"/>
        </w:tabs>
        <w:ind w:left="2880" w:hanging="360"/>
      </w:pPr>
      <w:rPr>
        <w:rFonts w:ascii="Arial" w:hAnsi="Arial" w:hint="default"/>
      </w:rPr>
    </w:lvl>
    <w:lvl w:ilvl="4" w:tplc="4E42A95E" w:tentative="1">
      <w:start w:val="1"/>
      <w:numFmt w:val="bullet"/>
      <w:lvlText w:val="–"/>
      <w:lvlJc w:val="left"/>
      <w:pPr>
        <w:tabs>
          <w:tab w:val="num" w:pos="3600"/>
        </w:tabs>
        <w:ind w:left="3600" w:hanging="360"/>
      </w:pPr>
      <w:rPr>
        <w:rFonts w:ascii="Arial" w:hAnsi="Arial" w:hint="default"/>
      </w:rPr>
    </w:lvl>
    <w:lvl w:ilvl="5" w:tplc="27FC3EFA" w:tentative="1">
      <w:start w:val="1"/>
      <w:numFmt w:val="bullet"/>
      <w:lvlText w:val="–"/>
      <w:lvlJc w:val="left"/>
      <w:pPr>
        <w:tabs>
          <w:tab w:val="num" w:pos="4320"/>
        </w:tabs>
        <w:ind w:left="4320" w:hanging="360"/>
      </w:pPr>
      <w:rPr>
        <w:rFonts w:ascii="Arial" w:hAnsi="Arial" w:hint="default"/>
      </w:rPr>
    </w:lvl>
    <w:lvl w:ilvl="6" w:tplc="60785398" w:tentative="1">
      <w:start w:val="1"/>
      <w:numFmt w:val="bullet"/>
      <w:lvlText w:val="–"/>
      <w:lvlJc w:val="left"/>
      <w:pPr>
        <w:tabs>
          <w:tab w:val="num" w:pos="5040"/>
        </w:tabs>
        <w:ind w:left="5040" w:hanging="360"/>
      </w:pPr>
      <w:rPr>
        <w:rFonts w:ascii="Arial" w:hAnsi="Arial" w:hint="default"/>
      </w:rPr>
    </w:lvl>
    <w:lvl w:ilvl="7" w:tplc="50A4FDC0" w:tentative="1">
      <w:start w:val="1"/>
      <w:numFmt w:val="bullet"/>
      <w:lvlText w:val="–"/>
      <w:lvlJc w:val="left"/>
      <w:pPr>
        <w:tabs>
          <w:tab w:val="num" w:pos="5760"/>
        </w:tabs>
        <w:ind w:left="5760" w:hanging="360"/>
      </w:pPr>
      <w:rPr>
        <w:rFonts w:ascii="Arial" w:hAnsi="Arial" w:hint="default"/>
      </w:rPr>
    </w:lvl>
    <w:lvl w:ilvl="8" w:tplc="7CBEED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0053F11"/>
    <w:multiLevelType w:val="multilevel"/>
    <w:tmpl w:val="575CEDBE"/>
    <w:styleLink w:val="NumberBullet"/>
    <w:lvl w:ilvl="0">
      <w:start w:val="1"/>
      <w:numFmt w:val="decimal"/>
      <w:pStyle w:val="COMH1numbered"/>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0" w15:restartNumberingAfterBreak="0">
    <w:nsid w:val="11453FF1"/>
    <w:multiLevelType w:val="hybridMultilevel"/>
    <w:tmpl w:val="386835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5033918"/>
    <w:multiLevelType w:val="hybridMultilevel"/>
    <w:tmpl w:val="374A5A3A"/>
    <w:lvl w:ilvl="0" w:tplc="F654B618">
      <w:start w:val="1"/>
      <w:numFmt w:val="bullet"/>
      <w:lvlText w:val=""/>
      <w:lvlJc w:val="left"/>
      <w:pPr>
        <w:ind w:left="2520" w:hanging="360"/>
      </w:pPr>
      <w:rPr>
        <w:rFonts w:ascii="Symbol" w:hAnsi="Symbol"/>
      </w:rPr>
    </w:lvl>
    <w:lvl w:ilvl="1" w:tplc="2CA870FC">
      <w:start w:val="1"/>
      <w:numFmt w:val="bullet"/>
      <w:lvlText w:val=""/>
      <w:lvlJc w:val="left"/>
      <w:pPr>
        <w:ind w:left="2520" w:hanging="360"/>
      </w:pPr>
      <w:rPr>
        <w:rFonts w:ascii="Symbol" w:hAnsi="Symbol"/>
      </w:rPr>
    </w:lvl>
    <w:lvl w:ilvl="2" w:tplc="EB1E8FF2">
      <w:start w:val="1"/>
      <w:numFmt w:val="bullet"/>
      <w:lvlText w:val=""/>
      <w:lvlJc w:val="left"/>
      <w:pPr>
        <w:ind w:left="2520" w:hanging="360"/>
      </w:pPr>
      <w:rPr>
        <w:rFonts w:ascii="Symbol" w:hAnsi="Symbol"/>
      </w:rPr>
    </w:lvl>
    <w:lvl w:ilvl="3" w:tplc="DED89B64">
      <w:start w:val="1"/>
      <w:numFmt w:val="bullet"/>
      <w:lvlText w:val=""/>
      <w:lvlJc w:val="left"/>
      <w:pPr>
        <w:ind w:left="2520" w:hanging="360"/>
      </w:pPr>
      <w:rPr>
        <w:rFonts w:ascii="Symbol" w:hAnsi="Symbol"/>
      </w:rPr>
    </w:lvl>
    <w:lvl w:ilvl="4" w:tplc="B5D4F976">
      <w:start w:val="1"/>
      <w:numFmt w:val="bullet"/>
      <w:lvlText w:val=""/>
      <w:lvlJc w:val="left"/>
      <w:pPr>
        <w:ind w:left="2520" w:hanging="360"/>
      </w:pPr>
      <w:rPr>
        <w:rFonts w:ascii="Symbol" w:hAnsi="Symbol"/>
      </w:rPr>
    </w:lvl>
    <w:lvl w:ilvl="5" w:tplc="CBAC3B4C">
      <w:start w:val="1"/>
      <w:numFmt w:val="bullet"/>
      <w:lvlText w:val=""/>
      <w:lvlJc w:val="left"/>
      <w:pPr>
        <w:ind w:left="2520" w:hanging="360"/>
      </w:pPr>
      <w:rPr>
        <w:rFonts w:ascii="Symbol" w:hAnsi="Symbol"/>
      </w:rPr>
    </w:lvl>
    <w:lvl w:ilvl="6" w:tplc="4A40FF5C">
      <w:start w:val="1"/>
      <w:numFmt w:val="bullet"/>
      <w:lvlText w:val=""/>
      <w:lvlJc w:val="left"/>
      <w:pPr>
        <w:ind w:left="2520" w:hanging="360"/>
      </w:pPr>
      <w:rPr>
        <w:rFonts w:ascii="Symbol" w:hAnsi="Symbol"/>
      </w:rPr>
    </w:lvl>
    <w:lvl w:ilvl="7" w:tplc="2DA0DAF8">
      <w:start w:val="1"/>
      <w:numFmt w:val="bullet"/>
      <w:lvlText w:val=""/>
      <w:lvlJc w:val="left"/>
      <w:pPr>
        <w:ind w:left="2520" w:hanging="360"/>
      </w:pPr>
      <w:rPr>
        <w:rFonts w:ascii="Symbol" w:hAnsi="Symbol"/>
      </w:rPr>
    </w:lvl>
    <w:lvl w:ilvl="8" w:tplc="0954525A">
      <w:start w:val="1"/>
      <w:numFmt w:val="bullet"/>
      <w:lvlText w:val=""/>
      <w:lvlJc w:val="left"/>
      <w:pPr>
        <w:ind w:left="2520" w:hanging="360"/>
      </w:pPr>
      <w:rPr>
        <w:rFonts w:ascii="Symbol" w:hAnsi="Symbol"/>
      </w:rPr>
    </w:lvl>
  </w:abstractNum>
  <w:abstractNum w:abstractNumId="12" w15:restartNumberingAfterBreak="0">
    <w:nsid w:val="17705D10"/>
    <w:multiLevelType w:val="hybridMultilevel"/>
    <w:tmpl w:val="2FDEB9B0"/>
    <w:lvl w:ilvl="0" w:tplc="E6A6012A">
      <w:start w:val="1"/>
      <w:numFmt w:val="bullet"/>
      <w:pStyle w:val="Bulletlis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16238C4">
      <w:numFmt w:val="bullet"/>
      <w:lvlText w:val="•"/>
      <w:lvlJc w:val="left"/>
      <w:pPr>
        <w:ind w:left="2520" w:hanging="72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05730D"/>
    <w:multiLevelType w:val="hybridMultilevel"/>
    <w:tmpl w:val="10E0C23A"/>
    <w:lvl w:ilvl="0" w:tplc="0C090001">
      <w:start w:val="1"/>
      <w:numFmt w:val="bullet"/>
      <w:lvlText w:val=""/>
      <w:lvlJc w:val="left"/>
      <w:pPr>
        <w:ind w:left="1500" w:hanging="360"/>
      </w:pPr>
      <w:rPr>
        <w:rFonts w:ascii="Symbol" w:hAnsi="Symbol" w:hint="default"/>
      </w:rPr>
    </w:lvl>
    <w:lvl w:ilvl="1" w:tplc="0C090003">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3B6274A"/>
    <w:multiLevelType w:val="hybridMultilevel"/>
    <w:tmpl w:val="399A2208"/>
    <w:lvl w:ilvl="0" w:tplc="CFF6B4E2">
      <w:start w:val="1"/>
      <w:numFmt w:val="decimal"/>
      <w:lvlText w:val="%1."/>
      <w:lvlJc w:val="left"/>
      <w:pPr>
        <w:ind w:left="4754" w:hanging="360"/>
      </w:pPr>
      <w:rPr>
        <w:rFonts w:hint="default"/>
        <w:i w:val="0"/>
        <w:iCs/>
        <w:color w:val="auto"/>
      </w:rPr>
    </w:lvl>
    <w:lvl w:ilvl="1" w:tplc="0C090019">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1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F07530"/>
    <w:multiLevelType w:val="multilevel"/>
    <w:tmpl w:val="6682EDB6"/>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135E91"/>
    <w:multiLevelType w:val="hybridMultilevel"/>
    <w:tmpl w:val="34B46E86"/>
    <w:lvl w:ilvl="0" w:tplc="8E64373E">
      <w:start w:val="1"/>
      <w:numFmt w:val="bullet"/>
      <w:lvlText w:val=""/>
      <w:lvlJc w:val="left"/>
      <w:pPr>
        <w:ind w:left="720" w:hanging="360"/>
      </w:pPr>
      <w:rPr>
        <w:rFonts w:ascii="Symbol" w:hAnsi="Symbol"/>
      </w:rPr>
    </w:lvl>
    <w:lvl w:ilvl="1" w:tplc="CEAC13F4">
      <w:start w:val="1"/>
      <w:numFmt w:val="bullet"/>
      <w:lvlText w:val=""/>
      <w:lvlJc w:val="left"/>
      <w:pPr>
        <w:ind w:left="720" w:hanging="360"/>
      </w:pPr>
      <w:rPr>
        <w:rFonts w:ascii="Symbol" w:hAnsi="Symbol"/>
      </w:rPr>
    </w:lvl>
    <w:lvl w:ilvl="2" w:tplc="D8DC21EC">
      <w:start w:val="1"/>
      <w:numFmt w:val="bullet"/>
      <w:lvlText w:val=""/>
      <w:lvlJc w:val="left"/>
      <w:pPr>
        <w:ind w:left="720" w:hanging="360"/>
      </w:pPr>
      <w:rPr>
        <w:rFonts w:ascii="Symbol" w:hAnsi="Symbol"/>
      </w:rPr>
    </w:lvl>
    <w:lvl w:ilvl="3" w:tplc="BB9A9660">
      <w:start w:val="1"/>
      <w:numFmt w:val="bullet"/>
      <w:lvlText w:val=""/>
      <w:lvlJc w:val="left"/>
      <w:pPr>
        <w:ind w:left="720" w:hanging="360"/>
      </w:pPr>
      <w:rPr>
        <w:rFonts w:ascii="Symbol" w:hAnsi="Symbol"/>
      </w:rPr>
    </w:lvl>
    <w:lvl w:ilvl="4" w:tplc="838632CA">
      <w:start w:val="1"/>
      <w:numFmt w:val="bullet"/>
      <w:lvlText w:val=""/>
      <w:lvlJc w:val="left"/>
      <w:pPr>
        <w:ind w:left="720" w:hanging="360"/>
      </w:pPr>
      <w:rPr>
        <w:rFonts w:ascii="Symbol" w:hAnsi="Symbol"/>
      </w:rPr>
    </w:lvl>
    <w:lvl w:ilvl="5" w:tplc="D090B46C">
      <w:start w:val="1"/>
      <w:numFmt w:val="bullet"/>
      <w:lvlText w:val=""/>
      <w:lvlJc w:val="left"/>
      <w:pPr>
        <w:ind w:left="720" w:hanging="360"/>
      </w:pPr>
      <w:rPr>
        <w:rFonts w:ascii="Symbol" w:hAnsi="Symbol"/>
      </w:rPr>
    </w:lvl>
    <w:lvl w:ilvl="6" w:tplc="1234D08A">
      <w:start w:val="1"/>
      <w:numFmt w:val="bullet"/>
      <w:lvlText w:val=""/>
      <w:lvlJc w:val="left"/>
      <w:pPr>
        <w:ind w:left="720" w:hanging="360"/>
      </w:pPr>
      <w:rPr>
        <w:rFonts w:ascii="Symbol" w:hAnsi="Symbol"/>
      </w:rPr>
    </w:lvl>
    <w:lvl w:ilvl="7" w:tplc="BC580308">
      <w:start w:val="1"/>
      <w:numFmt w:val="bullet"/>
      <w:lvlText w:val=""/>
      <w:lvlJc w:val="left"/>
      <w:pPr>
        <w:ind w:left="720" w:hanging="360"/>
      </w:pPr>
      <w:rPr>
        <w:rFonts w:ascii="Symbol" w:hAnsi="Symbol"/>
      </w:rPr>
    </w:lvl>
    <w:lvl w:ilvl="8" w:tplc="C194E28C">
      <w:start w:val="1"/>
      <w:numFmt w:val="bullet"/>
      <w:lvlText w:val=""/>
      <w:lvlJc w:val="left"/>
      <w:pPr>
        <w:ind w:left="720" w:hanging="360"/>
      </w:pPr>
      <w:rPr>
        <w:rFonts w:ascii="Symbol" w:hAnsi="Symbol"/>
      </w:rPr>
    </w:lvl>
  </w:abstractNum>
  <w:abstractNum w:abstractNumId="1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030A8E"/>
    <w:multiLevelType w:val="hybridMultilevel"/>
    <w:tmpl w:val="2EEEAB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3AD38CB"/>
    <w:multiLevelType w:val="hybridMultilevel"/>
    <w:tmpl w:val="11961B3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pStyle w:val="ListParagraph"/>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AF1A60"/>
    <w:multiLevelType w:val="hybridMultilevel"/>
    <w:tmpl w:val="ED5A23A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EF61FB2"/>
    <w:multiLevelType w:val="hybridMultilevel"/>
    <w:tmpl w:val="7136A138"/>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pStyle w:val="Bulletpoints"/>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05BB3"/>
    <w:multiLevelType w:val="multilevel"/>
    <w:tmpl w:val="6298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FB0F8D"/>
    <w:multiLevelType w:val="hybridMultilevel"/>
    <w:tmpl w:val="6B8C46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69078A"/>
    <w:multiLevelType w:val="hybridMultilevel"/>
    <w:tmpl w:val="CEC27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0235B7"/>
    <w:multiLevelType w:val="hybridMultilevel"/>
    <w:tmpl w:val="9648BE1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032579C"/>
    <w:multiLevelType w:val="hybridMultilevel"/>
    <w:tmpl w:val="899CA04A"/>
    <w:lvl w:ilvl="0" w:tplc="C3A65B70">
      <w:start w:val="1"/>
      <w:numFmt w:val="bullet"/>
      <w:lvlText w:val=""/>
      <w:lvlJc w:val="left"/>
      <w:pPr>
        <w:ind w:left="1080" w:hanging="360"/>
      </w:pPr>
      <w:rPr>
        <w:rFonts w:ascii="Symbol" w:hAnsi="Symbol"/>
      </w:rPr>
    </w:lvl>
    <w:lvl w:ilvl="1" w:tplc="5E14792E">
      <w:start w:val="1"/>
      <w:numFmt w:val="bullet"/>
      <w:lvlText w:val=""/>
      <w:lvlJc w:val="left"/>
      <w:pPr>
        <w:ind w:left="1080" w:hanging="360"/>
      </w:pPr>
      <w:rPr>
        <w:rFonts w:ascii="Symbol" w:hAnsi="Symbol"/>
      </w:rPr>
    </w:lvl>
    <w:lvl w:ilvl="2" w:tplc="5D8C30E4">
      <w:start w:val="1"/>
      <w:numFmt w:val="bullet"/>
      <w:lvlText w:val=""/>
      <w:lvlJc w:val="left"/>
      <w:pPr>
        <w:ind w:left="1080" w:hanging="360"/>
      </w:pPr>
      <w:rPr>
        <w:rFonts w:ascii="Symbol" w:hAnsi="Symbol"/>
      </w:rPr>
    </w:lvl>
    <w:lvl w:ilvl="3" w:tplc="FEDCC8E8">
      <w:start w:val="1"/>
      <w:numFmt w:val="bullet"/>
      <w:lvlText w:val=""/>
      <w:lvlJc w:val="left"/>
      <w:pPr>
        <w:ind w:left="1080" w:hanging="360"/>
      </w:pPr>
      <w:rPr>
        <w:rFonts w:ascii="Symbol" w:hAnsi="Symbol"/>
      </w:rPr>
    </w:lvl>
    <w:lvl w:ilvl="4" w:tplc="FE94116E">
      <w:start w:val="1"/>
      <w:numFmt w:val="bullet"/>
      <w:lvlText w:val=""/>
      <w:lvlJc w:val="left"/>
      <w:pPr>
        <w:ind w:left="1080" w:hanging="360"/>
      </w:pPr>
      <w:rPr>
        <w:rFonts w:ascii="Symbol" w:hAnsi="Symbol"/>
      </w:rPr>
    </w:lvl>
    <w:lvl w:ilvl="5" w:tplc="30907C6E">
      <w:start w:val="1"/>
      <w:numFmt w:val="bullet"/>
      <w:lvlText w:val=""/>
      <w:lvlJc w:val="left"/>
      <w:pPr>
        <w:ind w:left="1080" w:hanging="360"/>
      </w:pPr>
      <w:rPr>
        <w:rFonts w:ascii="Symbol" w:hAnsi="Symbol"/>
      </w:rPr>
    </w:lvl>
    <w:lvl w:ilvl="6" w:tplc="E7D6B078">
      <w:start w:val="1"/>
      <w:numFmt w:val="bullet"/>
      <w:lvlText w:val=""/>
      <w:lvlJc w:val="left"/>
      <w:pPr>
        <w:ind w:left="1080" w:hanging="360"/>
      </w:pPr>
      <w:rPr>
        <w:rFonts w:ascii="Symbol" w:hAnsi="Symbol"/>
      </w:rPr>
    </w:lvl>
    <w:lvl w:ilvl="7" w:tplc="9F7E3358">
      <w:start w:val="1"/>
      <w:numFmt w:val="bullet"/>
      <w:lvlText w:val=""/>
      <w:lvlJc w:val="left"/>
      <w:pPr>
        <w:ind w:left="1080" w:hanging="360"/>
      </w:pPr>
      <w:rPr>
        <w:rFonts w:ascii="Symbol" w:hAnsi="Symbol"/>
      </w:rPr>
    </w:lvl>
    <w:lvl w:ilvl="8" w:tplc="44FE2790">
      <w:start w:val="1"/>
      <w:numFmt w:val="bullet"/>
      <w:lvlText w:val=""/>
      <w:lvlJc w:val="left"/>
      <w:pPr>
        <w:ind w:left="1080" w:hanging="360"/>
      </w:pPr>
      <w:rPr>
        <w:rFonts w:ascii="Symbol" w:hAnsi="Symbol"/>
      </w:rPr>
    </w:lvl>
  </w:abstractNum>
  <w:abstractNum w:abstractNumId="30" w15:restartNumberingAfterBreak="0">
    <w:nsid w:val="543F4783"/>
    <w:multiLevelType w:val="hybridMultilevel"/>
    <w:tmpl w:val="577A3540"/>
    <w:lvl w:ilvl="0" w:tplc="F29837F6">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C53B0"/>
    <w:multiLevelType w:val="multilevel"/>
    <w:tmpl w:val="FB90635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ascii="Arial Narrow" w:hAnsi="Arial Narrow" w:cs="Times New Roman" w:hint="default"/>
        <w:b w:val="0"/>
        <w:i w:val="0"/>
        <w:sz w:val="20"/>
      </w:rPr>
    </w:lvl>
    <w:lvl w:ilvl="2">
      <w:start w:val="1"/>
      <w:numFmt w:val="decimal"/>
      <w:isLgl/>
      <w:lvlText w:val="%1.%2.%3"/>
      <w:lvlJc w:val="left"/>
      <w:pPr>
        <w:ind w:left="1080" w:hanging="720"/>
      </w:pPr>
      <w:rPr>
        <w:rFonts w:ascii="Arial Narrow" w:hAnsi="Arial Narrow" w:cs="Times New Roman" w:hint="default"/>
        <w:b w:val="0"/>
        <w:i w:val="0"/>
        <w:sz w:val="20"/>
      </w:rPr>
    </w:lvl>
    <w:lvl w:ilvl="3">
      <w:start w:val="1"/>
      <w:numFmt w:val="decimal"/>
      <w:isLgl/>
      <w:lvlText w:val="%1.%2.%3.%4"/>
      <w:lvlJc w:val="left"/>
      <w:pPr>
        <w:ind w:left="1080" w:hanging="720"/>
      </w:pPr>
      <w:rPr>
        <w:rFonts w:ascii="Arial Narrow" w:hAnsi="Arial Narrow" w:cs="Times New Roman" w:hint="default"/>
        <w:b w:val="0"/>
        <w:i w:val="0"/>
        <w:sz w:val="20"/>
      </w:rPr>
    </w:lvl>
    <w:lvl w:ilvl="4">
      <w:start w:val="1"/>
      <w:numFmt w:val="decimal"/>
      <w:isLgl/>
      <w:lvlText w:val="%1.%2.%3.%4.%5"/>
      <w:lvlJc w:val="left"/>
      <w:pPr>
        <w:ind w:left="1440" w:hanging="1080"/>
      </w:pPr>
      <w:rPr>
        <w:rFonts w:ascii="Arial Narrow" w:hAnsi="Arial Narrow" w:cs="Times New Roman" w:hint="default"/>
        <w:b w:val="0"/>
        <w:i w:val="0"/>
        <w:sz w:val="20"/>
      </w:rPr>
    </w:lvl>
    <w:lvl w:ilvl="5">
      <w:start w:val="1"/>
      <w:numFmt w:val="decimal"/>
      <w:isLgl/>
      <w:lvlText w:val="%1.%2.%3.%4.%5.%6"/>
      <w:lvlJc w:val="left"/>
      <w:pPr>
        <w:ind w:left="1440" w:hanging="1080"/>
      </w:pPr>
      <w:rPr>
        <w:rFonts w:ascii="Arial Narrow" w:hAnsi="Arial Narrow" w:cs="Times New Roman" w:hint="default"/>
        <w:b w:val="0"/>
        <w:i w:val="0"/>
        <w:sz w:val="20"/>
      </w:rPr>
    </w:lvl>
    <w:lvl w:ilvl="6">
      <w:start w:val="1"/>
      <w:numFmt w:val="decimal"/>
      <w:isLgl/>
      <w:lvlText w:val="%1.%2.%3.%4.%5.%6.%7"/>
      <w:lvlJc w:val="left"/>
      <w:pPr>
        <w:ind w:left="1800" w:hanging="1440"/>
      </w:pPr>
      <w:rPr>
        <w:rFonts w:ascii="Arial Narrow" w:hAnsi="Arial Narrow" w:cs="Times New Roman" w:hint="default"/>
        <w:b w:val="0"/>
        <w:i w:val="0"/>
        <w:sz w:val="20"/>
      </w:rPr>
    </w:lvl>
    <w:lvl w:ilvl="7">
      <w:start w:val="1"/>
      <w:numFmt w:val="decimal"/>
      <w:isLgl/>
      <w:lvlText w:val="%1.%2.%3.%4.%5.%6.%7.%8"/>
      <w:lvlJc w:val="left"/>
      <w:pPr>
        <w:ind w:left="1800" w:hanging="1440"/>
      </w:pPr>
      <w:rPr>
        <w:rFonts w:ascii="Arial Narrow" w:hAnsi="Arial Narrow" w:cs="Times New Roman" w:hint="default"/>
        <w:b w:val="0"/>
        <w:i w:val="0"/>
        <w:sz w:val="20"/>
      </w:rPr>
    </w:lvl>
    <w:lvl w:ilvl="8">
      <w:start w:val="1"/>
      <w:numFmt w:val="decimal"/>
      <w:isLgl/>
      <w:lvlText w:val="%1.%2.%3.%4.%5.%6.%7.%8.%9"/>
      <w:lvlJc w:val="left"/>
      <w:pPr>
        <w:ind w:left="2160" w:hanging="1800"/>
      </w:pPr>
      <w:rPr>
        <w:rFonts w:ascii="Arial Narrow" w:hAnsi="Arial Narrow" w:cs="Times New Roman" w:hint="default"/>
        <w:b w:val="0"/>
        <w:i w:val="0"/>
        <w:sz w:val="20"/>
      </w:rPr>
    </w:lvl>
  </w:abstractNum>
  <w:abstractNum w:abstractNumId="33"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60E3418E"/>
    <w:multiLevelType w:val="hybridMultilevel"/>
    <w:tmpl w:val="2F22B9E4"/>
    <w:lvl w:ilvl="0" w:tplc="5A7CD0C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42F1B56"/>
    <w:multiLevelType w:val="hybridMultilevel"/>
    <w:tmpl w:val="CE204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E6781A"/>
    <w:multiLevelType w:val="hybridMultilevel"/>
    <w:tmpl w:val="B34AC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FA3C06"/>
    <w:multiLevelType w:val="hybridMultilevel"/>
    <w:tmpl w:val="CE704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7744EE"/>
    <w:multiLevelType w:val="multilevel"/>
    <w:tmpl w:val="4C4A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DB1EF0"/>
    <w:multiLevelType w:val="hybridMultilevel"/>
    <w:tmpl w:val="3E884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A8288A"/>
    <w:multiLevelType w:val="hybridMultilevel"/>
    <w:tmpl w:val="F5BA78C8"/>
    <w:lvl w:ilvl="0" w:tplc="EFDA3BAE">
      <w:start w:val="1"/>
      <w:numFmt w:val="bullet"/>
      <w:lvlText w:val=""/>
      <w:lvlJc w:val="left"/>
      <w:pPr>
        <w:ind w:left="1800" w:hanging="360"/>
      </w:pPr>
      <w:rPr>
        <w:rFonts w:ascii="Symbol" w:hAnsi="Symbol"/>
      </w:rPr>
    </w:lvl>
    <w:lvl w:ilvl="1" w:tplc="F822B574">
      <w:start w:val="1"/>
      <w:numFmt w:val="bullet"/>
      <w:lvlText w:val=""/>
      <w:lvlJc w:val="left"/>
      <w:pPr>
        <w:ind w:left="1800" w:hanging="360"/>
      </w:pPr>
      <w:rPr>
        <w:rFonts w:ascii="Symbol" w:hAnsi="Symbol"/>
      </w:rPr>
    </w:lvl>
    <w:lvl w:ilvl="2" w:tplc="DA1C1316">
      <w:start w:val="1"/>
      <w:numFmt w:val="bullet"/>
      <w:lvlText w:val=""/>
      <w:lvlJc w:val="left"/>
      <w:pPr>
        <w:ind w:left="1800" w:hanging="360"/>
      </w:pPr>
      <w:rPr>
        <w:rFonts w:ascii="Symbol" w:hAnsi="Symbol"/>
      </w:rPr>
    </w:lvl>
    <w:lvl w:ilvl="3" w:tplc="974CE0AE">
      <w:start w:val="1"/>
      <w:numFmt w:val="bullet"/>
      <w:lvlText w:val=""/>
      <w:lvlJc w:val="left"/>
      <w:pPr>
        <w:ind w:left="1800" w:hanging="360"/>
      </w:pPr>
      <w:rPr>
        <w:rFonts w:ascii="Symbol" w:hAnsi="Symbol"/>
      </w:rPr>
    </w:lvl>
    <w:lvl w:ilvl="4" w:tplc="015C8306">
      <w:start w:val="1"/>
      <w:numFmt w:val="bullet"/>
      <w:lvlText w:val=""/>
      <w:lvlJc w:val="left"/>
      <w:pPr>
        <w:ind w:left="1800" w:hanging="360"/>
      </w:pPr>
      <w:rPr>
        <w:rFonts w:ascii="Symbol" w:hAnsi="Symbol"/>
      </w:rPr>
    </w:lvl>
    <w:lvl w:ilvl="5" w:tplc="0248FDD2">
      <w:start w:val="1"/>
      <w:numFmt w:val="bullet"/>
      <w:lvlText w:val=""/>
      <w:lvlJc w:val="left"/>
      <w:pPr>
        <w:ind w:left="1800" w:hanging="360"/>
      </w:pPr>
      <w:rPr>
        <w:rFonts w:ascii="Symbol" w:hAnsi="Symbol"/>
      </w:rPr>
    </w:lvl>
    <w:lvl w:ilvl="6" w:tplc="F72276E4">
      <w:start w:val="1"/>
      <w:numFmt w:val="bullet"/>
      <w:lvlText w:val=""/>
      <w:lvlJc w:val="left"/>
      <w:pPr>
        <w:ind w:left="1800" w:hanging="360"/>
      </w:pPr>
      <w:rPr>
        <w:rFonts w:ascii="Symbol" w:hAnsi="Symbol"/>
      </w:rPr>
    </w:lvl>
    <w:lvl w:ilvl="7" w:tplc="6EC84E82">
      <w:start w:val="1"/>
      <w:numFmt w:val="bullet"/>
      <w:lvlText w:val=""/>
      <w:lvlJc w:val="left"/>
      <w:pPr>
        <w:ind w:left="1800" w:hanging="360"/>
      </w:pPr>
      <w:rPr>
        <w:rFonts w:ascii="Symbol" w:hAnsi="Symbol"/>
      </w:rPr>
    </w:lvl>
    <w:lvl w:ilvl="8" w:tplc="6390F6A6">
      <w:start w:val="1"/>
      <w:numFmt w:val="bullet"/>
      <w:lvlText w:val=""/>
      <w:lvlJc w:val="left"/>
      <w:pPr>
        <w:ind w:left="1800" w:hanging="360"/>
      </w:pPr>
      <w:rPr>
        <w:rFonts w:ascii="Symbol" w:hAnsi="Symbol"/>
      </w:rPr>
    </w:lvl>
  </w:abstractNum>
  <w:num w:numId="1" w16cid:durableId="513688332">
    <w:abstractNumId w:val="41"/>
  </w:num>
  <w:num w:numId="2" w16cid:durableId="1031371710">
    <w:abstractNumId w:val="24"/>
  </w:num>
  <w:num w:numId="3" w16cid:durableId="272908838">
    <w:abstractNumId w:val="21"/>
  </w:num>
  <w:num w:numId="4" w16cid:durableId="654452548">
    <w:abstractNumId w:val="41"/>
  </w:num>
  <w:num w:numId="5" w16cid:durableId="657538132">
    <w:abstractNumId w:val="12"/>
  </w:num>
  <w:num w:numId="6" w16cid:durableId="1331526141">
    <w:abstractNumId w:val="28"/>
  </w:num>
  <w:num w:numId="7" w16cid:durableId="17001665">
    <w:abstractNumId w:val="17"/>
  </w:num>
  <w:num w:numId="8" w16cid:durableId="283661414">
    <w:abstractNumId w:val="6"/>
  </w:num>
  <w:num w:numId="9" w16cid:durableId="1692603063">
    <w:abstractNumId w:val="26"/>
  </w:num>
  <w:num w:numId="10" w16cid:durableId="835269360">
    <w:abstractNumId w:val="15"/>
  </w:num>
  <w:num w:numId="11" w16cid:durableId="1580795675">
    <w:abstractNumId w:val="2"/>
  </w:num>
  <w:num w:numId="12" w16cid:durableId="239753658">
    <w:abstractNumId w:val="40"/>
  </w:num>
  <w:num w:numId="13" w16cid:durableId="1739476604">
    <w:abstractNumId w:val="20"/>
  </w:num>
  <w:num w:numId="14" w16cid:durableId="1546602895">
    <w:abstractNumId w:val="36"/>
  </w:num>
  <w:num w:numId="15" w16cid:durableId="519439113">
    <w:abstractNumId w:val="22"/>
  </w:num>
  <w:num w:numId="16" w16cid:durableId="12150920">
    <w:abstractNumId w:val="32"/>
  </w:num>
  <w:num w:numId="17" w16cid:durableId="550075699">
    <w:abstractNumId w:val="27"/>
  </w:num>
  <w:num w:numId="18" w16cid:durableId="893587775">
    <w:abstractNumId w:val="7"/>
  </w:num>
  <w:num w:numId="19" w16cid:durableId="570119051">
    <w:abstractNumId w:val="37"/>
  </w:num>
  <w:num w:numId="20" w16cid:durableId="2051689600">
    <w:abstractNumId w:val="35"/>
  </w:num>
  <w:num w:numId="21" w16cid:durableId="49573910">
    <w:abstractNumId w:val="31"/>
  </w:num>
  <w:num w:numId="22" w16cid:durableId="1147941406">
    <w:abstractNumId w:val="5"/>
  </w:num>
  <w:num w:numId="23" w16cid:durableId="678579940">
    <w:abstractNumId w:val="1"/>
  </w:num>
  <w:num w:numId="24" w16cid:durableId="1723096166">
    <w:abstractNumId w:val="16"/>
  </w:num>
  <w:num w:numId="25" w16cid:durableId="52124279">
    <w:abstractNumId w:val="19"/>
  </w:num>
  <w:num w:numId="26" w16cid:durableId="754787130">
    <w:abstractNumId w:val="14"/>
  </w:num>
  <w:num w:numId="27" w16cid:durableId="165722180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7318012">
    <w:abstractNumId w:val="38"/>
  </w:num>
  <w:num w:numId="29" w16cid:durableId="663701436">
    <w:abstractNumId w:val="18"/>
  </w:num>
  <w:num w:numId="30" w16cid:durableId="909585230">
    <w:abstractNumId w:val="3"/>
  </w:num>
  <w:num w:numId="31" w16cid:durableId="1791707437">
    <w:abstractNumId w:val="25"/>
  </w:num>
  <w:num w:numId="32" w16cid:durableId="437454908">
    <w:abstractNumId w:val="0"/>
  </w:num>
  <w:num w:numId="33" w16cid:durableId="1440756156">
    <w:abstractNumId w:val="11"/>
  </w:num>
  <w:num w:numId="34" w16cid:durableId="1466968125">
    <w:abstractNumId w:val="42"/>
  </w:num>
  <w:num w:numId="35" w16cid:durableId="1123305807">
    <w:abstractNumId w:val="29"/>
  </w:num>
  <w:num w:numId="36" w16cid:durableId="1261062920">
    <w:abstractNumId w:val="34"/>
  </w:num>
  <w:num w:numId="37" w16cid:durableId="18841713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84449993">
    <w:abstractNumId w:val="30"/>
  </w:num>
  <w:num w:numId="39" w16cid:durableId="734474494">
    <w:abstractNumId w:val="23"/>
  </w:num>
  <w:num w:numId="40" w16cid:durableId="1467040241">
    <w:abstractNumId w:val="13"/>
  </w:num>
  <w:num w:numId="41" w16cid:durableId="1545601437">
    <w:abstractNumId w:val="39"/>
  </w:num>
  <w:num w:numId="42" w16cid:durableId="1070616536">
    <w:abstractNumId w:val="10"/>
  </w:num>
  <w:num w:numId="43" w16cid:durableId="2063868410">
    <w:abstractNumId w:val="4"/>
  </w:num>
  <w:num w:numId="44" w16cid:durableId="289021778">
    <w:abstractNumId w:val="8"/>
  </w:num>
  <w:num w:numId="45" w16cid:durableId="341587399">
    <w:abstractNumId w:val="9"/>
  </w:num>
  <w:num w:numId="46" w16cid:durableId="1861620767">
    <w:abstractNumId w:val="41"/>
  </w:num>
  <w:num w:numId="47" w16cid:durableId="1956596129">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4E7"/>
    <w:rsid w:val="000005A2"/>
    <w:rsid w:val="00000790"/>
    <w:rsid w:val="0000110B"/>
    <w:rsid w:val="00001229"/>
    <w:rsid w:val="000012D4"/>
    <w:rsid w:val="0000151F"/>
    <w:rsid w:val="00001925"/>
    <w:rsid w:val="0000202F"/>
    <w:rsid w:val="000020B3"/>
    <w:rsid w:val="00002914"/>
    <w:rsid w:val="00002FBB"/>
    <w:rsid w:val="000032B1"/>
    <w:rsid w:val="00003463"/>
    <w:rsid w:val="00003499"/>
    <w:rsid w:val="000039B7"/>
    <w:rsid w:val="00003BC1"/>
    <w:rsid w:val="0000454F"/>
    <w:rsid w:val="00004A6B"/>
    <w:rsid w:val="00005762"/>
    <w:rsid w:val="0000610D"/>
    <w:rsid w:val="0000639A"/>
    <w:rsid w:val="000067F9"/>
    <w:rsid w:val="00006854"/>
    <w:rsid w:val="00006F51"/>
    <w:rsid w:val="000070E7"/>
    <w:rsid w:val="000076CC"/>
    <w:rsid w:val="0001020A"/>
    <w:rsid w:val="00010E97"/>
    <w:rsid w:val="0001138B"/>
    <w:rsid w:val="0001151A"/>
    <w:rsid w:val="00011AE4"/>
    <w:rsid w:val="00012032"/>
    <w:rsid w:val="000123BA"/>
    <w:rsid w:val="000128FD"/>
    <w:rsid w:val="00013247"/>
    <w:rsid w:val="00013321"/>
    <w:rsid w:val="00014AB5"/>
    <w:rsid w:val="00014C88"/>
    <w:rsid w:val="0001548F"/>
    <w:rsid w:val="00015886"/>
    <w:rsid w:val="000161B3"/>
    <w:rsid w:val="000162EF"/>
    <w:rsid w:val="00017712"/>
    <w:rsid w:val="000179C7"/>
    <w:rsid w:val="00017F5F"/>
    <w:rsid w:val="000200C9"/>
    <w:rsid w:val="00020769"/>
    <w:rsid w:val="000207C9"/>
    <w:rsid w:val="00020DF6"/>
    <w:rsid w:val="00020F46"/>
    <w:rsid w:val="00021164"/>
    <w:rsid w:val="000212E5"/>
    <w:rsid w:val="00021CC2"/>
    <w:rsid w:val="0002225F"/>
    <w:rsid w:val="00022384"/>
    <w:rsid w:val="0002269F"/>
    <w:rsid w:val="00022985"/>
    <w:rsid w:val="00022C37"/>
    <w:rsid w:val="00023763"/>
    <w:rsid w:val="00024C88"/>
    <w:rsid w:val="00024F92"/>
    <w:rsid w:val="00025951"/>
    <w:rsid w:val="000259D0"/>
    <w:rsid w:val="00025E49"/>
    <w:rsid w:val="0002617B"/>
    <w:rsid w:val="0002674C"/>
    <w:rsid w:val="000274B8"/>
    <w:rsid w:val="0003006E"/>
    <w:rsid w:val="000305EA"/>
    <w:rsid w:val="00030D38"/>
    <w:rsid w:val="00031237"/>
    <w:rsid w:val="0003126F"/>
    <w:rsid w:val="00031A48"/>
    <w:rsid w:val="00031CFC"/>
    <w:rsid w:val="00032452"/>
    <w:rsid w:val="00032472"/>
    <w:rsid w:val="00032C5C"/>
    <w:rsid w:val="00033863"/>
    <w:rsid w:val="00033A7E"/>
    <w:rsid w:val="00034383"/>
    <w:rsid w:val="00034B55"/>
    <w:rsid w:val="00034DFC"/>
    <w:rsid w:val="00034F7A"/>
    <w:rsid w:val="000350C0"/>
    <w:rsid w:val="000351DE"/>
    <w:rsid w:val="00035438"/>
    <w:rsid w:val="00035DC0"/>
    <w:rsid w:val="00036829"/>
    <w:rsid w:val="00036F73"/>
    <w:rsid w:val="00037456"/>
    <w:rsid w:val="00037FD7"/>
    <w:rsid w:val="00040895"/>
    <w:rsid w:val="00040E92"/>
    <w:rsid w:val="000412FE"/>
    <w:rsid w:val="000413C5"/>
    <w:rsid w:val="00041CB5"/>
    <w:rsid w:val="00041FA5"/>
    <w:rsid w:val="000426F3"/>
    <w:rsid w:val="00042789"/>
    <w:rsid w:val="00042828"/>
    <w:rsid w:val="00043078"/>
    <w:rsid w:val="000435EE"/>
    <w:rsid w:val="00043638"/>
    <w:rsid w:val="00043AAF"/>
    <w:rsid w:val="00043C37"/>
    <w:rsid w:val="00044360"/>
    <w:rsid w:val="000447D0"/>
    <w:rsid w:val="00044AB5"/>
    <w:rsid w:val="00044BC7"/>
    <w:rsid w:val="00045017"/>
    <w:rsid w:val="0004565F"/>
    <w:rsid w:val="00045A2B"/>
    <w:rsid w:val="0004698F"/>
    <w:rsid w:val="00046BDA"/>
    <w:rsid w:val="0004730A"/>
    <w:rsid w:val="0004763A"/>
    <w:rsid w:val="000478AD"/>
    <w:rsid w:val="00047BCD"/>
    <w:rsid w:val="00050028"/>
    <w:rsid w:val="00050029"/>
    <w:rsid w:val="00050A64"/>
    <w:rsid w:val="00050C3B"/>
    <w:rsid w:val="00050D76"/>
    <w:rsid w:val="00050E05"/>
    <w:rsid w:val="00051066"/>
    <w:rsid w:val="000512C5"/>
    <w:rsid w:val="00051333"/>
    <w:rsid w:val="000514A5"/>
    <w:rsid w:val="00051FEA"/>
    <w:rsid w:val="000521A9"/>
    <w:rsid w:val="0005273E"/>
    <w:rsid w:val="00052E0E"/>
    <w:rsid w:val="00053086"/>
    <w:rsid w:val="00053846"/>
    <w:rsid w:val="000539D0"/>
    <w:rsid w:val="00054440"/>
    <w:rsid w:val="00054621"/>
    <w:rsid w:val="000546D7"/>
    <w:rsid w:val="00054F2B"/>
    <w:rsid w:val="00055979"/>
    <w:rsid w:val="00055AE3"/>
    <w:rsid w:val="00055C49"/>
    <w:rsid w:val="000565DA"/>
    <w:rsid w:val="00056941"/>
    <w:rsid w:val="00056ECF"/>
    <w:rsid w:val="00056F2D"/>
    <w:rsid w:val="0005770B"/>
    <w:rsid w:val="00057988"/>
    <w:rsid w:val="00057B31"/>
    <w:rsid w:val="00057E20"/>
    <w:rsid w:val="00057EE0"/>
    <w:rsid w:val="00057F5D"/>
    <w:rsid w:val="000604DF"/>
    <w:rsid w:val="00060529"/>
    <w:rsid w:val="0006134B"/>
    <w:rsid w:val="00061555"/>
    <w:rsid w:val="00061AF4"/>
    <w:rsid w:val="00061B5A"/>
    <w:rsid w:val="00062037"/>
    <w:rsid w:val="000640D0"/>
    <w:rsid w:val="00064430"/>
    <w:rsid w:val="00064A82"/>
    <w:rsid w:val="00064E90"/>
    <w:rsid w:val="000651B2"/>
    <w:rsid w:val="000653B5"/>
    <w:rsid w:val="0006571C"/>
    <w:rsid w:val="00065D7C"/>
    <w:rsid w:val="00065FE1"/>
    <w:rsid w:val="00066097"/>
    <w:rsid w:val="00066360"/>
    <w:rsid w:val="00066368"/>
    <w:rsid w:val="0006669D"/>
    <w:rsid w:val="00066AF8"/>
    <w:rsid w:val="00067029"/>
    <w:rsid w:val="00067F89"/>
    <w:rsid w:val="00071248"/>
    <w:rsid w:val="000716B5"/>
    <w:rsid w:val="000720B9"/>
    <w:rsid w:val="000722DE"/>
    <w:rsid w:val="00072882"/>
    <w:rsid w:val="0007369E"/>
    <w:rsid w:val="000737F7"/>
    <w:rsid w:val="00073987"/>
    <w:rsid w:val="00073BC6"/>
    <w:rsid w:val="0007423A"/>
    <w:rsid w:val="00074520"/>
    <w:rsid w:val="00074D7B"/>
    <w:rsid w:val="00074F00"/>
    <w:rsid w:val="0007509B"/>
    <w:rsid w:val="00075AB3"/>
    <w:rsid w:val="00075B03"/>
    <w:rsid w:val="00075EE4"/>
    <w:rsid w:val="000762A0"/>
    <w:rsid w:val="000766F8"/>
    <w:rsid w:val="0007672F"/>
    <w:rsid w:val="00076B54"/>
    <w:rsid w:val="00076E7A"/>
    <w:rsid w:val="00076F18"/>
    <w:rsid w:val="000774F0"/>
    <w:rsid w:val="0007759C"/>
    <w:rsid w:val="00077644"/>
    <w:rsid w:val="0007782F"/>
    <w:rsid w:val="00077A90"/>
    <w:rsid w:val="00080909"/>
    <w:rsid w:val="00080E02"/>
    <w:rsid w:val="00080EC9"/>
    <w:rsid w:val="00080FF0"/>
    <w:rsid w:val="000812CA"/>
    <w:rsid w:val="0008173C"/>
    <w:rsid w:val="000817DA"/>
    <w:rsid w:val="00081AD7"/>
    <w:rsid w:val="00081E63"/>
    <w:rsid w:val="000820CE"/>
    <w:rsid w:val="0008258D"/>
    <w:rsid w:val="00083518"/>
    <w:rsid w:val="00083E99"/>
    <w:rsid w:val="00084568"/>
    <w:rsid w:val="00084BC6"/>
    <w:rsid w:val="00084FA8"/>
    <w:rsid w:val="000850EC"/>
    <w:rsid w:val="0008522D"/>
    <w:rsid w:val="000855AD"/>
    <w:rsid w:val="000856C5"/>
    <w:rsid w:val="00085930"/>
    <w:rsid w:val="00085C31"/>
    <w:rsid w:val="0008654C"/>
    <w:rsid w:val="000865B8"/>
    <w:rsid w:val="0008677B"/>
    <w:rsid w:val="00086A7F"/>
    <w:rsid w:val="000872B6"/>
    <w:rsid w:val="000873BF"/>
    <w:rsid w:val="0008759F"/>
    <w:rsid w:val="00087A2B"/>
    <w:rsid w:val="00087FF7"/>
    <w:rsid w:val="000902D9"/>
    <w:rsid w:val="00090441"/>
    <w:rsid w:val="0009080E"/>
    <w:rsid w:val="00090B93"/>
    <w:rsid w:val="00090C7E"/>
    <w:rsid w:val="000918A0"/>
    <w:rsid w:val="00092124"/>
    <w:rsid w:val="00092600"/>
    <w:rsid w:val="0009262B"/>
    <w:rsid w:val="000927F7"/>
    <w:rsid w:val="00092B87"/>
    <w:rsid w:val="00092BBE"/>
    <w:rsid w:val="00092C4E"/>
    <w:rsid w:val="00093310"/>
    <w:rsid w:val="00093397"/>
    <w:rsid w:val="00093608"/>
    <w:rsid w:val="0009379D"/>
    <w:rsid w:val="000940B1"/>
    <w:rsid w:val="00094176"/>
    <w:rsid w:val="0009445C"/>
    <w:rsid w:val="00094838"/>
    <w:rsid w:val="00094A5C"/>
    <w:rsid w:val="00094D46"/>
    <w:rsid w:val="00095016"/>
    <w:rsid w:val="00095200"/>
    <w:rsid w:val="00095861"/>
    <w:rsid w:val="000959AF"/>
    <w:rsid w:val="00095D55"/>
    <w:rsid w:val="00095FE5"/>
    <w:rsid w:val="00096170"/>
    <w:rsid w:val="00096284"/>
    <w:rsid w:val="00096908"/>
    <w:rsid w:val="00097210"/>
    <w:rsid w:val="00097417"/>
    <w:rsid w:val="00097476"/>
    <w:rsid w:val="000975C6"/>
    <w:rsid w:val="0009786C"/>
    <w:rsid w:val="00097878"/>
    <w:rsid w:val="000978FB"/>
    <w:rsid w:val="00097921"/>
    <w:rsid w:val="00097D8F"/>
    <w:rsid w:val="00097DA4"/>
    <w:rsid w:val="000A0789"/>
    <w:rsid w:val="000A08AB"/>
    <w:rsid w:val="000A0A41"/>
    <w:rsid w:val="000A1BC0"/>
    <w:rsid w:val="000A1CFF"/>
    <w:rsid w:val="000A2AAE"/>
    <w:rsid w:val="000A2B81"/>
    <w:rsid w:val="000A2D46"/>
    <w:rsid w:val="000A31CC"/>
    <w:rsid w:val="000A353B"/>
    <w:rsid w:val="000A38FC"/>
    <w:rsid w:val="000A3AB7"/>
    <w:rsid w:val="000A45B0"/>
    <w:rsid w:val="000A4B21"/>
    <w:rsid w:val="000A4CFC"/>
    <w:rsid w:val="000A4DEF"/>
    <w:rsid w:val="000A4FA8"/>
    <w:rsid w:val="000A5903"/>
    <w:rsid w:val="000A5B85"/>
    <w:rsid w:val="000A6039"/>
    <w:rsid w:val="000A645D"/>
    <w:rsid w:val="000A6622"/>
    <w:rsid w:val="000A666E"/>
    <w:rsid w:val="000A67BE"/>
    <w:rsid w:val="000A6D5C"/>
    <w:rsid w:val="000A7453"/>
    <w:rsid w:val="000A74BA"/>
    <w:rsid w:val="000A7CED"/>
    <w:rsid w:val="000A7D08"/>
    <w:rsid w:val="000B0121"/>
    <w:rsid w:val="000B0373"/>
    <w:rsid w:val="000B0670"/>
    <w:rsid w:val="000B0695"/>
    <w:rsid w:val="000B0AB3"/>
    <w:rsid w:val="000B0D61"/>
    <w:rsid w:val="000B0E75"/>
    <w:rsid w:val="000B0F39"/>
    <w:rsid w:val="000B0F64"/>
    <w:rsid w:val="000B15C6"/>
    <w:rsid w:val="000B1ACF"/>
    <w:rsid w:val="000B1BAF"/>
    <w:rsid w:val="000B2DA2"/>
    <w:rsid w:val="000B2DCB"/>
    <w:rsid w:val="000B3DED"/>
    <w:rsid w:val="000B3EAB"/>
    <w:rsid w:val="000B41C2"/>
    <w:rsid w:val="000B431D"/>
    <w:rsid w:val="000B4752"/>
    <w:rsid w:val="000B4D12"/>
    <w:rsid w:val="000B5114"/>
    <w:rsid w:val="000B5CE0"/>
    <w:rsid w:val="000B5E4F"/>
    <w:rsid w:val="000B6CAC"/>
    <w:rsid w:val="000B6CF8"/>
    <w:rsid w:val="000B7612"/>
    <w:rsid w:val="000B78AE"/>
    <w:rsid w:val="000C0BA9"/>
    <w:rsid w:val="000C0CC3"/>
    <w:rsid w:val="000C129F"/>
    <w:rsid w:val="000C1EA6"/>
    <w:rsid w:val="000C1FED"/>
    <w:rsid w:val="000C2263"/>
    <w:rsid w:val="000C2BB1"/>
    <w:rsid w:val="000C304E"/>
    <w:rsid w:val="000C3362"/>
    <w:rsid w:val="000C35AF"/>
    <w:rsid w:val="000C3695"/>
    <w:rsid w:val="000C3B9E"/>
    <w:rsid w:val="000C3DBE"/>
    <w:rsid w:val="000C3DF9"/>
    <w:rsid w:val="000C4A08"/>
    <w:rsid w:val="000C4EB4"/>
    <w:rsid w:val="000C5271"/>
    <w:rsid w:val="000C553C"/>
    <w:rsid w:val="000C5C17"/>
    <w:rsid w:val="000C5C1C"/>
    <w:rsid w:val="000C63D1"/>
    <w:rsid w:val="000C66F6"/>
    <w:rsid w:val="000C6713"/>
    <w:rsid w:val="000C671D"/>
    <w:rsid w:val="000C67A8"/>
    <w:rsid w:val="000C6C98"/>
    <w:rsid w:val="000C6FF7"/>
    <w:rsid w:val="000C7FCE"/>
    <w:rsid w:val="000D0202"/>
    <w:rsid w:val="000D029F"/>
    <w:rsid w:val="000D05B7"/>
    <w:rsid w:val="000D08A1"/>
    <w:rsid w:val="000D19BA"/>
    <w:rsid w:val="000D1AB3"/>
    <w:rsid w:val="000D1BFC"/>
    <w:rsid w:val="000D1C82"/>
    <w:rsid w:val="000D1D5D"/>
    <w:rsid w:val="000D2217"/>
    <w:rsid w:val="000D23D4"/>
    <w:rsid w:val="000D281A"/>
    <w:rsid w:val="000D2848"/>
    <w:rsid w:val="000D3203"/>
    <w:rsid w:val="000D326A"/>
    <w:rsid w:val="000D332A"/>
    <w:rsid w:val="000D3609"/>
    <w:rsid w:val="000D3821"/>
    <w:rsid w:val="000D3C8D"/>
    <w:rsid w:val="000D3DBC"/>
    <w:rsid w:val="000D4AFD"/>
    <w:rsid w:val="000D4C22"/>
    <w:rsid w:val="000D51FB"/>
    <w:rsid w:val="000D57FE"/>
    <w:rsid w:val="000D5D16"/>
    <w:rsid w:val="000D5E66"/>
    <w:rsid w:val="000D62BF"/>
    <w:rsid w:val="000D68CB"/>
    <w:rsid w:val="000D69D0"/>
    <w:rsid w:val="000D6A96"/>
    <w:rsid w:val="000D6DDA"/>
    <w:rsid w:val="000D6DF2"/>
    <w:rsid w:val="000D7093"/>
    <w:rsid w:val="000D73F5"/>
    <w:rsid w:val="000E03BF"/>
    <w:rsid w:val="000E0640"/>
    <w:rsid w:val="000E0BE5"/>
    <w:rsid w:val="000E1259"/>
    <w:rsid w:val="000E135D"/>
    <w:rsid w:val="000E1ED2"/>
    <w:rsid w:val="000E3486"/>
    <w:rsid w:val="000E48E5"/>
    <w:rsid w:val="000E564D"/>
    <w:rsid w:val="000E65F6"/>
    <w:rsid w:val="000E696B"/>
    <w:rsid w:val="000E6CD3"/>
    <w:rsid w:val="000E70E5"/>
    <w:rsid w:val="000E7DF4"/>
    <w:rsid w:val="000F00BA"/>
    <w:rsid w:val="000F0307"/>
    <w:rsid w:val="000F0DF7"/>
    <w:rsid w:val="000F1757"/>
    <w:rsid w:val="000F1931"/>
    <w:rsid w:val="000F1E2D"/>
    <w:rsid w:val="000F22D8"/>
    <w:rsid w:val="000F24A9"/>
    <w:rsid w:val="000F26BC"/>
    <w:rsid w:val="000F2700"/>
    <w:rsid w:val="000F2AE1"/>
    <w:rsid w:val="000F2F27"/>
    <w:rsid w:val="000F316A"/>
    <w:rsid w:val="000F3236"/>
    <w:rsid w:val="000F388C"/>
    <w:rsid w:val="000F3C74"/>
    <w:rsid w:val="000F43D8"/>
    <w:rsid w:val="000F4832"/>
    <w:rsid w:val="000F4A21"/>
    <w:rsid w:val="000F4BB8"/>
    <w:rsid w:val="000F4FA9"/>
    <w:rsid w:val="000F5250"/>
    <w:rsid w:val="000F5288"/>
    <w:rsid w:val="000F53FB"/>
    <w:rsid w:val="000F5B8D"/>
    <w:rsid w:val="000F5D6D"/>
    <w:rsid w:val="000F6261"/>
    <w:rsid w:val="000F680B"/>
    <w:rsid w:val="000F6870"/>
    <w:rsid w:val="000F6895"/>
    <w:rsid w:val="000F6B36"/>
    <w:rsid w:val="000F7127"/>
    <w:rsid w:val="000F7708"/>
    <w:rsid w:val="000F7B54"/>
    <w:rsid w:val="000F7BCA"/>
    <w:rsid w:val="000F7FC2"/>
    <w:rsid w:val="00100232"/>
    <w:rsid w:val="00100654"/>
    <w:rsid w:val="00100ECE"/>
    <w:rsid w:val="00100F3A"/>
    <w:rsid w:val="00100F8A"/>
    <w:rsid w:val="00101056"/>
    <w:rsid w:val="00101071"/>
    <w:rsid w:val="00101115"/>
    <w:rsid w:val="00101E78"/>
    <w:rsid w:val="00102CD3"/>
    <w:rsid w:val="001033EB"/>
    <w:rsid w:val="001034E6"/>
    <w:rsid w:val="00103CAF"/>
    <w:rsid w:val="00103DED"/>
    <w:rsid w:val="00103FE7"/>
    <w:rsid w:val="001041DB"/>
    <w:rsid w:val="0010452E"/>
    <w:rsid w:val="0010453B"/>
    <w:rsid w:val="00104991"/>
    <w:rsid w:val="0010536E"/>
    <w:rsid w:val="00105426"/>
    <w:rsid w:val="00105AE2"/>
    <w:rsid w:val="00105BAC"/>
    <w:rsid w:val="00105DE3"/>
    <w:rsid w:val="00105F73"/>
    <w:rsid w:val="001060C6"/>
    <w:rsid w:val="00106B5F"/>
    <w:rsid w:val="00106B80"/>
    <w:rsid w:val="001076A5"/>
    <w:rsid w:val="001100D7"/>
    <w:rsid w:val="0011019B"/>
    <w:rsid w:val="0011032E"/>
    <w:rsid w:val="0011041A"/>
    <w:rsid w:val="00110AD9"/>
    <w:rsid w:val="00110EE8"/>
    <w:rsid w:val="00111220"/>
    <w:rsid w:val="001114B1"/>
    <w:rsid w:val="001118E4"/>
    <w:rsid w:val="00112049"/>
    <w:rsid w:val="0011284D"/>
    <w:rsid w:val="001129E8"/>
    <w:rsid w:val="001132C1"/>
    <w:rsid w:val="0011332E"/>
    <w:rsid w:val="0011348B"/>
    <w:rsid w:val="00113B83"/>
    <w:rsid w:val="00113CCC"/>
    <w:rsid w:val="00114028"/>
    <w:rsid w:val="00114290"/>
    <w:rsid w:val="0011430B"/>
    <w:rsid w:val="0011453D"/>
    <w:rsid w:val="00114804"/>
    <w:rsid w:val="00114DAB"/>
    <w:rsid w:val="00114FE3"/>
    <w:rsid w:val="00115881"/>
    <w:rsid w:val="00115982"/>
    <w:rsid w:val="00115FEE"/>
    <w:rsid w:val="00116145"/>
    <w:rsid w:val="00116486"/>
    <w:rsid w:val="00116520"/>
    <w:rsid w:val="001168EC"/>
    <w:rsid w:val="0011695C"/>
    <w:rsid w:val="00116C53"/>
    <w:rsid w:val="001177F5"/>
    <w:rsid w:val="00117AFF"/>
    <w:rsid w:val="00117B64"/>
    <w:rsid w:val="0012026F"/>
    <w:rsid w:val="00121058"/>
    <w:rsid w:val="001214D5"/>
    <w:rsid w:val="00121799"/>
    <w:rsid w:val="00121BB4"/>
    <w:rsid w:val="00121DA7"/>
    <w:rsid w:val="00121ECA"/>
    <w:rsid w:val="00122004"/>
    <w:rsid w:val="001221A7"/>
    <w:rsid w:val="001222FC"/>
    <w:rsid w:val="00122494"/>
    <w:rsid w:val="00122AE4"/>
    <w:rsid w:val="00123902"/>
    <w:rsid w:val="0012390D"/>
    <w:rsid w:val="00123A23"/>
    <w:rsid w:val="001240A4"/>
    <w:rsid w:val="0012431F"/>
    <w:rsid w:val="00124352"/>
    <w:rsid w:val="00124A51"/>
    <w:rsid w:val="00124FB2"/>
    <w:rsid w:val="00125765"/>
    <w:rsid w:val="00125B5F"/>
    <w:rsid w:val="00125CB4"/>
    <w:rsid w:val="00126621"/>
    <w:rsid w:val="00126ABE"/>
    <w:rsid w:val="00126B1D"/>
    <w:rsid w:val="00126D36"/>
    <w:rsid w:val="00126E60"/>
    <w:rsid w:val="00127EBF"/>
    <w:rsid w:val="00130164"/>
    <w:rsid w:val="001301E9"/>
    <w:rsid w:val="00130AA6"/>
    <w:rsid w:val="00130BF2"/>
    <w:rsid w:val="00131404"/>
    <w:rsid w:val="001318C3"/>
    <w:rsid w:val="00131D82"/>
    <w:rsid w:val="00131DAE"/>
    <w:rsid w:val="00132165"/>
    <w:rsid w:val="00132B22"/>
    <w:rsid w:val="00132E71"/>
    <w:rsid w:val="00133792"/>
    <w:rsid w:val="0013391C"/>
    <w:rsid w:val="00133D18"/>
    <w:rsid w:val="00133D36"/>
    <w:rsid w:val="00133ECF"/>
    <w:rsid w:val="00134447"/>
    <w:rsid w:val="0013504A"/>
    <w:rsid w:val="00135555"/>
    <w:rsid w:val="001355D2"/>
    <w:rsid w:val="00137579"/>
    <w:rsid w:val="00137645"/>
    <w:rsid w:val="001379A2"/>
    <w:rsid w:val="00137C5A"/>
    <w:rsid w:val="00137E97"/>
    <w:rsid w:val="0014015A"/>
    <w:rsid w:val="001408AD"/>
    <w:rsid w:val="00140990"/>
    <w:rsid w:val="00140E99"/>
    <w:rsid w:val="00141118"/>
    <w:rsid w:val="001412E0"/>
    <w:rsid w:val="00141343"/>
    <w:rsid w:val="001415AA"/>
    <w:rsid w:val="00141796"/>
    <w:rsid w:val="00141A95"/>
    <w:rsid w:val="00141BDB"/>
    <w:rsid w:val="00141F33"/>
    <w:rsid w:val="0014269D"/>
    <w:rsid w:val="00142722"/>
    <w:rsid w:val="00142EF4"/>
    <w:rsid w:val="00143118"/>
    <w:rsid w:val="00143486"/>
    <w:rsid w:val="001437DC"/>
    <w:rsid w:val="00143F67"/>
    <w:rsid w:val="00145540"/>
    <w:rsid w:val="00145646"/>
    <w:rsid w:val="001456B0"/>
    <w:rsid w:val="001462FF"/>
    <w:rsid w:val="001463FB"/>
    <w:rsid w:val="00146628"/>
    <w:rsid w:val="0014686D"/>
    <w:rsid w:val="00146FB9"/>
    <w:rsid w:val="0015052F"/>
    <w:rsid w:val="00150CCE"/>
    <w:rsid w:val="0015132D"/>
    <w:rsid w:val="001517A0"/>
    <w:rsid w:val="0015209B"/>
    <w:rsid w:val="00152184"/>
    <w:rsid w:val="0015262E"/>
    <w:rsid w:val="00152FC1"/>
    <w:rsid w:val="0015307F"/>
    <w:rsid w:val="0015308A"/>
    <w:rsid w:val="0015339E"/>
    <w:rsid w:val="001543A0"/>
    <w:rsid w:val="0015446A"/>
    <w:rsid w:val="00154834"/>
    <w:rsid w:val="00154FA3"/>
    <w:rsid w:val="00155028"/>
    <w:rsid w:val="00155152"/>
    <w:rsid w:val="00155423"/>
    <w:rsid w:val="00155A7F"/>
    <w:rsid w:val="001560C7"/>
    <w:rsid w:val="0015622C"/>
    <w:rsid w:val="0015643C"/>
    <w:rsid w:val="00156724"/>
    <w:rsid w:val="00156F8F"/>
    <w:rsid w:val="00157130"/>
    <w:rsid w:val="001572A3"/>
    <w:rsid w:val="00157431"/>
    <w:rsid w:val="001574CF"/>
    <w:rsid w:val="001576B1"/>
    <w:rsid w:val="00160119"/>
    <w:rsid w:val="001602D7"/>
    <w:rsid w:val="00160471"/>
    <w:rsid w:val="0016047B"/>
    <w:rsid w:val="00160A4C"/>
    <w:rsid w:val="001613EF"/>
    <w:rsid w:val="00161726"/>
    <w:rsid w:val="001623C0"/>
    <w:rsid w:val="00162465"/>
    <w:rsid w:val="00162913"/>
    <w:rsid w:val="00162BBC"/>
    <w:rsid w:val="00162BD5"/>
    <w:rsid w:val="00162C7C"/>
    <w:rsid w:val="001630F1"/>
    <w:rsid w:val="00163384"/>
    <w:rsid w:val="00163A27"/>
    <w:rsid w:val="00163E86"/>
    <w:rsid w:val="00163EFF"/>
    <w:rsid w:val="00163F66"/>
    <w:rsid w:val="00164E82"/>
    <w:rsid w:val="00164E90"/>
    <w:rsid w:val="0016505C"/>
    <w:rsid w:val="00165C8E"/>
    <w:rsid w:val="00165CA0"/>
    <w:rsid w:val="001661FB"/>
    <w:rsid w:val="001669F6"/>
    <w:rsid w:val="001671A0"/>
    <w:rsid w:val="00167365"/>
    <w:rsid w:val="0016767F"/>
    <w:rsid w:val="00167EC2"/>
    <w:rsid w:val="00170358"/>
    <w:rsid w:val="00170397"/>
    <w:rsid w:val="0017102D"/>
    <w:rsid w:val="001718B4"/>
    <w:rsid w:val="00171AFF"/>
    <w:rsid w:val="00171B6B"/>
    <w:rsid w:val="00171EB5"/>
    <w:rsid w:val="00172037"/>
    <w:rsid w:val="00172091"/>
    <w:rsid w:val="001732FF"/>
    <w:rsid w:val="00173484"/>
    <w:rsid w:val="00173565"/>
    <w:rsid w:val="0017370B"/>
    <w:rsid w:val="00173B07"/>
    <w:rsid w:val="001741FB"/>
    <w:rsid w:val="00174203"/>
    <w:rsid w:val="00175085"/>
    <w:rsid w:val="001751FA"/>
    <w:rsid w:val="0017558D"/>
    <w:rsid w:val="00175644"/>
    <w:rsid w:val="00176952"/>
    <w:rsid w:val="001772B3"/>
    <w:rsid w:val="00177ECE"/>
    <w:rsid w:val="00180351"/>
    <w:rsid w:val="001805E0"/>
    <w:rsid w:val="00181493"/>
    <w:rsid w:val="00181D9C"/>
    <w:rsid w:val="001824B5"/>
    <w:rsid w:val="001825BF"/>
    <w:rsid w:val="00182DA9"/>
    <w:rsid w:val="00183138"/>
    <w:rsid w:val="00183608"/>
    <w:rsid w:val="00183620"/>
    <w:rsid w:val="00183AD4"/>
    <w:rsid w:val="00183FCF"/>
    <w:rsid w:val="00184408"/>
    <w:rsid w:val="00184711"/>
    <w:rsid w:val="00184881"/>
    <w:rsid w:val="00184894"/>
    <w:rsid w:val="00184B0E"/>
    <w:rsid w:val="00184EBD"/>
    <w:rsid w:val="0018549A"/>
    <w:rsid w:val="00185DC5"/>
    <w:rsid w:val="001861DC"/>
    <w:rsid w:val="001871BB"/>
    <w:rsid w:val="0018752F"/>
    <w:rsid w:val="00187DC9"/>
    <w:rsid w:val="00190139"/>
    <w:rsid w:val="00190363"/>
    <w:rsid w:val="0019043F"/>
    <w:rsid w:val="00191574"/>
    <w:rsid w:val="0019179E"/>
    <w:rsid w:val="00192A3D"/>
    <w:rsid w:val="00192E7E"/>
    <w:rsid w:val="00192F29"/>
    <w:rsid w:val="0019330C"/>
    <w:rsid w:val="00193364"/>
    <w:rsid w:val="00193838"/>
    <w:rsid w:val="001942F7"/>
    <w:rsid w:val="001946BE"/>
    <w:rsid w:val="001948BC"/>
    <w:rsid w:val="00194AD8"/>
    <w:rsid w:val="00194EA4"/>
    <w:rsid w:val="001950D7"/>
    <w:rsid w:val="001950F0"/>
    <w:rsid w:val="00195104"/>
    <w:rsid w:val="00195222"/>
    <w:rsid w:val="001964D8"/>
    <w:rsid w:val="00196A4E"/>
    <w:rsid w:val="00196ABA"/>
    <w:rsid w:val="00196DCA"/>
    <w:rsid w:val="00196FC8"/>
    <w:rsid w:val="001975D8"/>
    <w:rsid w:val="001A016B"/>
    <w:rsid w:val="001A0C8C"/>
    <w:rsid w:val="001A0F92"/>
    <w:rsid w:val="001A178E"/>
    <w:rsid w:val="001A1D61"/>
    <w:rsid w:val="001A2B2C"/>
    <w:rsid w:val="001A2E76"/>
    <w:rsid w:val="001A34FA"/>
    <w:rsid w:val="001A43FA"/>
    <w:rsid w:val="001A46A3"/>
    <w:rsid w:val="001A47C5"/>
    <w:rsid w:val="001A4BB1"/>
    <w:rsid w:val="001A50AA"/>
    <w:rsid w:val="001A59FB"/>
    <w:rsid w:val="001A5E9E"/>
    <w:rsid w:val="001A6354"/>
    <w:rsid w:val="001A6366"/>
    <w:rsid w:val="001A667D"/>
    <w:rsid w:val="001A6946"/>
    <w:rsid w:val="001A6C60"/>
    <w:rsid w:val="001A6F25"/>
    <w:rsid w:val="001A734A"/>
    <w:rsid w:val="001A75AE"/>
    <w:rsid w:val="001A76CC"/>
    <w:rsid w:val="001A79BE"/>
    <w:rsid w:val="001A7AE8"/>
    <w:rsid w:val="001B0257"/>
    <w:rsid w:val="001B0819"/>
    <w:rsid w:val="001B12E6"/>
    <w:rsid w:val="001B189E"/>
    <w:rsid w:val="001B204E"/>
    <w:rsid w:val="001B2372"/>
    <w:rsid w:val="001B2444"/>
    <w:rsid w:val="001B2691"/>
    <w:rsid w:val="001B2A6E"/>
    <w:rsid w:val="001B3443"/>
    <w:rsid w:val="001B3672"/>
    <w:rsid w:val="001B385E"/>
    <w:rsid w:val="001B4622"/>
    <w:rsid w:val="001B4D20"/>
    <w:rsid w:val="001B4D5A"/>
    <w:rsid w:val="001B529E"/>
    <w:rsid w:val="001B5326"/>
    <w:rsid w:val="001B5433"/>
    <w:rsid w:val="001B565A"/>
    <w:rsid w:val="001B5A48"/>
    <w:rsid w:val="001B5C8F"/>
    <w:rsid w:val="001B6019"/>
    <w:rsid w:val="001B60F0"/>
    <w:rsid w:val="001B60FD"/>
    <w:rsid w:val="001B6227"/>
    <w:rsid w:val="001B62E3"/>
    <w:rsid w:val="001B630A"/>
    <w:rsid w:val="001B642A"/>
    <w:rsid w:val="001B6530"/>
    <w:rsid w:val="001B6E26"/>
    <w:rsid w:val="001B7418"/>
    <w:rsid w:val="001B760F"/>
    <w:rsid w:val="001B7D24"/>
    <w:rsid w:val="001C0A5B"/>
    <w:rsid w:val="001C0BDB"/>
    <w:rsid w:val="001C0C05"/>
    <w:rsid w:val="001C1038"/>
    <w:rsid w:val="001C12FB"/>
    <w:rsid w:val="001C1922"/>
    <w:rsid w:val="001C1930"/>
    <w:rsid w:val="001C23AE"/>
    <w:rsid w:val="001C2A9B"/>
    <w:rsid w:val="001C3219"/>
    <w:rsid w:val="001C38B1"/>
    <w:rsid w:val="001C4299"/>
    <w:rsid w:val="001C4410"/>
    <w:rsid w:val="001C4595"/>
    <w:rsid w:val="001C4874"/>
    <w:rsid w:val="001C4E27"/>
    <w:rsid w:val="001C5A3E"/>
    <w:rsid w:val="001C5F94"/>
    <w:rsid w:val="001C63DF"/>
    <w:rsid w:val="001C6A93"/>
    <w:rsid w:val="001C6E66"/>
    <w:rsid w:val="001C6E81"/>
    <w:rsid w:val="001C6EF8"/>
    <w:rsid w:val="001C706A"/>
    <w:rsid w:val="001C7879"/>
    <w:rsid w:val="001C7FB0"/>
    <w:rsid w:val="001D0249"/>
    <w:rsid w:val="001D05D7"/>
    <w:rsid w:val="001D0C71"/>
    <w:rsid w:val="001D0E75"/>
    <w:rsid w:val="001D10E7"/>
    <w:rsid w:val="001D1100"/>
    <w:rsid w:val="001D1391"/>
    <w:rsid w:val="001D1BA4"/>
    <w:rsid w:val="001D1BF0"/>
    <w:rsid w:val="001D1CAB"/>
    <w:rsid w:val="001D25D7"/>
    <w:rsid w:val="001D3030"/>
    <w:rsid w:val="001D3589"/>
    <w:rsid w:val="001D3AC7"/>
    <w:rsid w:val="001D3BE8"/>
    <w:rsid w:val="001D448B"/>
    <w:rsid w:val="001D49A6"/>
    <w:rsid w:val="001D4C3F"/>
    <w:rsid w:val="001D4E8C"/>
    <w:rsid w:val="001D50B2"/>
    <w:rsid w:val="001D52EB"/>
    <w:rsid w:val="001D532A"/>
    <w:rsid w:val="001D5512"/>
    <w:rsid w:val="001D58D2"/>
    <w:rsid w:val="001D6517"/>
    <w:rsid w:val="001D6D40"/>
    <w:rsid w:val="001D6D5E"/>
    <w:rsid w:val="001D6D93"/>
    <w:rsid w:val="001D6F3E"/>
    <w:rsid w:val="001D7645"/>
    <w:rsid w:val="001D7C17"/>
    <w:rsid w:val="001D7CFA"/>
    <w:rsid w:val="001D7F5B"/>
    <w:rsid w:val="001E0591"/>
    <w:rsid w:val="001E110D"/>
    <w:rsid w:val="001E1561"/>
    <w:rsid w:val="001E159B"/>
    <w:rsid w:val="001E1801"/>
    <w:rsid w:val="001E1B62"/>
    <w:rsid w:val="001E1DA9"/>
    <w:rsid w:val="001E1E86"/>
    <w:rsid w:val="001E2041"/>
    <w:rsid w:val="001E238E"/>
    <w:rsid w:val="001E2483"/>
    <w:rsid w:val="001E2B1E"/>
    <w:rsid w:val="001E2CFF"/>
    <w:rsid w:val="001E2F24"/>
    <w:rsid w:val="001E30D4"/>
    <w:rsid w:val="001E32DF"/>
    <w:rsid w:val="001E34DF"/>
    <w:rsid w:val="001E3BF2"/>
    <w:rsid w:val="001E3DED"/>
    <w:rsid w:val="001E3E0F"/>
    <w:rsid w:val="001E412E"/>
    <w:rsid w:val="001E4377"/>
    <w:rsid w:val="001E454F"/>
    <w:rsid w:val="001E491D"/>
    <w:rsid w:val="001E4957"/>
    <w:rsid w:val="001E5234"/>
    <w:rsid w:val="001E52EB"/>
    <w:rsid w:val="001E57F4"/>
    <w:rsid w:val="001E61D2"/>
    <w:rsid w:val="001E69D9"/>
    <w:rsid w:val="001E740C"/>
    <w:rsid w:val="001E789B"/>
    <w:rsid w:val="001E7944"/>
    <w:rsid w:val="001F054A"/>
    <w:rsid w:val="001F05F5"/>
    <w:rsid w:val="001F06F4"/>
    <w:rsid w:val="001F072C"/>
    <w:rsid w:val="001F096B"/>
    <w:rsid w:val="001F0C93"/>
    <w:rsid w:val="001F1067"/>
    <w:rsid w:val="001F1235"/>
    <w:rsid w:val="001F1CB3"/>
    <w:rsid w:val="001F2CA3"/>
    <w:rsid w:val="001F38B5"/>
    <w:rsid w:val="001F3901"/>
    <w:rsid w:val="001F3A7B"/>
    <w:rsid w:val="001F4081"/>
    <w:rsid w:val="001F429E"/>
    <w:rsid w:val="001F4404"/>
    <w:rsid w:val="001F48B5"/>
    <w:rsid w:val="001F506F"/>
    <w:rsid w:val="001F5A70"/>
    <w:rsid w:val="001F5B47"/>
    <w:rsid w:val="001F5CF6"/>
    <w:rsid w:val="001F6135"/>
    <w:rsid w:val="001F649F"/>
    <w:rsid w:val="001F66E7"/>
    <w:rsid w:val="001F7361"/>
    <w:rsid w:val="001F7CC6"/>
    <w:rsid w:val="00200A2E"/>
    <w:rsid w:val="00200B59"/>
    <w:rsid w:val="00201184"/>
    <w:rsid w:val="002011B0"/>
    <w:rsid w:val="00201361"/>
    <w:rsid w:val="002019AC"/>
    <w:rsid w:val="00201AF7"/>
    <w:rsid w:val="00201E08"/>
    <w:rsid w:val="00201F98"/>
    <w:rsid w:val="0020272F"/>
    <w:rsid w:val="00203181"/>
    <w:rsid w:val="00203282"/>
    <w:rsid w:val="00203390"/>
    <w:rsid w:val="00203783"/>
    <w:rsid w:val="0020385F"/>
    <w:rsid w:val="00203AB5"/>
    <w:rsid w:val="00203F61"/>
    <w:rsid w:val="00204086"/>
    <w:rsid w:val="00204488"/>
    <w:rsid w:val="0020587B"/>
    <w:rsid w:val="002058F1"/>
    <w:rsid w:val="00205DA6"/>
    <w:rsid w:val="00206190"/>
    <w:rsid w:val="002064D4"/>
    <w:rsid w:val="00206657"/>
    <w:rsid w:val="002068A0"/>
    <w:rsid w:val="00206A75"/>
    <w:rsid w:val="00206F70"/>
    <w:rsid w:val="00206F86"/>
    <w:rsid w:val="00207021"/>
    <w:rsid w:val="0020732F"/>
    <w:rsid w:val="0020740E"/>
    <w:rsid w:val="002075EE"/>
    <w:rsid w:val="00207D00"/>
    <w:rsid w:val="002105C1"/>
    <w:rsid w:val="00210EA1"/>
    <w:rsid w:val="0021118C"/>
    <w:rsid w:val="00211619"/>
    <w:rsid w:val="00211F90"/>
    <w:rsid w:val="002124A4"/>
    <w:rsid w:val="00212689"/>
    <w:rsid w:val="00212B3C"/>
    <w:rsid w:val="002137C6"/>
    <w:rsid w:val="00213E31"/>
    <w:rsid w:val="00213EF4"/>
    <w:rsid w:val="00213EF5"/>
    <w:rsid w:val="0021463D"/>
    <w:rsid w:val="0021511F"/>
    <w:rsid w:val="00215B92"/>
    <w:rsid w:val="00215F57"/>
    <w:rsid w:val="0021604B"/>
    <w:rsid w:val="0021679D"/>
    <w:rsid w:val="00216BF5"/>
    <w:rsid w:val="00216CE5"/>
    <w:rsid w:val="0021748B"/>
    <w:rsid w:val="0021777D"/>
    <w:rsid w:val="002203FF"/>
    <w:rsid w:val="002204E0"/>
    <w:rsid w:val="002204F1"/>
    <w:rsid w:val="002205DE"/>
    <w:rsid w:val="002206DA"/>
    <w:rsid w:val="00220778"/>
    <w:rsid w:val="002210D9"/>
    <w:rsid w:val="002213DC"/>
    <w:rsid w:val="002214D9"/>
    <w:rsid w:val="00222626"/>
    <w:rsid w:val="002231DF"/>
    <w:rsid w:val="002238F9"/>
    <w:rsid w:val="00223B49"/>
    <w:rsid w:val="00223D5A"/>
    <w:rsid w:val="0022465C"/>
    <w:rsid w:val="0022477D"/>
    <w:rsid w:val="00224C6F"/>
    <w:rsid w:val="00224C75"/>
    <w:rsid w:val="00224D88"/>
    <w:rsid w:val="00224DD4"/>
    <w:rsid w:val="002255B8"/>
    <w:rsid w:val="00225770"/>
    <w:rsid w:val="00225C4E"/>
    <w:rsid w:val="002264DD"/>
    <w:rsid w:val="002275EC"/>
    <w:rsid w:val="002278A0"/>
    <w:rsid w:val="00227A86"/>
    <w:rsid w:val="002309CC"/>
    <w:rsid w:val="00231C60"/>
    <w:rsid w:val="0023209F"/>
    <w:rsid w:val="0023247C"/>
    <w:rsid w:val="002326F0"/>
    <w:rsid w:val="00232B99"/>
    <w:rsid w:val="00232F6B"/>
    <w:rsid w:val="002333AC"/>
    <w:rsid w:val="002335CA"/>
    <w:rsid w:val="00233C01"/>
    <w:rsid w:val="00233DE5"/>
    <w:rsid w:val="0023413C"/>
    <w:rsid w:val="002346F0"/>
    <w:rsid w:val="00235370"/>
    <w:rsid w:val="00235435"/>
    <w:rsid w:val="002354F0"/>
    <w:rsid w:val="002359AB"/>
    <w:rsid w:val="0023611D"/>
    <w:rsid w:val="00236234"/>
    <w:rsid w:val="00236246"/>
    <w:rsid w:val="0023629D"/>
    <w:rsid w:val="0023671B"/>
    <w:rsid w:val="00236759"/>
    <w:rsid w:val="00236EFF"/>
    <w:rsid w:val="00237255"/>
    <w:rsid w:val="00237450"/>
    <w:rsid w:val="0023762A"/>
    <w:rsid w:val="0023768E"/>
    <w:rsid w:val="00240780"/>
    <w:rsid w:val="00240B38"/>
    <w:rsid w:val="002413C3"/>
    <w:rsid w:val="00241CDE"/>
    <w:rsid w:val="002424AF"/>
    <w:rsid w:val="00242E9C"/>
    <w:rsid w:val="00242F06"/>
    <w:rsid w:val="00242F51"/>
    <w:rsid w:val="00243815"/>
    <w:rsid w:val="002439DC"/>
    <w:rsid w:val="00244119"/>
    <w:rsid w:val="002441D2"/>
    <w:rsid w:val="002443EB"/>
    <w:rsid w:val="0024453E"/>
    <w:rsid w:val="00244915"/>
    <w:rsid w:val="00244DC8"/>
    <w:rsid w:val="0024526E"/>
    <w:rsid w:val="002452F3"/>
    <w:rsid w:val="002458BA"/>
    <w:rsid w:val="00245A95"/>
    <w:rsid w:val="00245CE9"/>
    <w:rsid w:val="0024636C"/>
    <w:rsid w:val="00246D65"/>
    <w:rsid w:val="00246EE4"/>
    <w:rsid w:val="00246FFE"/>
    <w:rsid w:val="00247252"/>
    <w:rsid w:val="00247925"/>
    <w:rsid w:val="00250188"/>
    <w:rsid w:val="00250710"/>
    <w:rsid w:val="0025085A"/>
    <w:rsid w:val="00250C34"/>
    <w:rsid w:val="00250D2D"/>
    <w:rsid w:val="00250EA7"/>
    <w:rsid w:val="00251006"/>
    <w:rsid w:val="0025139F"/>
    <w:rsid w:val="002513D3"/>
    <w:rsid w:val="00251CA4"/>
    <w:rsid w:val="002520D9"/>
    <w:rsid w:val="00252290"/>
    <w:rsid w:val="002524D5"/>
    <w:rsid w:val="00252534"/>
    <w:rsid w:val="00253045"/>
    <w:rsid w:val="002534A9"/>
    <w:rsid w:val="00253874"/>
    <w:rsid w:val="00253B1D"/>
    <w:rsid w:val="00253C90"/>
    <w:rsid w:val="00253ED8"/>
    <w:rsid w:val="002548EA"/>
    <w:rsid w:val="00254913"/>
    <w:rsid w:val="00254DCF"/>
    <w:rsid w:val="00254F66"/>
    <w:rsid w:val="0025534B"/>
    <w:rsid w:val="0025534E"/>
    <w:rsid w:val="00255BB7"/>
    <w:rsid w:val="00255E67"/>
    <w:rsid w:val="0025640F"/>
    <w:rsid w:val="00256EBA"/>
    <w:rsid w:val="0025733B"/>
    <w:rsid w:val="00257541"/>
    <w:rsid w:val="00257A39"/>
    <w:rsid w:val="00257AC4"/>
    <w:rsid w:val="00257BDC"/>
    <w:rsid w:val="00257E77"/>
    <w:rsid w:val="00260F86"/>
    <w:rsid w:val="00261EEF"/>
    <w:rsid w:val="002622D3"/>
    <w:rsid w:val="00262A1A"/>
    <w:rsid w:val="00262A87"/>
    <w:rsid w:val="00262C30"/>
    <w:rsid w:val="00262C84"/>
    <w:rsid w:val="0026334D"/>
    <w:rsid w:val="00263480"/>
    <w:rsid w:val="00263537"/>
    <w:rsid w:val="002649E3"/>
    <w:rsid w:val="00264C98"/>
    <w:rsid w:val="00264D26"/>
    <w:rsid w:val="00265944"/>
    <w:rsid w:val="00265EE2"/>
    <w:rsid w:val="00267160"/>
    <w:rsid w:val="00267427"/>
    <w:rsid w:val="00267642"/>
    <w:rsid w:val="00267AEA"/>
    <w:rsid w:val="00267C88"/>
    <w:rsid w:val="002700E6"/>
    <w:rsid w:val="002700EE"/>
    <w:rsid w:val="002700FD"/>
    <w:rsid w:val="00270CB4"/>
    <w:rsid w:val="00270F5E"/>
    <w:rsid w:val="00271733"/>
    <w:rsid w:val="002718D8"/>
    <w:rsid w:val="002724AE"/>
    <w:rsid w:val="00272881"/>
    <w:rsid w:val="0027294B"/>
    <w:rsid w:val="00272ABB"/>
    <w:rsid w:val="00273511"/>
    <w:rsid w:val="0027369D"/>
    <w:rsid w:val="00273EB4"/>
    <w:rsid w:val="0027404B"/>
    <w:rsid w:val="00274276"/>
    <w:rsid w:val="0027437F"/>
    <w:rsid w:val="00274682"/>
    <w:rsid w:val="00274FC5"/>
    <w:rsid w:val="00275502"/>
    <w:rsid w:val="00275B85"/>
    <w:rsid w:val="00275C5A"/>
    <w:rsid w:val="002766B4"/>
    <w:rsid w:val="00276AED"/>
    <w:rsid w:val="00276D41"/>
    <w:rsid w:val="00277704"/>
    <w:rsid w:val="00277E34"/>
    <w:rsid w:val="002800C4"/>
    <w:rsid w:val="002801DF"/>
    <w:rsid w:val="00280811"/>
    <w:rsid w:val="00281014"/>
    <w:rsid w:val="00281D4B"/>
    <w:rsid w:val="00281F0C"/>
    <w:rsid w:val="00282473"/>
    <w:rsid w:val="00282948"/>
    <w:rsid w:val="00282E6D"/>
    <w:rsid w:val="00282F90"/>
    <w:rsid w:val="002837FE"/>
    <w:rsid w:val="00283F3A"/>
    <w:rsid w:val="00285437"/>
    <w:rsid w:val="00285ECC"/>
    <w:rsid w:val="0028665D"/>
    <w:rsid w:val="00286F00"/>
    <w:rsid w:val="00286F37"/>
    <w:rsid w:val="00287A3D"/>
    <w:rsid w:val="00287CE4"/>
    <w:rsid w:val="002905DD"/>
    <w:rsid w:val="002905E7"/>
    <w:rsid w:val="0029095F"/>
    <w:rsid w:val="00290CE4"/>
    <w:rsid w:val="002915F3"/>
    <w:rsid w:val="002932F9"/>
    <w:rsid w:val="002936EB"/>
    <w:rsid w:val="00294AC7"/>
    <w:rsid w:val="00294D11"/>
    <w:rsid w:val="002951F3"/>
    <w:rsid w:val="00295282"/>
    <w:rsid w:val="00295423"/>
    <w:rsid w:val="00295A22"/>
    <w:rsid w:val="00295DAB"/>
    <w:rsid w:val="002960BD"/>
    <w:rsid w:val="00296E7F"/>
    <w:rsid w:val="00296F64"/>
    <w:rsid w:val="002975DA"/>
    <w:rsid w:val="002977BC"/>
    <w:rsid w:val="002A01B7"/>
    <w:rsid w:val="002A14AB"/>
    <w:rsid w:val="002A26B9"/>
    <w:rsid w:val="002A2ADE"/>
    <w:rsid w:val="002A2F50"/>
    <w:rsid w:val="002A421F"/>
    <w:rsid w:val="002A42C2"/>
    <w:rsid w:val="002A49F0"/>
    <w:rsid w:val="002A4B8E"/>
    <w:rsid w:val="002A5194"/>
    <w:rsid w:val="002A53A6"/>
    <w:rsid w:val="002A57F4"/>
    <w:rsid w:val="002A644F"/>
    <w:rsid w:val="002A6584"/>
    <w:rsid w:val="002A699C"/>
    <w:rsid w:val="002A722D"/>
    <w:rsid w:val="002A77B9"/>
    <w:rsid w:val="002A781F"/>
    <w:rsid w:val="002A79BD"/>
    <w:rsid w:val="002B0371"/>
    <w:rsid w:val="002B05A1"/>
    <w:rsid w:val="002B06A6"/>
    <w:rsid w:val="002B07CD"/>
    <w:rsid w:val="002B09A4"/>
    <w:rsid w:val="002B110E"/>
    <w:rsid w:val="002B1BA4"/>
    <w:rsid w:val="002B1C1F"/>
    <w:rsid w:val="002B1DCA"/>
    <w:rsid w:val="002B1DF8"/>
    <w:rsid w:val="002B226B"/>
    <w:rsid w:val="002B2B7A"/>
    <w:rsid w:val="002B2C25"/>
    <w:rsid w:val="002B361B"/>
    <w:rsid w:val="002B3BF6"/>
    <w:rsid w:val="002B432F"/>
    <w:rsid w:val="002B47B2"/>
    <w:rsid w:val="002B4A17"/>
    <w:rsid w:val="002B4BD9"/>
    <w:rsid w:val="002B5E07"/>
    <w:rsid w:val="002B62B3"/>
    <w:rsid w:val="002B657C"/>
    <w:rsid w:val="002B6754"/>
    <w:rsid w:val="002B6ACD"/>
    <w:rsid w:val="002B6C32"/>
    <w:rsid w:val="002B6C78"/>
    <w:rsid w:val="002B6CCE"/>
    <w:rsid w:val="002B6EEE"/>
    <w:rsid w:val="002C0553"/>
    <w:rsid w:val="002C0833"/>
    <w:rsid w:val="002C08FD"/>
    <w:rsid w:val="002C0FDE"/>
    <w:rsid w:val="002C120D"/>
    <w:rsid w:val="002C1FF0"/>
    <w:rsid w:val="002C21BE"/>
    <w:rsid w:val="002C2510"/>
    <w:rsid w:val="002C2775"/>
    <w:rsid w:val="002C27C1"/>
    <w:rsid w:val="002C299E"/>
    <w:rsid w:val="002C3643"/>
    <w:rsid w:val="002C3853"/>
    <w:rsid w:val="002C3BF6"/>
    <w:rsid w:val="002C4454"/>
    <w:rsid w:val="002C44E5"/>
    <w:rsid w:val="002C466B"/>
    <w:rsid w:val="002C5099"/>
    <w:rsid w:val="002C5308"/>
    <w:rsid w:val="002C554A"/>
    <w:rsid w:val="002C5820"/>
    <w:rsid w:val="002C5889"/>
    <w:rsid w:val="002C5A8E"/>
    <w:rsid w:val="002C660B"/>
    <w:rsid w:val="002C6E11"/>
    <w:rsid w:val="002C6E64"/>
    <w:rsid w:val="002C71CE"/>
    <w:rsid w:val="002C782E"/>
    <w:rsid w:val="002D0456"/>
    <w:rsid w:val="002D0852"/>
    <w:rsid w:val="002D08F8"/>
    <w:rsid w:val="002D0958"/>
    <w:rsid w:val="002D0B8A"/>
    <w:rsid w:val="002D1293"/>
    <w:rsid w:val="002D1920"/>
    <w:rsid w:val="002D1B38"/>
    <w:rsid w:val="002D22E3"/>
    <w:rsid w:val="002D33A7"/>
    <w:rsid w:val="002D3455"/>
    <w:rsid w:val="002D3663"/>
    <w:rsid w:val="002D3733"/>
    <w:rsid w:val="002D3C1A"/>
    <w:rsid w:val="002D3EF7"/>
    <w:rsid w:val="002D4591"/>
    <w:rsid w:val="002D4757"/>
    <w:rsid w:val="002D4797"/>
    <w:rsid w:val="002D4998"/>
    <w:rsid w:val="002D5095"/>
    <w:rsid w:val="002D577C"/>
    <w:rsid w:val="002D5794"/>
    <w:rsid w:val="002D5A69"/>
    <w:rsid w:val="002D5EEA"/>
    <w:rsid w:val="002D5FB6"/>
    <w:rsid w:val="002D6C91"/>
    <w:rsid w:val="002D6F5E"/>
    <w:rsid w:val="002D72B3"/>
    <w:rsid w:val="002D735A"/>
    <w:rsid w:val="002D7383"/>
    <w:rsid w:val="002D7DB3"/>
    <w:rsid w:val="002E0638"/>
    <w:rsid w:val="002E0A24"/>
    <w:rsid w:val="002E1071"/>
    <w:rsid w:val="002E15B9"/>
    <w:rsid w:val="002E15FD"/>
    <w:rsid w:val="002E20A9"/>
    <w:rsid w:val="002E212D"/>
    <w:rsid w:val="002E2158"/>
    <w:rsid w:val="002E30BD"/>
    <w:rsid w:val="002E30FD"/>
    <w:rsid w:val="002E35EA"/>
    <w:rsid w:val="002E3BD9"/>
    <w:rsid w:val="002E4F02"/>
    <w:rsid w:val="002E5273"/>
    <w:rsid w:val="002E55E4"/>
    <w:rsid w:val="002E5716"/>
    <w:rsid w:val="002E5A94"/>
    <w:rsid w:val="002E60E6"/>
    <w:rsid w:val="002E6F46"/>
    <w:rsid w:val="002E734A"/>
    <w:rsid w:val="002E7722"/>
    <w:rsid w:val="002F05A1"/>
    <w:rsid w:val="002F0727"/>
    <w:rsid w:val="002F07BA"/>
    <w:rsid w:val="002F0DA9"/>
    <w:rsid w:val="002F0EDF"/>
    <w:rsid w:val="002F1014"/>
    <w:rsid w:val="002F146B"/>
    <w:rsid w:val="002F15D6"/>
    <w:rsid w:val="002F1B73"/>
    <w:rsid w:val="002F2B0F"/>
    <w:rsid w:val="002F35F6"/>
    <w:rsid w:val="002F3A10"/>
    <w:rsid w:val="002F41DB"/>
    <w:rsid w:val="002F4909"/>
    <w:rsid w:val="002F4AD9"/>
    <w:rsid w:val="002F4E49"/>
    <w:rsid w:val="002F503D"/>
    <w:rsid w:val="002F585A"/>
    <w:rsid w:val="002F5AC5"/>
    <w:rsid w:val="002F5BF8"/>
    <w:rsid w:val="002F5CBD"/>
    <w:rsid w:val="002F5EFA"/>
    <w:rsid w:val="002F6259"/>
    <w:rsid w:val="002F643C"/>
    <w:rsid w:val="002F69D8"/>
    <w:rsid w:val="002F6ABB"/>
    <w:rsid w:val="002F6D0F"/>
    <w:rsid w:val="002F6DAF"/>
    <w:rsid w:val="002F6F03"/>
    <w:rsid w:val="002F7077"/>
    <w:rsid w:val="002F71C0"/>
    <w:rsid w:val="002F74F1"/>
    <w:rsid w:val="002F75F4"/>
    <w:rsid w:val="002F76D4"/>
    <w:rsid w:val="002F7873"/>
    <w:rsid w:val="002F7B26"/>
    <w:rsid w:val="002F7B5B"/>
    <w:rsid w:val="00300140"/>
    <w:rsid w:val="003002DA"/>
    <w:rsid w:val="003003A1"/>
    <w:rsid w:val="003006FE"/>
    <w:rsid w:val="003009F4"/>
    <w:rsid w:val="00301017"/>
    <w:rsid w:val="003014B2"/>
    <w:rsid w:val="0030155F"/>
    <w:rsid w:val="00301784"/>
    <w:rsid w:val="00301F44"/>
    <w:rsid w:val="0030283A"/>
    <w:rsid w:val="00303668"/>
    <w:rsid w:val="00303834"/>
    <w:rsid w:val="003039B2"/>
    <w:rsid w:val="003039DC"/>
    <w:rsid w:val="00303D1A"/>
    <w:rsid w:val="00303D9F"/>
    <w:rsid w:val="00304523"/>
    <w:rsid w:val="0030496B"/>
    <w:rsid w:val="0030512D"/>
    <w:rsid w:val="00305381"/>
    <w:rsid w:val="0030587B"/>
    <w:rsid w:val="00306D98"/>
    <w:rsid w:val="00306E94"/>
    <w:rsid w:val="0030786C"/>
    <w:rsid w:val="00307CAC"/>
    <w:rsid w:val="003100DC"/>
    <w:rsid w:val="0031031A"/>
    <w:rsid w:val="00310981"/>
    <w:rsid w:val="0031164B"/>
    <w:rsid w:val="00312055"/>
    <w:rsid w:val="003124D9"/>
    <w:rsid w:val="00312594"/>
    <w:rsid w:val="003125F9"/>
    <w:rsid w:val="003128C1"/>
    <w:rsid w:val="00313180"/>
    <w:rsid w:val="003132E4"/>
    <w:rsid w:val="003134D2"/>
    <w:rsid w:val="00313C99"/>
    <w:rsid w:val="00314635"/>
    <w:rsid w:val="003148A3"/>
    <w:rsid w:val="003148A6"/>
    <w:rsid w:val="00314ADB"/>
    <w:rsid w:val="00314EF8"/>
    <w:rsid w:val="00315476"/>
    <w:rsid w:val="00315498"/>
    <w:rsid w:val="00315DC9"/>
    <w:rsid w:val="00316157"/>
    <w:rsid w:val="00316474"/>
    <w:rsid w:val="003176B6"/>
    <w:rsid w:val="003178E7"/>
    <w:rsid w:val="0031794E"/>
    <w:rsid w:val="003179F8"/>
    <w:rsid w:val="003204C1"/>
    <w:rsid w:val="00321597"/>
    <w:rsid w:val="00321C45"/>
    <w:rsid w:val="00322107"/>
    <w:rsid w:val="00322355"/>
    <w:rsid w:val="0032251B"/>
    <w:rsid w:val="00322846"/>
    <w:rsid w:val="00322B34"/>
    <w:rsid w:val="00323325"/>
    <w:rsid w:val="00323798"/>
    <w:rsid w:val="00323B48"/>
    <w:rsid w:val="0032482A"/>
    <w:rsid w:val="003249F7"/>
    <w:rsid w:val="00325073"/>
    <w:rsid w:val="003254EA"/>
    <w:rsid w:val="003255E3"/>
    <w:rsid w:val="00325F87"/>
    <w:rsid w:val="00325F9B"/>
    <w:rsid w:val="00326217"/>
    <w:rsid w:val="0032624E"/>
    <w:rsid w:val="00326332"/>
    <w:rsid w:val="003263DD"/>
    <w:rsid w:val="00326DA7"/>
    <w:rsid w:val="003270E4"/>
    <w:rsid w:val="003272B9"/>
    <w:rsid w:val="00327314"/>
    <w:rsid w:val="00327A66"/>
    <w:rsid w:val="00327B9D"/>
    <w:rsid w:val="00327FC6"/>
    <w:rsid w:val="00330183"/>
    <w:rsid w:val="0033062D"/>
    <w:rsid w:val="00330733"/>
    <w:rsid w:val="00330DAA"/>
    <w:rsid w:val="00330F5C"/>
    <w:rsid w:val="00330FEC"/>
    <w:rsid w:val="00331C1E"/>
    <w:rsid w:val="00331E2C"/>
    <w:rsid w:val="00331F77"/>
    <w:rsid w:val="003322B9"/>
    <w:rsid w:val="003336D9"/>
    <w:rsid w:val="00333C39"/>
    <w:rsid w:val="00333F38"/>
    <w:rsid w:val="00333F9C"/>
    <w:rsid w:val="003344CC"/>
    <w:rsid w:val="00334B85"/>
    <w:rsid w:val="003356C9"/>
    <w:rsid w:val="00336311"/>
    <w:rsid w:val="003366C9"/>
    <w:rsid w:val="00336C77"/>
    <w:rsid w:val="00337192"/>
    <w:rsid w:val="003371B0"/>
    <w:rsid w:val="003404C3"/>
    <w:rsid w:val="0034097E"/>
    <w:rsid w:val="00340DF1"/>
    <w:rsid w:val="00340E2F"/>
    <w:rsid w:val="00341070"/>
    <w:rsid w:val="00341260"/>
    <w:rsid w:val="003414E5"/>
    <w:rsid w:val="00341506"/>
    <w:rsid w:val="0034150C"/>
    <w:rsid w:val="00341683"/>
    <w:rsid w:val="00341A2B"/>
    <w:rsid w:val="00341A94"/>
    <w:rsid w:val="00341B03"/>
    <w:rsid w:val="00342151"/>
    <w:rsid w:val="00342793"/>
    <w:rsid w:val="00342BBE"/>
    <w:rsid w:val="0034360A"/>
    <w:rsid w:val="003437B8"/>
    <w:rsid w:val="003437EC"/>
    <w:rsid w:val="0034389E"/>
    <w:rsid w:val="00343E75"/>
    <w:rsid w:val="00344081"/>
    <w:rsid w:val="00344E29"/>
    <w:rsid w:val="0034507E"/>
    <w:rsid w:val="00345706"/>
    <w:rsid w:val="00345A41"/>
    <w:rsid w:val="003460EA"/>
    <w:rsid w:val="00346826"/>
    <w:rsid w:val="00346F8A"/>
    <w:rsid w:val="003471A1"/>
    <w:rsid w:val="003471B9"/>
    <w:rsid w:val="003475A4"/>
    <w:rsid w:val="0034783E"/>
    <w:rsid w:val="0034785C"/>
    <w:rsid w:val="0035063C"/>
    <w:rsid w:val="00350A8A"/>
    <w:rsid w:val="00350E0B"/>
    <w:rsid w:val="003511C7"/>
    <w:rsid w:val="003513EC"/>
    <w:rsid w:val="003514C0"/>
    <w:rsid w:val="0035179A"/>
    <w:rsid w:val="003517F9"/>
    <w:rsid w:val="00351BA9"/>
    <w:rsid w:val="00352144"/>
    <w:rsid w:val="00352986"/>
    <w:rsid w:val="00352C9E"/>
    <w:rsid w:val="0035337A"/>
    <w:rsid w:val="003535F7"/>
    <w:rsid w:val="00353788"/>
    <w:rsid w:val="003548ED"/>
    <w:rsid w:val="00354D99"/>
    <w:rsid w:val="00354F64"/>
    <w:rsid w:val="00355CC1"/>
    <w:rsid w:val="00355E6E"/>
    <w:rsid w:val="0035620E"/>
    <w:rsid w:val="003565F1"/>
    <w:rsid w:val="0035698B"/>
    <w:rsid w:val="00356AF3"/>
    <w:rsid w:val="00357575"/>
    <w:rsid w:val="00357957"/>
    <w:rsid w:val="003601D3"/>
    <w:rsid w:val="00360345"/>
    <w:rsid w:val="00360520"/>
    <w:rsid w:val="00360A78"/>
    <w:rsid w:val="00360C10"/>
    <w:rsid w:val="00361A05"/>
    <w:rsid w:val="00361FC2"/>
    <w:rsid w:val="00362065"/>
    <w:rsid w:val="0036207D"/>
    <w:rsid w:val="003620C4"/>
    <w:rsid w:val="003624C4"/>
    <w:rsid w:val="00362D6D"/>
    <w:rsid w:val="0036301B"/>
    <w:rsid w:val="00363ADE"/>
    <w:rsid w:val="00363B00"/>
    <w:rsid w:val="00363EE4"/>
    <w:rsid w:val="0036436D"/>
    <w:rsid w:val="003651A9"/>
    <w:rsid w:val="003654AC"/>
    <w:rsid w:val="00365765"/>
    <w:rsid w:val="0036580A"/>
    <w:rsid w:val="00365AC7"/>
    <w:rsid w:val="00365B7D"/>
    <w:rsid w:val="00365BEA"/>
    <w:rsid w:val="00365EAD"/>
    <w:rsid w:val="00366480"/>
    <w:rsid w:val="00366A61"/>
    <w:rsid w:val="00366CD7"/>
    <w:rsid w:val="00367269"/>
    <w:rsid w:val="00367E44"/>
    <w:rsid w:val="00370251"/>
    <w:rsid w:val="00370710"/>
    <w:rsid w:val="00370BC6"/>
    <w:rsid w:val="003710CF"/>
    <w:rsid w:val="003716EC"/>
    <w:rsid w:val="00371A0C"/>
    <w:rsid w:val="003724A9"/>
    <w:rsid w:val="0037263C"/>
    <w:rsid w:val="0037358A"/>
    <w:rsid w:val="00373742"/>
    <w:rsid w:val="00373B5C"/>
    <w:rsid w:val="00373D9A"/>
    <w:rsid w:val="00373F5C"/>
    <w:rsid w:val="00373FD3"/>
    <w:rsid w:val="003744BC"/>
    <w:rsid w:val="0037497F"/>
    <w:rsid w:val="00374FC9"/>
    <w:rsid w:val="003750F6"/>
    <w:rsid w:val="0037526B"/>
    <w:rsid w:val="003758FD"/>
    <w:rsid w:val="00375AC1"/>
    <w:rsid w:val="00375AF6"/>
    <w:rsid w:val="003760FC"/>
    <w:rsid w:val="0037612B"/>
    <w:rsid w:val="00376987"/>
    <w:rsid w:val="00376CCE"/>
    <w:rsid w:val="003801E0"/>
    <w:rsid w:val="00380D1A"/>
    <w:rsid w:val="00381768"/>
    <w:rsid w:val="003818B4"/>
    <w:rsid w:val="00381929"/>
    <w:rsid w:val="00381B62"/>
    <w:rsid w:val="0038274F"/>
    <w:rsid w:val="0038365C"/>
    <w:rsid w:val="0038369B"/>
    <w:rsid w:val="00383892"/>
    <w:rsid w:val="00383B69"/>
    <w:rsid w:val="00383B78"/>
    <w:rsid w:val="00383C3A"/>
    <w:rsid w:val="00383D58"/>
    <w:rsid w:val="00384749"/>
    <w:rsid w:val="003851AA"/>
    <w:rsid w:val="00385391"/>
    <w:rsid w:val="00385479"/>
    <w:rsid w:val="00385A9D"/>
    <w:rsid w:val="00386BFA"/>
    <w:rsid w:val="003902B1"/>
    <w:rsid w:val="003903AC"/>
    <w:rsid w:val="0039049B"/>
    <w:rsid w:val="0039179C"/>
    <w:rsid w:val="00391F94"/>
    <w:rsid w:val="00392FF0"/>
    <w:rsid w:val="00393623"/>
    <w:rsid w:val="0039373B"/>
    <w:rsid w:val="003938A8"/>
    <w:rsid w:val="00394AE8"/>
    <w:rsid w:val="00394FB5"/>
    <w:rsid w:val="003952E5"/>
    <w:rsid w:val="003957E5"/>
    <w:rsid w:val="00395B73"/>
    <w:rsid w:val="00396496"/>
    <w:rsid w:val="00396896"/>
    <w:rsid w:val="00396B4C"/>
    <w:rsid w:val="00396F07"/>
    <w:rsid w:val="00396FCC"/>
    <w:rsid w:val="00396FD0"/>
    <w:rsid w:val="00397D3D"/>
    <w:rsid w:val="00397DEA"/>
    <w:rsid w:val="003A0C92"/>
    <w:rsid w:val="003A1A7A"/>
    <w:rsid w:val="003A1D14"/>
    <w:rsid w:val="003A1E2C"/>
    <w:rsid w:val="003A2392"/>
    <w:rsid w:val="003A2768"/>
    <w:rsid w:val="003A2831"/>
    <w:rsid w:val="003A2867"/>
    <w:rsid w:val="003A2A7F"/>
    <w:rsid w:val="003A2B5D"/>
    <w:rsid w:val="003A321E"/>
    <w:rsid w:val="003A35AA"/>
    <w:rsid w:val="003A3CB6"/>
    <w:rsid w:val="003A3D09"/>
    <w:rsid w:val="003A3DDC"/>
    <w:rsid w:val="003A3ED1"/>
    <w:rsid w:val="003A44DB"/>
    <w:rsid w:val="003A461C"/>
    <w:rsid w:val="003A484C"/>
    <w:rsid w:val="003A6145"/>
    <w:rsid w:val="003A617A"/>
    <w:rsid w:val="003A649D"/>
    <w:rsid w:val="003A6EA9"/>
    <w:rsid w:val="003A71A2"/>
    <w:rsid w:val="003A7772"/>
    <w:rsid w:val="003A78C7"/>
    <w:rsid w:val="003A7932"/>
    <w:rsid w:val="003A7999"/>
    <w:rsid w:val="003B0AAB"/>
    <w:rsid w:val="003B1F38"/>
    <w:rsid w:val="003B2315"/>
    <w:rsid w:val="003B2AD6"/>
    <w:rsid w:val="003B323B"/>
    <w:rsid w:val="003B3534"/>
    <w:rsid w:val="003B3790"/>
    <w:rsid w:val="003B3971"/>
    <w:rsid w:val="003B3BFE"/>
    <w:rsid w:val="003B439D"/>
    <w:rsid w:val="003B4634"/>
    <w:rsid w:val="003B4E2D"/>
    <w:rsid w:val="003B4EE5"/>
    <w:rsid w:val="003B4FC0"/>
    <w:rsid w:val="003B50B2"/>
    <w:rsid w:val="003B54AA"/>
    <w:rsid w:val="003B55D1"/>
    <w:rsid w:val="003B5AB6"/>
    <w:rsid w:val="003B5B61"/>
    <w:rsid w:val="003B7333"/>
    <w:rsid w:val="003B73FC"/>
    <w:rsid w:val="003C03FC"/>
    <w:rsid w:val="003C0502"/>
    <w:rsid w:val="003C05B7"/>
    <w:rsid w:val="003C05C9"/>
    <w:rsid w:val="003C0A0D"/>
    <w:rsid w:val="003C0D03"/>
    <w:rsid w:val="003C0FBA"/>
    <w:rsid w:val="003C1654"/>
    <w:rsid w:val="003C2466"/>
    <w:rsid w:val="003C2EAD"/>
    <w:rsid w:val="003C340C"/>
    <w:rsid w:val="003C38E6"/>
    <w:rsid w:val="003C3DCA"/>
    <w:rsid w:val="003C4264"/>
    <w:rsid w:val="003C433C"/>
    <w:rsid w:val="003C450D"/>
    <w:rsid w:val="003C4A1C"/>
    <w:rsid w:val="003C4D97"/>
    <w:rsid w:val="003C529B"/>
    <w:rsid w:val="003C5542"/>
    <w:rsid w:val="003C5792"/>
    <w:rsid w:val="003C57A3"/>
    <w:rsid w:val="003C5A22"/>
    <w:rsid w:val="003C5BF8"/>
    <w:rsid w:val="003C5CBE"/>
    <w:rsid w:val="003C66AE"/>
    <w:rsid w:val="003C6B1F"/>
    <w:rsid w:val="003C6B43"/>
    <w:rsid w:val="003C6C42"/>
    <w:rsid w:val="003C6F08"/>
    <w:rsid w:val="003C7952"/>
    <w:rsid w:val="003C7A09"/>
    <w:rsid w:val="003C7CFC"/>
    <w:rsid w:val="003C7D19"/>
    <w:rsid w:val="003C7D2F"/>
    <w:rsid w:val="003C7EE0"/>
    <w:rsid w:val="003D0119"/>
    <w:rsid w:val="003D01B4"/>
    <w:rsid w:val="003D0DCA"/>
    <w:rsid w:val="003D12EE"/>
    <w:rsid w:val="003D1828"/>
    <w:rsid w:val="003D1881"/>
    <w:rsid w:val="003D1DE4"/>
    <w:rsid w:val="003D1E9A"/>
    <w:rsid w:val="003D2332"/>
    <w:rsid w:val="003D2422"/>
    <w:rsid w:val="003D2465"/>
    <w:rsid w:val="003D2840"/>
    <w:rsid w:val="003D2BEE"/>
    <w:rsid w:val="003D2EC0"/>
    <w:rsid w:val="003D31D0"/>
    <w:rsid w:val="003D33C2"/>
    <w:rsid w:val="003D3404"/>
    <w:rsid w:val="003D35C7"/>
    <w:rsid w:val="003D37DE"/>
    <w:rsid w:val="003D39A1"/>
    <w:rsid w:val="003D3C58"/>
    <w:rsid w:val="003D3D55"/>
    <w:rsid w:val="003D3FBF"/>
    <w:rsid w:val="003D4498"/>
    <w:rsid w:val="003D4958"/>
    <w:rsid w:val="003D4A30"/>
    <w:rsid w:val="003D4A47"/>
    <w:rsid w:val="003D4C91"/>
    <w:rsid w:val="003D5198"/>
    <w:rsid w:val="003D5459"/>
    <w:rsid w:val="003D56DE"/>
    <w:rsid w:val="003D5F98"/>
    <w:rsid w:val="003D69DB"/>
    <w:rsid w:val="003D6CC9"/>
    <w:rsid w:val="003D7452"/>
    <w:rsid w:val="003D758B"/>
    <w:rsid w:val="003D79BB"/>
    <w:rsid w:val="003D79E2"/>
    <w:rsid w:val="003D7C98"/>
    <w:rsid w:val="003D7D9D"/>
    <w:rsid w:val="003D7E08"/>
    <w:rsid w:val="003E03C6"/>
    <w:rsid w:val="003E043C"/>
    <w:rsid w:val="003E0543"/>
    <w:rsid w:val="003E0FE4"/>
    <w:rsid w:val="003E14BA"/>
    <w:rsid w:val="003E18C7"/>
    <w:rsid w:val="003E1BAF"/>
    <w:rsid w:val="003E236D"/>
    <w:rsid w:val="003E2439"/>
    <w:rsid w:val="003E24E7"/>
    <w:rsid w:val="003E2508"/>
    <w:rsid w:val="003E288B"/>
    <w:rsid w:val="003E2DD7"/>
    <w:rsid w:val="003E2DE2"/>
    <w:rsid w:val="003E313D"/>
    <w:rsid w:val="003E31EF"/>
    <w:rsid w:val="003E3362"/>
    <w:rsid w:val="003E3A46"/>
    <w:rsid w:val="003E3AE1"/>
    <w:rsid w:val="003E3BB9"/>
    <w:rsid w:val="003E5E06"/>
    <w:rsid w:val="003E69C9"/>
    <w:rsid w:val="003E6A36"/>
    <w:rsid w:val="003E6A84"/>
    <w:rsid w:val="003E6EF4"/>
    <w:rsid w:val="003E7480"/>
    <w:rsid w:val="003E749E"/>
    <w:rsid w:val="003E7B2E"/>
    <w:rsid w:val="003F02F5"/>
    <w:rsid w:val="003F09A9"/>
    <w:rsid w:val="003F10CD"/>
    <w:rsid w:val="003F116C"/>
    <w:rsid w:val="003F1C41"/>
    <w:rsid w:val="003F35F1"/>
    <w:rsid w:val="003F3AC9"/>
    <w:rsid w:val="003F3E0F"/>
    <w:rsid w:val="003F3E44"/>
    <w:rsid w:val="003F4009"/>
    <w:rsid w:val="003F4156"/>
    <w:rsid w:val="003F4273"/>
    <w:rsid w:val="003F42D9"/>
    <w:rsid w:val="003F45DC"/>
    <w:rsid w:val="003F4ED0"/>
    <w:rsid w:val="003F5516"/>
    <w:rsid w:val="003F5ADF"/>
    <w:rsid w:val="003F5D47"/>
    <w:rsid w:val="003F614D"/>
    <w:rsid w:val="003F6842"/>
    <w:rsid w:val="003F69BC"/>
    <w:rsid w:val="003F755A"/>
    <w:rsid w:val="003F7DE6"/>
    <w:rsid w:val="003F7F0A"/>
    <w:rsid w:val="00400ACF"/>
    <w:rsid w:val="00400B29"/>
    <w:rsid w:val="00400B73"/>
    <w:rsid w:val="00400BAD"/>
    <w:rsid w:val="004010AE"/>
    <w:rsid w:val="0040212C"/>
    <w:rsid w:val="0040365D"/>
    <w:rsid w:val="00404AB3"/>
    <w:rsid w:val="0040504B"/>
    <w:rsid w:val="0040529C"/>
    <w:rsid w:val="004056C9"/>
    <w:rsid w:val="004059F4"/>
    <w:rsid w:val="00405F00"/>
    <w:rsid w:val="00406612"/>
    <w:rsid w:val="00406C7F"/>
    <w:rsid w:val="004070B3"/>
    <w:rsid w:val="00407B3D"/>
    <w:rsid w:val="00407FE5"/>
    <w:rsid w:val="004101B0"/>
    <w:rsid w:val="00410326"/>
    <w:rsid w:val="00410708"/>
    <w:rsid w:val="00410C7C"/>
    <w:rsid w:val="00410EC7"/>
    <w:rsid w:val="00410F8E"/>
    <w:rsid w:val="00411228"/>
    <w:rsid w:val="0041148F"/>
    <w:rsid w:val="00411B39"/>
    <w:rsid w:val="00411D53"/>
    <w:rsid w:val="00411E04"/>
    <w:rsid w:val="004121D8"/>
    <w:rsid w:val="004127A7"/>
    <w:rsid w:val="00412DB6"/>
    <w:rsid w:val="00413391"/>
    <w:rsid w:val="00413A1E"/>
    <w:rsid w:val="00413C2C"/>
    <w:rsid w:val="00414476"/>
    <w:rsid w:val="00414569"/>
    <w:rsid w:val="0041489A"/>
    <w:rsid w:val="00414C2E"/>
    <w:rsid w:val="004151CF"/>
    <w:rsid w:val="0041520F"/>
    <w:rsid w:val="00415942"/>
    <w:rsid w:val="00415AE3"/>
    <w:rsid w:val="00416364"/>
    <w:rsid w:val="00416A8A"/>
    <w:rsid w:val="0041726C"/>
    <w:rsid w:val="00417544"/>
    <w:rsid w:val="004201F1"/>
    <w:rsid w:val="0042047F"/>
    <w:rsid w:val="00420963"/>
    <w:rsid w:val="00420AA6"/>
    <w:rsid w:val="00420B5B"/>
    <w:rsid w:val="00420B9F"/>
    <w:rsid w:val="004214D7"/>
    <w:rsid w:val="0042192C"/>
    <w:rsid w:val="00421C14"/>
    <w:rsid w:val="00422260"/>
    <w:rsid w:val="00422DC5"/>
    <w:rsid w:val="004237C0"/>
    <w:rsid w:val="0042413F"/>
    <w:rsid w:val="004242C4"/>
    <w:rsid w:val="004243C5"/>
    <w:rsid w:val="0042475F"/>
    <w:rsid w:val="0042648B"/>
    <w:rsid w:val="004266E0"/>
    <w:rsid w:val="00426875"/>
    <w:rsid w:val="00426BA6"/>
    <w:rsid w:val="00426E28"/>
    <w:rsid w:val="004276FC"/>
    <w:rsid w:val="004277D9"/>
    <w:rsid w:val="00427885"/>
    <w:rsid w:val="00430552"/>
    <w:rsid w:val="004319F8"/>
    <w:rsid w:val="00431E55"/>
    <w:rsid w:val="004321F6"/>
    <w:rsid w:val="00433044"/>
    <w:rsid w:val="00433ADF"/>
    <w:rsid w:val="00433CE7"/>
    <w:rsid w:val="00434088"/>
    <w:rsid w:val="004341F6"/>
    <w:rsid w:val="00434B66"/>
    <w:rsid w:val="00435A11"/>
    <w:rsid w:val="00435A86"/>
    <w:rsid w:val="00435BCC"/>
    <w:rsid w:val="00435F8C"/>
    <w:rsid w:val="0043642B"/>
    <w:rsid w:val="004368DE"/>
    <w:rsid w:val="00436F7A"/>
    <w:rsid w:val="004374E9"/>
    <w:rsid w:val="004375B9"/>
    <w:rsid w:val="0043772E"/>
    <w:rsid w:val="00440222"/>
    <w:rsid w:val="00440A57"/>
    <w:rsid w:val="004413B6"/>
    <w:rsid w:val="0044181B"/>
    <w:rsid w:val="0044267D"/>
    <w:rsid w:val="004428D0"/>
    <w:rsid w:val="00442B01"/>
    <w:rsid w:val="00443D9D"/>
    <w:rsid w:val="00444185"/>
    <w:rsid w:val="00444247"/>
    <w:rsid w:val="004443A7"/>
    <w:rsid w:val="0044442C"/>
    <w:rsid w:val="00444AE3"/>
    <w:rsid w:val="00444E8C"/>
    <w:rsid w:val="00444F80"/>
    <w:rsid w:val="00444FF2"/>
    <w:rsid w:val="00445042"/>
    <w:rsid w:val="0044566E"/>
    <w:rsid w:val="004458D5"/>
    <w:rsid w:val="00445941"/>
    <w:rsid w:val="00445ADE"/>
    <w:rsid w:val="004463A5"/>
    <w:rsid w:val="004464EB"/>
    <w:rsid w:val="004467C3"/>
    <w:rsid w:val="00446840"/>
    <w:rsid w:val="00446A51"/>
    <w:rsid w:val="0044745D"/>
    <w:rsid w:val="004476CF"/>
    <w:rsid w:val="00447D26"/>
    <w:rsid w:val="00447DFC"/>
    <w:rsid w:val="004506D5"/>
    <w:rsid w:val="00450E8F"/>
    <w:rsid w:val="00450EBF"/>
    <w:rsid w:val="0045181D"/>
    <w:rsid w:val="00451A07"/>
    <w:rsid w:val="00451D11"/>
    <w:rsid w:val="00452208"/>
    <w:rsid w:val="00453679"/>
    <w:rsid w:val="00453D7D"/>
    <w:rsid w:val="00454B04"/>
    <w:rsid w:val="0045574D"/>
    <w:rsid w:val="004559C7"/>
    <w:rsid w:val="00455B6B"/>
    <w:rsid w:val="00455D45"/>
    <w:rsid w:val="00456895"/>
    <w:rsid w:val="00457118"/>
    <w:rsid w:val="00457322"/>
    <w:rsid w:val="004579DE"/>
    <w:rsid w:val="00457B7A"/>
    <w:rsid w:val="00457E27"/>
    <w:rsid w:val="0046070E"/>
    <w:rsid w:val="00460719"/>
    <w:rsid w:val="00460DC9"/>
    <w:rsid w:val="0046187C"/>
    <w:rsid w:val="00461D79"/>
    <w:rsid w:val="0046221D"/>
    <w:rsid w:val="0046254E"/>
    <w:rsid w:val="00462B56"/>
    <w:rsid w:val="00462BF2"/>
    <w:rsid w:val="00463522"/>
    <w:rsid w:val="00463642"/>
    <w:rsid w:val="00463EBC"/>
    <w:rsid w:val="0046400B"/>
    <w:rsid w:val="00464595"/>
    <w:rsid w:val="004658B5"/>
    <w:rsid w:val="00465CA4"/>
    <w:rsid w:val="004661BE"/>
    <w:rsid w:val="004667A8"/>
    <w:rsid w:val="004669DE"/>
    <w:rsid w:val="00466AF4"/>
    <w:rsid w:val="00466E46"/>
    <w:rsid w:val="00467596"/>
    <w:rsid w:val="0046761A"/>
    <w:rsid w:val="0047056E"/>
    <w:rsid w:val="00470C6F"/>
    <w:rsid w:val="004710D0"/>
    <w:rsid w:val="00471108"/>
    <w:rsid w:val="0047142B"/>
    <w:rsid w:val="00471A91"/>
    <w:rsid w:val="00471D7E"/>
    <w:rsid w:val="00471EA5"/>
    <w:rsid w:val="004720D5"/>
    <w:rsid w:val="00472A79"/>
    <w:rsid w:val="004731D1"/>
    <w:rsid w:val="00473B0A"/>
    <w:rsid w:val="00473F19"/>
    <w:rsid w:val="004741A3"/>
    <w:rsid w:val="004747B2"/>
    <w:rsid w:val="00474D82"/>
    <w:rsid w:val="00474D8B"/>
    <w:rsid w:val="0047502D"/>
    <w:rsid w:val="00475344"/>
    <w:rsid w:val="00475E22"/>
    <w:rsid w:val="0047670B"/>
    <w:rsid w:val="00476AEB"/>
    <w:rsid w:val="00477328"/>
    <w:rsid w:val="0047732D"/>
    <w:rsid w:val="00477357"/>
    <w:rsid w:val="004776C5"/>
    <w:rsid w:val="00477815"/>
    <w:rsid w:val="00477A5D"/>
    <w:rsid w:val="00477A84"/>
    <w:rsid w:val="00477D79"/>
    <w:rsid w:val="00480264"/>
    <w:rsid w:val="0048088E"/>
    <w:rsid w:val="00480A6A"/>
    <w:rsid w:val="00480D2B"/>
    <w:rsid w:val="00480F2B"/>
    <w:rsid w:val="004810B9"/>
    <w:rsid w:val="00481961"/>
    <w:rsid w:val="00481A72"/>
    <w:rsid w:val="00481D4E"/>
    <w:rsid w:val="00482288"/>
    <w:rsid w:val="00482720"/>
    <w:rsid w:val="00482DCC"/>
    <w:rsid w:val="00482EED"/>
    <w:rsid w:val="004830CD"/>
    <w:rsid w:val="004835E7"/>
    <w:rsid w:val="0048424A"/>
    <w:rsid w:val="00485321"/>
    <w:rsid w:val="00485EBD"/>
    <w:rsid w:val="00486449"/>
    <w:rsid w:val="0048654F"/>
    <w:rsid w:val="0048663A"/>
    <w:rsid w:val="004867E2"/>
    <w:rsid w:val="00486B19"/>
    <w:rsid w:val="00486C6D"/>
    <w:rsid w:val="00487084"/>
    <w:rsid w:val="004873B3"/>
    <w:rsid w:val="004874F3"/>
    <w:rsid w:val="00487E1B"/>
    <w:rsid w:val="00490535"/>
    <w:rsid w:val="00490770"/>
    <w:rsid w:val="004908E9"/>
    <w:rsid w:val="00490912"/>
    <w:rsid w:val="004909BD"/>
    <w:rsid w:val="004909F0"/>
    <w:rsid w:val="00490B17"/>
    <w:rsid w:val="00491866"/>
    <w:rsid w:val="00491B3A"/>
    <w:rsid w:val="00491B68"/>
    <w:rsid w:val="00491F1D"/>
    <w:rsid w:val="0049216B"/>
    <w:rsid w:val="004921FF"/>
    <w:rsid w:val="004922AF"/>
    <w:rsid w:val="0049288C"/>
    <w:rsid w:val="00492BAB"/>
    <w:rsid w:val="00492CFD"/>
    <w:rsid w:val="0049301D"/>
    <w:rsid w:val="00493D8B"/>
    <w:rsid w:val="00494207"/>
    <w:rsid w:val="0049434A"/>
    <w:rsid w:val="00494DD5"/>
    <w:rsid w:val="00495032"/>
    <w:rsid w:val="00495A02"/>
    <w:rsid w:val="004962D2"/>
    <w:rsid w:val="004977E2"/>
    <w:rsid w:val="004A021E"/>
    <w:rsid w:val="004A089A"/>
    <w:rsid w:val="004A0B0E"/>
    <w:rsid w:val="004A0BC6"/>
    <w:rsid w:val="004A0BCF"/>
    <w:rsid w:val="004A0CA4"/>
    <w:rsid w:val="004A0DA1"/>
    <w:rsid w:val="004A110F"/>
    <w:rsid w:val="004A13D6"/>
    <w:rsid w:val="004A193A"/>
    <w:rsid w:val="004A1A07"/>
    <w:rsid w:val="004A20AA"/>
    <w:rsid w:val="004A2627"/>
    <w:rsid w:val="004A2682"/>
    <w:rsid w:val="004A2AA9"/>
    <w:rsid w:val="004A2BF5"/>
    <w:rsid w:val="004A2CCB"/>
    <w:rsid w:val="004A32C4"/>
    <w:rsid w:val="004A33FB"/>
    <w:rsid w:val="004A347E"/>
    <w:rsid w:val="004A3769"/>
    <w:rsid w:val="004A3E16"/>
    <w:rsid w:val="004A4669"/>
    <w:rsid w:val="004A4BA6"/>
    <w:rsid w:val="004A52E9"/>
    <w:rsid w:val="004A539A"/>
    <w:rsid w:val="004A5875"/>
    <w:rsid w:val="004A5AB9"/>
    <w:rsid w:val="004A6040"/>
    <w:rsid w:val="004A61FC"/>
    <w:rsid w:val="004A646C"/>
    <w:rsid w:val="004A651C"/>
    <w:rsid w:val="004A6597"/>
    <w:rsid w:val="004A6917"/>
    <w:rsid w:val="004A70C6"/>
    <w:rsid w:val="004A75FB"/>
    <w:rsid w:val="004A77C5"/>
    <w:rsid w:val="004A7848"/>
    <w:rsid w:val="004A7893"/>
    <w:rsid w:val="004B01E3"/>
    <w:rsid w:val="004B0634"/>
    <w:rsid w:val="004B0FC0"/>
    <w:rsid w:val="004B18FC"/>
    <w:rsid w:val="004B19F2"/>
    <w:rsid w:val="004B1CB4"/>
    <w:rsid w:val="004B2826"/>
    <w:rsid w:val="004B2F18"/>
    <w:rsid w:val="004B3DDB"/>
    <w:rsid w:val="004B42A7"/>
    <w:rsid w:val="004B44FD"/>
    <w:rsid w:val="004B4753"/>
    <w:rsid w:val="004B4FB7"/>
    <w:rsid w:val="004B50EC"/>
    <w:rsid w:val="004B515A"/>
    <w:rsid w:val="004B5413"/>
    <w:rsid w:val="004B5789"/>
    <w:rsid w:val="004B5B9A"/>
    <w:rsid w:val="004B5C76"/>
    <w:rsid w:val="004B5CFC"/>
    <w:rsid w:val="004B5FF4"/>
    <w:rsid w:val="004B6047"/>
    <w:rsid w:val="004B6F79"/>
    <w:rsid w:val="004B712B"/>
    <w:rsid w:val="004B774D"/>
    <w:rsid w:val="004B7C15"/>
    <w:rsid w:val="004B7F72"/>
    <w:rsid w:val="004B7F80"/>
    <w:rsid w:val="004C054D"/>
    <w:rsid w:val="004C05D5"/>
    <w:rsid w:val="004C12A1"/>
    <w:rsid w:val="004C1387"/>
    <w:rsid w:val="004C26B8"/>
    <w:rsid w:val="004C27E0"/>
    <w:rsid w:val="004C2B63"/>
    <w:rsid w:val="004C442F"/>
    <w:rsid w:val="004C443D"/>
    <w:rsid w:val="004C4AED"/>
    <w:rsid w:val="004C5739"/>
    <w:rsid w:val="004C619E"/>
    <w:rsid w:val="004C634D"/>
    <w:rsid w:val="004C63C9"/>
    <w:rsid w:val="004C73D5"/>
    <w:rsid w:val="004C7939"/>
    <w:rsid w:val="004D09AA"/>
    <w:rsid w:val="004D17C6"/>
    <w:rsid w:val="004D220C"/>
    <w:rsid w:val="004D2829"/>
    <w:rsid w:val="004D2853"/>
    <w:rsid w:val="004D29C9"/>
    <w:rsid w:val="004D2B13"/>
    <w:rsid w:val="004D2C2D"/>
    <w:rsid w:val="004D2E54"/>
    <w:rsid w:val="004D3081"/>
    <w:rsid w:val="004D3560"/>
    <w:rsid w:val="004D3666"/>
    <w:rsid w:val="004D3F36"/>
    <w:rsid w:val="004D4B06"/>
    <w:rsid w:val="004D554A"/>
    <w:rsid w:val="004D57BC"/>
    <w:rsid w:val="004D61C9"/>
    <w:rsid w:val="004D6327"/>
    <w:rsid w:val="004D6421"/>
    <w:rsid w:val="004D69B5"/>
    <w:rsid w:val="004D7227"/>
    <w:rsid w:val="004D7243"/>
    <w:rsid w:val="004D76F1"/>
    <w:rsid w:val="004D7939"/>
    <w:rsid w:val="004E02CE"/>
    <w:rsid w:val="004E0E7F"/>
    <w:rsid w:val="004E0EB8"/>
    <w:rsid w:val="004E158D"/>
    <w:rsid w:val="004E188A"/>
    <w:rsid w:val="004E18E9"/>
    <w:rsid w:val="004E2027"/>
    <w:rsid w:val="004E29B1"/>
    <w:rsid w:val="004E2A54"/>
    <w:rsid w:val="004E2ADC"/>
    <w:rsid w:val="004E2B5D"/>
    <w:rsid w:val="004E2E9A"/>
    <w:rsid w:val="004E342A"/>
    <w:rsid w:val="004E3723"/>
    <w:rsid w:val="004E391B"/>
    <w:rsid w:val="004E3B56"/>
    <w:rsid w:val="004E3FE6"/>
    <w:rsid w:val="004E406C"/>
    <w:rsid w:val="004E43B2"/>
    <w:rsid w:val="004E482C"/>
    <w:rsid w:val="004E488E"/>
    <w:rsid w:val="004E5332"/>
    <w:rsid w:val="004E572E"/>
    <w:rsid w:val="004E59F6"/>
    <w:rsid w:val="004E67DD"/>
    <w:rsid w:val="004E6983"/>
    <w:rsid w:val="004F059A"/>
    <w:rsid w:val="004F0F3A"/>
    <w:rsid w:val="004F1751"/>
    <w:rsid w:val="004F1BAA"/>
    <w:rsid w:val="004F1BAF"/>
    <w:rsid w:val="004F1BFB"/>
    <w:rsid w:val="004F1D02"/>
    <w:rsid w:val="004F2679"/>
    <w:rsid w:val="004F2EF4"/>
    <w:rsid w:val="004F2F21"/>
    <w:rsid w:val="004F324F"/>
    <w:rsid w:val="004F3DE5"/>
    <w:rsid w:val="004F3FA8"/>
    <w:rsid w:val="004F40BB"/>
    <w:rsid w:val="004F4410"/>
    <w:rsid w:val="004F4F65"/>
    <w:rsid w:val="004F5334"/>
    <w:rsid w:val="004F56D5"/>
    <w:rsid w:val="004F5AAD"/>
    <w:rsid w:val="004F5C2E"/>
    <w:rsid w:val="004F60EC"/>
    <w:rsid w:val="004F634E"/>
    <w:rsid w:val="004F648A"/>
    <w:rsid w:val="004F66D7"/>
    <w:rsid w:val="004F6913"/>
    <w:rsid w:val="004F709D"/>
    <w:rsid w:val="004F7865"/>
    <w:rsid w:val="004F7C2C"/>
    <w:rsid w:val="0050016C"/>
    <w:rsid w:val="005004BB"/>
    <w:rsid w:val="0050174E"/>
    <w:rsid w:val="00501854"/>
    <w:rsid w:val="005019EB"/>
    <w:rsid w:val="00501B1B"/>
    <w:rsid w:val="00501C22"/>
    <w:rsid w:val="00501E2A"/>
    <w:rsid w:val="0050219B"/>
    <w:rsid w:val="005027AE"/>
    <w:rsid w:val="00502BE5"/>
    <w:rsid w:val="00502DE9"/>
    <w:rsid w:val="005034F8"/>
    <w:rsid w:val="00503F17"/>
    <w:rsid w:val="00503FD1"/>
    <w:rsid w:val="005041C9"/>
    <w:rsid w:val="00504C95"/>
    <w:rsid w:val="00504E90"/>
    <w:rsid w:val="005054DE"/>
    <w:rsid w:val="00505E39"/>
    <w:rsid w:val="005065E1"/>
    <w:rsid w:val="005066F4"/>
    <w:rsid w:val="00506928"/>
    <w:rsid w:val="00506A75"/>
    <w:rsid w:val="00507233"/>
    <w:rsid w:val="00507532"/>
    <w:rsid w:val="0050762E"/>
    <w:rsid w:val="005077EF"/>
    <w:rsid w:val="00507803"/>
    <w:rsid w:val="005078A1"/>
    <w:rsid w:val="00507DE4"/>
    <w:rsid w:val="00511AD5"/>
    <w:rsid w:val="00511DC7"/>
    <w:rsid w:val="00512973"/>
    <w:rsid w:val="005132A4"/>
    <w:rsid w:val="00513609"/>
    <w:rsid w:val="00513AAF"/>
    <w:rsid w:val="00513BA9"/>
    <w:rsid w:val="00513F65"/>
    <w:rsid w:val="00514193"/>
    <w:rsid w:val="005141E7"/>
    <w:rsid w:val="005142C5"/>
    <w:rsid w:val="005144B2"/>
    <w:rsid w:val="00514994"/>
    <w:rsid w:val="00514BD1"/>
    <w:rsid w:val="0051501B"/>
    <w:rsid w:val="0051510F"/>
    <w:rsid w:val="005152B5"/>
    <w:rsid w:val="005162BC"/>
    <w:rsid w:val="005171D1"/>
    <w:rsid w:val="005174A4"/>
    <w:rsid w:val="005176DC"/>
    <w:rsid w:val="0051786D"/>
    <w:rsid w:val="00517990"/>
    <w:rsid w:val="00517A17"/>
    <w:rsid w:val="00517B78"/>
    <w:rsid w:val="00517B99"/>
    <w:rsid w:val="00517DC0"/>
    <w:rsid w:val="0052049B"/>
    <w:rsid w:val="00520689"/>
    <w:rsid w:val="005206F5"/>
    <w:rsid w:val="0052123C"/>
    <w:rsid w:val="00521319"/>
    <w:rsid w:val="00522527"/>
    <w:rsid w:val="00522BC8"/>
    <w:rsid w:val="0052338C"/>
    <w:rsid w:val="00523A2F"/>
    <w:rsid w:val="00523C28"/>
    <w:rsid w:val="00523FFA"/>
    <w:rsid w:val="005243CF"/>
    <w:rsid w:val="00524B0F"/>
    <w:rsid w:val="00525017"/>
    <w:rsid w:val="00525541"/>
    <w:rsid w:val="0052593B"/>
    <w:rsid w:val="00525AE3"/>
    <w:rsid w:val="00525DAD"/>
    <w:rsid w:val="00525DD2"/>
    <w:rsid w:val="0052644F"/>
    <w:rsid w:val="00526920"/>
    <w:rsid w:val="00526AE8"/>
    <w:rsid w:val="00526B5C"/>
    <w:rsid w:val="00526D47"/>
    <w:rsid w:val="00526FE7"/>
    <w:rsid w:val="0053068B"/>
    <w:rsid w:val="00530D99"/>
    <w:rsid w:val="00530E03"/>
    <w:rsid w:val="005314D9"/>
    <w:rsid w:val="0053176B"/>
    <w:rsid w:val="00531901"/>
    <w:rsid w:val="00533884"/>
    <w:rsid w:val="00533B79"/>
    <w:rsid w:val="005342F3"/>
    <w:rsid w:val="005344DE"/>
    <w:rsid w:val="00534EAC"/>
    <w:rsid w:val="00535C45"/>
    <w:rsid w:val="00536285"/>
    <w:rsid w:val="0053685F"/>
    <w:rsid w:val="00536A01"/>
    <w:rsid w:val="00536DC7"/>
    <w:rsid w:val="00536E2D"/>
    <w:rsid w:val="00536E9A"/>
    <w:rsid w:val="00536F42"/>
    <w:rsid w:val="00537182"/>
    <w:rsid w:val="005372F0"/>
    <w:rsid w:val="0053730A"/>
    <w:rsid w:val="00537A82"/>
    <w:rsid w:val="00537C81"/>
    <w:rsid w:val="00537F22"/>
    <w:rsid w:val="0054138D"/>
    <w:rsid w:val="00541A4A"/>
    <w:rsid w:val="00541EDD"/>
    <w:rsid w:val="00541F49"/>
    <w:rsid w:val="00542391"/>
    <w:rsid w:val="0054241B"/>
    <w:rsid w:val="00542520"/>
    <w:rsid w:val="00542743"/>
    <w:rsid w:val="00542C2D"/>
    <w:rsid w:val="005431D0"/>
    <w:rsid w:val="00543DD2"/>
    <w:rsid w:val="0054401C"/>
    <w:rsid w:val="00544850"/>
    <w:rsid w:val="00544DF1"/>
    <w:rsid w:val="00545BA9"/>
    <w:rsid w:val="00545D1E"/>
    <w:rsid w:val="005476A6"/>
    <w:rsid w:val="0054785E"/>
    <w:rsid w:val="005478BD"/>
    <w:rsid w:val="00547960"/>
    <w:rsid w:val="005479E3"/>
    <w:rsid w:val="00550465"/>
    <w:rsid w:val="00550561"/>
    <w:rsid w:val="00550F3C"/>
    <w:rsid w:val="005512E9"/>
    <w:rsid w:val="005515D9"/>
    <w:rsid w:val="0055191B"/>
    <w:rsid w:val="00551985"/>
    <w:rsid w:val="00552053"/>
    <w:rsid w:val="00552BD3"/>
    <w:rsid w:val="0055312B"/>
    <w:rsid w:val="00553262"/>
    <w:rsid w:val="005532A0"/>
    <w:rsid w:val="005533B8"/>
    <w:rsid w:val="005535C6"/>
    <w:rsid w:val="005537F9"/>
    <w:rsid w:val="00554380"/>
    <w:rsid w:val="0055442E"/>
    <w:rsid w:val="00555045"/>
    <w:rsid w:val="00555109"/>
    <w:rsid w:val="00555D51"/>
    <w:rsid w:val="00556B35"/>
    <w:rsid w:val="00556BE9"/>
    <w:rsid w:val="0055741A"/>
    <w:rsid w:val="0055750A"/>
    <w:rsid w:val="00557CFB"/>
    <w:rsid w:val="0056049C"/>
    <w:rsid w:val="00560505"/>
    <w:rsid w:val="005611B7"/>
    <w:rsid w:val="005618D4"/>
    <w:rsid w:val="005621B3"/>
    <w:rsid w:val="00562795"/>
    <w:rsid w:val="00562B2F"/>
    <w:rsid w:val="0056323E"/>
    <w:rsid w:val="00563BFE"/>
    <w:rsid w:val="00563F7A"/>
    <w:rsid w:val="0056419C"/>
    <w:rsid w:val="00564398"/>
    <w:rsid w:val="00564E9C"/>
    <w:rsid w:val="00565230"/>
    <w:rsid w:val="00565635"/>
    <w:rsid w:val="005658FE"/>
    <w:rsid w:val="00565DF0"/>
    <w:rsid w:val="005664F4"/>
    <w:rsid w:val="0056696F"/>
    <w:rsid w:val="00566E19"/>
    <w:rsid w:val="005671CD"/>
    <w:rsid w:val="00570082"/>
    <w:rsid w:val="00570619"/>
    <w:rsid w:val="00570B72"/>
    <w:rsid w:val="00570D7E"/>
    <w:rsid w:val="00572269"/>
    <w:rsid w:val="0057244A"/>
    <w:rsid w:val="00572B3A"/>
    <w:rsid w:val="00572C68"/>
    <w:rsid w:val="00572F26"/>
    <w:rsid w:val="00573333"/>
    <w:rsid w:val="005749F8"/>
    <w:rsid w:val="00574C11"/>
    <w:rsid w:val="00574FF0"/>
    <w:rsid w:val="005750C5"/>
    <w:rsid w:val="005752DE"/>
    <w:rsid w:val="00575BC4"/>
    <w:rsid w:val="00575D8D"/>
    <w:rsid w:val="0057622D"/>
    <w:rsid w:val="0057646B"/>
    <w:rsid w:val="00576972"/>
    <w:rsid w:val="00576C81"/>
    <w:rsid w:val="00576EEF"/>
    <w:rsid w:val="0057741E"/>
    <w:rsid w:val="0057764F"/>
    <w:rsid w:val="00577672"/>
    <w:rsid w:val="005776C2"/>
    <w:rsid w:val="00577AB6"/>
    <w:rsid w:val="00580674"/>
    <w:rsid w:val="0058076A"/>
    <w:rsid w:val="00580921"/>
    <w:rsid w:val="0058150F"/>
    <w:rsid w:val="0058157D"/>
    <w:rsid w:val="005821EF"/>
    <w:rsid w:val="0058226A"/>
    <w:rsid w:val="00582CE2"/>
    <w:rsid w:val="00583014"/>
    <w:rsid w:val="00583699"/>
    <w:rsid w:val="00584753"/>
    <w:rsid w:val="00584A65"/>
    <w:rsid w:val="00584ACD"/>
    <w:rsid w:val="00585702"/>
    <w:rsid w:val="00585759"/>
    <w:rsid w:val="00585CDD"/>
    <w:rsid w:val="005869D0"/>
    <w:rsid w:val="00587058"/>
    <w:rsid w:val="00587186"/>
    <w:rsid w:val="00591461"/>
    <w:rsid w:val="005918D2"/>
    <w:rsid w:val="00591957"/>
    <w:rsid w:val="0059261A"/>
    <w:rsid w:val="00593A1E"/>
    <w:rsid w:val="00593B23"/>
    <w:rsid w:val="00594142"/>
    <w:rsid w:val="00594A61"/>
    <w:rsid w:val="00594BBC"/>
    <w:rsid w:val="00594EB5"/>
    <w:rsid w:val="005954B9"/>
    <w:rsid w:val="00595A21"/>
    <w:rsid w:val="00597004"/>
    <w:rsid w:val="005973AE"/>
    <w:rsid w:val="005979DC"/>
    <w:rsid w:val="00597BF9"/>
    <w:rsid w:val="00597CF3"/>
    <w:rsid w:val="00597EB2"/>
    <w:rsid w:val="005A04CD"/>
    <w:rsid w:val="005A115A"/>
    <w:rsid w:val="005A1673"/>
    <w:rsid w:val="005A272B"/>
    <w:rsid w:val="005A2BFA"/>
    <w:rsid w:val="005A2D2C"/>
    <w:rsid w:val="005A309A"/>
    <w:rsid w:val="005A373D"/>
    <w:rsid w:val="005A3CB2"/>
    <w:rsid w:val="005A3D47"/>
    <w:rsid w:val="005A4106"/>
    <w:rsid w:val="005A4756"/>
    <w:rsid w:val="005A4D20"/>
    <w:rsid w:val="005A5031"/>
    <w:rsid w:val="005A5C04"/>
    <w:rsid w:val="005A5DFA"/>
    <w:rsid w:val="005A6863"/>
    <w:rsid w:val="005A6BA8"/>
    <w:rsid w:val="005A7381"/>
    <w:rsid w:val="005B007D"/>
    <w:rsid w:val="005B0254"/>
    <w:rsid w:val="005B05B2"/>
    <w:rsid w:val="005B0B58"/>
    <w:rsid w:val="005B0C3F"/>
    <w:rsid w:val="005B1048"/>
    <w:rsid w:val="005B16C0"/>
    <w:rsid w:val="005B18BC"/>
    <w:rsid w:val="005B1CE0"/>
    <w:rsid w:val="005B202B"/>
    <w:rsid w:val="005B21EA"/>
    <w:rsid w:val="005B3A81"/>
    <w:rsid w:val="005B3F12"/>
    <w:rsid w:val="005B4E53"/>
    <w:rsid w:val="005B4FEE"/>
    <w:rsid w:val="005B55C5"/>
    <w:rsid w:val="005B5857"/>
    <w:rsid w:val="005B61B0"/>
    <w:rsid w:val="005B68EB"/>
    <w:rsid w:val="005B6BA5"/>
    <w:rsid w:val="005B74C2"/>
    <w:rsid w:val="005B7B19"/>
    <w:rsid w:val="005B7C22"/>
    <w:rsid w:val="005C08A4"/>
    <w:rsid w:val="005C19C4"/>
    <w:rsid w:val="005C1B83"/>
    <w:rsid w:val="005C209D"/>
    <w:rsid w:val="005C25FF"/>
    <w:rsid w:val="005C2977"/>
    <w:rsid w:val="005C2D55"/>
    <w:rsid w:val="005C3063"/>
    <w:rsid w:val="005C33B4"/>
    <w:rsid w:val="005C346B"/>
    <w:rsid w:val="005C3C2C"/>
    <w:rsid w:val="005C3ECE"/>
    <w:rsid w:val="005C4725"/>
    <w:rsid w:val="005C4C3E"/>
    <w:rsid w:val="005C5CDF"/>
    <w:rsid w:val="005C626A"/>
    <w:rsid w:val="005C643F"/>
    <w:rsid w:val="005C6691"/>
    <w:rsid w:val="005C6C44"/>
    <w:rsid w:val="005C7494"/>
    <w:rsid w:val="005C76B0"/>
    <w:rsid w:val="005C7C41"/>
    <w:rsid w:val="005C7DC5"/>
    <w:rsid w:val="005D044D"/>
    <w:rsid w:val="005D0532"/>
    <w:rsid w:val="005D0ABD"/>
    <w:rsid w:val="005D0FB4"/>
    <w:rsid w:val="005D135E"/>
    <w:rsid w:val="005D14D1"/>
    <w:rsid w:val="005D155D"/>
    <w:rsid w:val="005D18AD"/>
    <w:rsid w:val="005D1911"/>
    <w:rsid w:val="005D24FE"/>
    <w:rsid w:val="005D26B4"/>
    <w:rsid w:val="005D2816"/>
    <w:rsid w:val="005D2EBF"/>
    <w:rsid w:val="005D4C1E"/>
    <w:rsid w:val="005D4D55"/>
    <w:rsid w:val="005D5492"/>
    <w:rsid w:val="005D5849"/>
    <w:rsid w:val="005D5F7A"/>
    <w:rsid w:val="005D6C74"/>
    <w:rsid w:val="005E0B95"/>
    <w:rsid w:val="005E14BB"/>
    <w:rsid w:val="005E159C"/>
    <w:rsid w:val="005E1ED6"/>
    <w:rsid w:val="005E2ACC"/>
    <w:rsid w:val="005E2CC7"/>
    <w:rsid w:val="005E326D"/>
    <w:rsid w:val="005E347C"/>
    <w:rsid w:val="005E38D9"/>
    <w:rsid w:val="005E3914"/>
    <w:rsid w:val="005E3944"/>
    <w:rsid w:val="005E3E12"/>
    <w:rsid w:val="005E40AC"/>
    <w:rsid w:val="005E5218"/>
    <w:rsid w:val="005E5D8F"/>
    <w:rsid w:val="005E6025"/>
    <w:rsid w:val="005E6566"/>
    <w:rsid w:val="005E6991"/>
    <w:rsid w:val="005E6CBC"/>
    <w:rsid w:val="005E72FF"/>
    <w:rsid w:val="005E73C0"/>
    <w:rsid w:val="005E7499"/>
    <w:rsid w:val="005E7CED"/>
    <w:rsid w:val="005F0023"/>
    <w:rsid w:val="005F045E"/>
    <w:rsid w:val="005F0942"/>
    <w:rsid w:val="005F0D01"/>
    <w:rsid w:val="005F10D3"/>
    <w:rsid w:val="005F1138"/>
    <w:rsid w:val="005F1476"/>
    <w:rsid w:val="005F1525"/>
    <w:rsid w:val="005F1589"/>
    <w:rsid w:val="005F1DC5"/>
    <w:rsid w:val="005F1F07"/>
    <w:rsid w:val="005F1F32"/>
    <w:rsid w:val="005F1F4E"/>
    <w:rsid w:val="005F200A"/>
    <w:rsid w:val="005F2493"/>
    <w:rsid w:val="005F2570"/>
    <w:rsid w:val="005F2706"/>
    <w:rsid w:val="005F2968"/>
    <w:rsid w:val="005F44D7"/>
    <w:rsid w:val="005F44DA"/>
    <w:rsid w:val="005F5AF6"/>
    <w:rsid w:val="005F5B3E"/>
    <w:rsid w:val="005F5D89"/>
    <w:rsid w:val="005F6290"/>
    <w:rsid w:val="005F63D0"/>
    <w:rsid w:val="005F6714"/>
    <w:rsid w:val="005F6A66"/>
    <w:rsid w:val="005F6A8F"/>
    <w:rsid w:val="005F6A92"/>
    <w:rsid w:val="005F6BB7"/>
    <w:rsid w:val="005F7344"/>
    <w:rsid w:val="005F7588"/>
    <w:rsid w:val="005F7E77"/>
    <w:rsid w:val="00600471"/>
    <w:rsid w:val="006005DF"/>
    <w:rsid w:val="00600847"/>
    <w:rsid w:val="00600FF6"/>
    <w:rsid w:val="00601543"/>
    <w:rsid w:val="006019FB"/>
    <w:rsid w:val="006037AD"/>
    <w:rsid w:val="00603BE8"/>
    <w:rsid w:val="00603D24"/>
    <w:rsid w:val="00603DB9"/>
    <w:rsid w:val="00604314"/>
    <w:rsid w:val="00605771"/>
    <w:rsid w:val="00605C98"/>
    <w:rsid w:val="00605FB6"/>
    <w:rsid w:val="006062BD"/>
    <w:rsid w:val="0060695D"/>
    <w:rsid w:val="00606A32"/>
    <w:rsid w:val="00606A36"/>
    <w:rsid w:val="00606B46"/>
    <w:rsid w:val="00606FBA"/>
    <w:rsid w:val="0060709F"/>
    <w:rsid w:val="00607669"/>
    <w:rsid w:val="006076F4"/>
    <w:rsid w:val="0060780C"/>
    <w:rsid w:val="00607A06"/>
    <w:rsid w:val="00607AFD"/>
    <w:rsid w:val="00607E72"/>
    <w:rsid w:val="00607E95"/>
    <w:rsid w:val="0061043D"/>
    <w:rsid w:val="00610487"/>
    <w:rsid w:val="00610833"/>
    <w:rsid w:val="00610BC1"/>
    <w:rsid w:val="00610DA9"/>
    <w:rsid w:val="006111CD"/>
    <w:rsid w:val="00611298"/>
    <w:rsid w:val="006116A0"/>
    <w:rsid w:val="00611C1E"/>
    <w:rsid w:val="00612592"/>
    <w:rsid w:val="00612C1F"/>
    <w:rsid w:val="00612F97"/>
    <w:rsid w:val="0061345D"/>
    <w:rsid w:val="0061353B"/>
    <w:rsid w:val="006138B5"/>
    <w:rsid w:val="00613F2B"/>
    <w:rsid w:val="00614A24"/>
    <w:rsid w:val="0061549B"/>
    <w:rsid w:val="00615963"/>
    <w:rsid w:val="00615F1B"/>
    <w:rsid w:val="0061638A"/>
    <w:rsid w:val="006167A3"/>
    <w:rsid w:val="00616802"/>
    <w:rsid w:val="006169A7"/>
    <w:rsid w:val="00617E12"/>
    <w:rsid w:val="00620465"/>
    <w:rsid w:val="00620839"/>
    <w:rsid w:val="00620C25"/>
    <w:rsid w:val="006210C3"/>
    <w:rsid w:val="00621427"/>
    <w:rsid w:val="00621477"/>
    <w:rsid w:val="00621694"/>
    <w:rsid w:val="006218CD"/>
    <w:rsid w:val="006219D9"/>
    <w:rsid w:val="00621ADA"/>
    <w:rsid w:val="00622176"/>
    <w:rsid w:val="006221F5"/>
    <w:rsid w:val="00622B94"/>
    <w:rsid w:val="00622C89"/>
    <w:rsid w:val="00622E32"/>
    <w:rsid w:val="00623F7B"/>
    <w:rsid w:val="006240FD"/>
    <w:rsid w:val="0062431E"/>
    <w:rsid w:val="0062472B"/>
    <w:rsid w:val="00625768"/>
    <w:rsid w:val="00625A11"/>
    <w:rsid w:val="00625E3D"/>
    <w:rsid w:val="00625F2B"/>
    <w:rsid w:val="006265B9"/>
    <w:rsid w:val="00626B44"/>
    <w:rsid w:val="0062742F"/>
    <w:rsid w:val="006274B6"/>
    <w:rsid w:val="006274FA"/>
    <w:rsid w:val="00627BEE"/>
    <w:rsid w:val="00627C65"/>
    <w:rsid w:val="006301B6"/>
    <w:rsid w:val="006302C3"/>
    <w:rsid w:val="00630369"/>
    <w:rsid w:val="006303BB"/>
    <w:rsid w:val="0063058A"/>
    <w:rsid w:val="00630EF7"/>
    <w:rsid w:val="00631420"/>
    <w:rsid w:val="00631540"/>
    <w:rsid w:val="0063156D"/>
    <w:rsid w:val="0063158F"/>
    <w:rsid w:val="00631951"/>
    <w:rsid w:val="00631D6B"/>
    <w:rsid w:val="00632083"/>
    <w:rsid w:val="006320B7"/>
    <w:rsid w:val="00632183"/>
    <w:rsid w:val="006325AF"/>
    <w:rsid w:val="00632E6B"/>
    <w:rsid w:val="006330A1"/>
    <w:rsid w:val="00633C61"/>
    <w:rsid w:val="00634228"/>
    <w:rsid w:val="0063479F"/>
    <w:rsid w:val="006353F0"/>
    <w:rsid w:val="0063560A"/>
    <w:rsid w:val="006357B5"/>
    <w:rsid w:val="00636261"/>
    <w:rsid w:val="006364A1"/>
    <w:rsid w:val="0063676E"/>
    <w:rsid w:val="0063678E"/>
    <w:rsid w:val="00636891"/>
    <w:rsid w:val="00636ECD"/>
    <w:rsid w:val="0063755F"/>
    <w:rsid w:val="00637BFD"/>
    <w:rsid w:val="00640157"/>
    <w:rsid w:val="00640E66"/>
    <w:rsid w:val="00641C4E"/>
    <w:rsid w:val="00641C58"/>
    <w:rsid w:val="00641FB3"/>
    <w:rsid w:val="006424B5"/>
    <w:rsid w:val="00642520"/>
    <w:rsid w:val="00642805"/>
    <w:rsid w:val="006431E2"/>
    <w:rsid w:val="00643F40"/>
    <w:rsid w:val="0064434C"/>
    <w:rsid w:val="006446ED"/>
    <w:rsid w:val="00644814"/>
    <w:rsid w:val="00645B57"/>
    <w:rsid w:val="00645B6D"/>
    <w:rsid w:val="00645C2B"/>
    <w:rsid w:val="00645FF2"/>
    <w:rsid w:val="0064636D"/>
    <w:rsid w:val="0064661C"/>
    <w:rsid w:val="006466B6"/>
    <w:rsid w:val="00646D40"/>
    <w:rsid w:val="00646FDE"/>
    <w:rsid w:val="006471A1"/>
    <w:rsid w:val="006471CC"/>
    <w:rsid w:val="0064784C"/>
    <w:rsid w:val="00647A29"/>
    <w:rsid w:val="00647EEF"/>
    <w:rsid w:val="006503AA"/>
    <w:rsid w:val="006503B5"/>
    <w:rsid w:val="00650455"/>
    <w:rsid w:val="0065079F"/>
    <w:rsid w:val="0065081D"/>
    <w:rsid w:val="00650C66"/>
    <w:rsid w:val="006522E1"/>
    <w:rsid w:val="00652A28"/>
    <w:rsid w:val="0065379F"/>
    <w:rsid w:val="006545CC"/>
    <w:rsid w:val="0065498C"/>
    <w:rsid w:val="0065503C"/>
    <w:rsid w:val="00655835"/>
    <w:rsid w:val="00655D29"/>
    <w:rsid w:val="00655E95"/>
    <w:rsid w:val="00656188"/>
    <w:rsid w:val="0065640A"/>
    <w:rsid w:val="006566D8"/>
    <w:rsid w:val="00656717"/>
    <w:rsid w:val="0065715A"/>
    <w:rsid w:val="0066017E"/>
    <w:rsid w:val="006602F1"/>
    <w:rsid w:val="00660BA1"/>
    <w:rsid w:val="00660F09"/>
    <w:rsid w:val="006610F1"/>
    <w:rsid w:val="0066157F"/>
    <w:rsid w:val="00661A32"/>
    <w:rsid w:val="00661C6B"/>
    <w:rsid w:val="00661EBF"/>
    <w:rsid w:val="0066262E"/>
    <w:rsid w:val="006627AB"/>
    <w:rsid w:val="00662F11"/>
    <w:rsid w:val="00663075"/>
    <w:rsid w:val="006630AF"/>
    <w:rsid w:val="00663A3E"/>
    <w:rsid w:val="00663BE5"/>
    <w:rsid w:val="006648B0"/>
    <w:rsid w:val="00665936"/>
    <w:rsid w:val="00665EA2"/>
    <w:rsid w:val="0066767D"/>
    <w:rsid w:val="00667747"/>
    <w:rsid w:val="006679CB"/>
    <w:rsid w:val="006700EC"/>
    <w:rsid w:val="0067027D"/>
    <w:rsid w:val="00670400"/>
    <w:rsid w:val="00670500"/>
    <w:rsid w:val="00670709"/>
    <w:rsid w:val="00671004"/>
    <w:rsid w:val="006710B0"/>
    <w:rsid w:val="00671500"/>
    <w:rsid w:val="00671760"/>
    <w:rsid w:val="00672094"/>
    <w:rsid w:val="006723C5"/>
    <w:rsid w:val="00672646"/>
    <w:rsid w:val="00672B51"/>
    <w:rsid w:val="00672D14"/>
    <w:rsid w:val="006739EB"/>
    <w:rsid w:val="00674490"/>
    <w:rsid w:val="00674E42"/>
    <w:rsid w:val="00674F5B"/>
    <w:rsid w:val="00674FCF"/>
    <w:rsid w:val="006751BD"/>
    <w:rsid w:val="00675402"/>
    <w:rsid w:val="00675607"/>
    <w:rsid w:val="0067576E"/>
    <w:rsid w:val="00675922"/>
    <w:rsid w:val="00677136"/>
    <w:rsid w:val="00677726"/>
    <w:rsid w:val="006777CC"/>
    <w:rsid w:val="00680E89"/>
    <w:rsid w:val="006813F8"/>
    <w:rsid w:val="00682112"/>
    <w:rsid w:val="0068237D"/>
    <w:rsid w:val="006824C3"/>
    <w:rsid w:val="00682BA6"/>
    <w:rsid w:val="00682C36"/>
    <w:rsid w:val="006832D6"/>
    <w:rsid w:val="006834E3"/>
    <w:rsid w:val="00683580"/>
    <w:rsid w:val="00683581"/>
    <w:rsid w:val="00684111"/>
    <w:rsid w:val="00685301"/>
    <w:rsid w:val="006858FD"/>
    <w:rsid w:val="00685B97"/>
    <w:rsid w:val="00685C66"/>
    <w:rsid w:val="00685DBE"/>
    <w:rsid w:val="0068612D"/>
    <w:rsid w:val="006861B9"/>
    <w:rsid w:val="006864B0"/>
    <w:rsid w:val="00686957"/>
    <w:rsid w:val="006872BA"/>
    <w:rsid w:val="00687C4D"/>
    <w:rsid w:val="00687C6C"/>
    <w:rsid w:val="006901A9"/>
    <w:rsid w:val="0069062D"/>
    <w:rsid w:val="00690795"/>
    <w:rsid w:val="0069092D"/>
    <w:rsid w:val="00690C07"/>
    <w:rsid w:val="00690F18"/>
    <w:rsid w:val="00691111"/>
    <w:rsid w:val="00691648"/>
    <w:rsid w:val="006917D7"/>
    <w:rsid w:val="00692EB5"/>
    <w:rsid w:val="00692EC1"/>
    <w:rsid w:val="00692F31"/>
    <w:rsid w:val="0069368A"/>
    <w:rsid w:val="00693909"/>
    <w:rsid w:val="00693B2E"/>
    <w:rsid w:val="0069434C"/>
    <w:rsid w:val="00694713"/>
    <w:rsid w:val="00694880"/>
    <w:rsid w:val="00694968"/>
    <w:rsid w:val="00694F3D"/>
    <w:rsid w:val="00694F44"/>
    <w:rsid w:val="00695067"/>
    <w:rsid w:val="006954A0"/>
    <w:rsid w:val="006955CD"/>
    <w:rsid w:val="0069572C"/>
    <w:rsid w:val="00696030"/>
    <w:rsid w:val="0069603F"/>
    <w:rsid w:val="00696F51"/>
    <w:rsid w:val="00696F9B"/>
    <w:rsid w:val="006971F3"/>
    <w:rsid w:val="006979A5"/>
    <w:rsid w:val="00697D4D"/>
    <w:rsid w:val="006A0824"/>
    <w:rsid w:val="006A0A7C"/>
    <w:rsid w:val="006A0E84"/>
    <w:rsid w:val="006A1162"/>
    <w:rsid w:val="006A1482"/>
    <w:rsid w:val="006A1535"/>
    <w:rsid w:val="006A18A8"/>
    <w:rsid w:val="006A1C1B"/>
    <w:rsid w:val="006A1C74"/>
    <w:rsid w:val="006A22B2"/>
    <w:rsid w:val="006A28E9"/>
    <w:rsid w:val="006A2A6E"/>
    <w:rsid w:val="006A2BBB"/>
    <w:rsid w:val="006A3200"/>
    <w:rsid w:val="006A3465"/>
    <w:rsid w:val="006A3F61"/>
    <w:rsid w:val="006A408B"/>
    <w:rsid w:val="006A4427"/>
    <w:rsid w:val="006A4B18"/>
    <w:rsid w:val="006A4CEE"/>
    <w:rsid w:val="006A4D40"/>
    <w:rsid w:val="006A5081"/>
    <w:rsid w:val="006A5BB1"/>
    <w:rsid w:val="006A616F"/>
    <w:rsid w:val="006A6243"/>
    <w:rsid w:val="006A6666"/>
    <w:rsid w:val="006A6B45"/>
    <w:rsid w:val="006A6B99"/>
    <w:rsid w:val="006A6EDE"/>
    <w:rsid w:val="006A7E5F"/>
    <w:rsid w:val="006A7ECA"/>
    <w:rsid w:val="006B107F"/>
    <w:rsid w:val="006B1A03"/>
    <w:rsid w:val="006B261B"/>
    <w:rsid w:val="006B26CC"/>
    <w:rsid w:val="006B2BC5"/>
    <w:rsid w:val="006B2BDE"/>
    <w:rsid w:val="006B2C90"/>
    <w:rsid w:val="006B2D7C"/>
    <w:rsid w:val="006B304F"/>
    <w:rsid w:val="006B33CB"/>
    <w:rsid w:val="006B35E6"/>
    <w:rsid w:val="006B465A"/>
    <w:rsid w:val="006B477D"/>
    <w:rsid w:val="006B482B"/>
    <w:rsid w:val="006B48EA"/>
    <w:rsid w:val="006B4C15"/>
    <w:rsid w:val="006B4D5C"/>
    <w:rsid w:val="006B4D8B"/>
    <w:rsid w:val="006B589F"/>
    <w:rsid w:val="006B5DE7"/>
    <w:rsid w:val="006B5E62"/>
    <w:rsid w:val="006B5F5A"/>
    <w:rsid w:val="006B672B"/>
    <w:rsid w:val="006B6C9B"/>
    <w:rsid w:val="006B6DD0"/>
    <w:rsid w:val="006B6F0A"/>
    <w:rsid w:val="006B72E1"/>
    <w:rsid w:val="006B7D44"/>
    <w:rsid w:val="006B7EA1"/>
    <w:rsid w:val="006C0399"/>
    <w:rsid w:val="006C0573"/>
    <w:rsid w:val="006C05E1"/>
    <w:rsid w:val="006C06A7"/>
    <w:rsid w:val="006C0C70"/>
    <w:rsid w:val="006C121E"/>
    <w:rsid w:val="006C12E3"/>
    <w:rsid w:val="006C1865"/>
    <w:rsid w:val="006C1A1B"/>
    <w:rsid w:val="006C1B94"/>
    <w:rsid w:val="006C204B"/>
    <w:rsid w:val="006C22A9"/>
    <w:rsid w:val="006C2451"/>
    <w:rsid w:val="006C2699"/>
    <w:rsid w:val="006C2A8E"/>
    <w:rsid w:val="006C2BBA"/>
    <w:rsid w:val="006C30DC"/>
    <w:rsid w:val="006C3255"/>
    <w:rsid w:val="006C3F26"/>
    <w:rsid w:val="006C45F6"/>
    <w:rsid w:val="006C4A97"/>
    <w:rsid w:val="006C4F3C"/>
    <w:rsid w:val="006C5740"/>
    <w:rsid w:val="006C5AD8"/>
    <w:rsid w:val="006C5F71"/>
    <w:rsid w:val="006C6306"/>
    <w:rsid w:val="006C6FC5"/>
    <w:rsid w:val="006C7166"/>
    <w:rsid w:val="006C79E5"/>
    <w:rsid w:val="006C7FBC"/>
    <w:rsid w:val="006D0007"/>
    <w:rsid w:val="006D0338"/>
    <w:rsid w:val="006D0D17"/>
    <w:rsid w:val="006D18C1"/>
    <w:rsid w:val="006D1A44"/>
    <w:rsid w:val="006D2F46"/>
    <w:rsid w:val="006D3923"/>
    <w:rsid w:val="006D3C7D"/>
    <w:rsid w:val="006D4659"/>
    <w:rsid w:val="006D52B3"/>
    <w:rsid w:val="006D5916"/>
    <w:rsid w:val="006D5D54"/>
    <w:rsid w:val="006D5D5F"/>
    <w:rsid w:val="006D6551"/>
    <w:rsid w:val="006D68FB"/>
    <w:rsid w:val="006D6E2A"/>
    <w:rsid w:val="006D6EDD"/>
    <w:rsid w:val="006D700F"/>
    <w:rsid w:val="006D77DF"/>
    <w:rsid w:val="006D7B36"/>
    <w:rsid w:val="006D7C32"/>
    <w:rsid w:val="006D7C80"/>
    <w:rsid w:val="006E046F"/>
    <w:rsid w:val="006E0CE1"/>
    <w:rsid w:val="006E1841"/>
    <w:rsid w:val="006E1A20"/>
    <w:rsid w:val="006E1E4A"/>
    <w:rsid w:val="006E2268"/>
    <w:rsid w:val="006E2372"/>
    <w:rsid w:val="006E2868"/>
    <w:rsid w:val="006E29EE"/>
    <w:rsid w:val="006E3004"/>
    <w:rsid w:val="006E30B4"/>
    <w:rsid w:val="006E3C8F"/>
    <w:rsid w:val="006E441E"/>
    <w:rsid w:val="006E4E0A"/>
    <w:rsid w:val="006E50DE"/>
    <w:rsid w:val="006E557A"/>
    <w:rsid w:val="006E5600"/>
    <w:rsid w:val="006E642D"/>
    <w:rsid w:val="006E6501"/>
    <w:rsid w:val="006E71A3"/>
    <w:rsid w:val="006E7A47"/>
    <w:rsid w:val="006F1C91"/>
    <w:rsid w:val="006F1F15"/>
    <w:rsid w:val="006F2013"/>
    <w:rsid w:val="006F218A"/>
    <w:rsid w:val="006F21F2"/>
    <w:rsid w:val="006F2F10"/>
    <w:rsid w:val="006F306C"/>
    <w:rsid w:val="006F3586"/>
    <w:rsid w:val="006F4436"/>
    <w:rsid w:val="006F498E"/>
    <w:rsid w:val="006F4E30"/>
    <w:rsid w:val="006F5008"/>
    <w:rsid w:val="006F544E"/>
    <w:rsid w:val="006F571F"/>
    <w:rsid w:val="006F5AA1"/>
    <w:rsid w:val="006F619D"/>
    <w:rsid w:val="006F63A5"/>
    <w:rsid w:val="006F6705"/>
    <w:rsid w:val="006F6AC0"/>
    <w:rsid w:val="006F722B"/>
    <w:rsid w:val="006F72D2"/>
    <w:rsid w:val="006F7E58"/>
    <w:rsid w:val="006F7F78"/>
    <w:rsid w:val="007001B5"/>
    <w:rsid w:val="00700689"/>
    <w:rsid w:val="0070130B"/>
    <w:rsid w:val="0070142B"/>
    <w:rsid w:val="00701564"/>
    <w:rsid w:val="0070165C"/>
    <w:rsid w:val="007019FF"/>
    <w:rsid w:val="00701AE1"/>
    <w:rsid w:val="00701B69"/>
    <w:rsid w:val="0070276E"/>
    <w:rsid w:val="00702825"/>
    <w:rsid w:val="0070283B"/>
    <w:rsid w:val="00702F8F"/>
    <w:rsid w:val="0070300F"/>
    <w:rsid w:val="00703731"/>
    <w:rsid w:val="00703CBD"/>
    <w:rsid w:val="00703E6D"/>
    <w:rsid w:val="00704096"/>
    <w:rsid w:val="0070464C"/>
    <w:rsid w:val="00704E46"/>
    <w:rsid w:val="00704EC8"/>
    <w:rsid w:val="0070509C"/>
    <w:rsid w:val="00705854"/>
    <w:rsid w:val="00705BD2"/>
    <w:rsid w:val="00706477"/>
    <w:rsid w:val="0070653C"/>
    <w:rsid w:val="007065C6"/>
    <w:rsid w:val="00706AAA"/>
    <w:rsid w:val="007073A7"/>
    <w:rsid w:val="00707676"/>
    <w:rsid w:val="007077B0"/>
    <w:rsid w:val="007079FC"/>
    <w:rsid w:val="00707BFB"/>
    <w:rsid w:val="00710717"/>
    <w:rsid w:val="007107CB"/>
    <w:rsid w:val="00710BE2"/>
    <w:rsid w:val="00710E72"/>
    <w:rsid w:val="007114A4"/>
    <w:rsid w:val="007115BF"/>
    <w:rsid w:val="00711A36"/>
    <w:rsid w:val="0071249B"/>
    <w:rsid w:val="007129DE"/>
    <w:rsid w:val="00712CDF"/>
    <w:rsid w:val="00712E96"/>
    <w:rsid w:val="00714C26"/>
    <w:rsid w:val="0071529C"/>
    <w:rsid w:val="007155BD"/>
    <w:rsid w:val="00715606"/>
    <w:rsid w:val="007157D9"/>
    <w:rsid w:val="00715A86"/>
    <w:rsid w:val="0071685D"/>
    <w:rsid w:val="007170B0"/>
    <w:rsid w:val="007170DA"/>
    <w:rsid w:val="007172AD"/>
    <w:rsid w:val="00717AC0"/>
    <w:rsid w:val="00720359"/>
    <w:rsid w:val="007203F8"/>
    <w:rsid w:val="007207AE"/>
    <w:rsid w:val="00720801"/>
    <w:rsid w:val="00720BCB"/>
    <w:rsid w:val="00720CE1"/>
    <w:rsid w:val="007214FE"/>
    <w:rsid w:val="00721AC4"/>
    <w:rsid w:val="00721CFA"/>
    <w:rsid w:val="00721DAB"/>
    <w:rsid w:val="00721FD1"/>
    <w:rsid w:val="00722054"/>
    <w:rsid w:val="007222AB"/>
    <w:rsid w:val="00722B1B"/>
    <w:rsid w:val="00723396"/>
    <w:rsid w:val="0072416F"/>
    <w:rsid w:val="007242DF"/>
    <w:rsid w:val="007248D5"/>
    <w:rsid w:val="00725028"/>
    <w:rsid w:val="007250B6"/>
    <w:rsid w:val="0072572E"/>
    <w:rsid w:val="00725C88"/>
    <w:rsid w:val="00726645"/>
    <w:rsid w:val="00726707"/>
    <w:rsid w:val="00726D21"/>
    <w:rsid w:val="0072704F"/>
    <w:rsid w:val="0072780D"/>
    <w:rsid w:val="007279DB"/>
    <w:rsid w:val="00727C94"/>
    <w:rsid w:val="00730149"/>
    <w:rsid w:val="00731B0A"/>
    <w:rsid w:val="00731EAE"/>
    <w:rsid w:val="00731FEF"/>
    <w:rsid w:val="007321B5"/>
    <w:rsid w:val="0073228A"/>
    <w:rsid w:val="00732812"/>
    <w:rsid w:val="007328F8"/>
    <w:rsid w:val="00732F44"/>
    <w:rsid w:val="00733073"/>
    <w:rsid w:val="00733428"/>
    <w:rsid w:val="0073364C"/>
    <w:rsid w:val="0073394B"/>
    <w:rsid w:val="00733A0D"/>
    <w:rsid w:val="00733B82"/>
    <w:rsid w:val="00733DB6"/>
    <w:rsid w:val="00735033"/>
    <w:rsid w:val="00735328"/>
    <w:rsid w:val="007356EF"/>
    <w:rsid w:val="00735811"/>
    <w:rsid w:val="0073590C"/>
    <w:rsid w:val="00735A1A"/>
    <w:rsid w:val="0073654C"/>
    <w:rsid w:val="0073685B"/>
    <w:rsid w:val="00736A83"/>
    <w:rsid w:val="00737616"/>
    <w:rsid w:val="007377F0"/>
    <w:rsid w:val="007400E5"/>
    <w:rsid w:val="00740A40"/>
    <w:rsid w:val="0074244C"/>
    <w:rsid w:val="0074269E"/>
    <w:rsid w:val="007443F7"/>
    <w:rsid w:val="00744781"/>
    <w:rsid w:val="007449BF"/>
    <w:rsid w:val="00745381"/>
    <w:rsid w:val="007454FB"/>
    <w:rsid w:val="00745B99"/>
    <w:rsid w:val="007462F1"/>
    <w:rsid w:val="00746446"/>
    <w:rsid w:val="00746992"/>
    <w:rsid w:val="00746AF6"/>
    <w:rsid w:val="00746BC0"/>
    <w:rsid w:val="0074715F"/>
    <w:rsid w:val="00747272"/>
    <w:rsid w:val="0074789B"/>
    <w:rsid w:val="00747C3B"/>
    <w:rsid w:val="00747D2E"/>
    <w:rsid w:val="00747F7C"/>
    <w:rsid w:val="0075072F"/>
    <w:rsid w:val="00750CB1"/>
    <w:rsid w:val="00750CCC"/>
    <w:rsid w:val="00750D23"/>
    <w:rsid w:val="007510B4"/>
    <w:rsid w:val="0075187F"/>
    <w:rsid w:val="00751C3F"/>
    <w:rsid w:val="00751C41"/>
    <w:rsid w:val="00752142"/>
    <w:rsid w:val="00752163"/>
    <w:rsid w:val="007523F9"/>
    <w:rsid w:val="00752FC1"/>
    <w:rsid w:val="00753484"/>
    <w:rsid w:val="0075357E"/>
    <w:rsid w:val="00753664"/>
    <w:rsid w:val="00753B1A"/>
    <w:rsid w:val="007540C1"/>
    <w:rsid w:val="0075423A"/>
    <w:rsid w:val="00754543"/>
    <w:rsid w:val="00756502"/>
    <w:rsid w:val="00756B69"/>
    <w:rsid w:val="007573E8"/>
    <w:rsid w:val="0075749C"/>
    <w:rsid w:val="007579F4"/>
    <w:rsid w:val="00757AC8"/>
    <w:rsid w:val="00760387"/>
    <w:rsid w:val="00760787"/>
    <w:rsid w:val="00760795"/>
    <w:rsid w:val="007607BB"/>
    <w:rsid w:val="00760810"/>
    <w:rsid w:val="00760C4E"/>
    <w:rsid w:val="00760F9E"/>
    <w:rsid w:val="007610A9"/>
    <w:rsid w:val="0076116B"/>
    <w:rsid w:val="00761213"/>
    <w:rsid w:val="007627BE"/>
    <w:rsid w:val="00762DB7"/>
    <w:rsid w:val="00762E81"/>
    <w:rsid w:val="007632C3"/>
    <w:rsid w:val="007633E9"/>
    <w:rsid w:val="00763BC8"/>
    <w:rsid w:val="00764288"/>
    <w:rsid w:val="00764CC8"/>
    <w:rsid w:val="00764DF5"/>
    <w:rsid w:val="00764F03"/>
    <w:rsid w:val="00765929"/>
    <w:rsid w:val="00765B1A"/>
    <w:rsid w:val="00765DE0"/>
    <w:rsid w:val="00765FDA"/>
    <w:rsid w:val="007661A7"/>
    <w:rsid w:val="00766294"/>
    <w:rsid w:val="00766558"/>
    <w:rsid w:val="00766B5A"/>
    <w:rsid w:val="00766BE5"/>
    <w:rsid w:val="00767D1E"/>
    <w:rsid w:val="00770249"/>
    <w:rsid w:val="007702F7"/>
    <w:rsid w:val="00770E94"/>
    <w:rsid w:val="007712FC"/>
    <w:rsid w:val="007713C6"/>
    <w:rsid w:val="0077202B"/>
    <w:rsid w:val="007720F8"/>
    <w:rsid w:val="007721B7"/>
    <w:rsid w:val="00772462"/>
    <w:rsid w:val="00772CF9"/>
    <w:rsid w:val="00773898"/>
    <w:rsid w:val="00773D35"/>
    <w:rsid w:val="00774116"/>
    <w:rsid w:val="00774155"/>
    <w:rsid w:val="00774584"/>
    <w:rsid w:val="00775058"/>
    <w:rsid w:val="00775F47"/>
    <w:rsid w:val="00776CA0"/>
    <w:rsid w:val="0077700D"/>
    <w:rsid w:val="007772C9"/>
    <w:rsid w:val="00777335"/>
    <w:rsid w:val="00777402"/>
    <w:rsid w:val="00777A77"/>
    <w:rsid w:val="00777D4A"/>
    <w:rsid w:val="00780303"/>
    <w:rsid w:val="00780340"/>
    <w:rsid w:val="00781348"/>
    <w:rsid w:val="00781512"/>
    <w:rsid w:val="00783158"/>
    <w:rsid w:val="0078329C"/>
    <w:rsid w:val="00784373"/>
    <w:rsid w:val="007843F2"/>
    <w:rsid w:val="007844A5"/>
    <w:rsid w:val="0078477E"/>
    <w:rsid w:val="007847BD"/>
    <w:rsid w:val="007847CA"/>
    <w:rsid w:val="00784893"/>
    <w:rsid w:val="00784D86"/>
    <w:rsid w:val="00784F8F"/>
    <w:rsid w:val="00785A9F"/>
    <w:rsid w:val="00786C30"/>
    <w:rsid w:val="007879C3"/>
    <w:rsid w:val="00787F4F"/>
    <w:rsid w:val="00790AE7"/>
    <w:rsid w:val="00790E40"/>
    <w:rsid w:val="00791D19"/>
    <w:rsid w:val="007920A9"/>
    <w:rsid w:val="00792120"/>
    <w:rsid w:val="00792556"/>
    <w:rsid w:val="007925DF"/>
    <w:rsid w:val="007927DD"/>
    <w:rsid w:val="007931F1"/>
    <w:rsid w:val="007934E3"/>
    <w:rsid w:val="0079377F"/>
    <w:rsid w:val="00793A0A"/>
    <w:rsid w:val="0079415A"/>
    <w:rsid w:val="0079434A"/>
    <w:rsid w:val="00794F95"/>
    <w:rsid w:val="00795046"/>
    <w:rsid w:val="0079524A"/>
    <w:rsid w:val="00795F5E"/>
    <w:rsid w:val="007960D7"/>
    <w:rsid w:val="007965FC"/>
    <w:rsid w:val="00796637"/>
    <w:rsid w:val="00796AC8"/>
    <w:rsid w:val="007971FD"/>
    <w:rsid w:val="0079764C"/>
    <w:rsid w:val="0079798C"/>
    <w:rsid w:val="00797DF5"/>
    <w:rsid w:val="00797FAA"/>
    <w:rsid w:val="007A007E"/>
    <w:rsid w:val="007A0736"/>
    <w:rsid w:val="007A08AA"/>
    <w:rsid w:val="007A0A12"/>
    <w:rsid w:val="007A0E59"/>
    <w:rsid w:val="007A132D"/>
    <w:rsid w:val="007A1345"/>
    <w:rsid w:val="007A1687"/>
    <w:rsid w:val="007A1A74"/>
    <w:rsid w:val="007A2037"/>
    <w:rsid w:val="007A210E"/>
    <w:rsid w:val="007A2251"/>
    <w:rsid w:val="007A285E"/>
    <w:rsid w:val="007A2912"/>
    <w:rsid w:val="007A2DDB"/>
    <w:rsid w:val="007A3856"/>
    <w:rsid w:val="007A3D00"/>
    <w:rsid w:val="007A3DC1"/>
    <w:rsid w:val="007A40E8"/>
    <w:rsid w:val="007A470A"/>
    <w:rsid w:val="007A4BFE"/>
    <w:rsid w:val="007A4ED4"/>
    <w:rsid w:val="007A531C"/>
    <w:rsid w:val="007A5E36"/>
    <w:rsid w:val="007A6271"/>
    <w:rsid w:val="007A66AC"/>
    <w:rsid w:val="007A70BA"/>
    <w:rsid w:val="007A7C9E"/>
    <w:rsid w:val="007B0445"/>
    <w:rsid w:val="007B0AEE"/>
    <w:rsid w:val="007B0C00"/>
    <w:rsid w:val="007B0D68"/>
    <w:rsid w:val="007B0DD9"/>
    <w:rsid w:val="007B0F01"/>
    <w:rsid w:val="007B13D8"/>
    <w:rsid w:val="007B1823"/>
    <w:rsid w:val="007B1962"/>
    <w:rsid w:val="007B1BE2"/>
    <w:rsid w:val="007B2325"/>
    <w:rsid w:val="007B251D"/>
    <w:rsid w:val="007B2808"/>
    <w:rsid w:val="007B3159"/>
    <w:rsid w:val="007B3723"/>
    <w:rsid w:val="007B4384"/>
    <w:rsid w:val="007B4652"/>
    <w:rsid w:val="007B47B2"/>
    <w:rsid w:val="007B4F58"/>
    <w:rsid w:val="007B528D"/>
    <w:rsid w:val="007B530C"/>
    <w:rsid w:val="007B54B3"/>
    <w:rsid w:val="007B55BE"/>
    <w:rsid w:val="007B5633"/>
    <w:rsid w:val="007B5955"/>
    <w:rsid w:val="007B5973"/>
    <w:rsid w:val="007B606D"/>
    <w:rsid w:val="007B630D"/>
    <w:rsid w:val="007B63CA"/>
    <w:rsid w:val="007B68AB"/>
    <w:rsid w:val="007B6B22"/>
    <w:rsid w:val="007B77D1"/>
    <w:rsid w:val="007B7B9B"/>
    <w:rsid w:val="007B7CDC"/>
    <w:rsid w:val="007C0700"/>
    <w:rsid w:val="007C07C7"/>
    <w:rsid w:val="007C1051"/>
    <w:rsid w:val="007C13CB"/>
    <w:rsid w:val="007C1BEC"/>
    <w:rsid w:val="007C1CD9"/>
    <w:rsid w:val="007C21C8"/>
    <w:rsid w:val="007C2345"/>
    <w:rsid w:val="007C2A10"/>
    <w:rsid w:val="007C2CE5"/>
    <w:rsid w:val="007C2D06"/>
    <w:rsid w:val="007C2E50"/>
    <w:rsid w:val="007C2E83"/>
    <w:rsid w:val="007C32EF"/>
    <w:rsid w:val="007C3347"/>
    <w:rsid w:val="007C3519"/>
    <w:rsid w:val="007C361D"/>
    <w:rsid w:val="007C4444"/>
    <w:rsid w:val="007C4801"/>
    <w:rsid w:val="007C4B84"/>
    <w:rsid w:val="007C4C5C"/>
    <w:rsid w:val="007C4E9F"/>
    <w:rsid w:val="007C58E9"/>
    <w:rsid w:val="007C6917"/>
    <w:rsid w:val="007C6A42"/>
    <w:rsid w:val="007C70FF"/>
    <w:rsid w:val="007C71CA"/>
    <w:rsid w:val="007C773A"/>
    <w:rsid w:val="007C7C25"/>
    <w:rsid w:val="007C7F56"/>
    <w:rsid w:val="007D004F"/>
    <w:rsid w:val="007D00EA"/>
    <w:rsid w:val="007D0590"/>
    <w:rsid w:val="007D0830"/>
    <w:rsid w:val="007D0B38"/>
    <w:rsid w:val="007D11E2"/>
    <w:rsid w:val="007D1311"/>
    <w:rsid w:val="007D1E14"/>
    <w:rsid w:val="007D2795"/>
    <w:rsid w:val="007D2A2C"/>
    <w:rsid w:val="007D4004"/>
    <w:rsid w:val="007D4179"/>
    <w:rsid w:val="007D4706"/>
    <w:rsid w:val="007D47E4"/>
    <w:rsid w:val="007D4EFD"/>
    <w:rsid w:val="007D5440"/>
    <w:rsid w:val="007D5FD8"/>
    <w:rsid w:val="007D6048"/>
    <w:rsid w:val="007D63BF"/>
    <w:rsid w:val="007D69EB"/>
    <w:rsid w:val="007D7FBE"/>
    <w:rsid w:val="007E128F"/>
    <w:rsid w:val="007E1D00"/>
    <w:rsid w:val="007E1D2D"/>
    <w:rsid w:val="007E2117"/>
    <w:rsid w:val="007E23F4"/>
    <w:rsid w:val="007E29CF"/>
    <w:rsid w:val="007E3354"/>
    <w:rsid w:val="007E3DAE"/>
    <w:rsid w:val="007E3E09"/>
    <w:rsid w:val="007E53DC"/>
    <w:rsid w:val="007E5E01"/>
    <w:rsid w:val="007E5E58"/>
    <w:rsid w:val="007E60FD"/>
    <w:rsid w:val="007E6843"/>
    <w:rsid w:val="007E79EB"/>
    <w:rsid w:val="007E7B06"/>
    <w:rsid w:val="007F088B"/>
    <w:rsid w:val="007F0936"/>
    <w:rsid w:val="007F0F7B"/>
    <w:rsid w:val="007F0FAC"/>
    <w:rsid w:val="007F1017"/>
    <w:rsid w:val="007F10CC"/>
    <w:rsid w:val="007F123C"/>
    <w:rsid w:val="007F1492"/>
    <w:rsid w:val="007F242F"/>
    <w:rsid w:val="007F2732"/>
    <w:rsid w:val="007F2B9C"/>
    <w:rsid w:val="007F2C38"/>
    <w:rsid w:val="007F2DB5"/>
    <w:rsid w:val="007F2FCA"/>
    <w:rsid w:val="007F326C"/>
    <w:rsid w:val="007F3E5D"/>
    <w:rsid w:val="007F42F0"/>
    <w:rsid w:val="007F43E3"/>
    <w:rsid w:val="007F4A3F"/>
    <w:rsid w:val="007F4A61"/>
    <w:rsid w:val="007F50A7"/>
    <w:rsid w:val="007F5255"/>
    <w:rsid w:val="007F56CC"/>
    <w:rsid w:val="007F5FC0"/>
    <w:rsid w:val="007F61C2"/>
    <w:rsid w:val="007F646E"/>
    <w:rsid w:val="007F6515"/>
    <w:rsid w:val="007F6633"/>
    <w:rsid w:val="007F6973"/>
    <w:rsid w:val="007F6E4E"/>
    <w:rsid w:val="007F708F"/>
    <w:rsid w:val="007F7A36"/>
    <w:rsid w:val="007F7D3A"/>
    <w:rsid w:val="0080032D"/>
    <w:rsid w:val="008007DC"/>
    <w:rsid w:val="00800851"/>
    <w:rsid w:val="00800BC0"/>
    <w:rsid w:val="00800DC8"/>
    <w:rsid w:val="00800DDB"/>
    <w:rsid w:val="00800E1E"/>
    <w:rsid w:val="00801265"/>
    <w:rsid w:val="00801798"/>
    <w:rsid w:val="00803523"/>
    <w:rsid w:val="008035E7"/>
    <w:rsid w:val="008035EB"/>
    <w:rsid w:val="00803982"/>
    <w:rsid w:val="008039A3"/>
    <w:rsid w:val="00804054"/>
    <w:rsid w:val="00805142"/>
    <w:rsid w:val="0080560B"/>
    <w:rsid w:val="00805659"/>
    <w:rsid w:val="0080576C"/>
    <w:rsid w:val="00805A12"/>
    <w:rsid w:val="00805FCE"/>
    <w:rsid w:val="008067C7"/>
    <w:rsid w:val="00807A8B"/>
    <w:rsid w:val="00810C5D"/>
    <w:rsid w:val="00811383"/>
    <w:rsid w:val="008114EA"/>
    <w:rsid w:val="00812040"/>
    <w:rsid w:val="00812047"/>
    <w:rsid w:val="00812149"/>
    <w:rsid w:val="00812506"/>
    <w:rsid w:val="00812CAC"/>
    <w:rsid w:val="008132AE"/>
    <w:rsid w:val="00813396"/>
    <w:rsid w:val="008134BC"/>
    <w:rsid w:val="00813503"/>
    <w:rsid w:val="0081393B"/>
    <w:rsid w:val="00813AC0"/>
    <w:rsid w:val="00813BE6"/>
    <w:rsid w:val="008141FF"/>
    <w:rsid w:val="008144E2"/>
    <w:rsid w:val="0081484B"/>
    <w:rsid w:val="00814C46"/>
    <w:rsid w:val="008150CB"/>
    <w:rsid w:val="008154AC"/>
    <w:rsid w:val="00815C6A"/>
    <w:rsid w:val="00816361"/>
    <w:rsid w:val="008166EF"/>
    <w:rsid w:val="00816BB8"/>
    <w:rsid w:val="00816FEF"/>
    <w:rsid w:val="00817EAA"/>
    <w:rsid w:val="00820123"/>
    <w:rsid w:val="008201A9"/>
    <w:rsid w:val="008206A3"/>
    <w:rsid w:val="0082094A"/>
    <w:rsid w:val="00820A68"/>
    <w:rsid w:val="00820A8C"/>
    <w:rsid w:val="00820EC0"/>
    <w:rsid w:val="00821002"/>
    <w:rsid w:val="008215FB"/>
    <w:rsid w:val="008218DD"/>
    <w:rsid w:val="008218F5"/>
    <w:rsid w:val="00821FBD"/>
    <w:rsid w:val="008226E5"/>
    <w:rsid w:val="00822D83"/>
    <w:rsid w:val="00823174"/>
    <w:rsid w:val="008235F3"/>
    <w:rsid w:val="00823B01"/>
    <w:rsid w:val="00824588"/>
    <w:rsid w:val="00824874"/>
    <w:rsid w:val="00824A4B"/>
    <w:rsid w:val="00824C49"/>
    <w:rsid w:val="00824F16"/>
    <w:rsid w:val="00825078"/>
    <w:rsid w:val="00825513"/>
    <w:rsid w:val="00825751"/>
    <w:rsid w:val="00825E91"/>
    <w:rsid w:val="00825F2C"/>
    <w:rsid w:val="00825FF7"/>
    <w:rsid w:val="008264EB"/>
    <w:rsid w:val="008264F7"/>
    <w:rsid w:val="00826FD2"/>
    <w:rsid w:val="00827634"/>
    <w:rsid w:val="008277EE"/>
    <w:rsid w:val="00827B11"/>
    <w:rsid w:val="00827C1C"/>
    <w:rsid w:val="00830376"/>
    <w:rsid w:val="00831CF8"/>
    <w:rsid w:val="00832146"/>
    <w:rsid w:val="008325F2"/>
    <w:rsid w:val="00832AD0"/>
    <w:rsid w:val="00832CA8"/>
    <w:rsid w:val="00832DF6"/>
    <w:rsid w:val="00832F8C"/>
    <w:rsid w:val="008330E0"/>
    <w:rsid w:val="008335A6"/>
    <w:rsid w:val="0083366C"/>
    <w:rsid w:val="00833934"/>
    <w:rsid w:val="00833B05"/>
    <w:rsid w:val="00835221"/>
    <w:rsid w:val="008353DE"/>
    <w:rsid w:val="008355C0"/>
    <w:rsid w:val="008358D4"/>
    <w:rsid w:val="00835FD3"/>
    <w:rsid w:val="00836062"/>
    <w:rsid w:val="008362B4"/>
    <w:rsid w:val="00836548"/>
    <w:rsid w:val="008367C4"/>
    <w:rsid w:val="00836CEF"/>
    <w:rsid w:val="00837454"/>
    <w:rsid w:val="00837BE2"/>
    <w:rsid w:val="008404C5"/>
    <w:rsid w:val="00840AD9"/>
    <w:rsid w:val="00840CA2"/>
    <w:rsid w:val="00841232"/>
    <w:rsid w:val="008419DC"/>
    <w:rsid w:val="00841B85"/>
    <w:rsid w:val="00841DDF"/>
    <w:rsid w:val="00842517"/>
    <w:rsid w:val="00843535"/>
    <w:rsid w:val="0084374F"/>
    <w:rsid w:val="00844A22"/>
    <w:rsid w:val="00844B53"/>
    <w:rsid w:val="00844EE9"/>
    <w:rsid w:val="0084664E"/>
    <w:rsid w:val="00846C2D"/>
    <w:rsid w:val="00846F4F"/>
    <w:rsid w:val="00847094"/>
    <w:rsid w:val="00847703"/>
    <w:rsid w:val="00847AB3"/>
    <w:rsid w:val="00847DF5"/>
    <w:rsid w:val="00850410"/>
    <w:rsid w:val="008507CB"/>
    <w:rsid w:val="00851326"/>
    <w:rsid w:val="0085166F"/>
    <w:rsid w:val="00851CB3"/>
    <w:rsid w:val="0085254E"/>
    <w:rsid w:val="0085279A"/>
    <w:rsid w:val="0085305F"/>
    <w:rsid w:val="0085309D"/>
    <w:rsid w:val="0085333A"/>
    <w:rsid w:val="008535FA"/>
    <w:rsid w:val="008539FC"/>
    <w:rsid w:val="008541DB"/>
    <w:rsid w:val="00854B92"/>
    <w:rsid w:val="00855219"/>
    <w:rsid w:val="00855297"/>
    <w:rsid w:val="00855899"/>
    <w:rsid w:val="00855DD8"/>
    <w:rsid w:val="00856897"/>
    <w:rsid w:val="00856975"/>
    <w:rsid w:val="00856C29"/>
    <w:rsid w:val="00856DD6"/>
    <w:rsid w:val="00856E9A"/>
    <w:rsid w:val="00856ED4"/>
    <w:rsid w:val="008570FC"/>
    <w:rsid w:val="0086003D"/>
    <w:rsid w:val="00860307"/>
    <w:rsid w:val="0086075D"/>
    <w:rsid w:val="00860A22"/>
    <w:rsid w:val="00860AA1"/>
    <w:rsid w:val="00860DF8"/>
    <w:rsid w:val="0086183E"/>
    <w:rsid w:val="00862502"/>
    <w:rsid w:val="00862656"/>
    <w:rsid w:val="008626B4"/>
    <w:rsid w:val="008629E7"/>
    <w:rsid w:val="00862CC1"/>
    <w:rsid w:val="00862E3C"/>
    <w:rsid w:val="0086301B"/>
    <w:rsid w:val="0086346B"/>
    <w:rsid w:val="0086357B"/>
    <w:rsid w:val="008636C6"/>
    <w:rsid w:val="00863745"/>
    <w:rsid w:val="008637E8"/>
    <w:rsid w:val="00863850"/>
    <w:rsid w:val="00863C12"/>
    <w:rsid w:val="00864AED"/>
    <w:rsid w:val="00864B7B"/>
    <w:rsid w:val="008652E0"/>
    <w:rsid w:val="00865AF0"/>
    <w:rsid w:val="008660D4"/>
    <w:rsid w:val="008660FB"/>
    <w:rsid w:val="008661BA"/>
    <w:rsid w:val="00867AB7"/>
    <w:rsid w:val="00870AE7"/>
    <w:rsid w:val="00870B29"/>
    <w:rsid w:val="00871ACD"/>
    <w:rsid w:val="00871FA9"/>
    <w:rsid w:val="008723C4"/>
    <w:rsid w:val="008728E9"/>
    <w:rsid w:val="00873167"/>
    <w:rsid w:val="0087320E"/>
    <w:rsid w:val="00873977"/>
    <w:rsid w:val="00874685"/>
    <w:rsid w:val="008747A9"/>
    <w:rsid w:val="00874FCB"/>
    <w:rsid w:val="00875995"/>
    <w:rsid w:val="00876373"/>
    <w:rsid w:val="00876E3B"/>
    <w:rsid w:val="0087765A"/>
    <w:rsid w:val="008778B2"/>
    <w:rsid w:val="00877B5F"/>
    <w:rsid w:val="00880037"/>
    <w:rsid w:val="00881204"/>
    <w:rsid w:val="0088196D"/>
    <w:rsid w:val="00881C87"/>
    <w:rsid w:val="0088274A"/>
    <w:rsid w:val="00882874"/>
    <w:rsid w:val="00882A3A"/>
    <w:rsid w:val="00882E3C"/>
    <w:rsid w:val="00883787"/>
    <w:rsid w:val="00883DE5"/>
    <w:rsid w:val="00883F29"/>
    <w:rsid w:val="0088418B"/>
    <w:rsid w:val="00884618"/>
    <w:rsid w:val="008855E4"/>
    <w:rsid w:val="008859FC"/>
    <w:rsid w:val="00886CD2"/>
    <w:rsid w:val="008872BF"/>
    <w:rsid w:val="00887EDB"/>
    <w:rsid w:val="008916B9"/>
    <w:rsid w:val="008917A1"/>
    <w:rsid w:val="00891E6F"/>
    <w:rsid w:val="00891F3D"/>
    <w:rsid w:val="00891F3F"/>
    <w:rsid w:val="0089207A"/>
    <w:rsid w:val="008920B0"/>
    <w:rsid w:val="008925EE"/>
    <w:rsid w:val="0089269A"/>
    <w:rsid w:val="0089275D"/>
    <w:rsid w:val="00892A36"/>
    <w:rsid w:val="00893239"/>
    <w:rsid w:val="00893252"/>
    <w:rsid w:val="00893374"/>
    <w:rsid w:val="00893499"/>
    <w:rsid w:val="00894489"/>
    <w:rsid w:val="00894752"/>
    <w:rsid w:val="00894AFF"/>
    <w:rsid w:val="00894DBB"/>
    <w:rsid w:val="008951C5"/>
    <w:rsid w:val="008963A5"/>
    <w:rsid w:val="00896ADC"/>
    <w:rsid w:val="00896B1E"/>
    <w:rsid w:val="00896BB4"/>
    <w:rsid w:val="00896D5D"/>
    <w:rsid w:val="00896E04"/>
    <w:rsid w:val="00896E8E"/>
    <w:rsid w:val="008972F6"/>
    <w:rsid w:val="0089755B"/>
    <w:rsid w:val="008975C8"/>
    <w:rsid w:val="0089791C"/>
    <w:rsid w:val="00897C49"/>
    <w:rsid w:val="00897D42"/>
    <w:rsid w:val="008A0ADE"/>
    <w:rsid w:val="008A0F8A"/>
    <w:rsid w:val="008A1106"/>
    <w:rsid w:val="008A1A03"/>
    <w:rsid w:val="008A1AD1"/>
    <w:rsid w:val="008A1B58"/>
    <w:rsid w:val="008A2F39"/>
    <w:rsid w:val="008A3079"/>
    <w:rsid w:val="008A3363"/>
    <w:rsid w:val="008A3371"/>
    <w:rsid w:val="008A3715"/>
    <w:rsid w:val="008A3B7B"/>
    <w:rsid w:val="008A3C3E"/>
    <w:rsid w:val="008A3D6D"/>
    <w:rsid w:val="008A42D7"/>
    <w:rsid w:val="008A4ED4"/>
    <w:rsid w:val="008A521F"/>
    <w:rsid w:val="008A596C"/>
    <w:rsid w:val="008A599C"/>
    <w:rsid w:val="008A638A"/>
    <w:rsid w:val="008A68AE"/>
    <w:rsid w:val="008A6BC7"/>
    <w:rsid w:val="008A6C9E"/>
    <w:rsid w:val="008A6F83"/>
    <w:rsid w:val="008A79DE"/>
    <w:rsid w:val="008A7D76"/>
    <w:rsid w:val="008B0AE5"/>
    <w:rsid w:val="008B1757"/>
    <w:rsid w:val="008B1DC4"/>
    <w:rsid w:val="008B207B"/>
    <w:rsid w:val="008B3461"/>
    <w:rsid w:val="008B4717"/>
    <w:rsid w:val="008B48CF"/>
    <w:rsid w:val="008B4F75"/>
    <w:rsid w:val="008B518E"/>
    <w:rsid w:val="008B52A0"/>
    <w:rsid w:val="008B53B4"/>
    <w:rsid w:val="008B55A6"/>
    <w:rsid w:val="008B58B8"/>
    <w:rsid w:val="008B5A12"/>
    <w:rsid w:val="008B725C"/>
    <w:rsid w:val="008B7992"/>
    <w:rsid w:val="008B7B08"/>
    <w:rsid w:val="008B7D7E"/>
    <w:rsid w:val="008B7F47"/>
    <w:rsid w:val="008C0559"/>
    <w:rsid w:val="008C252D"/>
    <w:rsid w:val="008C38D6"/>
    <w:rsid w:val="008C485D"/>
    <w:rsid w:val="008C5253"/>
    <w:rsid w:val="008C55AD"/>
    <w:rsid w:val="008C55BA"/>
    <w:rsid w:val="008C5610"/>
    <w:rsid w:val="008C5739"/>
    <w:rsid w:val="008C5845"/>
    <w:rsid w:val="008C5887"/>
    <w:rsid w:val="008C6021"/>
    <w:rsid w:val="008C6435"/>
    <w:rsid w:val="008C670B"/>
    <w:rsid w:val="008C6889"/>
    <w:rsid w:val="008C6AAE"/>
    <w:rsid w:val="008C6BBE"/>
    <w:rsid w:val="008C7081"/>
    <w:rsid w:val="008C7A09"/>
    <w:rsid w:val="008C7CE1"/>
    <w:rsid w:val="008C7ECB"/>
    <w:rsid w:val="008D068F"/>
    <w:rsid w:val="008D08EC"/>
    <w:rsid w:val="008D124E"/>
    <w:rsid w:val="008D1FDB"/>
    <w:rsid w:val="008D20C3"/>
    <w:rsid w:val="008D2C8C"/>
    <w:rsid w:val="008D2DCB"/>
    <w:rsid w:val="008D31A9"/>
    <w:rsid w:val="008D31AC"/>
    <w:rsid w:val="008D33D1"/>
    <w:rsid w:val="008D3B86"/>
    <w:rsid w:val="008D3C18"/>
    <w:rsid w:val="008D433B"/>
    <w:rsid w:val="008D4755"/>
    <w:rsid w:val="008D48F0"/>
    <w:rsid w:val="008D49A6"/>
    <w:rsid w:val="008D4ADA"/>
    <w:rsid w:val="008D4C3D"/>
    <w:rsid w:val="008D5620"/>
    <w:rsid w:val="008D56E3"/>
    <w:rsid w:val="008D573F"/>
    <w:rsid w:val="008D5E67"/>
    <w:rsid w:val="008D6560"/>
    <w:rsid w:val="008D743C"/>
    <w:rsid w:val="008D7A3B"/>
    <w:rsid w:val="008D7B25"/>
    <w:rsid w:val="008E0056"/>
    <w:rsid w:val="008E035F"/>
    <w:rsid w:val="008E03C0"/>
    <w:rsid w:val="008E0D3C"/>
    <w:rsid w:val="008E0F0C"/>
    <w:rsid w:val="008E1049"/>
    <w:rsid w:val="008E1404"/>
    <w:rsid w:val="008E16C7"/>
    <w:rsid w:val="008E1B9E"/>
    <w:rsid w:val="008E1BEB"/>
    <w:rsid w:val="008E2FD3"/>
    <w:rsid w:val="008E3130"/>
    <w:rsid w:val="008E3206"/>
    <w:rsid w:val="008E38BA"/>
    <w:rsid w:val="008E491F"/>
    <w:rsid w:val="008E4B84"/>
    <w:rsid w:val="008E55AB"/>
    <w:rsid w:val="008E56F2"/>
    <w:rsid w:val="008E5BB5"/>
    <w:rsid w:val="008E62A4"/>
    <w:rsid w:val="008E635C"/>
    <w:rsid w:val="008E6381"/>
    <w:rsid w:val="008E647B"/>
    <w:rsid w:val="008E6987"/>
    <w:rsid w:val="008E723A"/>
    <w:rsid w:val="008E7567"/>
    <w:rsid w:val="008E78C3"/>
    <w:rsid w:val="008F0599"/>
    <w:rsid w:val="008F05FC"/>
    <w:rsid w:val="008F0673"/>
    <w:rsid w:val="008F08A0"/>
    <w:rsid w:val="008F120A"/>
    <w:rsid w:val="008F137E"/>
    <w:rsid w:val="008F17DB"/>
    <w:rsid w:val="008F1C30"/>
    <w:rsid w:val="008F21B3"/>
    <w:rsid w:val="008F27E0"/>
    <w:rsid w:val="008F2DC2"/>
    <w:rsid w:val="008F375E"/>
    <w:rsid w:val="008F48EB"/>
    <w:rsid w:val="008F4F0B"/>
    <w:rsid w:val="008F570C"/>
    <w:rsid w:val="008F5EF7"/>
    <w:rsid w:val="008F63FE"/>
    <w:rsid w:val="008F6669"/>
    <w:rsid w:val="008F7866"/>
    <w:rsid w:val="008F7CCF"/>
    <w:rsid w:val="00900B42"/>
    <w:rsid w:val="00900F84"/>
    <w:rsid w:val="0090169F"/>
    <w:rsid w:val="00901720"/>
    <w:rsid w:val="009027DA"/>
    <w:rsid w:val="00902B0B"/>
    <w:rsid w:val="00902EE6"/>
    <w:rsid w:val="00902F49"/>
    <w:rsid w:val="0090348A"/>
    <w:rsid w:val="0090397C"/>
    <w:rsid w:val="00903A79"/>
    <w:rsid w:val="00903E3A"/>
    <w:rsid w:val="009043A8"/>
    <w:rsid w:val="009044BD"/>
    <w:rsid w:val="009046C4"/>
    <w:rsid w:val="00904DE3"/>
    <w:rsid w:val="00904FA7"/>
    <w:rsid w:val="009058B0"/>
    <w:rsid w:val="00905C90"/>
    <w:rsid w:val="00905E76"/>
    <w:rsid w:val="009060D2"/>
    <w:rsid w:val="009062A5"/>
    <w:rsid w:val="00906655"/>
    <w:rsid w:val="00906FCE"/>
    <w:rsid w:val="00907674"/>
    <w:rsid w:val="00910880"/>
    <w:rsid w:val="00910DD8"/>
    <w:rsid w:val="00910FA7"/>
    <w:rsid w:val="00911272"/>
    <w:rsid w:val="00911BDF"/>
    <w:rsid w:val="00911F81"/>
    <w:rsid w:val="0091305B"/>
    <w:rsid w:val="009132A6"/>
    <w:rsid w:val="009135D6"/>
    <w:rsid w:val="00913756"/>
    <w:rsid w:val="009137C9"/>
    <w:rsid w:val="00913CFF"/>
    <w:rsid w:val="00914986"/>
    <w:rsid w:val="00914C77"/>
    <w:rsid w:val="00915AB6"/>
    <w:rsid w:val="009160AD"/>
    <w:rsid w:val="00916D70"/>
    <w:rsid w:val="00917125"/>
    <w:rsid w:val="00917582"/>
    <w:rsid w:val="00917BFE"/>
    <w:rsid w:val="00917F94"/>
    <w:rsid w:val="00920488"/>
    <w:rsid w:val="00920768"/>
    <w:rsid w:val="00920AFA"/>
    <w:rsid w:val="00920BB3"/>
    <w:rsid w:val="00921060"/>
    <w:rsid w:val="00921ACB"/>
    <w:rsid w:val="00921B0A"/>
    <w:rsid w:val="00921BEA"/>
    <w:rsid w:val="0092247A"/>
    <w:rsid w:val="00922ACE"/>
    <w:rsid w:val="00923550"/>
    <w:rsid w:val="0092369B"/>
    <w:rsid w:val="0092374C"/>
    <w:rsid w:val="00923FEC"/>
    <w:rsid w:val="00924618"/>
    <w:rsid w:val="009246D8"/>
    <w:rsid w:val="00924740"/>
    <w:rsid w:val="00924E48"/>
    <w:rsid w:val="009263E0"/>
    <w:rsid w:val="00927094"/>
    <w:rsid w:val="009270F8"/>
    <w:rsid w:val="00927B5A"/>
    <w:rsid w:val="00930E9A"/>
    <w:rsid w:val="009310DD"/>
    <w:rsid w:val="00931E74"/>
    <w:rsid w:val="00932118"/>
    <w:rsid w:val="00932DD9"/>
    <w:rsid w:val="00933367"/>
    <w:rsid w:val="00933632"/>
    <w:rsid w:val="00933B01"/>
    <w:rsid w:val="00933BBA"/>
    <w:rsid w:val="00934988"/>
    <w:rsid w:val="0093516A"/>
    <w:rsid w:val="00935572"/>
    <w:rsid w:val="00935D49"/>
    <w:rsid w:val="0093667E"/>
    <w:rsid w:val="0093679C"/>
    <w:rsid w:val="00937089"/>
    <w:rsid w:val="00937736"/>
    <w:rsid w:val="009379AE"/>
    <w:rsid w:val="00940293"/>
    <w:rsid w:val="00941218"/>
    <w:rsid w:val="00941363"/>
    <w:rsid w:val="009414BB"/>
    <w:rsid w:val="009414C3"/>
    <w:rsid w:val="0094177F"/>
    <w:rsid w:val="00941CEB"/>
    <w:rsid w:val="009420E9"/>
    <w:rsid w:val="00942111"/>
    <w:rsid w:val="00942197"/>
    <w:rsid w:val="00942996"/>
    <w:rsid w:val="00942E1A"/>
    <w:rsid w:val="00942ECA"/>
    <w:rsid w:val="0094300E"/>
    <w:rsid w:val="009434E9"/>
    <w:rsid w:val="00943916"/>
    <w:rsid w:val="00943C3C"/>
    <w:rsid w:val="00943D5D"/>
    <w:rsid w:val="00943D9E"/>
    <w:rsid w:val="00943F17"/>
    <w:rsid w:val="0094455F"/>
    <w:rsid w:val="00944AA3"/>
    <w:rsid w:val="00944E12"/>
    <w:rsid w:val="00944F8A"/>
    <w:rsid w:val="009451FB"/>
    <w:rsid w:val="00945803"/>
    <w:rsid w:val="00946543"/>
    <w:rsid w:val="0094693B"/>
    <w:rsid w:val="00947A36"/>
    <w:rsid w:val="00950BB6"/>
    <w:rsid w:val="009510A2"/>
    <w:rsid w:val="00951244"/>
    <w:rsid w:val="00951621"/>
    <w:rsid w:val="0095222A"/>
    <w:rsid w:val="00952452"/>
    <w:rsid w:val="00952FE1"/>
    <w:rsid w:val="00953031"/>
    <w:rsid w:val="0095323A"/>
    <w:rsid w:val="00953257"/>
    <w:rsid w:val="009533CD"/>
    <w:rsid w:val="0095411A"/>
    <w:rsid w:val="0095463A"/>
    <w:rsid w:val="0095474C"/>
    <w:rsid w:val="00954BC5"/>
    <w:rsid w:val="00955BAA"/>
    <w:rsid w:val="00955D20"/>
    <w:rsid w:val="00955F6D"/>
    <w:rsid w:val="00956B61"/>
    <w:rsid w:val="00956BE1"/>
    <w:rsid w:val="0095722D"/>
    <w:rsid w:val="0095722F"/>
    <w:rsid w:val="00957A35"/>
    <w:rsid w:val="00957C6D"/>
    <w:rsid w:val="00957CB7"/>
    <w:rsid w:val="00957F18"/>
    <w:rsid w:val="00960F5D"/>
    <w:rsid w:val="0096106A"/>
    <w:rsid w:val="0096128D"/>
    <w:rsid w:val="0096163B"/>
    <w:rsid w:val="009617ED"/>
    <w:rsid w:val="00961880"/>
    <w:rsid w:val="00962138"/>
    <w:rsid w:val="00962505"/>
    <w:rsid w:val="0096266E"/>
    <w:rsid w:val="00962CB9"/>
    <w:rsid w:val="00962E2E"/>
    <w:rsid w:val="00962F69"/>
    <w:rsid w:val="00963189"/>
    <w:rsid w:val="0096319F"/>
    <w:rsid w:val="00963239"/>
    <w:rsid w:val="00963A1D"/>
    <w:rsid w:val="00964312"/>
    <w:rsid w:val="00964436"/>
    <w:rsid w:val="009649BA"/>
    <w:rsid w:val="00964BCD"/>
    <w:rsid w:val="0096503A"/>
    <w:rsid w:val="00965A39"/>
    <w:rsid w:val="00965B8A"/>
    <w:rsid w:val="00965BC1"/>
    <w:rsid w:val="00965E9A"/>
    <w:rsid w:val="00966132"/>
    <w:rsid w:val="00966187"/>
    <w:rsid w:val="00966D93"/>
    <w:rsid w:val="009672E7"/>
    <w:rsid w:val="009676A2"/>
    <w:rsid w:val="00970066"/>
    <w:rsid w:val="0097071F"/>
    <w:rsid w:val="00970720"/>
    <w:rsid w:val="009717AC"/>
    <w:rsid w:val="0097242E"/>
    <w:rsid w:val="009729A5"/>
    <w:rsid w:val="00972A8A"/>
    <w:rsid w:val="00972C67"/>
    <w:rsid w:val="009734C6"/>
    <w:rsid w:val="00973E08"/>
    <w:rsid w:val="00973E0B"/>
    <w:rsid w:val="0097408E"/>
    <w:rsid w:val="009750ED"/>
    <w:rsid w:val="009751C1"/>
    <w:rsid w:val="009759F8"/>
    <w:rsid w:val="00975C80"/>
    <w:rsid w:val="00975D0D"/>
    <w:rsid w:val="0097616B"/>
    <w:rsid w:val="0097672A"/>
    <w:rsid w:val="00976C04"/>
    <w:rsid w:val="00976C09"/>
    <w:rsid w:val="00977192"/>
    <w:rsid w:val="00977367"/>
    <w:rsid w:val="0097751B"/>
    <w:rsid w:val="009801DC"/>
    <w:rsid w:val="009805B3"/>
    <w:rsid w:val="00980602"/>
    <w:rsid w:val="00980696"/>
    <w:rsid w:val="0098071E"/>
    <w:rsid w:val="00980A89"/>
    <w:rsid w:val="00980CD3"/>
    <w:rsid w:val="00980E7E"/>
    <w:rsid w:val="009811CE"/>
    <w:rsid w:val="009811F1"/>
    <w:rsid w:val="0098190D"/>
    <w:rsid w:val="00981A2E"/>
    <w:rsid w:val="00983050"/>
    <w:rsid w:val="009833B1"/>
    <w:rsid w:val="0098377F"/>
    <w:rsid w:val="0098385B"/>
    <w:rsid w:val="00983C4A"/>
    <w:rsid w:val="00983CAE"/>
    <w:rsid w:val="00983E57"/>
    <w:rsid w:val="0098440A"/>
    <w:rsid w:val="00984AF6"/>
    <w:rsid w:val="00984B18"/>
    <w:rsid w:val="0098582D"/>
    <w:rsid w:val="00985C61"/>
    <w:rsid w:val="00985CEC"/>
    <w:rsid w:val="00985DE2"/>
    <w:rsid w:val="00986101"/>
    <w:rsid w:val="0098675D"/>
    <w:rsid w:val="0098688C"/>
    <w:rsid w:val="00986E73"/>
    <w:rsid w:val="0098733D"/>
    <w:rsid w:val="00987BD7"/>
    <w:rsid w:val="00990135"/>
    <w:rsid w:val="00990630"/>
    <w:rsid w:val="0099099F"/>
    <w:rsid w:val="00991057"/>
    <w:rsid w:val="00991EA7"/>
    <w:rsid w:val="00991F65"/>
    <w:rsid w:val="009926E0"/>
    <w:rsid w:val="00992A17"/>
    <w:rsid w:val="0099328F"/>
    <w:rsid w:val="009932E1"/>
    <w:rsid w:val="009937C8"/>
    <w:rsid w:val="00993883"/>
    <w:rsid w:val="0099451E"/>
    <w:rsid w:val="00994E5B"/>
    <w:rsid w:val="00994F1E"/>
    <w:rsid w:val="009956A1"/>
    <w:rsid w:val="009956B8"/>
    <w:rsid w:val="009960A8"/>
    <w:rsid w:val="009968E5"/>
    <w:rsid w:val="00996B1A"/>
    <w:rsid w:val="00996B64"/>
    <w:rsid w:val="009978F5"/>
    <w:rsid w:val="00997B0C"/>
    <w:rsid w:val="009A0356"/>
    <w:rsid w:val="009A0B0C"/>
    <w:rsid w:val="009A1204"/>
    <w:rsid w:val="009A194C"/>
    <w:rsid w:val="009A1B2B"/>
    <w:rsid w:val="009A1B2C"/>
    <w:rsid w:val="009A1DC0"/>
    <w:rsid w:val="009A2358"/>
    <w:rsid w:val="009A25EF"/>
    <w:rsid w:val="009A29AF"/>
    <w:rsid w:val="009A2C2F"/>
    <w:rsid w:val="009A2D30"/>
    <w:rsid w:val="009A2DCC"/>
    <w:rsid w:val="009A316D"/>
    <w:rsid w:val="009A3708"/>
    <w:rsid w:val="009A3996"/>
    <w:rsid w:val="009A5ABC"/>
    <w:rsid w:val="009A5E34"/>
    <w:rsid w:val="009A5F42"/>
    <w:rsid w:val="009A6601"/>
    <w:rsid w:val="009A6B55"/>
    <w:rsid w:val="009A6D03"/>
    <w:rsid w:val="009A6EAD"/>
    <w:rsid w:val="009A7076"/>
    <w:rsid w:val="009A72D8"/>
    <w:rsid w:val="009A7786"/>
    <w:rsid w:val="009A783B"/>
    <w:rsid w:val="009A7A94"/>
    <w:rsid w:val="009A7F10"/>
    <w:rsid w:val="009B02D8"/>
    <w:rsid w:val="009B0407"/>
    <w:rsid w:val="009B0B4E"/>
    <w:rsid w:val="009B0E22"/>
    <w:rsid w:val="009B0F4D"/>
    <w:rsid w:val="009B125F"/>
    <w:rsid w:val="009B2025"/>
    <w:rsid w:val="009B2C04"/>
    <w:rsid w:val="009B30FC"/>
    <w:rsid w:val="009B33DA"/>
    <w:rsid w:val="009B34AC"/>
    <w:rsid w:val="009B3A5F"/>
    <w:rsid w:val="009B3E26"/>
    <w:rsid w:val="009B3FD4"/>
    <w:rsid w:val="009B4225"/>
    <w:rsid w:val="009B4841"/>
    <w:rsid w:val="009B4886"/>
    <w:rsid w:val="009B4AE6"/>
    <w:rsid w:val="009B59AD"/>
    <w:rsid w:val="009B5A76"/>
    <w:rsid w:val="009B65B7"/>
    <w:rsid w:val="009B6D8A"/>
    <w:rsid w:val="009B7DDE"/>
    <w:rsid w:val="009C03C6"/>
    <w:rsid w:val="009C0AAF"/>
    <w:rsid w:val="009C0C66"/>
    <w:rsid w:val="009C0C6D"/>
    <w:rsid w:val="009C1994"/>
    <w:rsid w:val="009C3055"/>
    <w:rsid w:val="009C3103"/>
    <w:rsid w:val="009C3178"/>
    <w:rsid w:val="009C319E"/>
    <w:rsid w:val="009C3706"/>
    <w:rsid w:val="009C3A3A"/>
    <w:rsid w:val="009C3CAF"/>
    <w:rsid w:val="009C4179"/>
    <w:rsid w:val="009C452A"/>
    <w:rsid w:val="009C45C9"/>
    <w:rsid w:val="009C48B2"/>
    <w:rsid w:val="009C49B7"/>
    <w:rsid w:val="009C52B1"/>
    <w:rsid w:val="009C57E2"/>
    <w:rsid w:val="009C5B89"/>
    <w:rsid w:val="009C5D1A"/>
    <w:rsid w:val="009C5E95"/>
    <w:rsid w:val="009C5EC1"/>
    <w:rsid w:val="009C621F"/>
    <w:rsid w:val="009C6564"/>
    <w:rsid w:val="009C6C15"/>
    <w:rsid w:val="009C6CEA"/>
    <w:rsid w:val="009C7070"/>
    <w:rsid w:val="009C711B"/>
    <w:rsid w:val="009C7B85"/>
    <w:rsid w:val="009C7F9E"/>
    <w:rsid w:val="009D0254"/>
    <w:rsid w:val="009D1205"/>
    <w:rsid w:val="009D1A64"/>
    <w:rsid w:val="009D1C62"/>
    <w:rsid w:val="009D1EFB"/>
    <w:rsid w:val="009D1F02"/>
    <w:rsid w:val="009D3A13"/>
    <w:rsid w:val="009D3DDD"/>
    <w:rsid w:val="009D460A"/>
    <w:rsid w:val="009D472C"/>
    <w:rsid w:val="009D4F48"/>
    <w:rsid w:val="009D52A8"/>
    <w:rsid w:val="009D548A"/>
    <w:rsid w:val="009D58ED"/>
    <w:rsid w:val="009D5B91"/>
    <w:rsid w:val="009D5E08"/>
    <w:rsid w:val="009D6538"/>
    <w:rsid w:val="009D657A"/>
    <w:rsid w:val="009D6987"/>
    <w:rsid w:val="009D6EEA"/>
    <w:rsid w:val="009D6F68"/>
    <w:rsid w:val="009D6F79"/>
    <w:rsid w:val="009D792E"/>
    <w:rsid w:val="009D7CAA"/>
    <w:rsid w:val="009E0BEF"/>
    <w:rsid w:val="009E0DFE"/>
    <w:rsid w:val="009E141C"/>
    <w:rsid w:val="009E15E0"/>
    <w:rsid w:val="009E197A"/>
    <w:rsid w:val="009E1B38"/>
    <w:rsid w:val="009E237F"/>
    <w:rsid w:val="009E25A5"/>
    <w:rsid w:val="009E25F8"/>
    <w:rsid w:val="009E2E57"/>
    <w:rsid w:val="009E31F6"/>
    <w:rsid w:val="009E380B"/>
    <w:rsid w:val="009E3FA9"/>
    <w:rsid w:val="009E4208"/>
    <w:rsid w:val="009E425D"/>
    <w:rsid w:val="009E44A3"/>
    <w:rsid w:val="009E4AA7"/>
    <w:rsid w:val="009E4C07"/>
    <w:rsid w:val="009E57DB"/>
    <w:rsid w:val="009E614B"/>
    <w:rsid w:val="009E689D"/>
    <w:rsid w:val="009E6BA3"/>
    <w:rsid w:val="009E722C"/>
    <w:rsid w:val="009E7D16"/>
    <w:rsid w:val="009F019F"/>
    <w:rsid w:val="009F3302"/>
    <w:rsid w:val="009F38C0"/>
    <w:rsid w:val="009F3B01"/>
    <w:rsid w:val="009F3F39"/>
    <w:rsid w:val="009F4120"/>
    <w:rsid w:val="009F4D0A"/>
    <w:rsid w:val="009F5038"/>
    <w:rsid w:val="009F5221"/>
    <w:rsid w:val="009F5868"/>
    <w:rsid w:val="009F58CA"/>
    <w:rsid w:val="009F5E75"/>
    <w:rsid w:val="009F6194"/>
    <w:rsid w:val="009F6378"/>
    <w:rsid w:val="009F673A"/>
    <w:rsid w:val="009F69A8"/>
    <w:rsid w:val="009F6FE7"/>
    <w:rsid w:val="009F7575"/>
    <w:rsid w:val="00A0014C"/>
    <w:rsid w:val="00A00C43"/>
    <w:rsid w:val="00A01184"/>
    <w:rsid w:val="00A01511"/>
    <w:rsid w:val="00A01E62"/>
    <w:rsid w:val="00A02727"/>
    <w:rsid w:val="00A02985"/>
    <w:rsid w:val="00A02B59"/>
    <w:rsid w:val="00A037C2"/>
    <w:rsid w:val="00A03BB7"/>
    <w:rsid w:val="00A03D43"/>
    <w:rsid w:val="00A04221"/>
    <w:rsid w:val="00A04380"/>
    <w:rsid w:val="00A052CC"/>
    <w:rsid w:val="00A0533A"/>
    <w:rsid w:val="00A05472"/>
    <w:rsid w:val="00A056A3"/>
    <w:rsid w:val="00A05C32"/>
    <w:rsid w:val="00A05D78"/>
    <w:rsid w:val="00A05E88"/>
    <w:rsid w:val="00A062CB"/>
    <w:rsid w:val="00A06517"/>
    <w:rsid w:val="00A0653F"/>
    <w:rsid w:val="00A067A0"/>
    <w:rsid w:val="00A06964"/>
    <w:rsid w:val="00A0699C"/>
    <w:rsid w:val="00A078EF"/>
    <w:rsid w:val="00A07CF3"/>
    <w:rsid w:val="00A07FD5"/>
    <w:rsid w:val="00A1048F"/>
    <w:rsid w:val="00A10D5F"/>
    <w:rsid w:val="00A11CD0"/>
    <w:rsid w:val="00A131B1"/>
    <w:rsid w:val="00A13948"/>
    <w:rsid w:val="00A13A3C"/>
    <w:rsid w:val="00A13BD3"/>
    <w:rsid w:val="00A14587"/>
    <w:rsid w:val="00A14810"/>
    <w:rsid w:val="00A14AFA"/>
    <w:rsid w:val="00A1555B"/>
    <w:rsid w:val="00A155C5"/>
    <w:rsid w:val="00A15A84"/>
    <w:rsid w:val="00A15DAC"/>
    <w:rsid w:val="00A1660A"/>
    <w:rsid w:val="00A16AD8"/>
    <w:rsid w:val="00A16F8D"/>
    <w:rsid w:val="00A20C75"/>
    <w:rsid w:val="00A20DB3"/>
    <w:rsid w:val="00A211DA"/>
    <w:rsid w:val="00A2141A"/>
    <w:rsid w:val="00A2156A"/>
    <w:rsid w:val="00A21C95"/>
    <w:rsid w:val="00A21CF3"/>
    <w:rsid w:val="00A221E1"/>
    <w:rsid w:val="00A22605"/>
    <w:rsid w:val="00A22FBD"/>
    <w:rsid w:val="00A23209"/>
    <w:rsid w:val="00A23255"/>
    <w:rsid w:val="00A23AAD"/>
    <w:rsid w:val="00A23DAD"/>
    <w:rsid w:val="00A24813"/>
    <w:rsid w:val="00A24901"/>
    <w:rsid w:val="00A24B41"/>
    <w:rsid w:val="00A25576"/>
    <w:rsid w:val="00A25A28"/>
    <w:rsid w:val="00A262C6"/>
    <w:rsid w:val="00A26C91"/>
    <w:rsid w:val="00A27A0A"/>
    <w:rsid w:val="00A27AEC"/>
    <w:rsid w:val="00A30E28"/>
    <w:rsid w:val="00A314B6"/>
    <w:rsid w:val="00A31C30"/>
    <w:rsid w:val="00A31E0C"/>
    <w:rsid w:val="00A31F7E"/>
    <w:rsid w:val="00A31FE6"/>
    <w:rsid w:val="00A320DB"/>
    <w:rsid w:val="00A32D98"/>
    <w:rsid w:val="00A32EA7"/>
    <w:rsid w:val="00A330DC"/>
    <w:rsid w:val="00A3317D"/>
    <w:rsid w:val="00A336FF"/>
    <w:rsid w:val="00A33ED0"/>
    <w:rsid w:val="00A3492D"/>
    <w:rsid w:val="00A34E86"/>
    <w:rsid w:val="00A3597C"/>
    <w:rsid w:val="00A35D16"/>
    <w:rsid w:val="00A3633D"/>
    <w:rsid w:val="00A364D3"/>
    <w:rsid w:val="00A366D9"/>
    <w:rsid w:val="00A36898"/>
    <w:rsid w:val="00A36BB3"/>
    <w:rsid w:val="00A37195"/>
    <w:rsid w:val="00A374DF"/>
    <w:rsid w:val="00A37BCD"/>
    <w:rsid w:val="00A37C1F"/>
    <w:rsid w:val="00A37D17"/>
    <w:rsid w:val="00A400CA"/>
    <w:rsid w:val="00A40167"/>
    <w:rsid w:val="00A4017B"/>
    <w:rsid w:val="00A408A3"/>
    <w:rsid w:val="00A40B70"/>
    <w:rsid w:val="00A40F55"/>
    <w:rsid w:val="00A41119"/>
    <w:rsid w:val="00A41689"/>
    <w:rsid w:val="00A41A57"/>
    <w:rsid w:val="00A41A70"/>
    <w:rsid w:val="00A42355"/>
    <w:rsid w:val="00A4251D"/>
    <w:rsid w:val="00A42592"/>
    <w:rsid w:val="00A42B0F"/>
    <w:rsid w:val="00A43B53"/>
    <w:rsid w:val="00A43C59"/>
    <w:rsid w:val="00A44735"/>
    <w:rsid w:val="00A44A2B"/>
    <w:rsid w:val="00A44E6E"/>
    <w:rsid w:val="00A45066"/>
    <w:rsid w:val="00A452E7"/>
    <w:rsid w:val="00A45D04"/>
    <w:rsid w:val="00A4624A"/>
    <w:rsid w:val="00A46ADB"/>
    <w:rsid w:val="00A46EFC"/>
    <w:rsid w:val="00A47859"/>
    <w:rsid w:val="00A47C24"/>
    <w:rsid w:val="00A50510"/>
    <w:rsid w:val="00A50ECD"/>
    <w:rsid w:val="00A515E2"/>
    <w:rsid w:val="00A5167A"/>
    <w:rsid w:val="00A51717"/>
    <w:rsid w:val="00A518F3"/>
    <w:rsid w:val="00A51FDD"/>
    <w:rsid w:val="00A52729"/>
    <w:rsid w:val="00A52CE4"/>
    <w:rsid w:val="00A53675"/>
    <w:rsid w:val="00A53723"/>
    <w:rsid w:val="00A53AEA"/>
    <w:rsid w:val="00A53DF7"/>
    <w:rsid w:val="00A53E2B"/>
    <w:rsid w:val="00A54E1D"/>
    <w:rsid w:val="00A54ED2"/>
    <w:rsid w:val="00A564D7"/>
    <w:rsid w:val="00A56856"/>
    <w:rsid w:val="00A56B6A"/>
    <w:rsid w:val="00A57600"/>
    <w:rsid w:val="00A578DC"/>
    <w:rsid w:val="00A60101"/>
    <w:rsid w:val="00A605BE"/>
    <w:rsid w:val="00A61B53"/>
    <w:rsid w:val="00A61F0F"/>
    <w:rsid w:val="00A61F46"/>
    <w:rsid w:val="00A61FAB"/>
    <w:rsid w:val="00A62616"/>
    <w:rsid w:val="00A62876"/>
    <w:rsid w:val="00A62D56"/>
    <w:rsid w:val="00A62E62"/>
    <w:rsid w:val="00A6306E"/>
    <w:rsid w:val="00A64081"/>
    <w:rsid w:val="00A640E2"/>
    <w:rsid w:val="00A642F1"/>
    <w:rsid w:val="00A64A2E"/>
    <w:rsid w:val="00A64B9C"/>
    <w:rsid w:val="00A64D65"/>
    <w:rsid w:val="00A654C5"/>
    <w:rsid w:val="00A65512"/>
    <w:rsid w:val="00A661DB"/>
    <w:rsid w:val="00A666B7"/>
    <w:rsid w:val="00A66801"/>
    <w:rsid w:val="00A6705A"/>
    <w:rsid w:val="00A6725B"/>
    <w:rsid w:val="00A67AC3"/>
    <w:rsid w:val="00A67EB3"/>
    <w:rsid w:val="00A67EDF"/>
    <w:rsid w:val="00A70221"/>
    <w:rsid w:val="00A70351"/>
    <w:rsid w:val="00A70605"/>
    <w:rsid w:val="00A707C6"/>
    <w:rsid w:val="00A70DC5"/>
    <w:rsid w:val="00A70E6F"/>
    <w:rsid w:val="00A71126"/>
    <w:rsid w:val="00A71748"/>
    <w:rsid w:val="00A71A87"/>
    <w:rsid w:val="00A724BC"/>
    <w:rsid w:val="00A72779"/>
    <w:rsid w:val="00A72CAC"/>
    <w:rsid w:val="00A72CBE"/>
    <w:rsid w:val="00A72E85"/>
    <w:rsid w:val="00A73134"/>
    <w:rsid w:val="00A73833"/>
    <w:rsid w:val="00A73CB6"/>
    <w:rsid w:val="00A7448A"/>
    <w:rsid w:val="00A74877"/>
    <w:rsid w:val="00A74979"/>
    <w:rsid w:val="00A757C2"/>
    <w:rsid w:val="00A75A99"/>
    <w:rsid w:val="00A75C08"/>
    <w:rsid w:val="00A75DD6"/>
    <w:rsid w:val="00A76001"/>
    <w:rsid w:val="00A76628"/>
    <w:rsid w:val="00A76986"/>
    <w:rsid w:val="00A7712C"/>
    <w:rsid w:val="00A77749"/>
    <w:rsid w:val="00A777B2"/>
    <w:rsid w:val="00A80543"/>
    <w:rsid w:val="00A80DF7"/>
    <w:rsid w:val="00A81350"/>
    <w:rsid w:val="00A81457"/>
    <w:rsid w:val="00A81FA2"/>
    <w:rsid w:val="00A82176"/>
    <w:rsid w:val="00A8251B"/>
    <w:rsid w:val="00A825D4"/>
    <w:rsid w:val="00A828F6"/>
    <w:rsid w:val="00A82B73"/>
    <w:rsid w:val="00A83018"/>
    <w:rsid w:val="00A83BD6"/>
    <w:rsid w:val="00A83C84"/>
    <w:rsid w:val="00A857A3"/>
    <w:rsid w:val="00A864B4"/>
    <w:rsid w:val="00A86730"/>
    <w:rsid w:val="00A86913"/>
    <w:rsid w:val="00A869A2"/>
    <w:rsid w:val="00A86AB0"/>
    <w:rsid w:val="00A86E41"/>
    <w:rsid w:val="00A86E8B"/>
    <w:rsid w:val="00A87164"/>
    <w:rsid w:val="00A872DF"/>
    <w:rsid w:val="00A8770C"/>
    <w:rsid w:val="00A8774D"/>
    <w:rsid w:val="00A901F2"/>
    <w:rsid w:val="00A90499"/>
    <w:rsid w:val="00A906B0"/>
    <w:rsid w:val="00A909E6"/>
    <w:rsid w:val="00A91064"/>
    <w:rsid w:val="00A912A6"/>
    <w:rsid w:val="00A93072"/>
    <w:rsid w:val="00A934C9"/>
    <w:rsid w:val="00A93636"/>
    <w:rsid w:val="00A938BD"/>
    <w:rsid w:val="00A93953"/>
    <w:rsid w:val="00A94004"/>
    <w:rsid w:val="00A94AA3"/>
    <w:rsid w:val="00A94EBD"/>
    <w:rsid w:val="00A94F83"/>
    <w:rsid w:val="00A959D8"/>
    <w:rsid w:val="00A95DDD"/>
    <w:rsid w:val="00A964E1"/>
    <w:rsid w:val="00A9669B"/>
    <w:rsid w:val="00A971C3"/>
    <w:rsid w:val="00A9753B"/>
    <w:rsid w:val="00A97594"/>
    <w:rsid w:val="00A976C5"/>
    <w:rsid w:val="00A976DB"/>
    <w:rsid w:val="00A9775F"/>
    <w:rsid w:val="00A9781A"/>
    <w:rsid w:val="00AA0548"/>
    <w:rsid w:val="00AA113D"/>
    <w:rsid w:val="00AA2023"/>
    <w:rsid w:val="00AA2292"/>
    <w:rsid w:val="00AA26BA"/>
    <w:rsid w:val="00AA2DED"/>
    <w:rsid w:val="00AA3438"/>
    <w:rsid w:val="00AA34CB"/>
    <w:rsid w:val="00AA368B"/>
    <w:rsid w:val="00AA3A65"/>
    <w:rsid w:val="00AA3F6E"/>
    <w:rsid w:val="00AA3F91"/>
    <w:rsid w:val="00AA470E"/>
    <w:rsid w:val="00AA4734"/>
    <w:rsid w:val="00AA4D73"/>
    <w:rsid w:val="00AA4FE6"/>
    <w:rsid w:val="00AA5185"/>
    <w:rsid w:val="00AA5B97"/>
    <w:rsid w:val="00AA61D5"/>
    <w:rsid w:val="00AA6BD5"/>
    <w:rsid w:val="00AA6BD8"/>
    <w:rsid w:val="00AA6C7D"/>
    <w:rsid w:val="00AA78EE"/>
    <w:rsid w:val="00AA7BD6"/>
    <w:rsid w:val="00AA7FD6"/>
    <w:rsid w:val="00AB042A"/>
    <w:rsid w:val="00AB04C3"/>
    <w:rsid w:val="00AB083F"/>
    <w:rsid w:val="00AB0A3A"/>
    <w:rsid w:val="00AB0A98"/>
    <w:rsid w:val="00AB0FDA"/>
    <w:rsid w:val="00AB109F"/>
    <w:rsid w:val="00AB1719"/>
    <w:rsid w:val="00AB19AD"/>
    <w:rsid w:val="00AB19EF"/>
    <w:rsid w:val="00AB1B43"/>
    <w:rsid w:val="00AB1FF9"/>
    <w:rsid w:val="00AB264E"/>
    <w:rsid w:val="00AB2BEA"/>
    <w:rsid w:val="00AB2CF3"/>
    <w:rsid w:val="00AB2D34"/>
    <w:rsid w:val="00AB3430"/>
    <w:rsid w:val="00AB37B9"/>
    <w:rsid w:val="00AB42BF"/>
    <w:rsid w:val="00AB4AD1"/>
    <w:rsid w:val="00AB4F61"/>
    <w:rsid w:val="00AB5354"/>
    <w:rsid w:val="00AB57D3"/>
    <w:rsid w:val="00AB5BE9"/>
    <w:rsid w:val="00AB5E07"/>
    <w:rsid w:val="00AB61DF"/>
    <w:rsid w:val="00AB72F1"/>
    <w:rsid w:val="00AB7CFA"/>
    <w:rsid w:val="00AB7DA0"/>
    <w:rsid w:val="00AC065E"/>
    <w:rsid w:val="00AC088A"/>
    <w:rsid w:val="00AC0DD2"/>
    <w:rsid w:val="00AC108E"/>
    <w:rsid w:val="00AC1164"/>
    <w:rsid w:val="00AC140E"/>
    <w:rsid w:val="00AC14BB"/>
    <w:rsid w:val="00AC1517"/>
    <w:rsid w:val="00AC1790"/>
    <w:rsid w:val="00AC1929"/>
    <w:rsid w:val="00AC24A0"/>
    <w:rsid w:val="00AC339C"/>
    <w:rsid w:val="00AC36AF"/>
    <w:rsid w:val="00AC3E57"/>
    <w:rsid w:val="00AC419D"/>
    <w:rsid w:val="00AC43C6"/>
    <w:rsid w:val="00AC4912"/>
    <w:rsid w:val="00AC4AE5"/>
    <w:rsid w:val="00AC570D"/>
    <w:rsid w:val="00AC5ABF"/>
    <w:rsid w:val="00AC5B48"/>
    <w:rsid w:val="00AC5D45"/>
    <w:rsid w:val="00AC61CA"/>
    <w:rsid w:val="00AC688D"/>
    <w:rsid w:val="00AC6AF3"/>
    <w:rsid w:val="00AC6B2A"/>
    <w:rsid w:val="00AC7554"/>
    <w:rsid w:val="00AC7805"/>
    <w:rsid w:val="00AC7B62"/>
    <w:rsid w:val="00AC7C5F"/>
    <w:rsid w:val="00AD03E7"/>
    <w:rsid w:val="00AD05A4"/>
    <w:rsid w:val="00AD064A"/>
    <w:rsid w:val="00AD0B66"/>
    <w:rsid w:val="00AD1435"/>
    <w:rsid w:val="00AD1450"/>
    <w:rsid w:val="00AD1A28"/>
    <w:rsid w:val="00AD1F11"/>
    <w:rsid w:val="00AD20D9"/>
    <w:rsid w:val="00AD26F6"/>
    <w:rsid w:val="00AD3023"/>
    <w:rsid w:val="00AD3092"/>
    <w:rsid w:val="00AD34A6"/>
    <w:rsid w:val="00AD3596"/>
    <w:rsid w:val="00AD3824"/>
    <w:rsid w:val="00AD448F"/>
    <w:rsid w:val="00AD48BF"/>
    <w:rsid w:val="00AD490F"/>
    <w:rsid w:val="00AD4C9F"/>
    <w:rsid w:val="00AD4CF0"/>
    <w:rsid w:val="00AD4E5A"/>
    <w:rsid w:val="00AD50D9"/>
    <w:rsid w:val="00AD5101"/>
    <w:rsid w:val="00AD6502"/>
    <w:rsid w:val="00AD6E80"/>
    <w:rsid w:val="00AD7332"/>
    <w:rsid w:val="00AD75D6"/>
    <w:rsid w:val="00AE004F"/>
    <w:rsid w:val="00AE0695"/>
    <w:rsid w:val="00AE0DAC"/>
    <w:rsid w:val="00AE1A9B"/>
    <w:rsid w:val="00AE2170"/>
    <w:rsid w:val="00AE26E7"/>
    <w:rsid w:val="00AE373A"/>
    <w:rsid w:val="00AE3B29"/>
    <w:rsid w:val="00AE3E7E"/>
    <w:rsid w:val="00AE4314"/>
    <w:rsid w:val="00AE48A6"/>
    <w:rsid w:val="00AE5025"/>
    <w:rsid w:val="00AE5080"/>
    <w:rsid w:val="00AE5302"/>
    <w:rsid w:val="00AE59DB"/>
    <w:rsid w:val="00AE77A0"/>
    <w:rsid w:val="00AE7F54"/>
    <w:rsid w:val="00AF0C02"/>
    <w:rsid w:val="00AF0EBE"/>
    <w:rsid w:val="00AF107A"/>
    <w:rsid w:val="00AF1315"/>
    <w:rsid w:val="00AF1653"/>
    <w:rsid w:val="00AF1901"/>
    <w:rsid w:val="00AF19BF"/>
    <w:rsid w:val="00AF1CB1"/>
    <w:rsid w:val="00AF2123"/>
    <w:rsid w:val="00AF259C"/>
    <w:rsid w:val="00AF2663"/>
    <w:rsid w:val="00AF2925"/>
    <w:rsid w:val="00AF2D95"/>
    <w:rsid w:val="00AF2DC3"/>
    <w:rsid w:val="00AF3090"/>
    <w:rsid w:val="00AF3F1F"/>
    <w:rsid w:val="00AF4175"/>
    <w:rsid w:val="00AF461B"/>
    <w:rsid w:val="00AF52CB"/>
    <w:rsid w:val="00AF59FA"/>
    <w:rsid w:val="00AF6C89"/>
    <w:rsid w:val="00AF6EDD"/>
    <w:rsid w:val="00AF6F38"/>
    <w:rsid w:val="00AF761E"/>
    <w:rsid w:val="00AF7ACB"/>
    <w:rsid w:val="00AF7BC4"/>
    <w:rsid w:val="00AF7D59"/>
    <w:rsid w:val="00AF7FCF"/>
    <w:rsid w:val="00B001B0"/>
    <w:rsid w:val="00B00EDC"/>
    <w:rsid w:val="00B02729"/>
    <w:rsid w:val="00B030D4"/>
    <w:rsid w:val="00B03189"/>
    <w:rsid w:val="00B033E5"/>
    <w:rsid w:val="00B0355B"/>
    <w:rsid w:val="00B03A63"/>
    <w:rsid w:val="00B03E80"/>
    <w:rsid w:val="00B045EF"/>
    <w:rsid w:val="00B047E2"/>
    <w:rsid w:val="00B04BE0"/>
    <w:rsid w:val="00B05F2E"/>
    <w:rsid w:val="00B06397"/>
    <w:rsid w:val="00B06974"/>
    <w:rsid w:val="00B07CFF"/>
    <w:rsid w:val="00B07E48"/>
    <w:rsid w:val="00B105F4"/>
    <w:rsid w:val="00B10A6D"/>
    <w:rsid w:val="00B10F6D"/>
    <w:rsid w:val="00B1148D"/>
    <w:rsid w:val="00B118B1"/>
    <w:rsid w:val="00B11B2B"/>
    <w:rsid w:val="00B11CA2"/>
    <w:rsid w:val="00B12A84"/>
    <w:rsid w:val="00B12DC3"/>
    <w:rsid w:val="00B143AF"/>
    <w:rsid w:val="00B143F7"/>
    <w:rsid w:val="00B14537"/>
    <w:rsid w:val="00B146C3"/>
    <w:rsid w:val="00B14DB2"/>
    <w:rsid w:val="00B15507"/>
    <w:rsid w:val="00B157E9"/>
    <w:rsid w:val="00B1587B"/>
    <w:rsid w:val="00B15CAD"/>
    <w:rsid w:val="00B15EE3"/>
    <w:rsid w:val="00B15F85"/>
    <w:rsid w:val="00B16387"/>
    <w:rsid w:val="00B165D5"/>
    <w:rsid w:val="00B16C3F"/>
    <w:rsid w:val="00B16C79"/>
    <w:rsid w:val="00B16CC8"/>
    <w:rsid w:val="00B1741A"/>
    <w:rsid w:val="00B17B6C"/>
    <w:rsid w:val="00B200A4"/>
    <w:rsid w:val="00B201A4"/>
    <w:rsid w:val="00B201D1"/>
    <w:rsid w:val="00B2065B"/>
    <w:rsid w:val="00B210A9"/>
    <w:rsid w:val="00B213A6"/>
    <w:rsid w:val="00B213E7"/>
    <w:rsid w:val="00B2182E"/>
    <w:rsid w:val="00B22282"/>
    <w:rsid w:val="00B22314"/>
    <w:rsid w:val="00B225B8"/>
    <w:rsid w:val="00B225EB"/>
    <w:rsid w:val="00B23043"/>
    <w:rsid w:val="00B235B0"/>
    <w:rsid w:val="00B23B82"/>
    <w:rsid w:val="00B24135"/>
    <w:rsid w:val="00B24DF6"/>
    <w:rsid w:val="00B254B0"/>
    <w:rsid w:val="00B2712C"/>
    <w:rsid w:val="00B273ED"/>
    <w:rsid w:val="00B279F4"/>
    <w:rsid w:val="00B27B89"/>
    <w:rsid w:val="00B30BCC"/>
    <w:rsid w:val="00B30FDE"/>
    <w:rsid w:val="00B31163"/>
    <w:rsid w:val="00B31456"/>
    <w:rsid w:val="00B32212"/>
    <w:rsid w:val="00B3252E"/>
    <w:rsid w:val="00B32D4B"/>
    <w:rsid w:val="00B33056"/>
    <w:rsid w:val="00B33270"/>
    <w:rsid w:val="00B33A28"/>
    <w:rsid w:val="00B33FBD"/>
    <w:rsid w:val="00B34FE2"/>
    <w:rsid w:val="00B35166"/>
    <w:rsid w:val="00B357A5"/>
    <w:rsid w:val="00B357D8"/>
    <w:rsid w:val="00B360F4"/>
    <w:rsid w:val="00B365FE"/>
    <w:rsid w:val="00B36674"/>
    <w:rsid w:val="00B36A00"/>
    <w:rsid w:val="00B36EDB"/>
    <w:rsid w:val="00B37831"/>
    <w:rsid w:val="00B378B8"/>
    <w:rsid w:val="00B37BFC"/>
    <w:rsid w:val="00B402E5"/>
    <w:rsid w:val="00B40358"/>
    <w:rsid w:val="00B40887"/>
    <w:rsid w:val="00B409B7"/>
    <w:rsid w:val="00B40A38"/>
    <w:rsid w:val="00B41037"/>
    <w:rsid w:val="00B41150"/>
    <w:rsid w:val="00B41514"/>
    <w:rsid w:val="00B41614"/>
    <w:rsid w:val="00B42815"/>
    <w:rsid w:val="00B42851"/>
    <w:rsid w:val="00B42F80"/>
    <w:rsid w:val="00B43338"/>
    <w:rsid w:val="00B435CB"/>
    <w:rsid w:val="00B43695"/>
    <w:rsid w:val="00B43D2D"/>
    <w:rsid w:val="00B44393"/>
    <w:rsid w:val="00B44BC2"/>
    <w:rsid w:val="00B45917"/>
    <w:rsid w:val="00B4681F"/>
    <w:rsid w:val="00B46BD4"/>
    <w:rsid w:val="00B47CCC"/>
    <w:rsid w:val="00B47F36"/>
    <w:rsid w:val="00B50113"/>
    <w:rsid w:val="00B505C8"/>
    <w:rsid w:val="00B50D8F"/>
    <w:rsid w:val="00B50DB8"/>
    <w:rsid w:val="00B5173F"/>
    <w:rsid w:val="00B51825"/>
    <w:rsid w:val="00B518C4"/>
    <w:rsid w:val="00B51CA4"/>
    <w:rsid w:val="00B51F3F"/>
    <w:rsid w:val="00B52400"/>
    <w:rsid w:val="00B52498"/>
    <w:rsid w:val="00B52DC5"/>
    <w:rsid w:val="00B52DEC"/>
    <w:rsid w:val="00B53394"/>
    <w:rsid w:val="00B533DA"/>
    <w:rsid w:val="00B53654"/>
    <w:rsid w:val="00B53829"/>
    <w:rsid w:val="00B53905"/>
    <w:rsid w:val="00B54B5B"/>
    <w:rsid w:val="00B54BCA"/>
    <w:rsid w:val="00B55018"/>
    <w:rsid w:val="00B5562E"/>
    <w:rsid w:val="00B5564D"/>
    <w:rsid w:val="00B55862"/>
    <w:rsid w:val="00B55CD1"/>
    <w:rsid w:val="00B55D65"/>
    <w:rsid w:val="00B56102"/>
    <w:rsid w:val="00B56206"/>
    <w:rsid w:val="00B5656A"/>
    <w:rsid w:val="00B56773"/>
    <w:rsid w:val="00B56B27"/>
    <w:rsid w:val="00B56C7C"/>
    <w:rsid w:val="00B57000"/>
    <w:rsid w:val="00B5724E"/>
    <w:rsid w:val="00B57413"/>
    <w:rsid w:val="00B57540"/>
    <w:rsid w:val="00B60939"/>
    <w:rsid w:val="00B60AFD"/>
    <w:rsid w:val="00B6112A"/>
    <w:rsid w:val="00B614FC"/>
    <w:rsid w:val="00B6166B"/>
    <w:rsid w:val="00B61BCD"/>
    <w:rsid w:val="00B61F99"/>
    <w:rsid w:val="00B62639"/>
    <w:rsid w:val="00B62692"/>
    <w:rsid w:val="00B62715"/>
    <w:rsid w:val="00B62BD8"/>
    <w:rsid w:val="00B6358F"/>
    <w:rsid w:val="00B636A2"/>
    <w:rsid w:val="00B638CA"/>
    <w:rsid w:val="00B648D1"/>
    <w:rsid w:val="00B64C8B"/>
    <w:rsid w:val="00B64DDF"/>
    <w:rsid w:val="00B65611"/>
    <w:rsid w:val="00B65720"/>
    <w:rsid w:val="00B66088"/>
    <w:rsid w:val="00B6633B"/>
    <w:rsid w:val="00B664C6"/>
    <w:rsid w:val="00B670DA"/>
    <w:rsid w:val="00B6739A"/>
    <w:rsid w:val="00B674C0"/>
    <w:rsid w:val="00B67566"/>
    <w:rsid w:val="00B67E9F"/>
    <w:rsid w:val="00B67EF2"/>
    <w:rsid w:val="00B7028A"/>
    <w:rsid w:val="00B70A2A"/>
    <w:rsid w:val="00B70E8E"/>
    <w:rsid w:val="00B7116F"/>
    <w:rsid w:val="00B71D8D"/>
    <w:rsid w:val="00B71FD2"/>
    <w:rsid w:val="00B71FF1"/>
    <w:rsid w:val="00B720D1"/>
    <w:rsid w:val="00B72375"/>
    <w:rsid w:val="00B723D5"/>
    <w:rsid w:val="00B72508"/>
    <w:rsid w:val="00B72CFA"/>
    <w:rsid w:val="00B72EDF"/>
    <w:rsid w:val="00B732B6"/>
    <w:rsid w:val="00B733C8"/>
    <w:rsid w:val="00B736AE"/>
    <w:rsid w:val="00B737DB"/>
    <w:rsid w:val="00B7400D"/>
    <w:rsid w:val="00B74E9B"/>
    <w:rsid w:val="00B75530"/>
    <w:rsid w:val="00B758A7"/>
    <w:rsid w:val="00B76B35"/>
    <w:rsid w:val="00B76C92"/>
    <w:rsid w:val="00B7731D"/>
    <w:rsid w:val="00B7763C"/>
    <w:rsid w:val="00B77DAB"/>
    <w:rsid w:val="00B8048E"/>
    <w:rsid w:val="00B80872"/>
    <w:rsid w:val="00B80B65"/>
    <w:rsid w:val="00B80CF1"/>
    <w:rsid w:val="00B80D34"/>
    <w:rsid w:val="00B80F6E"/>
    <w:rsid w:val="00B818A4"/>
    <w:rsid w:val="00B81A4D"/>
    <w:rsid w:val="00B823E1"/>
    <w:rsid w:val="00B82617"/>
    <w:rsid w:val="00B826A6"/>
    <w:rsid w:val="00B82FCF"/>
    <w:rsid w:val="00B83473"/>
    <w:rsid w:val="00B8397C"/>
    <w:rsid w:val="00B83C62"/>
    <w:rsid w:val="00B83F2D"/>
    <w:rsid w:val="00B83FA6"/>
    <w:rsid w:val="00B84117"/>
    <w:rsid w:val="00B84481"/>
    <w:rsid w:val="00B845A1"/>
    <w:rsid w:val="00B8466A"/>
    <w:rsid w:val="00B847FF"/>
    <w:rsid w:val="00B848F8"/>
    <w:rsid w:val="00B84AB1"/>
    <w:rsid w:val="00B85189"/>
    <w:rsid w:val="00B8530C"/>
    <w:rsid w:val="00B85439"/>
    <w:rsid w:val="00B858F0"/>
    <w:rsid w:val="00B85AA2"/>
    <w:rsid w:val="00B8649C"/>
    <w:rsid w:val="00B8695D"/>
    <w:rsid w:val="00B86ACE"/>
    <w:rsid w:val="00B86DC6"/>
    <w:rsid w:val="00B87E5C"/>
    <w:rsid w:val="00B87F0A"/>
    <w:rsid w:val="00B91065"/>
    <w:rsid w:val="00B915B3"/>
    <w:rsid w:val="00B917A6"/>
    <w:rsid w:val="00B92A34"/>
    <w:rsid w:val="00B92D0B"/>
    <w:rsid w:val="00B932CE"/>
    <w:rsid w:val="00B93593"/>
    <w:rsid w:val="00B9372E"/>
    <w:rsid w:val="00B93767"/>
    <w:rsid w:val="00B9376E"/>
    <w:rsid w:val="00B93817"/>
    <w:rsid w:val="00B93AC0"/>
    <w:rsid w:val="00B94155"/>
    <w:rsid w:val="00B94902"/>
    <w:rsid w:val="00B94945"/>
    <w:rsid w:val="00B94DD6"/>
    <w:rsid w:val="00B95117"/>
    <w:rsid w:val="00B9531F"/>
    <w:rsid w:val="00B955AB"/>
    <w:rsid w:val="00B95ACB"/>
    <w:rsid w:val="00B96141"/>
    <w:rsid w:val="00B9615F"/>
    <w:rsid w:val="00B96CCC"/>
    <w:rsid w:val="00B973F2"/>
    <w:rsid w:val="00B97704"/>
    <w:rsid w:val="00B97C6B"/>
    <w:rsid w:val="00BA0BCC"/>
    <w:rsid w:val="00BA1784"/>
    <w:rsid w:val="00BA1A02"/>
    <w:rsid w:val="00BA23A8"/>
    <w:rsid w:val="00BA322D"/>
    <w:rsid w:val="00BA3C1C"/>
    <w:rsid w:val="00BA4E5C"/>
    <w:rsid w:val="00BA4F19"/>
    <w:rsid w:val="00BA5BAA"/>
    <w:rsid w:val="00BA63FA"/>
    <w:rsid w:val="00BA759A"/>
    <w:rsid w:val="00BA7D56"/>
    <w:rsid w:val="00BA7FB3"/>
    <w:rsid w:val="00BB0060"/>
    <w:rsid w:val="00BB00B3"/>
    <w:rsid w:val="00BB060F"/>
    <w:rsid w:val="00BB090C"/>
    <w:rsid w:val="00BB0BDD"/>
    <w:rsid w:val="00BB0C86"/>
    <w:rsid w:val="00BB138B"/>
    <w:rsid w:val="00BB13D5"/>
    <w:rsid w:val="00BB176C"/>
    <w:rsid w:val="00BB205B"/>
    <w:rsid w:val="00BB26D7"/>
    <w:rsid w:val="00BB2A73"/>
    <w:rsid w:val="00BB37E0"/>
    <w:rsid w:val="00BB39FA"/>
    <w:rsid w:val="00BB3A45"/>
    <w:rsid w:val="00BB3AF7"/>
    <w:rsid w:val="00BB43D1"/>
    <w:rsid w:val="00BB44ED"/>
    <w:rsid w:val="00BB4532"/>
    <w:rsid w:val="00BB4604"/>
    <w:rsid w:val="00BB48EC"/>
    <w:rsid w:val="00BB4ACC"/>
    <w:rsid w:val="00BB4C3F"/>
    <w:rsid w:val="00BB4D5B"/>
    <w:rsid w:val="00BB4EB2"/>
    <w:rsid w:val="00BB500D"/>
    <w:rsid w:val="00BB536D"/>
    <w:rsid w:val="00BB556E"/>
    <w:rsid w:val="00BB703E"/>
    <w:rsid w:val="00BB732D"/>
    <w:rsid w:val="00BB7405"/>
    <w:rsid w:val="00BB75A8"/>
    <w:rsid w:val="00BB7C1C"/>
    <w:rsid w:val="00BB7D71"/>
    <w:rsid w:val="00BB7DFB"/>
    <w:rsid w:val="00BB7F15"/>
    <w:rsid w:val="00BC064C"/>
    <w:rsid w:val="00BC1259"/>
    <w:rsid w:val="00BC135E"/>
    <w:rsid w:val="00BC146C"/>
    <w:rsid w:val="00BC1562"/>
    <w:rsid w:val="00BC16C8"/>
    <w:rsid w:val="00BC1DCC"/>
    <w:rsid w:val="00BC2476"/>
    <w:rsid w:val="00BC2568"/>
    <w:rsid w:val="00BC2954"/>
    <w:rsid w:val="00BC2AB9"/>
    <w:rsid w:val="00BC30B1"/>
    <w:rsid w:val="00BC325F"/>
    <w:rsid w:val="00BC3631"/>
    <w:rsid w:val="00BC42C7"/>
    <w:rsid w:val="00BC436E"/>
    <w:rsid w:val="00BC43DF"/>
    <w:rsid w:val="00BC45E2"/>
    <w:rsid w:val="00BC461B"/>
    <w:rsid w:val="00BC4633"/>
    <w:rsid w:val="00BC56F5"/>
    <w:rsid w:val="00BC57C0"/>
    <w:rsid w:val="00BC57FB"/>
    <w:rsid w:val="00BC591F"/>
    <w:rsid w:val="00BC60F8"/>
    <w:rsid w:val="00BC636E"/>
    <w:rsid w:val="00BC63BF"/>
    <w:rsid w:val="00BC6B05"/>
    <w:rsid w:val="00BC6E85"/>
    <w:rsid w:val="00BC704A"/>
    <w:rsid w:val="00BC74CA"/>
    <w:rsid w:val="00BC7962"/>
    <w:rsid w:val="00BC7ACB"/>
    <w:rsid w:val="00BC7D6D"/>
    <w:rsid w:val="00BC7E6A"/>
    <w:rsid w:val="00BD058F"/>
    <w:rsid w:val="00BD09E4"/>
    <w:rsid w:val="00BD1320"/>
    <w:rsid w:val="00BD1537"/>
    <w:rsid w:val="00BD1DDA"/>
    <w:rsid w:val="00BD2108"/>
    <w:rsid w:val="00BD2C8D"/>
    <w:rsid w:val="00BD37B7"/>
    <w:rsid w:val="00BD3943"/>
    <w:rsid w:val="00BD3951"/>
    <w:rsid w:val="00BD4677"/>
    <w:rsid w:val="00BD4DA3"/>
    <w:rsid w:val="00BD4F2A"/>
    <w:rsid w:val="00BD5097"/>
    <w:rsid w:val="00BD518C"/>
    <w:rsid w:val="00BD55DB"/>
    <w:rsid w:val="00BD57DA"/>
    <w:rsid w:val="00BD5C77"/>
    <w:rsid w:val="00BD68A3"/>
    <w:rsid w:val="00BD6938"/>
    <w:rsid w:val="00BD6CF3"/>
    <w:rsid w:val="00BD6FB0"/>
    <w:rsid w:val="00BD729E"/>
    <w:rsid w:val="00BD74F4"/>
    <w:rsid w:val="00BD7F67"/>
    <w:rsid w:val="00BE031E"/>
    <w:rsid w:val="00BE075A"/>
    <w:rsid w:val="00BE0ECA"/>
    <w:rsid w:val="00BE111D"/>
    <w:rsid w:val="00BE1188"/>
    <w:rsid w:val="00BE1445"/>
    <w:rsid w:val="00BE1734"/>
    <w:rsid w:val="00BE1C81"/>
    <w:rsid w:val="00BE1F60"/>
    <w:rsid w:val="00BE2180"/>
    <w:rsid w:val="00BE21F2"/>
    <w:rsid w:val="00BE33C3"/>
    <w:rsid w:val="00BE4186"/>
    <w:rsid w:val="00BE4275"/>
    <w:rsid w:val="00BE4625"/>
    <w:rsid w:val="00BE4E51"/>
    <w:rsid w:val="00BE5019"/>
    <w:rsid w:val="00BE686D"/>
    <w:rsid w:val="00BE691D"/>
    <w:rsid w:val="00BE6F2E"/>
    <w:rsid w:val="00BE6F3F"/>
    <w:rsid w:val="00BE6F48"/>
    <w:rsid w:val="00BE6FE3"/>
    <w:rsid w:val="00BE711B"/>
    <w:rsid w:val="00BE74DB"/>
    <w:rsid w:val="00BE7C5D"/>
    <w:rsid w:val="00BE7E40"/>
    <w:rsid w:val="00BF06AE"/>
    <w:rsid w:val="00BF0F95"/>
    <w:rsid w:val="00BF1104"/>
    <w:rsid w:val="00BF1128"/>
    <w:rsid w:val="00BF1718"/>
    <w:rsid w:val="00BF1DE5"/>
    <w:rsid w:val="00BF2433"/>
    <w:rsid w:val="00BF2C6E"/>
    <w:rsid w:val="00BF2F1B"/>
    <w:rsid w:val="00BF335B"/>
    <w:rsid w:val="00BF3705"/>
    <w:rsid w:val="00BF419F"/>
    <w:rsid w:val="00BF43F3"/>
    <w:rsid w:val="00BF5448"/>
    <w:rsid w:val="00BF5575"/>
    <w:rsid w:val="00BF5968"/>
    <w:rsid w:val="00BF5A79"/>
    <w:rsid w:val="00BF5D4A"/>
    <w:rsid w:val="00BF5F72"/>
    <w:rsid w:val="00BF61C9"/>
    <w:rsid w:val="00BF6C06"/>
    <w:rsid w:val="00BF6C94"/>
    <w:rsid w:val="00BF6CA7"/>
    <w:rsid w:val="00BF744F"/>
    <w:rsid w:val="00BF78C1"/>
    <w:rsid w:val="00C003F1"/>
    <w:rsid w:val="00C00424"/>
    <w:rsid w:val="00C00588"/>
    <w:rsid w:val="00C00605"/>
    <w:rsid w:val="00C00971"/>
    <w:rsid w:val="00C02006"/>
    <w:rsid w:val="00C04B24"/>
    <w:rsid w:val="00C053B2"/>
    <w:rsid w:val="00C05ACE"/>
    <w:rsid w:val="00C0664F"/>
    <w:rsid w:val="00C06DFF"/>
    <w:rsid w:val="00C06FEE"/>
    <w:rsid w:val="00C0726A"/>
    <w:rsid w:val="00C0752B"/>
    <w:rsid w:val="00C0759B"/>
    <w:rsid w:val="00C07DFB"/>
    <w:rsid w:val="00C1021A"/>
    <w:rsid w:val="00C10376"/>
    <w:rsid w:val="00C1037F"/>
    <w:rsid w:val="00C106B7"/>
    <w:rsid w:val="00C10A1B"/>
    <w:rsid w:val="00C10AB9"/>
    <w:rsid w:val="00C11298"/>
    <w:rsid w:val="00C11354"/>
    <w:rsid w:val="00C11638"/>
    <w:rsid w:val="00C1179F"/>
    <w:rsid w:val="00C12C14"/>
    <w:rsid w:val="00C135D1"/>
    <w:rsid w:val="00C14A6D"/>
    <w:rsid w:val="00C14D7C"/>
    <w:rsid w:val="00C151BC"/>
    <w:rsid w:val="00C1583B"/>
    <w:rsid w:val="00C15F04"/>
    <w:rsid w:val="00C16526"/>
    <w:rsid w:val="00C16C5F"/>
    <w:rsid w:val="00C16DF7"/>
    <w:rsid w:val="00C16FF4"/>
    <w:rsid w:val="00C176AC"/>
    <w:rsid w:val="00C179B3"/>
    <w:rsid w:val="00C17E3F"/>
    <w:rsid w:val="00C200AA"/>
    <w:rsid w:val="00C22069"/>
    <w:rsid w:val="00C2235F"/>
    <w:rsid w:val="00C224A7"/>
    <w:rsid w:val="00C237ED"/>
    <w:rsid w:val="00C2393C"/>
    <w:rsid w:val="00C23A39"/>
    <w:rsid w:val="00C242D0"/>
    <w:rsid w:val="00C245FA"/>
    <w:rsid w:val="00C24632"/>
    <w:rsid w:val="00C2463E"/>
    <w:rsid w:val="00C249CE"/>
    <w:rsid w:val="00C250CA"/>
    <w:rsid w:val="00C25418"/>
    <w:rsid w:val="00C25475"/>
    <w:rsid w:val="00C25953"/>
    <w:rsid w:val="00C25D9C"/>
    <w:rsid w:val="00C25FBA"/>
    <w:rsid w:val="00C264CA"/>
    <w:rsid w:val="00C26BDC"/>
    <w:rsid w:val="00C26F29"/>
    <w:rsid w:val="00C27121"/>
    <w:rsid w:val="00C27755"/>
    <w:rsid w:val="00C2778B"/>
    <w:rsid w:val="00C2785C"/>
    <w:rsid w:val="00C27E06"/>
    <w:rsid w:val="00C27E79"/>
    <w:rsid w:val="00C27F3D"/>
    <w:rsid w:val="00C300C9"/>
    <w:rsid w:val="00C30153"/>
    <w:rsid w:val="00C305B2"/>
    <w:rsid w:val="00C3063C"/>
    <w:rsid w:val="00C30A6D"/>
    <w:rsid w:val="00C31395"/>
    <w:rsid w:val="00C31649"/>
    <w:rsid w:val="00C31890"/>
    <w:rsid w:val="00C31A50"/>
    <w:rsid w:val="00C31E1C"/>
    <w:rsid w:val="00C31F80"/>
    <w:rsid w:val="00C32728"/>
    <w:rsid w:val="00C32F57"/>
    <w:rsid w:val="00C3391E"/>
    <w:rsid w:val="00C3434C"/>
    <w:rsid w:val="00C34486"/>
    <w:rsid w:val="00C34824"/>
    <w:rsid w:val="00C348D5"/>
    <w:rsid w:val="00C34912"/>
    <w:rsid w:val="00C35437"/>
    <w:rsid w:val="00C35841"/>
    <w:rsid w:val="00C35A24"/>
    <w:rsid w:val="00C36392"/>
    <w:rsid w:val="00C36980"/>
    <w:rsid w:val="00C36BEF"/>
    <w:rsid w:val="00C376CF"/>
    <w:rsid w:val="00C4015E"/>
    <w:rsid w:val="00C40385"/>
    <w:rsid w:val="00C411DB"/>
    <w:rsid w:val="00C4133F"/>
    <w:rsid w:val="00C41768"/>
    <w:rsid w:val="00C41C1E"/>
    <w:rsid w:val="00C41E13"/>
    <w:rsid w:val="00C41F7F"/>
    <w:rsid w:val="00C4225B"/>
    <w:rsid w:val="00C428B5"/>
    <w:rsid w:val="00C43C69"/>
    <w:rsid w:val="00C43F2C"/>
    <w:rsid w:val="00C44B65"/>
    <w:rsid w:val="00C44C84"/>
    <w:rsid w:val="00C4534F"/>
    <w:rsid w:val="00C45D7C"/>
    <w:rsid w:val="00C4642C"/>
    <w:rsid w:val="00C46511"/>
    <w:rsid w:val="00C47103"/>
    <w:rsid w:val="00C471C0"/>
    <w:rsid w:val="00C475A6"/>
    <w:rsid w:val="00C475AA"/>
    <w:rsid w:val="00C4794C"/>
    <w:rsid w:val="00C503EB"/>
    <w:rsid w:val="00C504EE"/>
    <w:rsid w:val="00C50EAE"/>
    <w:rsid w:val="00C50F5C"/>
    <w:rsid w:val="00C517C7"/>
    <w:rsid w:val="00C51A5E"/>
    <w:rsid w:val="00C51AE1"/>
    <w:rsid w:val="00C52317"/>
    <w:rsid w:val="00C5295B"/>
    <w:rsid w:val="00C530F9"/>
    <w:rsid w:val="00C534A1"/>
    <w:rsid w:val="00C5399F"/>
    <w:rsid w:val="00C53C5D"/>
    <w:rsid w:val="00C53C98"/>
    <w:rsid w:val="00C54114"/>
    <w:rsid w:val="00C544EB"/>
    <w:rsid w:val="00C555AD"/>
    <w:rsid w:val="00C559D8"/>
    <w:rsid w:val="00C560B4"/>
    <w:rsid w:val="00C56696"/>
    <w:rsid w:val="00C56769"/>
    <w:rsid w:val="00C56FCF"/>
    <w:rsid w:val="00C578FC"/>
    <w:rsid w:val="00C57B21"/>
    <w:rsid w:val="00C57B6C"/>
    <w:rsid w:val="00C57C56"/>
    <w:rsid w:val="00C6145B"/>
    <w:rsid w:val="00C615FD"/>
    <w:rsid w:val="00C62190"/>
    <w:rsid w:val="00C6253D"/>
    <w:rsid w:val="00C62598"/>
    <w:rsid w:val="00C628A6"/>
    <w:rsid w:val="00C62AD2"/>
    <w:rsid w:val="00C62C67"/>
    <w:rsid w:val="00C63BB3"/>
    <w:rsid w:val="00C63C23"/>
    <w:rsid w:val="00C63DD8"/>
    <w:rsid w:val="00C641EA"/>
    <w:rsid w:val="00C64344"/>
    <w:rsid w:val="00C64949"/>
    <w:rsid w:val="00C649D4"/>
    <w:rsid w:val="00C64BF1"/>
    <w:rsid w:val="00C64C04"/>
    <w:rsid w:val="00C65108"/>
    <w:rsid w:val="00C65181"/>
    <w:rsid w:val="00C65576"/>
    <w:rsid w:val="00C65FC0"/>
    <w:rsid w:val="00C66165"/>
    <w:rsid w:val="00C666E7"/>
    <w:rsid w:val="00C669B1"/>
    <w:rsid w:val="00C66E0B"/>
    <w:rsid w:val="00C67741"/>
    <w:rsid w:val="00C677AF"/>
    <w:rsid w:val="00C677CD"/>
    <w:rsid w:val="00C67A75"/>
    <w:rsid w:val="00C7060A"/>
    <w:rsid w:val="00C7151A"/>
    <w:rsid w:val="00C717E3"/>
    <w:rsid w:val="00C71F60"/>
    <w:rsid w:val="00C71FA3"/>
    <w:rsid w:val="00C72241"/>
    <w:rsid w:val="00C72FE4"/>
    <w:rsid w:val="00C7399E"/>
    <w:rsid w:val="00C73C7E"/>
    <w:rsid w:val="00C7470A"/>
    <w:rsid w:val="00C74F94"/>
    <w:rsid w:val="00C750C8"/>
    <w:rsid w:val="00C7560F"/>
    <w:rsid w:val="00C75F12"/>
    <w:rsid w:val="00C7601F"/>
    <w:rsid w:val="00C76472"/>
    <w:rsid w:val="00C76864"/>
    <w:rsid w:val="00C770D4"/>
    <w:rsid w:val="00C779F8"/>
    <w:rsid w:val="00C77B2A"/>
    <w:rsid w:val="00C77DA4"/>
    <w:rsid w:val="00C80181"/>
    <w:rsid w:val="00C8034D"/>
    <w:rsid w:val="00C809DF"/>
    <w:rsid w:val="00C80A0E"/>
    <w:rsid w:val="00C80B5F"/>
    <w:rsid w:val="00C80D5F"/>
    <w:rsid w:val="00C8109D"/>
    <w:rsid w:val="00C8143F"/>
    <w:rsid w:val="00C819CC"/>
    <w:rsid w:val="00C81AB3"/>
    <w:rsid w:val="00C81F63"/>
    <w:rsid w:val="00C8213F"/>
    <w:rsid w:val="00C8220A"/>
    <w:rsid w:val="00C8225C"/>
    <w:rsid w:val="00C8253D"/>
    <w:rsid w:val="00C82D59"/>
    <w:rsid w:val="00C837CD"/>
    <w:rsid w:val="00C8382D"/>
    <w:rsid w:val="00C8387B"/>
    <w:rsid w:val="00C8396F"/>
    <w:rsid w:val="00C843D5"/>
    <w:rsid w:val="00C84458"/>
    <w:rsid w:val="00C84592"/>
    <w:rsid w:val="00C84920"/>
    <w:rsid w:val="00C85154"/>
    <w:rsid w:val="00C85373"/>
    <w:rsid w:val="00C857D3"/>
    <w:rsid w:val="00C86688"/>
    <w:rsid w:val="00C86A86"/>
    <w:rsid w:val="00C871F6"/>
    <w:rsid w:val="00C8724F"/>
    <w:rsid w:val="00C874AF"/>
    <w:rsid w:val="00C87544"/>
    <w:rsid w:val="00C8797A"/>
    <w:rsid w:val="00C900B8"/>
    <w:rsid w:val="00C907F7"/>
    <w:rsid w:val="00C90BEA"/>
    <w:rsid w:val="00C90C71"/>
    <w:rsid w:val="00C91993"/>
    <w:rsid w:val="00C91D27"/>
    <w:rsid w:val="00C91FD1"/>
    <w:rsid w:val="00C92431"/>
    <w:rsid w:val="00C929CA"/>
    <w:rsid w:val="00C931CF"/>
    <w:rsid w:val="00C93310"/>
    <w:rsid w:val="00C938CF"/>
    <w:rsid w:val="00C93A4B"/>
    <w:rsid w:val="00C93B1A"/>
    <w:rsid w:val="00C94053"/>
    <w:rsid w:val="00C948F1"/>
    <w:rsid w:val="00C94937"/>
    <w:rsid w:val="00C949F5"/>
    <w:rsid w:val="00C94D0F"/>
    <w:rsid w:val="00C95094"/>
    <w:rsid w:val="00C95C44"/>
    <w:rsid w:val="00C9624D"/>
    <w:rsid w:val="00C969DA"/>
    <w:rsid w:val="00C9705C"/>
    <w:rsid w:val="00CA00B3"/>
    <w:rsid w:val="00CA0124"/>
    <w:rsid w:val="00CA1253"/>
    <w:rsid w:val="00CA1743"/>
    <w:rsid w:val="00CA17C2"/>
    <w:rsid w:val="00CA1ABE"/>
    <w:rsid w:val="00CA2631"/>
    <w:rsid w:val="00CA2A11"/>
    <w:rsid w:val="00CA2C77"/>
    <w:rsid w:val="00CA2CE7"/>
    <w:rsid w:val="00CA2DF9"/>
    <w:rsid w:val="00CA3034"/>
    <w:rsid w:val="00CA3986"/>
    <w:rsid w:val="00CA4330"/>
    <w:rsid w:val="00CA441E"/>
    <w:rsid w:val="00CA444F"/>
    <w:rsid w:val="00CA45C4"/>
    <w:rsid w:val="00CA464C"/>
    <w:rsid w:val="00CA502D"/>
    <w:rsid w:val="00CA5245"/>
    <w:rsid w:val="00CA5336"/>
    <w:rsid w:val="00CA5BBB"/>
    <w:rsid w:val="00CA6371"/>
    <w:rsid w:val="00CA6436"/>
    <w:rsid w:val="00CA6905"/>
    <w:rsid w:val="00CA6945"/>
    <w:rsid w:val="00CA71F4"/>
    <w:rsid w:val="00CA7AB4"/>
    <w:rsid w:val="00CA7B09"/>
    <w:rsid w:val="00CB00E4"/>
    <w:rsid w:val="00CB12A5"/>
    <w:rsid w:val="00CB1637"/>
    <w:rsid w:val="00CB1802"/>
    <w:rsid w:val="00CB1CAC"/>
    <w:rsid w:val="00CB1DBF"/>
    <w:rsid w:val="00CB281D"/>
    <w:rsid w:val="00CB2AF4"/>
    <w:rsid w:val="00CB2F2A"/>
    <w:rsid w:val="00CB2FDD"/>
    <w:rsid w:val="00CB3236"/>
    <w:rsid w:val="00CB32DA"/>
    <w:rsid w:val="00CB3446"/>
    <w:rsid w:val="00CB35DC"/>
    <w:rsid w:val="00CB4513"/>
    <w:rsid w:val="00CB47FC"/>
    <w:rsid w:val="00CB4A50"/>
    <w:rsid w:val="00CB4EF2"/>
    <w:rsid w:val="00CB55CF"/>
    <w:rsid w:val="00CB5B1A"/>
    <w:rsid w:val="00CB6B22"/>
    <w:rsid w:val="00CB6BBC"/>
    <w:rsid w:val="00CB6D37"/>
    <w:rsid w:val="00CB7183"/>
    <w:rsid w:val="00CB76CE"/>
    <w:rsid w:val="00CB786B"/>
    <w:rsid w:val="00CB7F5F"/>
    <w:rsid w:val="00CC0945"/>
    <w:rsid w:val="00CC1987"/>
    <w:rsid w:val="00CC1B39"/>
    <w:rsid w:val="00CC234E"/>
    <w:rsid w:val="00CC2388"/>
    <w:rsid w:val="00CC26B6"/>
    <w:rsid w:val="00CC2F9C"/>
    <w:rsid w:val="00CC2FFF"/>
    <w:rsid w:val="00CC35EA"/>
    <w:rsid w:val="00CC3848"/>
    <w:rsid w:val="00CC3ED9"/>
    <w:rsid w:val="00CC3F1B"/>
    <w:rsid w:val="00CC49DF"/>
    <w:rsid w:val="00CC4DB2"/>
    <w:rsid w:val="00CC7516"/>
    <w:rsid w:val="00CC757E"/>
    <w:rsid w:val="00CC7CBE"/>
    <w:rsid w:val="00CC7F1E"/>
    <w:rsid w:val="00CD05B0"/>
    <w:rsid w:val="00CD1153"/>
    <w:rsid w:val="00CD13F7"/>
    <w:rsid w:val="00CD223F"/>
    <w:rsid w:val="00CD254D"/>
    <w:rsid w:val="00CD25AE"/>
    <w:rsid w:val="00CD2885"/>
    <w:rsid w:val="00CD2D6C"/>
    <w:rsid w:val="00CD314E"/>
    <w:rsid w:val="00CD32EB"/>
    <w:rsid w:val="00CD3599"/>
    <w:rsid w:val="00CD3F77"/>
    <w:rsid w:val="00CD4372"/>
    <w:rsid w:val="00CD47C9"/>
    <w:rsid w:val="00CD49FF"/>
    <w:rsid w:val="00CD4CCC"/>
    <w:rsid w:val="00CD5304"/>
    <w:rsid w:val="00CD540A"/>
    <w:rsid w:val="00CD5ADE"/>
    <w:rsid w:val="00CD5EB7"/>
    <w:rsid w:val="00CD63A1"/>
    <w:rsid w:val="00CD6ADC"/>
    <w:rsid w:val="00CD6C97"/>
    <w:rsid w:val="00CD7193"/>
    <w:rsid w:val="00CD7E4F"/>
    <w:rsid w:val="00CD7FF7"/>
    <w:rsid w:val="00CE02B0"/>
    <w:rsid w:val="00CE0A62"/>
    <w:rsid w:val="00CE0C64"/>
    <w:rsid w:val="00CE1A29"/>
    <w:rsid w:val="00CE223C"/>
    <w:rsid w:val="00CE2387"/>
    <w:rsid w:val="00CE270E"/>
    <w:rsid w:val="00CE2F0C"/>
    <w:rsid w:val="00CE3077"/>
    <w:rsid w:val="00CE37B7"/>
    <w:rsid w:val="00CE38C8"/>
    <w:rsid w:val="00CE4F3C"/>
    <w:rsid w:val="00CE59C5"/>
    <w:rsid w:val="00CE5D34"/>
    <w:rsid w:val="00CE5E11"/>
    <w:rsid w:val="00CE619E"/>
    <w:rsid w:val="00CE6274"/>
    <w:rsid w:val="00CE6624"/>
    <w:rsid w:val="00CE6C7A"/>
    <w:rsid w:val="00CE6CA6"/>
    <w:rsid w:val="00CE6EB5"/>
    <w:rsid w:val="00CE6ECB"/>
    <w:rsid w:val="00CE77B6"/>
    <w:rsid w:val="00CE7D3F"/>
    <w:rsid w:val="00CF03A7"/>
    <w:rsid w:val="00CF0C61"/>
    <w:rsid w:val="00CF0E75"/>
    <w:rsid w:val="00CF12AD"/>
    <w:rsid w:val="00CF163D"/>
    <w:rsid w:val="00CF1B9C"/>
    <w:rsid w:val="00CF1D98"/>
    <w:rsid w:val="00CF2213"/>
    <w:rsid w:val="00CF2B8D"/>
    <w:rsid w:val="00CF4048"/>
    <w:rsid w:val="00CF456B"/>
    <w:rsid w:val="00CF45FE"/>
    <w:rsid w:val="00CF4CB5"/>
    <w:rsid w:val="00CF4F1A"/>
    <w:rsid w:val="00CF533E"/>
    <w:rsid w:val="00CF5A22"/>
    <w:rsid w:val="00CF5DE6"/>
    <w:rsid w:val="00CF6424"/>
    <w:rsid w:val="00CF6C2D"/>
    <w:rsid w:val="00CF7178"/>
    <w:rsid w:val="00CF75DB"/>
    <w:rsid w:val="00CF77A0"/>
    <w:rsid w:val="00D0007A"/>
    <w:rsid w:val="00D003C4"/>
    <w:rsid w:val="00D00B78"/>
    <w:rsid w:val="00D00C0C"/>
    <w:rsid w:val="00D018C4"/>
    <w:rsid w:val="00D02183"/>
    <w:rsid w:val="00D02584"/>
    <w:rsid w:val="00D0262E"/>
    <w:rsid w:val="00D029CF"/>
    <w:rsid w:val="00D035A4"/>
    <w:rsid w:val="00D0372E"/>
    <w:rsid w:val="00D04F5E"/>
    <w:rsid w:val="00D053A2"/>
    <w:rsid w:val="00D05E3D"/>
    <w:rsid w:val="00D060F1"/>
    <w:rsid w:val="00D06139"/>
    <w:rsid w:val="00D06140"/>
    <w:rsid w:val="00D0630A"/>
    <w:rsid w:val="00D065D6"/>
    <w:rsid w:val="00D06842"/>
    <w:rsid w:val="00D06DB3"/>
    <w:rsid w:val="00D0784E"/>
    <w:rsid w:val="00D07AC7"/>
    <w:rsid w:val="00D07BDC"/>
    <w:rsid w:val="00D10473"/>
    <w:rsid w:val="00D108B0"/>
    <w:rsid w:val="00D10AD8"/>
    <w:rsid w:val="00D10FEF"/>
    <w:rsid w:val="00D110BD"/>
    <w:rsid w:val="00D112E8"/>
    <w:rsid w:val="00D113DE"/>
    <w:rsid w:val="00D11C0B"/>
    <w:rsid w:val="00D122DC"/>
    <w:rsid w:val="00D1287B"/>
    <w:rsid w:val="00D12904"/>
    <w:rsid w:val="00D12952"/>
    <w:rsid w:val="00D12975"/>
    <w:rsid w:val="00D129F5"/>
    <w:rsid w:val="00D13675"/>
    <w:rsid w:val="00D141E1"/>
    <w:rsid w:val="00D147A4"/>
    <w:rsid w:val="00D14906"/>
    <w:rsid w:val="00D15314"/>
    <w:rsid w:val="00D15B13"/>
    <w:rsid w:val="00D15D4C"/>
    <w:rsid w:val="00D15EDC"/>
    <w:rsid w:val="00D1631F"/>
    <w:rsid w:val="00D16D54"/>
    <w:rsid w:val="00D171E8"/>
    <w:rsid w:val="00D172FA"/>
    <w:rsid w:val="00D17341"/>
    <w:rsid w:val="00D17A55"/>
    <w:rsid w:val="00D17D6C"/>
    <w:rsid w:val="00D20BCC"/>
    <w:rsid w:val="00D20FDE"/>
    <w:rsid w:val="00D2155B"/>
    <w:rsid w:val="00D21D8E"/>
    <w:rsid w:val="00D22977"/>
    <w:rsid w:val="00D22A74"/>
    <w:rsid w:val="00D22BE4"/>
    <w:rsid w:val="00D23126"/>
    <w:rsid w:val="00D231D4"/>
    <w:rsid w:val="00D2360D"/>
    <w:rsid w:val="00D23803"/>
    <w:rsid w:val="00D23A9F"/>
    <w:rsid w:val="00D23D11"/>
    <w:rsid w:val="00D23E38"/>
    <w:rsid w:val="00D2417C"/>
    <w:rsid w:val="00D24276"/>
    <w:rsid w:val="00D244B6"/>
    <w:rsid w:val="00D24972"/>
    <w:rsid w:val="00D249F3"/>
    <w:rsid w:val="00D24AE0"/>
    <w:rsid w:val="00D25139"/>
    <w:rsid w:val="00D254EA"/>
    <w:rsid w:val="00D261E3"/>
    <w:rsid w:val="00D26316"/>
    <w:rsid w:val="00D26B3A"/>
    <w:rsid w:val="00D2754D"/>
    <w:rsid w:val="00D2775C"/>
    <w:rsid w:val="00D27ABD"/>
    <w:rsid w:val="00D27B27"/>
    <w:rsid w:val="00D27D15"/>
    <w:rsid w:val="00D30C74"/>
    <w:rsid w:val="00D30CC1"/>
    <w:rsid w:val="00D30DDF"/>
    <w:rsid w:val="00D321ED"/>
    <w:rsid w:val="00D33BE9"/>
    <w:rsid w:val="00D33C2C"/>
    <w:rsid w:val="00D33C5C"/>
    <w:rsid w:val="00D33F44"/>
    <w:rsid w:val="00D33F93"/>
    <w:rsid w:val="00D3479C"/>
    <w:rsid w:val="00D34944"/>
    <w:rsid w:val="00D349DE"/>
    <w:rsid w:val="00D34C5D"/>
    <w:rsid w:val="00D34EEE"/>
    <w:rsid w:val="00D350A3"/>
    <w:rsid w:val="00D357F5"/>
    <w:rsid w:val="00D357FF"/>
    <w:rsid w:val="00D35ACA"/>
    <w:rsid w:val="00D35B55"/>
    <w:rsid w:val="00D3697C"/>
    <w:rsid w:val="00D376B2"/>
    <w:rsid w:val="00D37DF5"/>
    <w:rsid w:val="00D401CC"/>
    <w:rsid w:val="00D4100E"/>
    <w:rsid w:val="00D41348"/>
    <w:rsid w:val="00D417C6"/>
    <w:rsid w:val="00D41F6A"/>
    <w:rsid w:val="00D424C7"/>
    <w:rsid w:val="00D427EE"/>
    <w:rsid w:val="00D42B93"/>
    <w:rsid w:val="00D42FC6"/>
    <w:rsid w:val="00D43062"/>
    <w:rsid w:val="00D4313B"/>
    <w:rsid w:val="00D439A2"/>
    <w:rsid w:val="00D43B2A"/>
    <w:rsid w:val="00D43D83"/>
    <w:rsid w:val="00D44844"/>
    <w:rsid w:val="00D45755"/>
    <w:rsid w:val="00D45788"/>
    <w:rsid w:val="00D45AB3"/>
    <w:rsid w:val="00D4600C"/>
    <w:rsid w:val="00D46BF0"/>
    <w:rsid w:val="00D46EC9"/>
    <w:rsid w:val="00D47109"/>
    <w:rsid w:val="00D47575"/>
    <w:rsid w:val="00D47A72"/>
    <w:rsid w:val="00D5083F"/>
    <w:rsid w:val="00D5161F"/>
    <w:rsid w:val="00D51680"/>
    <w:rsid w:val="00D51AA0"/>
    <w:rsid w:val="00D51E2E"/>
    <w:rsid w:val="00D521A0"/>
    <w:rsid w:val="00D5243B"/>
    <w:rsid w:val="00D5256A"/>
    <w:rsid w:val="00D533EC"/>
    <w:rsid w:val="00D53856"/>
    <w:rsid w:val="00D539AA"/>
    <w:rsid w:val="00D5419B"/>
    <w:rsid w:val="00D54763"/>
    <w:rsid w:val="00D55675"/>
    <w:rsid w:val="00D557F0"/>
    <w:rsid w:val="00D5581B"/>
    <w:rsid w:val="00D55C26"/>
    <w:rsid w:val="00D565F8"/>
    <w:rsid w:val="00D566AF"/>
    <w:rsid w:val="00D567AD"/>
    <w:rsid w:val="00D56A95"/>
    <w:rsid w:val="00D56DEF"/>
    <w:rsid w:val="00D57000"/>
    <w:rsid w:val="00D576CC"/>
    <w:rsid w:val="00D57DD3"/>
    <w:rsid w:val="00D604BD"/>
    <w:rsid w:val="00D60797"/>
    <w:rsid w:val="00D61A5C"/>
    <w:rsid w:val="00D61AFC"/>
    <w:rsid w:val="00D61B0E"/>
    <w:rsid w:val="00D61B2A"/>
    <w:rsid w:val="00D622AF"/>
    <w:rsid w:val="00D623B3"/>
    <w:rsid w:val="00D62586"/>
    <w:rsid w:val="00D62CBC"/>
    <w:rsid w:val="00D62F90"/>
    <w:rsid w:val="00D63340"/>
    <w:rsid w:val="00D636BA"/>
    <w:rsid w:val="00D63C04"/>
    <w:rsid w:val="00D64994"/>
    <w:rsid w:val="00D64FEF"/>
    <w:rsid w:val="00D655C5"/>
    <w:rsid w:val="00D656BC"/>
    <w:rsid w:val="00D66173"/>
    <w:rsid w:val="00D67757"/>
    <w:rsid w:val="00D67D72"/>
    <w:rsid w:val="00D701BC"/>
    <w:rsid w:val="00D70DED"/>
    <w:rsid w:val="00D70F16"/>
    <w:rsid w:val="00D712D2"/>
    <w:rsid w:val="00D7135D"/>
    <w:rsid w:val="00D716DB"/>
    <w:rsid w:val="00D717D1"/>
    <w:rsid w:val="00D71AC4"/>
    <w:rsid w:val="00D7232A"/>
    <w:rsid w:val="00D7232F"/>
    <w:rsid w:val="00D72AAA"/>
    <w:rsid w:val="00D72DCF"/>
    <w:rsid w:val="00D72F57"/>
    <w:rsid w:val="00D733AC"/>
    <w:rsid w:val="00D734DB"/>
    <w:rsid w:val="00D73CA1"/>
    <w:rsid w:val="00D73D34"/>
    <w:rsid w:val="00D73E5A"/>
    <w:rsid w:val="00D74798"/>
    <w:rsid w:val="00D749FD"/>
    <w:rsid w:val="00D74BF4"/>
    <w:rsid w:val="00D74D77"/>
    <w:rsid w:val="00D756D6"/>
    <w:rsid w:val="00D75901"/>
    <w:rsid w:val="00D761A3"/>
    <w:rsid w:val="00D76260"/>
    <w:rsid w:val="00D76A44"/>
    <w:rsid w:val="00D76F7D"/>
    <w:rsid w:val="00D774A8"/>
    <w:rsid w:val="00D77958"/>
    <w:rsid w:val="00D80259"/>
    <w:rsid w:val="00D806A7"/>
    <w:rsid w:val="00D80C81"/>
    <w:rsid w:val="00D81165"/>
    <w:rsid w:val="00D815EF"/>
    <w:rsid w:val="00D81668"/>
    <w:rsid w:val="00D817FC"/>
    <w:rsid w:val="00D81F26"/>
    <w:rsid w:val="00D823B8"/>
    <w:rsid w:val="00D82885"/>
    <w:rsid w:val="00D836DF"/>
    <w:rsid w:val="00D84338"/>
    <w:rsid w:val="00D84758"/>
    <w:rsid w:val="00D84B49"/>
    <w:rsid w:val="00D84C79"/>
    <w:rsid w:val="00D84EA5"/>
    <w:rsid w:val="00D85265"/>
    <w:rsid w:val="00D85777"/>
    <w:rsid w:val="00D8583D"/>
    <w:rsid w:val="00D86231"/>
    <w:rsid w:val="00D86EA1"/>
    <w:rsid w:val="00D86F07"/>
    <w:rsid w:val="00D8715F"/>
    <w:rsid w:val="00D8756A"/>
    <w:rsid w:val="00D901C7"/>
    <w:rsid w:val="00D90B60"/>
    <w:rsid w:val="00D90F08"/>
    <w:rsid w:val="00D91923"/>
    <w:rsid w:val="00D91C4D"/>
    <w:rsid w:val="00D91D09"/>
    <w:rsid w:val="00D91E18"/>
    <w:rsid w:val="00D91E52"/>
    <w:rsid w:val="00D925E4"/>
    <w:rsid w:val="00D92A28"/>
    <w:rsid w:val="00D931B8"/>
    <w:rsid w:val="00D93753"/>
    <w:rsid w:val="00D93893"/>
    <w:rsid w:val="00D93DE1"/>
    <w:rsid w:val="00D948C6"/>
    <w:rsid w:val="00D94D07"/>
    <w:rsid w:val="00D94E8C"/>
    <w:rsid w:val="00D95112"/>
    <w:rsid w:val="00D95537"/>
    <w:rsid w:val="00D95690"/>
    <w:rsid w:val="00D9579C"/>
    <w:rsid w:val="00D958F7"/>
    <w:rsid w:val="00D959D9"/>
    <w:rsid w:val="00D960D9"/>
    <w:rsid w:val="00D96221"/>
    <w:rsid w:val="00D962CC"/>
    <w:rsid w:val="00D9649A"/>
    <w:rsid w:val="00D965C4"/>
    <w:rsid w:val="00D96DAF"/>
    <w:rsid w:val="00D96E1A"/>
    <w:rsid w:val="00D97284"/>
    <w:rsid w:val="00D97BED"/>
    <w:rsid w:val="00D97D10"/>
    <w:rsid w:val="00D97F5D"/>
    <w:rsid w:val="00DA024F"/>
    <w:rsid w:val="00DA0ED2"/>
    <w:rsid w:val="00DA10F2"/>
    <w:rsid w:val="00DA13F7"/>
    <w:rsid w:val="00DA18C6"/>
    <w:rsid w:val="00DA24FF"/>
    <w:rsid w:val="00DA2518"/>
    <w:rsid w:val="00DA2B1A"/>
    <w:rsid w:val="00DA3167"/>
    <w:rsid w:val="00DA33C9"/>
    <w:rsid w:val="00DA3F20"/>
    <w:rsid w:val="00DA4045"/>
    <w:rsid w:val="00DA4111"/>
    <w:rsid w:val="00DA4676"/>
    <w:rsid w:val="00DA4CFA"/>
    <w:rsid w:val="00DA4D92"/>
    <w:rsid w:val="00DA4DC3"/>
    <w:rsid w:val="00DA4E45"/>
    <w:rsid w:val="00DA501C"/>
    <w:rsid w:val="00DA5570"/>
    <w:rsid w:val="00DA5662"/>
    <w:rsid w:val="00DA5AB1"/>
    <w:rsid w:val="00DA5FEE"/>
    <w:rsid w:val="00DA60A2"/>
    <w:rsid w:val="00DA630E"/>
    <w:rsid w:val="00DA7681"/>
    <w:rsid w:val="00DA77A5"/>
    <w:rsid w:val="00DA7E58"/>
    <w:rsid w:val="00DB1DCE"/>
    <w:rsid w:val="00DB1F25"/>
    <w:rsid w:val="00DB28D3"/>
    <w:rsid w:val="00DB297A"/>
    <w:rsid w:val="00DB2A22"/>
    <w:rsid w:val="00DB2CE1"/>
    <w:rsid w:val="00DB2EED"/>
    <w:rsid w:val="00DB2F28"/>
    <w:rsid w:val="00DB314F"/>
    <w:rsid w:val="00DB3725"/>
    <w:rsid w:val="00DB3DBF"/>
    <w:rsid w:val="00DB4022"/>
    <w:rsid w:val="00DB40BE"/>
    <w:rsid w:val="00DB484F"/>
    <w:rsid w:val="00DB4B9A"/>
    <w:rsid w:val="00DB5CA4"/>
    <w:rsid w:val="00DB5D89"/>
    <w:rsid w:val="00DB64EB"/>
    <w:rsid w:val="00DB6E7F"/>
    <w:rsid w:val="00DB758C"/>
    <w:rsid w:val="00DB792A"/>
    <w:rsid w:val="00DB798C"/>
    <w:rsid w:val="00DB7A2A"/>
    <w:rsid w:val="00DC04F6"/>
    <w:rsid w:val="00DC0541"/>
    <w:rsid w:val="00DC0690"/>
    <w:rsid w:val="00DC0CCB"/>
    <w:rsid w:val="00DC0CDC"/>
    <w:rsid w:val="00DC18D2"/>
    <w:rsid w:val="00DC1D65"/>
    <w:rsid w:val="00DC1E83"/>
    <w:rsid w:val="00DC1FCC"/>
    <w:rsid w:val="00DC23A1"/>
    <w:rsid w:val="00DC278F"/>
    <w:rsid w:val="00DC2ACC"/>
    <w:rsid w:val="00DC2E31"/>
    <w:rsid w:val="00DC308A"/>
    <w:rsid w:val="00DC32CF"/>
    <w:rsid w:val="00DC3850"/>
    <w:rsid w:val="00DC3C57"/>
    <w:rsid w:val="00DC3F56"/>
    <w:rsid w:val="00DC43B5"/>
    <w:rsid w:val="00DC486D"/>
    <w:rsid w:val="00DC5278"/>
    <w:rsid w:val="00DC532A"/>
    <w:rsid w:val="00DC5501"/>
    <w:rsid w:val="00DC5DA2"/>
    <w:rsid w:val="00DC5E2E"/>
    <w:rsid w:val="00DC6479"/>
    <w:rsid w:val="00DC6589"/>
    <w:rsid w:val="00DC6852"/>
    <w:rsid w:val="00DC7154"/>
    <w:rsid w:val="00DC730F"/>
    <w:rsid w:val="00DC76CF"/>
    <w:rsid w:val="00DC7E8A"/>
    <w:rsid w:val="00DD0950"/>
    <w:rsid w:val="00DD0E4E"/>
    <w:rsid w:val="00DD0F78"/>
    <w:rsid w:val="00DD103E"/>
    <w:rsid w:val="00DD1360"/>
    <w:rsid w:val="00DD17FE"/>
    <w:rsid w:val="00DD1ACC"/>
    <w:rsid w:val="00DD1C26"/>
    <w:rsid w:val="00DD1C77"/>
    <w:rsid w:val="00DD1F67"/>
    <w:rsid w:val="00DD2002"/>
    <w:rsid w:val="00DD273C"/>
    <w:rsid w:val="00DD2965"/>
    <w:rsid w:val="00DD3471"/>
    <w:rsid w:val="00DD3C05"/>
    <w:rsid w:val="00DD3F06"/>
    <w:rsid w:val="00DD3F28"/>
    <w:rsid w:val="00DD4537"/>
    <w:rsid w:val="00DD4D1D"/>
    <w:rsid w:val="00DD4E15"/>
    <w:rsid w:val="00DD56ED"/>
    <w:rsid w:val="00DD5711"/>
    <w:rsid w:val="00DD57D7"/>
    <w:rsid w:val="00DD680B"/>
    <w:rsid w:val="00DD73F8"/>
    <w:rsid w:val="00DD77FA"/>
    <w:rsid w:val="00DE00F7"/>
    <w:rsid w:val="00DE023A"/>
    <w:rsid w:val="00DE0411"/>
    <w:rsid w:val="00DE0A4C"/>
    <w:rsid w:val="00DE0B94"/>
    <w:rsid w:val="00DE0F37"/>
    <w:rsid w:val="00DE1DFF"/>
    <w:rsid w:val="00DE2304"/>
    <w:rsid w:val="00DE23D1"/>
    <w:rsid w:val="00DE3138"/>
    <w:rsid w:val="00DE31F1"/>
    <w:rsid w:val="00DE35D5"/>
    <w:rsid w:val="00DE37F8"/>
    <w:rsid w:val="00DE4EBA"/>
    <w:rsid w:val="00DE4FCB"/>
    <w:rsid w:val="00DE52B1"/>
    <w:rsid w:val="00DE55CE"/>
    <w:rsid w:val="00DE5679"/>
    <w:rsid w:val="00DE58CF"/>
    <w:rsid w:val="00DE5CDB"/>
    <w:rsid w:val="00DE5D07"/>
    <w:rsid w:val="00DE6770"/>
    <w:rsid w:val="00DE6844"/>
    <w:rsid w:val="00DE72A7"/>
    <w:rsid w:val="00DE7832"/>
    <w:rsid w:val="00DE7B08"/>
    <w:rsid w:val="00DF00B0"/>
    <w:rsid w:val="00DF034A"/>
    <w:rsid w:val="00DF06DF"/>
    <w:rsid w:val="00DF0A63"/>
    <w:rsid w:val="00DF0AA1"/>
    <w:rsid w:val="00DF1200"/>
    <w:rsid w:val="00DF121F"/>
    <w:rsid w:val="00DF16D6"/>
    <w:rsid w:val="00DF18FC"/>
    <w:rsid w:val="00DF2093"/>
    <w:rsid w:val="00DF22B1"/>
    <w:rsid w:val="00DF2644"/>
    <w:rsid w:val="00DF291B"/>
    <w:rsid w:val="00DF29AD"/>
    <w:rsid w:val="00DF2D75"/>
    <w:rsid w:val="00DF2F7B"/>
    <w:rsid w:val="00DF3903"/>
    <w:rsid w:val="00DF3971"/>
    <w:rsid w:val="00DF3C31"/>
    <w:rsid w:val="00DF5858"/>
    <w:rsid w:val="00DF5D2B"/>
    <w:rsid w:val="00DF5FBD"/>
    <w:rsid w:val="00DF68A0"/>
    <w:rsid w:val="00DF72DD"/>
    <w:rsid w:val="00DF78DB"/>
    <w:rsid w:val="00DF79DC"/>
    <w:rsid w:val="00E002AB"/>
    <w:rsid w:val="00E00AD3"/>
    <w:rsid w:val="00E00C20"/>
    <w:rsid w:val="00E00E86"/>
    <w:rsid w:val="00E00E8E"/>
    <w:rsid w:val="00E0185B"/>
    <w:rsid w:val="00E01BE8"/>
    <w:rsid w:val="00E022DC"/>
    <w:rsid w:val="00E0272F"/>
    <w:rsid w:val="00E02C1D"/>
    <w:rsid w:val="00E02CED"/>
    <w:rsid w:val="00E02DCF"/>
    <w:rsid w:val="00E02ED0"/>
    <w:rsid w:val="00E03485"/>
    <w:rsid w:val="00E037EB"/>
    <w:rsid w:val="00E03E15"/>
    <w:rsid w:val="00E041DC"/>
    <w:rsid w:val="00E04652"/>
    <w:rsid w:val="00E046AE"/>
    <w:rsid w:val="00E04E04"/>
    <w:rsid w:val="00E054FA"/>
    <w:rsid w:val="00E05548"/>
    <w:rsid w:val="00E05571"/>
    <w:rsid w:val="00E05630"/>
    <w:rsid w:val="00E0570C"/>
    <w:rsid w:val="00E05A03"/>
    <w:rsid w:val="00E05E07"/>
    <w:rsid w:val="00E06054"/>
    <w:rsid w:val="00E066BB"/>
    <w:rsid w:val="00E06DBB"/>
    <w:rsid w:val="00E06E13"/>
    <w:rsid w:val="00E07AB2"/>
    <w:rsid w:val="00E07ED4"/>
    <w:rsid w:val="00E1011F"/>
    <w:rsid w:val="00E10149"/>
    <w:rsid w:val="00E10414"/>
    <w:rsid w:val="00E1049A"/>
    <w:rsid w:val="00E104AF"/>
    <w:rsid w:val="00E109C8"/>
    <w:rsid w:val="00E112AB"/>
    <w:rsid w:val="00E11340"/>
    <w:rsid w:val="00E122A1"/>
    <w:rsid w:val="00E12937"/>
    <w:rsid w:val="00E12B1F"/>
    <w:rsid w:val="00E12EDC"/>
    <w:rsid w:val="00E13262"/>
    <w:rsid w:val="00E136C6"/>
    <w:rsid w:val="00E137B6"/>
    <w:rsid w:val="00E13FD5"/>
    <w:rsid w:val="00E14054"/>
    <w:rsid w:val="00E145AE"/>
    <w:rsid w:val="00E150B7"/>
    <w:rsid w:val="00E153F2"/>
    <w:rsid w:val="00E1576E"/>
    <w:rsid w:val="00E16154"/>
    <w:rsid w:val="00E16318"/>
    <w:rsid w:val="00E16372"/>
    <w:rsid w:val="00E16874"/>
    <w:rsid w:val="00E170BC"/>
    <w:rsid w:val="00E20E4D"/>
    <w:rsid w:val="00E20EBB"/>
    <w:rsid w:val="00E20ED6"/>
    <w:rsid w:val="00E21358"/>
    <w:rsid w:val="00E21C2C"/>
    <w:rsid w:val="00E21DE9"/>
    <w:rsid w:val="00E22252"/>
    <w:rsid w:val="00E222E6"/>
    <w:rsid w:val="00E2249B"/>
    <w:rsid w:val="00E22A0D"/>
    <w:rsid w:val="00E22B4A"/>
    <w:rsid w:val="00E230CB"/>
    <w:rsid w:val="00E236CC"/>
    <w:rsid w:val="00E2375F"/>
    <w:rsid w:val="00E241E3"/>
    <w:rsid w:val="00E244F6"/>
    <w:rsid w:val="00E24C85"/>
    <w:rsid w:val="00E2517E"/>
    <w:rsid w:val="00E25369"/>
    <w:rsid w:val="00E2565E"/>
    <w:rsid w:val="00E25663"/>
    <w:rsid w:val="00E2589E"/>
    <w:rsid w:val="00E25BA2"/>
    <w:rsid w:val="00E25D57"/>
    <w:rsid w:val="00E260B9"/>
    <w:rsid w:val="00E2670D"/>
    <w:rsid w:val="00E267F1"/>
    <w:rsid w:val="00E27043"/>
    <w:rsid w:val="00E27182"/>
    <w:rsid w:val="00E2756F"/>
    <w:rsid w:val="00E2762F"/>
    <w:rsid w:val="00E27692"/>
    <w:rsid w:val="00E2771E"/>
    <w:rsid w:val="00E27A7F"/>
    <w:rsid w:val="00E27B28"/>
    <w:rsid w:val="00E27CFC"/>
    <w:rsid w:val="00E300DC"/>
    <w:rsid w:val="00E30CEA"/>
    <w:rsid w:val="00E311EF"/>
    <w:rsid w:val="00E319AC"/>
    <w:rsid w:val="00E31DAF"/>
    <w:rsid w:val="00E32180"/>
    <w:rsid w:val="00E321CC"/>
    <w:rsid w:val="00E3254C"/>
    <w:rsid w:val="00E327DF"/>
    <w:rsid w:val="00E32B49"/>
    <w:rsid w:val="00E32D72"/>
    <w:rsid w:val="00E32F56"/>
    <w:rsid w:val="00E330F9"/>
    <w:rsid w:val="00E33167"/>
    <w:rsid w:val="00E336E0"/>
    <w:rsid w:val="00E343F8"/>
    <w:rsid w:val="00E34767"/>
    <w:rsid w:val="00E34948"/>
    <w:rsid w:val="00E34C55"/>
    <w:rsid w:val="00E36467"/>
    <w:rsid w:val="00E364B5"/>
    <w:rsid w:val="00E364E3"/>
    <w:rsid w:val="00E369AA"/>
    <w:rsid w:val="00E369E2"/>
    <w:rsid w:val="00E37153"/>
    <w:rsid w:val="00E37569"/>
    <w:rsid w:val="00E377DC"/>
    <w:rsid w:val="00E37E2D"/>
    <w:rsid w:val="00E401B2"/>
    <w:rsid w:val="00E41078"/>
    <w:rsid w:val="00E4140E"/>
    <w:rsid w:val="00E416C5"/>
    <w:rsid w:val="00E41E30"/>
    <w:rsid w:val="00E41FE5"/>
    <w:rsid w:val="00E4258F"/>
    <w:rsid w:val="00E426ED"/>
    <w:rsid w:val="00E42E63"/>
    <w:rsid w:val="00E42F73"/>
    <w:rsid w:val="00E434F5"/>
    <w:rsid w:val="00E438AC"/>
    <w:rsid w:val="00E43D70"/>
    <w:rsid w:val="00E44BE9"/>
    <w:rsid w:val="00E4535A"/>
    <w:rsid w:val="00E46264"/>
    <w:rsid w:val="00E462E7"/>
    <w:rsid w:val="00E4652E"/>
    <w:rsid w:val="00E466F3"/>
    <w:rsid w:val="00E467AB"/>
    <w:rsid w:val="00E46969"/>
    <w:rsid w:val="00E46971"/>
    <w:rsid w:val="00E46D1B"/>
    <w:rsid w:val="00E46E9B"/>
    <w:rsid w:val="00E47094"/>
    <w:rsid w:val="00E473AC"/>
    <w:rsid w:val="00E47681"/>
    <w:rsid w:val="00E47B2C"/>
    <w:rsid w:val="00E47EEF"/>
    <w:rsid w:val="00E504AD"/>
    <w:rsid w:val="00E504EB"/>
    <w:rsid w:val="00E50701"/>
    <w:rsid w:val="00E51013"/>
    <w:rsid w:val="00E513AC"/>
    <w:rsid w:val="00E51560"/>
    <w:rsid w:val="00E5186A"/>
    <w:rsid w:val="00E51980"/>
    <w:rsid w:val="00E5260C"/>
    <w:rsid w:val="00E52AD3"/>
    <w:rsid w:val="00E53021"/>
    <w:rsid w:val="00E530CB"/>
    <w:rsid w:val="00E53124"/>
    <w:rsid w:val="00E53858"/>
    <w:rsid w:val="00E53FC8"/>
    <w:rsid w:val="00E54347"/>
    <w:rsid w:val="00E54654"/>
    <w:rsid w:val="00E54FFD"/>
    <w:rsid w:val="00E550AA"/>
    <w:rsid w:val="00E550C0"/>
    <w:rsid w:val="00E5514C"/>
    <w:rsid w:val="00E5535B"/>
    <w:rsid w:val="00E55424"/>
    <w:rsid w:val="00E5561C"/>
    <w:rsid w:val="00E55915"/>
    <w:rsid w:val="00E55BB5"/>
    <w:rsid w:val="00E55C87"/>
    <w:rsid w:val="00E55ED8"/>
    <w:rsid w:val="00E561B3"/>
    <w:rsid w:val="00E56231"/>
    <w:rsid w:val="00E5691C"/>
    <w:rsid w:val="00E56D82"/>
    <w:rsid w:val="00E572EE"/>
    <w:rsid w:val="00E572F7"/>
    <w:rsid w:val="00E574D5"/>
    <w:rsid w:val="00E57592"/>
    <w:rsid w:val="00E57630"/>
    <w:rsid w:val="00E57926"/>
    <w:rsid w:val="00E603EF"/>
    <w:rsid w:val="00E6054C"/>
    <w:rsid w:val="00E6075F"/>
    <w:rsid w:val="00E60CA4"/>
    <w:rsid w:val="00E61255"/>
    <w:rsid w:val="00E614B8"/>
    <w:rsid w:val="00E6164D"/>
    <w:rsid w:val="00E61A8F"/>
    <w:rsid w:val="00E62335"/>
    <w:rsid w:val="00E626A1"/>
    <w:rsid w:val="00E62881"/>
    <w:rsid w:val="00E62B81"/>
    <w:rsid w:val="00E632A7"/>
    <w:rsid w:val="00E63D0A"/>
    <w:rsid w:val="00E64101"/>
    <w:rsid w:val="00E64676"/>
    <w:rsid w:val="00E65364"/>
    <w:rsid w:val="00E65E79"/>
    <w:rsid w:val="00E65EB0"/>
    <w:rsid w:val="00E66BA2"/>
    <w:rsid w:val="00E66F02"/>
    <w:rsid w:val="00E67416"/>
    <w:rsid w:val="00E67CD2"/>
    <w:rsid w:val="00E67F08"/>
    <w:rsid w:val="00E70DE4"/>
    <w:rsid w:val="00E710CE"/>
    <w:rsid w:val="00E718B6"/>
    <w:rsid w:val="00E71F9F"/>
    <w:rsid w:val="00E71FA8"/>
    <w:rsid w:val="00E723BA"/>
    <w:rsid w:val="00E732C4"/>
    <w:rsid w:val="00E73581"/>
    <w:rsid w:val="00E737CA"/>
    <w:rsid w:val="00E73A6E"/>
    <w:rsid w:val="00E74052"/>
    <w:rsid w:val="00E74206"/>
    <w:rsid w:val="00E7437B"/>
    <w:rsid w:val="00E74414"/>
    <w:rsid w:val="00E746C8"/>
    <w:rsid w:val="00E747E3"/>
    <w:rsid w:val="00E7539C"/>
    <w:rsid w:val="00E754C4"/>
    <w:rsid w:val="00E75948"/>
    <w:rsid w:val="00E75977"/>
    <w:rsid w:val="00E761C2"/>
    <w:rsid w:val="00E76406"/>
    <w:rsid w:val="00E7773D"/>
    <w:rsid w:val="00E778B1"/>
    <w:rsid w:val="00E77DFF"/>
    <w:rsid w:val="00E800F7"/>
    <w:rsid w:val="00E803EB"/>
    <w:rsid w:val="00E80AA2"/>
    <w:rsid w:val="00E80D1B"/>
    <w:rsid w:val="00E819E8"/>
    <w:rsid w:val="00E82754"/>
    <w:rsid w:val="00E82A5C"/>
    <w:rsid w:val="00E832C3"/>
    <w:rsid w:val="00E833F7"/>
    <w:rsid w:val="00E835B8"/>
    <w:rsid w:val="00E839B9"/>
    <w:rsid w:val="00E83B7C"/>
    <w:rsid w:val="00E83BDF"/>
    <w:rsid w:val="00E840E9"/>
    <w:rsid w:val="00E84772"/>
    <w:rsid w:val="00E849EF"/>
    <w:rsid w:val="00E86F57"/>
    <w:rsid w:val="00E87309"/>
    <w:rsid w:val="00E87A00"/>
    <w:rsid w:val="00E87A05"/>
    <w:rsid w:val="00E87A1D"/>
    <w:rsid w:val="00E87BBE"/>
    <w:rsid w:val="00E87F41"/>
    <w:rsid w:val="00E901F5"/>
    <w:rsid w:val="00E9073D"/>
    <w:rsid w:val="00E9094A"/>
    <w:rsid w:val="00E90BB3"/>
    <w:rsid w:val="00E90D22"/>
    <w:rsid w:val="00E90E45"/>
    <w:rsid w:val="00E912CF"/>
    <w:rsid w:val="00E914AA"/>
    <w:rsid w:val="00E914B5"/>
    <w:rsid w:val="00E91922"/>
    <w:rsid w:val="00E91D35"/>
    <w:rsid w:val="00E92317"/>
    <w:rsid w:val="00E9236B"/>
    <w:rsid w:val="00E926A5"/>
    <w:rsid w:val="00E92981"/>
    <w:rsid w:val="00E9316B"/>
    <w:rsid w:val="00E9361D"/>
    <w:rsid w:val="00E9366D"/>
    <w:rsid w:val="00E93883"/>
    <w:rsid w:val="00E93B9E"/>
    <w:rsid w:val="00E93F28"/>
    <w:rsid w:val="00E942F2"/>
    <w:rsid w:val="00E945BB"/>
    <w:rsid w:val="00E94C6C"/>
    <w:rsid w:val="00E94CA5"/>
    <w:rsid w:val="00E9507F"/>
    <w:rsid w:val="00E9528A"/>
    <w:rsid w:val="00E960C7"/>
    <w:rsid w:val="00E96704"/>
    <w:rsid w:val="00E97198"/>
    <w:rsid w:val="00E974F5"/>
    <w:rsid w:val="00E978D0"/>
    <w:rsid w:val="00E97FB6"/>
    <w:rsid w:val="00EA0A3D"/>
    <w:rsid w:val="00EA0AA6"/>
    <w:rsid w:val="00EA0D6E"/>
    <w:rsid w:val="00EA0DD3"/>
    <w:rsid w:val="00EA1499"/>
    <w:rsid w:val="00EA15F5"/>
    <w:rsid w:val="00EA17C0"/>
    <w:rsid w:val="00EA17C3"/>
    <w:rsid w:val="00EA1895"/>
    <w:rsid w:val="00EA21CD"/>
    <w:rsid w:val="00EA288C"/>
    <w:rsid w:val="00EA28B4"/>
    <w:rsid w:val="00EA2BF3"/>
    <w:rsid w:val="00EA2C0A"/>
    <w:rsid w:val="00EA2CAA"/>
    <w:rsid w:val="00EA3864"/>
    <w:rsid w:val="00EA3FAB"/>
    <w:rsid w:val="00EA459D"/>
    <w:rsid w:val="00EA5314"/>
    <w:rsid w:val="00EA589B"/>
    <w:rsid w:val="00EA5DE1"/>
    <w:rsid w:val="00EA6441"/>
    <w:rsid w:val="00EA662C"/>
    <w:rsid w:val="00EA6668"/>
    <w:rsid w:val="00EA6C72"/>
    <w:rsid w:val="00EA70EE"/>
    <w:rsid w:val="00EA7E60"/>
    <w:rsid w:val="00EA7F1C"/>
    <w:rsid w:val="00EB026B"/>
    <w:rsid w:val="00EB0335"/>
    <w:rsid w:val="00EB15A2"/>
    <w:rsid w:val="00EB15B6"/>
    <w:rsid w:val="00EB1C08"/>
    <w:rsid w:val="00EB1C66"/>
    <w:rsid w:val="00EB1D19"/>
    <w:rsid w:val="00EB28E7"/>
    <w:rsid w:val="00EB292C"/>
    <w:rsid w:val="00EB2EFA"/>
    <w:rsid w:val="00EB3437"/>
    <w:rsid w:val="00EB3612"/>
    <w:rsid w:val="00EB3D06"/>
    <w:rsid w:val="00EB4916"/>
    <w:rsid w:val="00EB505E"/>
    <w:rsid w:val="00EB5702"/>
    <w:rsid w:val="00EB648B"/>
    <w:rsid w:val="00EB6A26"/>
    <w:rsid w:val="00EB6BB8"/>
    <w:rsid w:val="00EB6C96"/>
    <w:rsid w:val="00EB7A07"/>
    <w:rsid w:val="00EC0032"/>
    <w:rsid w:val="00EC00C9"/>
    <w:rsid w:val="00EC06FC"/>
    <w:rsid w:val="00EC09A5"/>
    <w:rsid w:val="00EC0DD9"/>
    <w:rsid w:val="00EC1F3D"/>
    <w:rsid w:val="00EC21B1"/>
    <w:rsid w:val="00EC2649"/>
    <w:rsid w:val="00EC2692"/>
    <w:rsid w:val="00EC2B7E"/>
    <w:rsid w:val="00EC2E54"/>
    <w:rsid w:val="00EC3007"/>
    <w:rsid w:val="00EC31ED"/>
    <w:rsid w:val="00EC3B0B"/>
    <w:rsid w:val="00EC42A8"/>
    <w:rsid w:val="00EC42AF"/>
    <w:rsid w:val="00EC4AB5"/>
    <w:rsid w:val="00EC5836"/>
    <w:rsid w:val="00EC58D7"/>
    <w:rsid w:val="00EC688C"/>
    <w:rsid w:val="00EC7606"/>
    <w:rsid w:val="00EC7703"/>
    <w:rsid w:val="00ED0753"/>
    <w:rsid w:val="00ED0948"/>
    <w:rsid w:val="00ED0C57"/>
    <w:rsid w:val="00ED1AE4"/>
    <w:rsid w:val="00ED2CB4"/>
    <w:rsid w:val="00ED3371"/>
    <w:rsid w:val="00ED35F9"/>
    <w:rsid w:val="00ED36BB"/>
    <w:rsid w:val="00ED3C92"/>
    <w:rsid w:val="00ED3E7E"/>
    <w:rsid w:val="00ED4ADC"/>
    <w:rsid w:val="00ED53E7"/>
    <w:rsid w:val="00ED5696"/>
    <w:rsid w:val="00ED57EA"/>
    <w:rsid w:val="00ED5BD4"/>
    <w:rsid w:val="00ED68C4"/>
    <w:rsid w:val="00ED722B"/>
    <w:rsid w:val="00ED75AC"/>
    <w:rsid w:val="00ED7895"/>
    <w:rsid w:val="00ED7B2D"/>
    <w:rsid w:val="00ED7C9C"/>
    <w:rsid w:val="00EE031A"/>
    <w:rsid w:val="00EE039A"/>
    <w:rsid w:val="00EE0793"/>
    <w:rsid w:val="00EE07D3"/>
    <w:rsid w:val="00EE11EC"/>
    <w:rsid w:val="00EE189D"/>
    <w:rsid w:val="00EE1996"/>
    <w:rsid w:val="00EE1C01"/>
    <w:rsid w:val="00EE1D49"/>
    <w:rsid w:val="00EE22AF"/>
    <w:rsid w:val="00EE2882"/>
    <w:rsid w:val="00EE3166"/>
    <w:rsid w:val="00EE31B8"/>
    <w:rsid w:val="00EE37F8"/>
    <w:rsid w:val="00EE3A1D"/>
    <w:rsid w:val="00EE3F80"/>
    <w:rsid w:val="00EE41AD"/>
    <w:rsid w:val="00EE4A1D"/>
    <w:rsid w:val="00EE5CDC"/>
    <w:rsid w:val="00EE5DDA"/>
    <w:rsid w:val="00EE5E1C"/>
    <w:rsid w:val="00EE62EA"/>
    <w:rsid w:val="00EE661F"/>
    <w:rsid w:val="00EE6A77"/>
    <w:rsid w:val="00EE6BC9"/>
    <w:rsid w:val="00EE6E30"/>
    <w:rsid w:val="00EE732B"/>
    <w:rsid w:val="00EE7B2E"/>
    <w:rsid w:val="00EE7BC4"/>
    <w:rsid w:val="00EE7DD7"/>
    <w:rsid w:val="00EF0171"/>
    <w:rsid w:val="00EF05D0"/>
    <w:rsid w:val="00EF0743"/>
    <w:rsid w:val="00EF110A"/>
    <w:rsid w:val="00EF1B25"/>
    <w:rsid w:val="00EF1DA0"/>
    <w:rsid w:val="00EF22BE"/>
    <w:rsid w:val="00EF28AE"/>
    <w:rsid w:val="00EF28F4"/>
    <w:rsid w:val="00EF31E2"/>
    <w:rsid w:val="00EF3B9B"/>
    <w:rsid w:val="00EF4405"/>
    <w:rsid w:val="00EF4507"/>
    <w:rsid w:val="00EF4686"/>
    <w:rsid w:val="00EF4747"/>
    <w:rsid w:val="00EF4BF8"/>
    <w:rsid w:val="00EF55C0"/>
    <w:rsid w:val="00EF6A95"/>
    <w:rsid w:val="00EF6D8C"/>
    <w:rsid w:val="00EF6E25"/>
    <w:rsid w:val="00EF7516"/>
    <w:rsid w:val="00EF7979"/>
    <w:rsid w:val="00F01079"/>
    <w:rsid w:val="00F015C1"/>
    <w:rsid w:val="00F017AA"/>
    <w:rsid w:val="00F01A63"/>
    <w:rsid w:val="00F02253"/>
    <w:rsid w:val="00F02A86"/>
    <w:rsid w:val="00F03369"/>
    <w:rsid w:val="00F036EE"/>
    <w:rsid w:val="00F03C2E"/>
    <w:rsid w:val="00F03DAA"/>
    <w:rsid w:val="00F04A66"/>
    <w:rsid w:val="00F04B4B"/>
    <w:rsid w:val="00F04D0A"/>
    <w:rsid w:val="00F0516C"/>
    <w:rsid w:val="00F05B71"/>
    <w:rsid w:val="00F061E8"/>
    <w:rsid w:val="00F067A2"/>
    <w:rsid w:val="00F06993"/>
    <w:rsid w:val="00F06CE8"/>
    <w:rsid w:val="00F07889"/>
    <w:rsid w:val="00F07922"/>
    <w:rsid w:val="00F07B49"/>
    <w:rsid w:val="00F07B9E"/>
    <w:rsid w:val="00F07E9D"/>
    <w:rsid w:val="00F07FD2"/>
    <w:rsid w:val="00F10620"/>
    <w:rsid w:val="00F1116F"/>
    <w:rsid w:val="00F1263A"/>
    <w:rsid w:val="00F1267B"/>
    <w:rsid w:val="00F1473B"/>
    <w:rsid w:val="00F1485C"/>
    <w:rsid w:val="00F14969"/>
    <w:rsid w:val="00F15239"/>
    <w:rsid w:val="00F15B77"/>
    <w:rsid w:val="00F15FD9"/>
    <w:rsid w:val="00F1619D"/>
    <w:rsid w:val="00F167BD"/>
    <w:rsid w:val="00F16F99"/>
    <w:rsid w:val="00F17D79"/>
    <w:rsid w:val="00F20453"/>
    <w:rsid w:val="00F20576"/>
    <w:rsid w:val="00F208EB"/>
    <w:rsid w:val="00F20E43"/>
    <w:rsid w:val="00F213EF"/>
    <w:rsid w:val="00F214EF"/>
    <w:rsid w:val="00F21C05"/>
    <w:rsid w:val="00F21F59"/>
    <w:rsid w:val="00F22281"/>
    <w:rsid w:val="00F229B8"/>
    <w:rsid w:val="00F22DBB"/>
    <w:rsid w:val="00F2392C"/>
    <w:rsid w:val="00F239FB"/>
    <w:rsid w:val="00F23E53"/>
    <w:rsid w:val="00F24837"/>
    <w:rsid w:val="00F24CE5"/>
    <w:rsid w:val="00F251C3"/>
    <w:rsid w:val="00F25415"/>
    <w:rsid w:val="00F2549B"/>
    <w:rsid w:val="00F255C1"/>
    <w:rsid w:val="00F2575F"/>
    <w:rsid w:val="00F25BAE"/>
    <w:rsid w:val="00F26370"/>
    <w:rsid w:val="00F2712A"/>
    <w:rsid w:val="00F2743E"/>
    <w:rsid w:val="00F27565"/>
    <w:rsid w:val="00F2791F"/>
    <w:rsid w:val="00F27BC9"/>
    <w:rsid w:val="00F3079A"/>
    <w:rsid w:val="00F30A5C"/>
    <w:rsid w:val="00F30A97"/>
    <w:rsid w:val="00F30D36"/>
    <w:rsid w:val="00F310D4"/>
    <w:rsid w:val="00F31117"/>
    <w:rsid w:val="00F315FE"/>
    <w:rsid w:val="00F31A2F"/>
    <w:rsid w:val="00F31BD2"/>
    <w:rsid w:val="00F31D5A"/>
    <w:rsid w:val="00F31EDA"/>
    <w:rsid w:val="00F336C4"/>
    <w:rsid w:val="00F33975"/>
    <w:rsid w:val="00F33C28"/>
    <w:rsid w:val="00F33C99"/>
    <w:rsid w:val="00F33DE9"/>
    <w:rsid w:val="00F33FD0"/>
    <w:rsid w:val="00F343FC"/>
    <w:rsid w:val="00F358BC"/>
    <w:rsid w:val="00F35CCB"/>
    <w:rsid w:val="00F35DD4"/>
    <w:rsid w:val="00F35E6D"/>
    <w:rsid w:val="00F3609C"/>
    <w:rsid w:val="00F3619A"/>
    <w:rsid w:val="00F3629E"/>
    <w:rsid w:val="00F362B8"/>
    <w:rsid w:val="00F36CCF"/>
    <w:rsid w:val="00F3720E"/>
    <w:rsid w:val="00F37964"/>
    <w:rsid w:val="00F37A03"/>
    <w:rsid w:val="00F37BF9"/>
    <w:rsid w:val="00F37D35"/>
    <w:rsid w:val="00F4031A"/>
    <w:rsid w:val="00F406DC"/>
    <w:rsid w:val="00F4076C"/>
    <w:rsid w:val="00F40AAA"/>
    <w:rsid w:val="00F40AE3"/>
    <w:rsid w:val="00F40BA7"/>
    <w:rsid w:val="00F40F9D"/>
    <w:rsid w:val="00F41ACD"/>
    <w:rsid w:val="00F41CFD"/>
    <w:rsid w:val="00F41F4A"/>
    <w:rsid w:val="00F42840"/>
    <w:rsid w:val="00F42CA7"/>
    <w:rsid w:val="00F430A0"/>
    <w:rsid w:val="00F43427"/>
    <w:rsid w:val="00F44416"/>
    <w:rsid w:val="00F444E5"/>
    <w:rsid w:val="00F44722"/>
    <w:rsid w:val="00F44ACA"/>
    <w:rsid w:val="00F452ED"/>
    <w:rsid w:val="00F455AF"/>
    <w:rsid w:val="00F46007"/>
    <w:rsid w:val="00F46575"/>
    <w:rsid w:val="00F46CB6"/>
    <w:rsid w:val="00F46F8C"/>
    <w:rsid w:val="00F4719C"/>
    <w:rsid w:val="00F4756D"/>
    <w:rsid w:val="00F47C4D"/>
    <w:rsid w:val="00F47D84"/>
    <w:rsid w:val="00F47DE8"/>
    <w:rsid w:val="00F50026"/>
    <w:rsid w:val="00F502BA"/>
    <w:rsid w:val="00F50512"/>
    <w:rsid w:val="00F50702"/>
    <w:rsid w:val="00F51463"/>
    <w:rsid w:val="00F51CB4"/>
    <w:rsid w:val="00F51CCB"/>
    <w:rsid w:val="00F52388"/>
    <w:rsid w:val="00F527EA"/>
    <w:rsid w:val="00F538B6"/>
    <w:rsid w:val="00F53F5D"/>
    <w:rsid w:val="00F5417F"/>
    <w:rsid w:val="00F542AA"/>
    <w:rsid w:val="00F542C1"/>
    <w:rsid w:val="00F54368"/>
    <w:rsid w:val="00F54AFA"/>
    <w:rsid w:val="00F55C9A"/>
    <w:rsid w:val="00F55E73"/>
    <w:rsid w:val="00F55EDA"/>
    <w:rsid w:val="00F55FC5"/>
    <w:rsid w:val="00F56A8E"/>
    <w:rsid w:val="00F56B32"/>
    <w:rsid w:val="00F56B5D"/>
    <w:rsid w:val="00F56C80"/>
    <w:rsid w:val="00F577C2"/>
    <w:rsid w:val="00F57CA9"/>
    <w:rsid w:val="00F60092"/>
    <w:rsid w:val="00F61144"/>
    <w:rsid w:val="00F6153A"/>
    <w:rsid w:val="00F6185A"/>
    <w:rsid w:val="00F61AD2"/>
    <w:rsid w:val="00F61C18"/>
    <w:rsid w:val="00F626BD"/>
    <w:rsid w:val="00F626D3"/>
    <w:rsid w:val="00F6293C"/>
    <w:rsid w:val="00F63401"/>
    <w:rsid w:val="00F6386F"/>
    <w:rsid w:val="00F6434D"/>
    <w:rsid w:val="00F64A0C"/>
    <w:rsid w:val="00F64E91"/>
    <w:rsid w:val="00F64E99"/>
    <w:rsid w:val="00F65055"/>
    <w:rsid w:val="00F655C8"/>
    <w:rsid w:val="00F65F4B"/>
    <w:rsid w:val="00F66F22"/>
    <w:rsid w:val="00F67063"/>
    <w:rsid w:val="00F67A69"/>
    <w:rsid w:val="00F704A2"/>
    <w:rsid w:val="00F708F3"/>
    <w:rsid w:val="00F70AFD"/>
    <w:rsid w:val="00F70BFF"/>
    <w:rsid w:val="00F70C9D"/>
    <w:rsid w:val="00F70EEF"/>
    <w:rsid w:val="00F70EF2"/>
    <w:rsid w:val="00F70F07"/>
    <w:rsid w:val="00F71286"/>
    <w:rsid w:val="00F713D3"/>
    <w:rsid w:val="00F714DE"/>
    <w:rsid w:val="00F7174E"/>
    <w:rsid w:val="00F71C70"/>
    <w:rsid w:val="00F7217F"/>
    <w:rsid w:val="00F72408"/>
    <w:rsid w:val="00F72DBA"/>
    <w:rsid w:val="00F735B3"/>
    <w:rsid w:val="00F73A0E"/>
    <w:rsid w:val="00F74074"/>
    <w:rsid w:val="00F741F6"/>
    <w:rsid w:val="00F745F0"/>
    <w:rsid w:val="00F74CD9"/>
    <w:rsid w:val="00F74E2B"/>
    <w:rsid w:val="00F74E5A"/>
    <w:rsid w:val="00F751FE"/>
    <w:rsid w:val="00F75A14"/>
    <w:rsid w:val="00F75B9D"/>
    <w:rsid w:val="00F762CF"/>
    <w:rsid w:val="00F764E7"/>
    <w:rsid w:val="00F768D8"/>
    <w:rsid w:val="00F76E00"/>
    <w:rsid w:val="00F76F27"/>
    <w:rsid w:val="00F77047"/>
    <w:rsid w:val="00F77453"/>
    <w:rsid w:val="00F8037C"/>
    <w:rsid w:val="00F80590"/>
    <w:rsid w:val="00F8079D"/>
    <w:rsid w:val="00F80A7B"/>
    <w:rsid w:val="00F80E5D"/>
    <w:rsid w:val="00F81816"/>
    <w:rsid w:val="00F81E78"/>
    <w:rsid w:val="00F82689"/>
    <w:rsid w:val="00F82A4C"/>
    <w:rsid w:val="00F82C5A"/>
    <w:rsid w:val="00F83813"/>
    <w:rsid w:val="00F83966"/>
    <w:rsid w:val="00F83E02"/>
    <w:rsid w:val="00F8470E"/>
    <w:rsid w:val="00F84CE4"/>
    <w:rsid w:val="00F84DF0"/>
    <w:rsid w:val="00F851CE"/>
    <w:rsid w:val="00F85DF5"/>
    <w:rsid w:val="00F85E26"/>
    <w:rsid w:val="00F85F1F"/>
    <w:rsid w:val="00F864F9"/>
    <w:rsid w:val="00F867F8"/>
    <w:rsid w:val="00F86D05"/>
    <w:rsid w:val="00F87E7D"/>
    <w:rsid w:val="00F900D3"/>
    <w:rsid w:val="00F901C0"/>
    <w:rsid w:val="00F9024D"/>
    <w:rsid w:val="00F90613"/>
    <w:rsid w:val="00F9076E"/>
    <w:rsid w:val="00F90D18"/>
    <w:rsid w:val="00F91123"/>
    <w:rsid w:val="00F91163"/>
    <w:rsid w:val="00F91219"/>
    <w:rsid w:val="00F91277"/>
    <w:rsid w:val="00F917F6"/>
    <w:rsid w:val="00F9187D"/>
    <w:rsid w:val="00F918AF"/>
    <w:rsid w:val="00F92444"/>
    <w:rsid w:val="00F92498"/>
    <w:rsid w:val="00F92685"/>
    <w:rsid w:val="00F9393E"/>
    <w:rsid w:val="00F93CF7"/>
    <w:rsid w:val="00F94363"/>
    <w:rsid w:val="00F94747"/>
    <w:rsid w:val="00F94870"/>
    <w:rsid w:val="00F94CCF"/>
    <w:rsid w:val="00F95C78"/>
    <w:rsid w:val="00F96FD0"/>
    <w:rsid w:val="00F97579"/>
    <w:rsid w:val="00F97635"/>
    <w:rsid w:val="00F97A08"/>
    <w:rsid w:val="00F97A78"/>
    <w:rsid w:val="00F97C07"/>
    <w:rsid w:val="00F97CAC"/>
    <w:rsid w:val="00FA034F"/>
    <w:rsid w:val="00FA094F"/>
    <w:rsid w:val="00FA0B20"/>
    <w:rsid w:val="00FA0DDA"/>
    <w:rsid w:val="00FA0F98"/>
    <w:rsid w:val="00FA11C3"/>
    <w:rsid w:val="00FA15BA"/>
    <w:rsid w:val="00FA1D1A"/>
    <w:rsid w:val="00FA24E7"/>
    <w:rsid w:val="00FA2739"/>
    <w:rsid w:val="00FA2B46"/>
    <w:rsid w:val="00FA331F"/>
    <w:rsid w:val="00FA33B6"/>
    <w:rsid w:val="00FA3491"/>
    <w:rsid w:val="00FA3573"/>
    <w:rsid w:val="00FA468F"/>
    <w:rsid w:val="00FA474E"/>
    <w:rsid w:val="00FA5074"/>
    <w:rsid w:val="00FA5376"/>
    <w:rsid w:val="00FA5EE6"/>
    <w:rsid w:val="00FA661C"/>
    <w:rsid w:val="00FA7744"/>
    <w:rsid w:val="00FA7956"/>
    <w:rsid w:val="00FA7F9D"/>
    <w:rsid w:val="00FB0247"/>
    <w:rsid w:val="00FB0D04"/>
    <w:rsid w:val="00FB12B0"/>
    <w:rsid w:val="00FB1398"/>
    <w:rsid w:val="00FB141A"/>
    <w:rsid w:val="00FB2643"/>
    <w:rsid w:val="00FB26FD"/>
    <w:rsid w:val="00FB2D37"/>
    <w:rsid w:val="00FB2E30"/>
    <w:rsid w:val="00FB2FCB"/>
    <w:rsid w:val="00FB30EE"/>
    <w:rsid w:val="00FB311A"/>
    <w:rsid w:val="00FB37F8"/>
    <w:rsid w:val="00FB4000"/>
    <w:rsid w:val="00FB492D"/>
    <w:rsid w:val="00FB560C"/>
    <w:rsid w:val="00FB59C1"/>
    <w:rsid w:val="00FB5BF5"/>
    <w:rsid w:val="00FB63F7"/>
    <w:rsid w:val="00FB6968"/>
    <w:rsid w:val="00FB721F"/>
    <w:rsid w:val="00FB7664"/>
    <w:rsid w:val="00FB766B"/>
    <w:rsid w:val="00FB7C55"/>
    <w:rsid w:val="00FB7EAC"/>
    <w:rsid w:val="00FB7F9F"/>
    <w:rsid w:val="00FC013B"/>
    <w:rsid w:val="00FC0513"/>
    <w:rsid w:val="00FC1074"/>
    <w:rsid w:val="00FC1280"/>
    <w:rsid w:val="00FC16B1"/>
    <w:rsid w:val="00FC1884"/>
    <w:rsid w:val="00FC18C4"/>
    <w:rsid w:val="00FC1B2F"/>
    <w:rsid w:val="00FC1C8D"/>
    <w:rsid w:val="00FC28F8"/>
    <w:rsid w:val="00FC323C"/>
    <w:rsid w:val="00FC33B3"/>
    <w:rsid w:val="00FC34AD"/>
    <w:rsid w:val="00FC371D"/>
    <w:rsid w:val="00FC417B"/>
    <w:rsid w:val="00FC4618"/>
    <w:rsid w:val="00FC5E53"/>
    <w:rsid w:val="00FC5E5F"/>
    <w:rsid w:val="00FC5F0B"/>
    <w:rsid w:val="00FC69FE"/>
    <w:rsid w:val="00FC7128"/>
    <w:rsid w:val="00FC7308"/>
    <w:rsid w:val="00FD016A"/>
    <w:rsid w:val="00FD024F"/>
    <w:rsid w:val="00FD0493"/>
    <w:rsid w:val="00FD063A"/>
    <w:rsid w:val="00FD074C"/>
    <w:rsid w:val="00FD088B"/>
    <w:rsid w:val="00FD0C49"/>
    <w:rsid w:val="00FD15A8"/>
    <w:rsid w:val="00FD19AB"/>
    <w:rsid w:val="00FD19BE"/>
    <w:rsid w:val="00FD20E3"/>
    <w:rsid w:val="00FD2100"/>
    <w:rsid w:val="00FD2597"/>
    <w:rsid w:val="00FD288B"/>
    <w:rsid w:val="00FD2A37"/>
    <w:rsid w:val="00FD30D2"/>
    <w:rsid w:val="00FD371D"/>
    <w:rsid w:val="00FD4253"/>
    <w:rsid w:val="00FD436C"/>
    <w:rsid w:val="00FD446D"/>
    <w:rsid w:val="00FD486F"/>
    <w:rsid w:val="00FD4D35"/>
    <w:rsid w:val="00FD4F2C"/>
    <w:rsid w:val="00FD4FB3"/>
    <w:rsid w:val="00FD5761"/>
    <w:rsid w:val="00FD5A3E"/>
    <w:rsid w:val="00FD5A74"/>
    <w:rsid w:val="00FD5CF3"/>
    <w:rsid w:val="00FD61E0"/>
    <w:rsid w:val="00FD6394"/>
    <w:rsid w:val="00FD6E86"/>
    <w:rsid w:val="00FD7202"/>
    <w:rsid w:val="00FD77A4"/>
    <w:rsid w:val="00FE07F2"/>
    <w:rsid w:val="00FE0921"/>
    <w:rsid w:val="00FE0A58"/>
    <w:rsid w:val="00FE0DA5"/>
    <w:rsid w:val="00FE0E6C"/>
    <w:rsid w:val="00FE0FA6"/>
    <w:rsid w:val="00FE10D2"/>
    <w:rsid w:val="00FE1CDC"/>
    <w:rsid w:val="00FE1FB6"/>
    <w:rsid w:val="00FE2659"/>
    <w:rsid w:val="00FE2B71"/>
    <w:rsid w:val="00FE2FF2"/>
    <w:rsid w:val="00FE3444"/>
    <w:rsid w:val="00FE37DE"/>
    <w:rsid w:val="00FE4750"/>
    <w:rsid w:val="00FE4783"/>
    <w:rsid w:val="00FE507C"/>
    <w:rsid w:val="00FE51C1"/>
    <w:rsid w:val="00FE58A8"/>
    <w:rsid w:val="00FE5CCB"/>
    <w:rsid w:val="00FE6A40"/>
    <w:rsid w:val="00FE70C3"/>
    <w:rsid w:val="00FE7138"/>
    <w:rsid w:val="00FF08B4"/>
    <w:rsid w:val="00FF09F6"/>
    <w:rsid w:val="00FF0E4A"/>
    <w:rsid w:val="00FF1213"/>
    <w:rsid w:val="00FF1571"/>
    <w:rsid w:val="00FF160A"/>
    <w:rsid w:val="00FF1E13"/>
    <w:rsid w:val="00FF2092"/>
    <w:rsid w:val="00FF22C7"/>
    <w:rsid w:val="00FF235A"/>
    <w:rsid w:val="00FF238D"/>
    <w:rsid w:val="00FF251A"/>
    <w:rsid w:val="00FF260D"/>
    <w:rsid w:val="00FF2690"/>
    <w:rsid w:val="00FF2778"/>
    <w:rsid w:val="00FF2AD9"/>
    <w:rsid w:val="00FF2C23"/>
    <w:rsid w:val="00FF359F"/>
    <w:rsid w:val="00FF383B"/>
    <w:rsid w:val="00FF3AA9"/>
    <w:rsid w:val="00FF3DCF"/>
    <w:rsid w:val="00FF492C"/>
    <w:rsid w:val="00FF49A3"/>
    <w:rsid w:val="00FF4A21"/>
    <w:rsid w:val="00FF4B83"/>
    <w:rsid w:val="00FF4F18"/>
    <w:rsid w:val="00FF5162"/>
    <w:rsid w:val="00FF5570"/>
    <w:rsid w:val="00FF56BE"/>
    <w:rsid w:val="00FF58F1"/>
    <w:rsid w:val="00FF5AA3"/>
    <w:rsid w:val="00FF5AD8"/>
    <w:rsid w:val="00FF77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uiPriority w:val="9"/>
    <w:qFormat/>
    <w:rsid w:val="001B204E"/>
    <w:pPr>
      <w:outlineLvl w:val="1"/>
    </w:pPr>
    <w:rPr>
      <w:b/>
      <w:i/>
      <w:sz w:val="28"/>
    </w:rPr>
  </w:style>
  <w:style w:type="paragraph" w:styleId="Heading3">
    <w:name w:val="heading 3"/>
    <w:basedOn w:val="Normal"/>
    <w:next w:val="Normal"/>
    <w:uiPriority w:val="9"/>
    <w:qFormat/>
    <w:rsid w:val="003C5A22"/>
    <w:pPr>
      <w:spacing w:after="120"/>
      <w:outlineLvl w:val="2"/>
    </w:pPr>
    <w:rPr>
      <w:u w:val="single"/>
    </w:rPr>
  </w:style>
  <w:style w:type="paragraph" w:styleId="Heading4">
    <w:name w:val="heading 4"/>
    <w:basedOn w:val="Normal"/>
    <w:next w:val="Normal"/>
    <w:uiPriority w:val="9"/>
    <w:qFormat/>
    <w:rsid w:val="00124A51"/>
    <w:pPr>
      <w:keepNext/>
      <w:spacing w:before="240" w:after="60"/>
      <w:outlineLvl w:val="3"/>
    </w:pPr>
    <w:rPr>
      <w:b/>
      <w:bCs/>
      <w:i/>
      <w:sz w:val="26"/>
      <w:szCs w:val="28"/>
    </w:rPr>
  </w:style>
  <w:style w:type="paragraph" w:styleId="Heading5">
    <w:name w:val="heading 5"/>
    <w:basedOn w:val="Normal"/>
    <w:next w:val="Normal"/>
    <w:uiPriority w:val="9"/>
    <w:qFormat/>
    <w:rsid w:val="00124A51"/>
    <w:pPr>
      <w:spacing w:before="240" w:after="60"/>
      <w:outlineLvl w:val="4"/>
    </w:pPr>
    <w:rPr>
      <w:b/>
      <w:bCs/>
      <w:iCs/>
      <w:sz w:val="26"/>
      <w:szCs w:val="26"/>
    </w:rPr>
  </w:style>
  <w:style w:type="paragraph" w:styleId="Heading6">
    <w:name w:val="heading 6"/>
    <w:basedOn w:val="Normal"/>
    <w:next w:val="Normal"/>
    <w:uiPriority w:val="9"/>
    <w:qFormat/>
    <w:rsid w:val="00124A51"/>
    <w:pPr>
      <w:spacing w:before="240" w:after="60"/>
      <w:outlineLvl w:val="5"/>
    </w:pPr>
    <w:rPr>
      <w:b/>
      <w:bCs/>
      <w:i/>
    </w:rPr>
  </w:style>
  <w:style w:type="paragraph" w:styleId="Heading7">
    <w:name w:val="heading 7"/>
    <w:basedOn w:val="Normal"/>
    <w:next w:val="Normal"/>
    <w:link w:val="Heading7Char"/>
    <w:uiPriority w:val="9"/>
    <w:qFormat/>
    <w:rsid w:val="00124A51"/>
    <w:pPr>
      <w:keepNext/>
      <w:jc w:val="center"/>
      <w:outlineLvl w:val="6"/>
    </w:pPr>
    <w:rPr>
      <w:b/>
      <w:sz w:val="20"/>
    </w:rPr>
  </w:style>
  <w:style w:type="paragraph" w:styleId="Heading8">
    <w:name w:val="heading 8"/>
    <w:basedOn w:val="Normal"/>
    <w:next w:val="Normal"/>
    <w:link w:val="Heading8Char"/>
    <w:uiPriority w:val="9"/>
    <w:qFormat/>
    <w:rsid w:val="00124A51"/>
    <w:pPr>
      <w:keepNext/>
      <w:jc w:val="right"/>
      <w:outlineLvl w:val="7"/>
    </w:pPr>
    <w:rPr>
      <w:b/>
    </w:rPr>
  </w:style>
  <w:style w:type="paragraph" w:styleId="Heading9">
    <w:name w:val="heading 9"/>
    <w:basedOn w:val="Normal"/>
    <w:next w:val="Normal"/>
    <w:link w:val="Heading9Char"/>
    <w:uiPriority w:val="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1,Section 5,Bullet 1,Bullet List,Figure_name,Numbered Indented Text,Bullet- First level,lp1,L"/>
    <w:next w:val="ListBullet"/>
    <w:link w:val="ListParagraphChar"/>
    <w:uiPriority w:val="34"/>
    <w:qFormat/>
    <w:rsid w:val="00BB00B3"/>
    <w:pPr>
      <w:numPr>
        <w:ilvl w:val="3"/>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1 Char,Section 5 Char,Bullet 1 Char,lp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Header Table,NICE instructions,Source table_,HealthConsult"/>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044AB5"/>
    <w:pPr>
      <w:tabs>
        <w:tab w:val="left" w:pos="440"/>
        <w:tab w:val="right" w:leader="dot" w:pos="9016"/>
      </w:tabs>
      <w:spacing w:after="120"/>
      <w:jc w:val="left"/>
    </w:pPr>
    <w:rPr>
      <w:bCs/>
      <w:sz w:val="20"/>
    </w:rPr>
  </w:style>
  <w:style w:type="character" w:styleId="Hyperlink">
    <w:name w:val="Hyperlink"/>
    <w:aliases w:val="Hyperlink - H39"/>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uiPriority w:val="3"/>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contextualSpacing/>
    </w:pPr>
  </w:style>
  <w:style w:type="character" w:customStyle="1" w:styleId="TableTextChar0">
    <w:name w:val="Table Text Char"/>
    <w:basedOn w:val="DefaultParagraphFont"/>
    <w:link w:val="TableText0"/>
    <w:uiPriority w:val="3"/>
    <w:rsid w:val="00EE1996"/>
    <w:rPr>
      <w:rFonts w:ascii="Arial Narrow" w:eastAsiaTheme="majorEastAsia" w:hAnsi="Arial Narrow" w:cstheme="majorBidi"/>
      <w:bCs/>
      <w:szCs w:val="24"/>
    </w:rPr>
  </w:style>
  <w:style w:type="character" w:customStyle="1" w:styleId="FontHighlight">
    <w:name w:val="Font Highlight"/>
    <w:basedOn w:val="DefaultParagraphFont"/>
    <w:uiPriority w:val="2"/>
    <w:qFormat/>
    <w:rsid w:val="00E550AA"/>
    <w:rPr>
      <w:rFonts w:ascii="Calibri" w:hAnsi="Calibri"/>
      <w:sz w:val="22"/>
      <w:bdr w:val="none" w:sz="0" w:space="0" w:color="auto"/>
      <w:shd w:val="clear" w:color="auto" w:fill="FFFF00"/>
    </w:rPr>
  </w:style>
  <w:style w:type="table" w:customStyle="1" w:styleId="Submissionstandard">
    <w:name w:val="Submission standard"/>
    <w:basedOn w:val="TableNormal"/>
    <w:uiPriority w:val="99"/>
    <w:qFormat/>
    <w:rsid w:val="00BB3AF7"/>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Times New Roman (Body CS)" w:hAnsi="Times New Roman (Body CS)"/>
        <w:b/>
        <w:sz w:val="20"/>
      </w:rPr>
      <w:tblPr/>
      <w:tcPr>
        <w:shd w:val="clear" w:color="auto" w:fill="BFBFBF" w:themeFill="background1" w:themeFillShade="BF"/>
      </w:tcPr>
    </w:tblStylePr>
  </w:style>
  <w:style w:type="paragraph" w:styleId="FootnoteText">
    <w:name w:val="footnote text"/>
    <w:basedOn w:val="Normal"/>
    <w:link w:val="FootnoteTextChar"/>
    <w:unhideWhenUsed/>
    <w:rsid w:val="008A6F83"/>
    <w:rPr>
      <w:sz w:val="20"/>
      <w:szCs w:val="20"/>
    </w:rPr>
  </w:style>
  <w:style w:type="character" w:customStyle="1" w:styleId="FootnoteTextChar">
    <w:name w:val="Footnote Text Char"/>
    <w:basedOn w:val="DefaultParagraphFont"/>
    <w:link w:val="FootnoteText"/>
    <w:rsid w:val="008A6F83"/>
    <w:rPr>
      <w:rFonts w:ascii="Calibri" w:hAnsi="Calibri" w:cs="Arial"/>
    </w:rPr>
  </w:style>
  <w:style w:type="character" w:styleId="FootnoteReference">
    <w:name w:val="footnote reference"/>
    <w:basedOn w:val="DefaultParagraphFont"/>
    <w:uiPriority w:val="99"/>
    <w:semiHidden/>
    <w:unhideWhenUsed/>
    <w:rsid w:val="008A6F83"/>
    <w:rPr>
      <w:vertAlign w:val="superscript"/>
    </w:rPr>
  </w:style>
  <w:style w:type="paragraph" w:customStyle="1" w:styleId="Bulletlist1">
    <w:name w:val="Bullet list 1"/>
    <w:basedOn w:val="Normal"/>
    <w:qFormat/>
    <w:rsid w:val="00AF4175"/>
    <w:pPr>
      <w:keepLines/>
      <w:numPr>
        <w:numId w:val="5"/>
      </w:numPr>
      <w:spacing w:before="120" w:after="120" w:line="360" w:lineRule="auto"/>
      <w:jc w:val="left"/>
    </w:pPr>
    <w:rPr>
      <w:rFonts w:ascii="Arial" w:eastAsiaTheme="minorHAnsi" w:hAnsi="Arial"/>
      <w:sz w:val="22"/>
      <w:szCs w:val="22"/>
      <w:lang w:val="en-GB" w:eastAsia="en-US"/>
    </w:rPr>
  </w:style>
  <w:style w:type="table" w:customStyle="1" w:styleId="TableGrid1">
    <w:name w:val="Table Grid1"/>
    <w:basedOn w:val="TableNormal"/>
    <w:next w:val="TableGrid"/>
    <w:uiPriority w:val="59"/>
    <w:rsid w:val="009F5868"/>
    <w:rPr>
      <w:rFonts w:eastAsia="Batang"/>
      <w:lang w:val="en-US" w:eastAsia="en-US"/>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9F6194"/>
    <w:rPr>
      <w:color w:val="605E5C"/>
      <w:shd w:val="clear" w:color="auto" w:fill="E1DFDD"/>
    </w:rPr>
  </w:style>
  <w:style w:type="paragraph" w:customStyle="1" w:styleId="TableTextno">
    <w:name w:val="Table Text no"/>
    <w:basedOn w:val="Normal"/>
    <w:link w:val="TableTextnoChar"/>
    <w:uiPriority w:val="3"/>
    <w:qFormat/>
    <w:rsid w:val="00930E9A"/>
    <w:pPr>
      <w:keepNext/>
      <w:keepLines/>
      <w:spacing w:before="60" w:after="60"/>
      <w:jc w:val="left"/>
    </w:pPr>
    <w:rPr>
      <w:rFonts w:eastAsia="Calibri" w:cs="Times New Roman"/>
      <w:sz w:val="20"/>
      <w:szCs w:val="20"/>
      <w:lang w:val="en-US" w:eastAsia="en-US" w:bidi="en-US"/>
    </w:rPr>
  </w:style>
  <w:style w:type="character" w:customStyle="1" w:styleId="TableTextnoChar">
    <w:name w:val="Table Text no Char"/>
    <w:link w:val="TableTextno"/>
    <w:uiPriority w:val="3"/>
    <w:locked/>
    <w:rsid w:val="00930E9A"/>
    <w:rPr>
      <w:rFonts w:ascii="Calibri" w:eastAsia="Calibri" w:hAnsi="Calibri"/>
      <w:lang w:val="en-US" w:eastAsia="en-US" w:bidi="en-US"/>
    </w:rPr>
  </w:style>
  <w:style w:type="table" w:styleId="TableElegant">
    <w:name w:val="Table Elegant"/>
    <w:basedOn w:val="TableNormal"/>
    <w:uiPriority w:val="99"/>
    <w:unhideWhenUsed/>
    <w:rsid w:val="00930E9A"/>
    <w:pPr>
      <w:spacing w:before="60" w:after="60"/>
    </w:pPr>
    <w:rPr>
      <w:rFonts w:eastAsiaTheme="minorEastAsia" w:cstheme="minorBidi"/>
      <w:szCs w:val="24"/>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tcPr>
    <w:tblStylePr w:type="firstRow">
      <w:rPr>
        <w:rFonts w:ascii="Sabon" w:hAnsi="Sabon"/>
        <w:b/>
        <w:i w:val="0"/>
        <w:caps w:val="0"/>
        <w:smallCaps/>
        <w:color w:val="auto"/>
        <w:sz w:val="2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663075"/>
    <w:rPr>
      <w:color w:val="666666"/>
    </w:rPr>
  </w:style>
  <w:style w:type="paragraph" w:customStyle="1" w:styleId="TableNote">
    <w:name w:val="Table Note"/>
    <w:basedOn w:val="Normal"/>
    <w:uiPriority w:val="3"/>
    <w:qFormat/>
    <w:rsid w:val="00B16387"/>
    <w:pPr>
      <w:spacing w:before="60" w:after="60"/>
      <w:ind w:left="270" w:hanging="270"/>
      <w:jc w:val="left"/>
    </w:pPr>
    <w:rPr>
      <w:rFonts w:ascii="Times New Roman" w:eastAsia="Calibri" w:hAnsi="Times New Roman" w:cs="Times New Roman"/>
      <w:sz w:val="18"/>
      <w:szCs w:val="22"/>
      <w:lang w:val="en-US" w:eastAsia="en-US"/>
    </w:rPr>
  </w:style>
  <w:style w:type="paragraph" w:customStyle="1" w:styleId="BodyText1">
    <w:name w:val="Body Text1"/>
    <w:basedOn w:val="Normal"/>
    <w:link w:val="BodyText1Char"/>
    <w:qFormat/>
    <w:rsid w:val="002D6F5E"/>
    <w:pPr>
      <w:spacing w:before="120" w:after="120" w:line="360" w:lineRule="auto"/>
      <w:jc w:val="left"/>
    </w:pPr>
    <w:rPr>
      <w:rFonts w:ascii="Arial" w:eastAsiaTheme="minorHAnsi" w:hAnsi="Arial"/>
      <w:sz w:val="22"/>
      <w:szCs w:val="22"/>
      <w:lang w:val="en-GB" w:eastAsia="en-US"/>
    </w:rPr>
  </w:style>
  <w:style w:type="character" w:customStyle="1" w:styleId="BodyText1Char">
    <w:name w:val="Body Text1 Char"/>
    <w:basedOn w:val="DefaultParagraphFont"/>
    <w:link w:val="BodyText1"/>
    <w:rsid w:val="002D6F5E"/>
    <w:rPr>
      <w:rFonts w:ascii="Arial" w:eastAsiaTheme="minorHAnsi" w:hAnsi="Arial" w:cs="Arial"/>
      <w:sz w:val="22"/>
      <w:szCs w:val="22"/>
      <w:lang w:val="en-GB" w:eastAsia="en-US"/>
    </w:rPr>
  </w:style>
  <w:style w:type="character" w:customStyle="1" w:styleId="SmallBold">
    <w:name w:val="Small Bold"/>
    <w:basedOn w:val="DefaultParagraphFont"/>
    <w:uiPriority w:val="4"/>
    <w:qFormat/>
    <w:rsid w:val="00EA6441"/>
    <w:rPr>
      <w:rFonts w:ascii="Calibri" w:hAnsi="Calibri"/>
      <w:b/>
      <w:sz w:val="20"/>
      <w:lang w:val="en-AU"/>
    </w:rPr>
  </w:style>
  <w:style w:type="paragraph" w:customStyle="1" w:styleId="Reporttext">
    <w:name w:val="Report text"/>
    <w:basedOn w:val="Normal"/>
    <w:link w:val="ReporttextChar"/>
    <w:qFormat/>
    <w:rsid w:val="00AB5BE9"/>
    <w:pPr>
      <w:spacing w:after="120" w:line="380" w:lineRule="exact"/>
    </w:pPr>
    <w:rPr>
      <w:rFonts w:eastAsia="Calibri"/>
      <w:sz w:val="22"/>
      <w:szCs w:val="22"/>
      <w:lang w:val="en-GB" w:eastAsia="en-US"/>
      <w14:ligatures w14:val="standardContextual"/>
    </w:rPr>
  </w:style>
  <w:style w:type="character" w:customStyle="1" w:styleId="ReporttextChar">
    <w:name w:val="Report text Char"/>
    <w:link w:val="Reporttext"/>
    <w:rsid w:val="00AB5BE9"/>
    <w:rPr>
      <w:rFonts w:ascii="Calibri" w:eastAsia="Calibri" w:hAnsi="Calibri" w:cs="Arial"/>
      <w:sz w:val="22"/>
      <w:szCs w:val="22"/>
      <w:lang w:val="en-GB" w:eastAsia="en-US"/>
      <w14:ligatures w14:val="standardContextual"/>
    </w:rPr>
  </w:style>
  <w:style w:type="table" w:customStyle="1" w:styleId="Submissionstandard1">
    <w:name w:val="Submission standard1"/>
    <w:basedOn w:val="TableNormal"/>
    <w:uiPriority w:val="99"/>
    <w:qFormat/>
    <w:rsid w:val="009B33DA"/>
    <w:rPr>
      <w:rFonts w:ascii="Arial Narrow" w:eastAsiaTheme="majorEastAsia" w:hAnsi="Arial Narrow" w:cstheme="majorBidi"/>
      <w:szCs w:val="22"/>
      <w:lang w:val="en-US" w:eastAsia="en-US" w:bidi="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Times New Roman (Body CS)" w:hAnsi="Times New Roman (Body CS)"/>
        <w:b/>
        <w:sz w:val="20"/>
      </w:rPr>
      <w:tblPr/>
      <w:tcPr>
        <w:shd w:val="clear" w:color="auto" w:fill="BFBFBF" w:themeFill="background1" w:themeFillShade="BF"/>
      </w:tcPr>
    </w:tblStylePr>
  </w:style>
  <w:style w:type="paragraph" w:customStyle="1" w:styleId="ReporttextSource">
    <w:name w:val="Report text_Source"/>
    <w:basedOn w:val="Normal"/>
    <w:link w:val="ReporttextSourceChar"/>
    <w:qFormat/>
    <w:rsid w:val="003B50B2"/>
    <w:pPr>
      <w:spacing w:before="240" w:after="120" w:line="360" w:lineRule="auto"/>
    </w:pPr>
    <w:rPr>
      <w:rFonts w:asciiTheme="minorHAnsi" w:eastAsiaTheme="minorHAnsi" w:hAnsiTheme="minorHAnsi" w:cstheme="minorBidi"/>
      <w:sz w:val="22"/>
      <w:szCs w:val="22"/>
      <w:lang w:val="en-GB" w:eastAsia="en-US"/>
    </w:rPr>
  </w:style>
  <w:style w:type="character" w:customStyle="1" w:styleId="ReporttextSourceChar">
    <w:name w:val="Report text_Source Char"/>
    <w:basedOn w:val="DefaultParagraphFont"/>
    <w:link w:val="ReporttextSource"/>
    <w:rsid w:val="003B50B2"/>
    <w:rPr>
      <w:rFonts w:asciiTheme="minorHAnsi" w:eastAsiaTheme="minorHAnsi" w:hAnsiTheme="minorHAnsi" w:cstheme="minorBidi"/>
      <w:sz w:val="22"/>
      <w:szCs w:val="22"/>
      <w:lang w:val="en-GB" w:eastAsia="en-US"/>
    </w:rPr>
  </w:style>
  <w:style w:type="character" w:customStyle="1" w:styleId="UnresolvedMention1">
    <w:name w:val="Unresolved Mention1"/>
    <w:basedOn w:val="DefaultParagraphFont"/>
    <w:uiPriority w:val="99"/>
    <w:semiHidden/>
    <w:unhideWhenUsed/>
    <w:rsid w:val="00105F73"/>
    <w:rPr>
      <w:color w:val="605E5C"/>
      <w:shd w:val="clear" w:color="auto" w:fill="E1DFDD"/>
    </w:rPr>
  </w:style>
  <w:style w:type="paragraph" w:styleId="DocumentMap">
    <w:name w:val="Document Map"/>
    <w:basedOn w:val="Normal"/>
    <w:link w:val="DocumentMapChar"/>
    <w:semiHidden/>
    <w:unhideWhenUsed/>
    <w:rsid w:val="00105F73"/>
    <w:rPr>
      <w:rFonts w:ascii="Tahoma" w:hAnsi="Tahoma" w:cs="Tahoma"/>
      <w:sz w:val="16"/>
      <w:szCs w:val="16"/>
    </w:rPr>
  </w:style>
  <w:style w:type="character" w:customStyle="1" w:styleId="DocumentMapChar">
    <w:name w:val="Document Map Char"/>
    <w:basedOn w:val="DefaultParagraphFont"/>
    <w:link w:val="DocumentMap"/>
    <w:semiHidden/>
    <w:rsid w:val="00105F73"/>
    <w:rPr>
      <w:rFonts w:ascii="Tahoma" w:hAnsi="Tahoma" w:cs="Tahoma"/>
      <w:sz w:val="16"/>
      <w:szCs w:val="16"/>
    </w:rPr>
  </w:style>
  <w:style w:type="paragraph" w:customStyle="1" w:styleId="Default">
    <w:name w:val="Default"/>
    <w:rsid w:val="00CF1B9C"/>
    <w:pPr>
      <w:autoSpaceDE w:val="0"/>
      <w:autoSpaceDN w:val="0"/>
      <w:adjustRightInd w:val="0"/>
    </w:pPr>
    <w:rPr>
      <w:rFonts w:ascii="Cambria" w:hAnsi="Cambria" w:cs="Cambria"/>
      <w:color w:val="000000"/>
      <w:sz w:val="24"/>
      <w:szCs w:val="24"/>
    </w:rPr>
  </w:style>
  <w:style w:type="table" w:customStyle="1" w:styleId="TableGrid2">
    <w:name w:val="Table Grid2"/>
    <w:basedOn w:val="TableNormal"/>
    <w:next w:val="TableGrid"/>
    <w:uiPriority w:val="39"/>
    <w:rsid w:val="009F7575"/>
    <w:rPr>
      <w:rFonts w:ascii="Helvetica Neue" w:eastAsiaTheme="minorHAnsi" w:hAnsi="Helvetica Neue" w:cs="Times New Roman (Body CS)"/>
      <w:sz w:val="24"/>
      <w:szCs w:val="24"/>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30D99"/>
    <w:rPr>
      <w:rFonts w:ascii="Segoe UI" w:hAnsi="Segoe UI" w:cs="Segoe UI" w:hint="default"/>
      <w:sz w:val="18"/>
      <w:szCs w:val="18"/>
    </w:rPr>
  </w:style>
  <w:style w:type="paragraph" w:customStyle="1" w:styleId="3-SubsectionHeading">
    <w:name w:val="3-Subsection Heading"/>
    <w:basedOn w:val="Heading2"/>
    <w:next w:val="Normal"/>
    <w:link w:val="3-SubsectionHeadingChar"/>
    <w:qFormat/>
    <w:rsid w:val="00D12904"/>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D12904"/>
    <w:rPr>
      <w:rFonts w:asciiTheme="minorHAnsi" w:eastAsiaTheme="majorEastAsia" w:hAnsiTheme="minorHAnsi" w:cstheme="majorBidi"/>
      <w:b/>
      <w:i/>
      <w:snapToGrid/>
      <w:spacing w:val="5"/>
      <w:kern w:val="28"/>
      <w:sz w:val="28"/>
      <w:szCs w:val="36"/>
      <w:lang w:eastAsia="en-US"/>
    </w:rPr>
  </w:style>
  <w:style w:type="paragraph" w:customStyle="1" w:styleId="Numberbullet2">
    <w:name w:val="Number bullet 2"/>
    <w:basedOn w:val="ListBullet2"/>
    <w:qFormat/>
    <w:rsid w:val="00032452"/>
    <w:pPr>
      <w:numPr>
        <w:ilvl w:val="1"/>
      </w:numPr>
      <w:spacing w:before="120" w:after="180" w:line="240" w:lineRule="atLeast"/>
      <w:ind w:left="1080" w:hanging="360"/>
      <w:contextualSpacing w:val="0"/>
      <w:jc w:val="left"/>
    </w:pPr>
    <w:rPr>
      <w:rFonts w:ascii="Cambria" w:eastAsia="Cambria" w:hAnsi="Cambria" w:cs="Times New Roman"/>
      <w:sz w:val="22"/>
      <w:szCs w:val="22"/>
      <w:lang w:eastAsia="en-US"/>
    </w:rPr>
  </w:style>
  <w:style w:type="paragraph" w:customStyle="1" w:styleId="Numberbullet3">
    <w:name w:val="Number bullet 3"/>
    <w:basedOn w:val="ListBullet3"/>
    <w:qFormat/>
    <w:rsid w:val="00032452"/>
    <w:pPr>
      <w:numPr>
        <w:ilvl w:val="2"/>
        <w:numId w:val="45"/>
      </w:numPr>
      <w:spacing w:before="120" w:after="180" w:line="240" w:lineRule="atLeast"/>
      <w:ind w:left="1800" w:hanging="180"/>
      <w:contextualSpacing w:val="0"/>
      <w:jc w:val="left"/>
    </w:pPr>
    <w:rPr>
      <w:rFonts w:ascii="Cambria" w:eastAsia="Cambria" w:hAnsi="Cambria" w:cs="Times New Roman"/>
      <w:sz w:val="22"/>
      <w:szCs w:val="22"/>
      <w:lang w:eastAsia="en-US"/>
    </w:rPr>
  </w:style>
  <w:style w:type="numbering" w:customStyle="1" w:styleId="NumberBullet">
    <w:name w:val="NumberBullet"/>
    <w:uiPriority w:val="99"/>
    <w:locked/>
    <w:rsid w:val="00032452"/>
    <w:pPr>
      <w:numPr>
        <w:numId w:val="45"/>
      </w:numPr>
    </w:pPr>
  </w:style>
  <w:style w:type="paragraph" w:customStyle="1" w:styleId="COMH1numbered">
    <w:name w:val="COM H1 numbered"/>
    <w:next w:val="Normal"/>
    <w:link w:val="COMH1numberedChar"/>
    <w:qFormat/>
    <w:rsid w:val="00032452"/>
    <w:pPr>
      <w:keepNext/>
      <w:numPr>
        <w:numId w:val="45"/>
      </w:numPr>
      <w:spacing w:before="240" w:after="120"/>
      <w:outlineLvl w:val="0"/>
    </w:pPr>
    <w:rPr>
      <w:rFonts w:asciiTheme="minorHAnsi" w:hAnsiTheme="minorHAnsi" w:cs="Arial"/>
      <w:b/>
      <w:snapToGrid w:val="0"/>
      <w:sz w:val="32"/>
      <w:szCs w:val="32"/>
    </w:rPr>
  </w:style>
  <w:style w:type="character" w:customStyle="1" w:styleId="COMH1numberedChar">
    <w:name w:val="COM H1 numbered Char"/>
    <w:basedOn w:val="DefaultParagraphFont"/>
    <w:link w:val="COMH1numbered"/>
    <w:rsid w:val="00032452"/>
    <w:rPr>
      <w:rFonts w:asciiTheme="minorHAnsi" w:hAnsiTheme="minorHAnsi" w:cs="Arial"/>
      <w:b/>
      <w:snapToGrid w:val="0"/>
      <w:sz w:val="32"/>
      <w:szCs w:val="32"/>
    </w:rPr>
  </w:style>
  <w:style w:type="paragraph" w:styleId="ListBullet2">
    <w:name w:val="List Bullet 2"/>
    <w:basedOn w:val="Normal"/>
    <w:semiHidden/>
    <w:unhideWhenUsed/>
    <w:rsid w:val="00032452"/>
    <w:pPr>
      <w:ind w:left="425" w:hanging="425"/>
      <w:contextualSpacing/>
    </w:pPr>
  </w:style>
  <w:style w:type="paragraph" w:styleId="ListBullet3">
    <w:name w:val="List Bullet 3"/>
    <w:basedOn w:val="Normal"/>
    <w:semiHidden/>
    <w:unhideWhenUsed/>
    <w:rsid w:val="00032452"/>
    <w:pPr>
      <w:tabs>
        <w:tab w:val="num" w:pos="36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366">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40581681">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34262857">
      <w:bodyDiv w:val="1"/>
      <w:marLeft w:val="0"/>
      <w:marRight w:val="0"/>
      <w:marTop w:val="0"/>
      <w:marBottom w:val="0"/>
      <w:divBdr>
        <w:top w:val="none" w:sz="0" w:space="0" w:color="auto"/>
        <w:left w:val="none" w:sz="0" w:space="0" w:color="auto"/>
        <w:bottom w:val="none" w:sz="0" w:space="0" w:color="auto"/>
        <w:right w:val="none" w:sz="0" w:space="0" w:color="auto"/>
      </w:divBdr>
    </w:div>
    <w:div w:id="335350049">
      <w:bodyDiv w:val="1"/>
      <w:marLeft w:val="0"/>
      <w:marRight w:val="0"/>
      <w:marTop w:val="0"/>
      <w:marBottom w:val="0"/>
      <w:divBdr>
        <w:top w:val="none" w:sz="0" w:space="0" w:color="auto"/>
        <w:left w:val="none" w:sz="0" w:space="0" w:color="auto"/>
        <w:bottom w:val="none" w:sz="0" w:space="0" w:color="auto"/>
        <w:right w:val="none" w:sz="0" w:space="0" w:color="auto"/>
      </w:divBdr>
    </w:div>
    <w:div w:id="427702275">
      <w:bodyDiv w:val="1"/>
      <w:marLeft w:val="0"/>
      <w:marRight w:val="0"/>
      <w:marTop w:val="0"/>
      <w:marBottom w:val="0"/>
      <w:divBdr>
        <w:top w:val="none" w:sz="0" w:space="0" w:color="auto"/>
        <w:left w:val="none" w:sz="0" w:space="0" w:color="auto"/>
        <w:bottom w:val="none" w:sz="0" w:space="0" w:color="auto"/>
        <w:right w:val="none" w:sz="0" w:space="0" w:color="auto"/>
      </w:divBdr>
    </w:div>
    <w:div w:id="437260424">
      <w:bodyDiv w:val="1"/>
      <w:marLeft w:val="0"/>
      <w:marRight w:val="0"/>
      <w:marTop w:val="0"/>
      <w:marBottom w:val="0"/>
      <w:divBdr>
        <w:top w:val="none" w:sz="0" w:space="0" w:color="auto"/>
        <w:left w:val="none" w:sz="0" w:space="0" w:color="auto"/>
        <w:bottom w:val="none" w:sz="0" w:space="0" w:color="auto"/>
        <w:right w:val="none" w:sz="0" w:space="0" w:color="auto"/>
      </w:divBdr>
    </w:div>
    <w:div w:id="487748389">
      <w:bodyDiv w:val="1"/>
      <w:marLeft w:val="0"/>
      <w:marRight w:val="0"/>
      <w:marTop w:val="0"/>
      <w:marBottom w:val="0"/>
      <w:divBdr>
        <w:top w:val="none" w:sz="0" w:space="0" w:color="auto"/>
        <w:left w:val="none" w:sz="0" w:space="0" w:color="auto"/>
        <w:bottom w:val="none" w:sz="0" w:space="0" w:color="auto"/>
        <w:right w:val="none" w:sz="0" w:space="0" w:color="auto"/>
      </w:divBdr>
    </w:div>
    <w:div w:id="494614467">
      <w:bodyDiv w:val="1"/>
      <w:marLeft w:val="0"/>
      <w:marRight w:val="0"/>
      <w:marTop w:val="0"/>
      <w:marBottom w:val="0"/>
      <w:divBdr>
        <w:top w:val="none" w:sz="0" w:space="0" w:color="auto"/>
        <w:left w:val="none" w:sz="0" w:space="0" w:color="auto"/>
        <w:bottom w:val="none" w:sz="0" w:space="0" w:color="auto"/>
        <w:right w:val="none" w:sz="0" w:space="0" w:color="auto"/>
      </w:divBdr>
      <w:divsChild>
        <w:div w:id="201745185">
          <w:marLeft w:val="1166"/>
          <w:marRight w:val="0"/>
          <w:marTop w:val="62"/>
          <w:marBottom w:val="0"/>
          <w:divBdr>
            <w:top w:val="none" w:sz="0" w:space="0" w:color="auto"/>
            <w:left w:val="none" w:sz="0" w:space="0" w:color="auto"/>
            <w:bottom w:val="none" w:sz="0" w:space="0" w:color="auto"/>
            <w:right w:val="none" w:sz="0" w:space="0" w:color="auto"/>
          </w:divBdr>
        </w:div>
      </w:divsChild>
    </w:div>
    <w:div w:id="509832871">
      <w:bodyDiv w:val="1"/>
      <w:marLeft w:val="0"/>
      <w:marRight w:val="0"/>
      <w:marTop w:val="0"/>
      <w:marBottom w:val="0"/>
      <w:divBdr>
        <w:top w:val="none" w:sz="0" w:space="0" w:color="auto"/>
        <w:left w:val="none" w:sz="0" w:space="0" w:color="auto"/>
        <w:bottom w:val="none" w:sz="0" w:space="0" w:color="auto"/>
        <w:right w:val="none" w:sz="0" w:space="0" w:color="auto"/>
      </w:divBdr>
    </w:div>
    <w:div w:id="611671730">
      <w:bodyDiv w:val="1"/>
      <w:marLeft w:val="0"/>
      <w:marRight w:val="0"/>
      <w:marTop w:val="0"/>
      <w:marBottom w:val="0"/>
      <w:divBdr>
        <w:top w:val="none" w:sz="0" w:space="0" w:color="auto"/>
        <w:left w:val="none" w:sz="0" w:space="0" w:color="auto"/>
        <w:bottom w:val="none" w:sz="0" w:space="0" w:color="auto"/>
        <w:right w:val="none" w:sz="0" w:space="0" w:color="auto"/>
      </w:divBdr>
    </w:div>
    <w:div w:id="678236170">
      <w:bodyDiv w:val="1"/>
      <w:marLeft w:val="0"/>
      <w:marRight w:val="0"/>
      <w:marTop w:val="0"/>
      <w:marBottom w:val="0"/>
      <w:divBdr>
        <w:top w:val="none" w:sz="0" w:space="0" w:color="auto"/>
        <w:left w:val="none" w:sz="0" w:space="0" w:color="auto"/>
        <w:bottom w:val="none" w:sz="0" w:space="0" w:color="auto"/>
        <w:right w:val="none" w:sz="0" w:space="0" w:color="auto"/>
      </w:divBdr>
    </w:div>
    <w:div w:id="923152414">
      <w:bodyDiv w:val="1"/>
      <w:marLeft w:val="0"/>
      <w:marRight w:val="0"/>
      <w:marTop w:val="0"/>
      <w:marBottom w:val="0"/>
      <w:divBdr>
        <w:top w:val="none" w:sz="0" w:space="0" w:color="auto"/>
        <w:left w:val="none" w:sz="0" w:space="0" w:color="auto"/>
        <w:bottom w:val="none" w:sz="0" w:space="0" w:color="auto"/>
        <w:right w:val="none" w:sz="0" w:space="0" w:color="auto"/>
      </w:divBdr>
    </w:div>
    <w:div w:id="970747383">
      <w:bodyDiv w:val="1"/>
      <w:marLeft w:val="0"/>
      <w:marRight w:val="0"/>
      <w:marTop w:val="0"/>
      <w:marBottom w:val="0"/>
      <w:divBdr>
        <w:top w:val="none" w:sz="0" w:space="0" w:color="auto"/>
        <w:left w:val="none" w:sz="0" w:space="0" w:color="auto"/>
        <w:bottom w:val="none" w:sz="0" w:space="0" w:color="auto"/>
        <w:right w:val="none" w:sz="0" w:space="0" w:color="auto"/>
      </w:divBdr>
    </w:div>
    <w:div w:id="976960196">
      <w:bodyDiv w:val="1"/>
      <w:marLeft w:val="0"/>
      <w:marRight w:val="0"/>
      <w:marTop w:val="0"/>
      <w:marBottom w:val="0"/>
      <w:divBdr>
        <w:top w:val="none" w:sz="0" w:space="0" w:color="auto"/>
        <w:left w:val="none" w:sz="0" w:space="0" w:color="auto"/>
        <w:bottom w:val="none" w:sz="0" w:space="0" w:color="auto"/>
        <w:right w:val="none" w:sz="0" w:space="0" w:color="auto"/>
      </w:divBdr>
    </w:div>
    <w:div w:id="1004473138">
      <w:bodyDiv w:val="1"/>
      <w:marLeft w:val="0"/>
      <w:marRight w:val="0"/>
      <w:marTop w:val="0"/>
      <w:marBottom w:val="0"/>
      <w:divBdr>
        <w:top w:val="none" w:sz="0" w:space="0" w:color="auto"/>
        <w:left w:val="none" w:sz="0" w:space="0" w:color="auto"/>
        <w:bottom w:val="none" w:sz="0" w:space="0" w:color="auto"/>
        <w:right w:val="none" w:sz="0" w:space="0" w:color="auto"/>
      </w:divBdr>
    </w:div>
    <w:div w:id="1172139061">
      <w:bodyDiv w:val="1"/>
      <w:marLeft w:val="0"/>
      <w:marRight w:val="0"/>
      <w:marTop w:val="0"/>
      <w:marBottom w:val="0"/>
      <w:divBdr>
        <w:top w:val="none" w:sz="0" w:space="0" w:color="auto"/>
        <w:left w:val="none" w:sz="0" w:space="0" w:color="auto"/>
        <w:bottom w:val="none" w:sz="0" w:space="0" w:color="auto"/>
        <w:right w:val="none" w:sz="0" w:space="0" w:color="auto"/>
      </w:divBdr>
      <w:divsChild>
        <w:div w:id="242839308">
          <w:marLeft w:val="0"/>
          <w:marRight w:val="0"/>
          <w:marTop w:val="0"/>
          <w:marBottom w:val="0"/>
          <w:divBdr>
            <w:top w:val="none" w:sz="0" w:space="0" w:color="auto"/>
            <w:left w:val="none" w:sz="0" w:space="0" w:color="auto"/>
            <w:bottom w:val="none" w:sz="0" w:space="0" w:color="auto"/>
            <w:right w:val="none" w:sz="0" w:space="0" w:color="auto"/>
          </w:divBdr>
        </w:div>
        <w:div w:id="447968860">
          <w:marLeft w:val="0"/>
          <w:marRight w:val="0"/>
          <w:marTop w:val="0"/>
          <w:marBottom w:val="0"/>
          <w:divBdr>
            <w:top w:val="none" w:sz="0" w:space="0" w:color="auto"/>
            <w:left w:val="none" w:sz="0" w:space="0" w:color="auto"/>
            <w:bottom w:val="none" w:sz="0" w:space="0" w:color="auto"/>
            <w:right w:val="none" w:sz="0" w:space="0" w:color="auto"/>
          </w:divBdr>
          <w:divsChild>
            <w:div w:id="148219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6770">
      <w:bodyDiv w:val="1"/>
      <w:marLeft w:val="0"/>
      <w:marRight w:val="0"/>
      <w:marTop w:val="0"/>
      <w:marBottom w:val="0"/>
      <w:divBdr>
        <w:top w:val="none" w:sz="0" w:space="0" w:color="auto"/>
        <w:left w:val="none" w:sz="0" w:space="0" w:color="auto"/>
        <w:bottom w:val="none" w:sz="0" w:space="0" w:color="auto"/>
        <w:right w:val="none" w:sz="0" w:space="0" w:color="auto"/>
      </w:divBdr>
    </w:div>
    <w:div w:id="1260065098">
      <w:bodyDiv w:val="1"/>
      <w:marLeft w:val="0"/>
      <w:marRight w:val="0"/>
      <w:marTop w:val="0"/>
      <w:marBottom w:val="0"/>
      <w:divBdr>
        <w:top w:val="none" w:sz="0" w:space="0" w:color="auto"/>
        <w:left w:val="none" w:sz="0" w:space="0" w:color="auto"/>
        <w:bottom w:val="none" w:sz="0" w:space="0" w:color="auto"/>
        <w:right w:val="none" w:sz="0" w:space="0" w:color="auto"/>
      </w:divBdr>
    </w:div>
    <w:div w:id="1507668162">
      <w:bodyDiv w:val="1"/>
      <w:marLeft w:val="0"/>
      <w:marRight w:val="0"/>
      <w:marTop w:val="0"/>
      <w:marBottom w:val="0"/>
      <w:divBdr>
        <w:top w:val="none" w:sz="0" w:space="0" w:color="auto"/>
        <w:left w:val="none" w:sz="0" w:space="0" w:color="auto"/>
        <w:bottom w:val="none" w:sz="0" w:space="0" w:color="auto"/>
        <w:right w:val="none" w:sz="0" w:space="0" w:color="auto"/>
      </w:divBdr>
    </w:div>
    <w:div w:id="1535146379">
      <w:bodyDiv w:val="1"/>
      <w:marLeft w:val="0"/>
      <w:marRight w:val="0"/>
      <w:marTop w:val="0"/>
      <w:marBottom w:val="0"/>
      <w:divBdr>
        <w:top w:val="none" w:sz="0" w:space="0" w:color="auto"/>
        <w:left w:val="none" w:sz="0" w:space="0" w:color="auto"/>
        <w:bottom w:val="none" w:sz="0" w:space="0" w:color="auto"/>
        <w:right w:val="none" w:sz="0" w:space="0" w:color="auto"/>
      </w:divBdr>
    </w:div>
    <w:div w:id="1550142641">
      <w:bodyDiv w:val="1"/>
      <w:marLeft w:val="0"/>
      <w:marRight w:val="0"/>
      <w:marTop w:val="0"/>
      <w:marBottom w:val="0"/>
      <w:divBdr>
        <w:top w:val="none" w:sz="0" w:space="0" w:color="auto"/>
        <w:left w:val="none" w:sz="0" w:space="0" w:color="auto"/>
        <w:bottom w:val="none" w:sz="0" w:space="0" w:color="auto"/>
        <w:right w:val="none" w:sz="0" w:space="0" w:color="auto"/>
      </w:divBdr>
    </w:div>
    <w:div w:id="1601527487">
      <w:bodyDiv w:val="1"/>
      <w:marLeft w:val="0"/>
      <w:marRight w:val="0"/>
      <w:marTop w:val="0"/>
      <w:marBottom w:val="0"/>
      <w:divBdr>
        <w:top w:val="none" w:sz="0" w:space="0" w:color="auto"/>
        <w:left w:val="none" w:sz="0" w:space="0" w:color="auto"/>
        <w:bottom w:val="none" w:sz="0" w:space="0" w:color="auto"/>
        <w:right w:val="none" w:sz="0" w:space="0" w:color="auto"/>
      </w:divBdr>
    </w:div>
    <w:div w:id="1651403110">
      <w:bodyDiv w:val="1"/>
      <w:marLeft w:val="0"/>
      <w:marRight w:val="0"/>
      <w:marTop w:val="0"/>
      <w:marBottom w:val="0"/>
      <w:divBdr>
        <w:top w:val="none" w:sz="0" w:space="0" w:color="auto"/>
        <w:left w:val="none" w:sz="0" w:space="0" w:color="auto"/>
        <w:bottom w:val="none" w:sz="0" w:space="0" w:color="auto"/>
        <w:right w:val="none" w:sz="0" w:space="0" w:color="auto"/>
      </w:divBdr>
    </w:div>
    <w:div w:id="1704017718">
      <w:bodyDiv w:val="1"/>
      <w:marLeft w:val="0"/>
      <w:marRight w:val="0"/>
      <w:marTop w:val="0"/>
      <w:marBottom w:val="0"/>
      <w:divBdr>
        <w:top w:val="none" w:sz="0" w:space="0" w:color="auto"/>
        <w:left w:val="none" w:sz="0" w:space="0" w:color="auto"/>
        <w:bottom w:val="none" w:sz="0" w:space="0" w:color="auto"/>
        <w:right w:val="none" w:sz="0" w:space="0" w:color="auto"/>
      </w:divBdr>
    </w:div>
    <w:div w:id="1755739409">
      <w:bodyDiv w:val="1"/>
      <w:marLeft w:val="0"/>
      <w:marRight w:val="0"/>
      <w:marTop w:val="0"/>
      <w:marBottom w:val="0"/>
      <w:divBdr>
        <w:top w:val="none" w:sz="0" w:space="0" w:color="auto"/>
        <w:left w:val="none" w:sz="0" w:space="0" w:color="auto"/>
        <w:bottom w:val="none" w:sz="0" w:space="0" w:color="auto"/>
        <w:right w:val="none" w:sz="0" w:space="0" w:color="auto"/>
      </w:divBdr>
    </w:div>
    <w:div w:id="1761486992">
      <w:bodyDiv w:val="1"/>
      <w:marLeft w:val="0"/>
      <w:marRight w:val="0"/>
      <w:marTop w:val="0"/>
      <w:marBottom w:val="0"/>
      <w:divBdr>
        <w:top w:val="none" w:sz="0" w:space="0" w:color="auto"/>
        <w:left w:val="none" w:sz="0" w:space="0" w:color="auto"/>
        <w:bottom w:val="none" w:sz="0" w:space="0" w:color="auto"/>
        <w:right w:val="none" w:sz="0" w:space="0" w:color="auto"/>
      </w:divBdr>
    </w:div>
    <w:div w:id="1801529120">
      <w:bodyDiv w:val="1"/>
      <w:marLeft w:val="0"/>
      <w:marRight w:val="0"/>
      <w:marTop w:val="0"/>
      <w:marBottom w:val="0"/>
      <w:divBdr>
        <w:top w:val="none" w:sz="0" w:space="0" w:color="auto"/>
        <w:left w:val="none" w:sz="0" w:space="0" w:color="auto"/>
        <w:bottom w:val="none" w:sz="0" w:space="0" w:color="auto"/>
        <w:right w:val="none" w:sz="0" w:space="0" w:color="auto"/>
      </w:divBdr>
    </w:div>
    <w:div w:id="1872254948">
      <w:bodyDiv w:val="1"/>
      <w:marLeft w:val="0"/>
      <w:marRight w:val="0"/>
      <w:marTop w:val="0"/>
      <w:marBottom w:val="0"/>
      <w:divBdr>
        <w:top w:val="none" w:sz="0" w:space="0" w:color="auto"/>
        <w:left w:val="none" w:sz="0" w:space="0" w:color="auto"/>
        <w:bottom w:val="none" w:sz="0" w:space="0" w:color="auto"/>
        <w:right w:val="none" w:sz="0" w:space="0" w:color="auto"/>
      </w:divBdr>
    </w:div>
    <w:div w:id="1890606895">
      <w:bodyDiv w:val="1"/>
      <w:marLeft w:val="0"/>
      <w:marRight w:val="0"/>
      <w:marTop w:val="0"/>
      <w:marBottom w:val="0"/>
      <w:divBdr>
        <w:top w:val="none" w:sz="0" w:space="0" w:color="auto"/>
        <w:left w:val="none" w:sz="0" w:space="0" w:color="auto"/>
        <w:bottom w:val="none" w:sz="0" w:space="0" w:color="auto"/>
        <w:right w:val="none" w:sz="0" w:space="0" w:color="auto"/>
      </w:divBdr>
    </w:div>
    <w:div w:id="1900045480">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110541008">
      <w:bodyDiv w:val="1"/>
      <w:marLeft w:val="0"/>
      <w:marRight w:val="0"/>
      <w:marTop w:val="0"/>
      <w:marBottom w:val="0"/>
      <w:divBdr>
        <w:top w:val="none" w:sz="0" w:space="0" w:color="auto"/>
        <w:left w:val="none" w:sz="0" w:space="0" w:color="auto"/>
        <w:bottom w:val="none" w:sz="0" w:space="0" w:color="auto"/>
        <w:right w:val="none" w:sz="0" w:space="0" w:color="auto"/>
      </w:divBdr>
    </w:div>
    <w:div w:id="2138067674">
      <w:bodyDiv w:val="1"/>
      <w:marLeft w:val="0"/>
      <w:marRight w:val="0"/>
      <w:marTop w:val="0"/>
      <w:marBottom w:val="0"/>
      <w:divBdr>
        <w:top w:val="none" w:sz="0" w:space="0" w:color="auto"/>
        <w:left w:val="none" w:sz="0" w:space="0" w:color="auto"/>
        <w:bottom w:val="none" w:sz="0" w:space="0" w:color="auto"/>
        <w:right w:val="none" w:sz="0" w:space="0" w:color="auto"/>
      </w:divBdr>
      <w:divsChild>
        <w:div w:id="1939479467">
          <w:marLeft w:val="0"/>
          <w:marRight w:val="0"/>
          <w:marTop w:val="0"/>
          <w:marBottom w:val="0"/>
          <w:divBdr>
            <w:top w:val="none" w:sz="0" w:space="0" w:color="auto"/>
            <w:left w:val="none" w:sz="0" w:space="0" w:color="auto"/>
            <w:bottom w:val="none" w:sz="0" w:space="0" w:color="auto"/>
            <w:right w:val="none" w:sz="0" w:space="0" w:color="auto"/>
          </w:divBdr>
        </w:div>
        <w:div w:id="946041150">
          <w:marLeft w:val="0"/>
          <w:marRight w:val="0"/>
          <w:marTop w:val="0"/>
          <w:marBottom w:val="0"/>
          <w:divBdr>
            <w:top w:val="none" w:sz="0" w:space="0" w:color="auto"/>
            <w:left w:val="none" w:sz="0" w:space="0" w:color="auto"/>
            <w:bottom w:val="none" w:sz="0" w:space="0" w:color="auto"/>
            <w:right w:val="none" w:sz="0" w:space="0" w:color="auto"/>
          </w:divBdr>
          <w:divsChild>
            <w:div w:id="900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nice.org.uk/guidance/hst17/chapter/4-Consideration-of-the-evi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D3D26-6916-4AA0-94EC-D9E82DDD4B0B}">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52</Pages>
  <Words>21514</Words>
  <Characters>122632</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2024-10-25T03:52:00Z</dcterms:created>
  <dcterms:modified xsi:type="dcterms:W3CDTF">2024-10-25T03:54:00Z</dcterms:modified>
</cp:coreProperties>
</file>