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0AEB7" w14:textId="64726A50" w:rsidR="00AB2CC7" w:rsidRDefault="00F57600" w:rsidP="00AB2CC7">
      <w:pPr>
        <w:pStyle w:val="1MainTitle"/>
        <w:spacing w:after="120"/>
        <w:ind w:left="992" w:hanging="992"/>
        <w:contextualSpacing w:val="0"/>
        <w:jc w:val="left"/>
      </w:pPr>
      <w:r w:rsidRPr="004D671D">
        <w:t>11.02</w:t>
      </w:r>
      <w:r w:rsidR="00872E8F" w:rsidRPr="004D671D">
        <w:tab/>
      </w:r>
      <w:r w:rsidR="00832CEF" w:rsidRPr="004D671D">
        <w:t>NIVOLUMAB</w:t>
      </w:r>
      <w:r w:rsidR="70971A32" w:rsidRPr="004D671D">
        <w:t>,</w:t>
      </w:r>
      <w:r w:rsidR="00872E8F" w:rsidRPr="004D671D">
        <w:br/>
      </w:r>
      <w:r w:rsidR="00832CEF" w:rsidRPr="004D671D">
        <w:t>Injection concentrate for I.V. infusion 40 mg in 4 mL</w:t>
      </w:r>
      <w:r w:rsidR="70971A32" w:rsidRPr="004D671D">
        <w:t>,</w:t>
      </w:r>
      <w:r w:rsidR="00832CEF" w:rsidRPr="004D671D">
        <w:br/>
        <w:t>Injection concentrate for I.V. infusion 100 mg in 10 mL</w:t>
      </w:r>
      <w:r w:rsidR="00872E8F" w:rsidRPr="004D671D">
        <w:br/>
      </w:r>
      <w:r w:rsidR="00832CEF" w:rsidRPr="004D671D">
        <w:t>Opdivo</w:t>
      </w:r>
      <w:r w:rsidR="70971A32" w:rsidRPr="004D671D">
        <w:t>®</w:t>
      </w:r>
    </w:p>
    <w:p w14:paraId="625DE643" w14:textId="77777777" w:rsidR="00AB2CC7" w:rsidRDefault="00832CEF" w:rsidP="00AB2CC7">
      <w:pPr>
        <w:spacing w:after="120"/>
        <w:ind w:left="992"/>
        <w:rPr>
          <w:rFonts w:cstheme="minorHAnsi"/>
          <w:b/>
          <w:sz w:val="36"/>
          <w:szCs w:val="36"/>
        </w:rPr>
      </w:pPr>
      <w:r w:rsidRPr="00AB2CC7">
        <w:rPr>
          <w:rFonts w:cstheme="minorHAnsi"/>
          <w:b/>
          <w:sz w:val="36"/>
          <w:szCs w:val="36"/>
        </w:rPr>
        <w:t>IPILIMUMAB</w:t>
      </w:r>
      <w:r w:rsidRPr="00AB2CC7">
        <w:rPr>
          <w:rFonts w:cstheme="minorHAnsi"/>
          <w:b/>
          <w:sz w:val="36"/>
          <w:szCs w:val="36"/>
        </w:rPr>
        <w:br/>
        <w:t>Injection concentrate for I.V. infusion 50 mg in 10 mL</w:t>
      </w:r>
      <w:r w:rsidRPr="00AB2CC7">
        <w:rPr>
          <w:rFonts w:cstheme="minorHAnsi"/>
          <w:b/>
          <w:sz w:val="36"/>
          <w:szCs w:val="36"/>
        </w:rPr>
        <w:br/>
        <w:t>Yervoy®</w:t>
      </w:r>
    </w:p>
    <w:p w14:paraId="181DB627" w14:textId="0FEEAD24" w:rsidR="00872E8F" w:rsidRPr="00AB2CC7" w:rsidRDefault="00AB2CC7" w:rsidP="00AB2CC7">
      <w:pPr>
        <w:ind w:left="992"/>
        <w:rPr>
          <w:rFonts w:cstheme="minorHAnsi"/>
          <w:b/>
          <w:sz w:val="36"/>
          <w:szCs w:val="36"/>
        </w:rPr>
      </w:pPr>
      <w:r w:rsidRPr="00AB2CC7">
        <w:rPr>
          <w:rFonts w:cstheme="minorHAnsi"/>
          <w:b/>
          <w:sz w:val="36"/>
          <w:szCs w:val="36"/>
        </w:rPr>
        <w:t xml:space="preserve">BRISTOL-MYERS SQUIBB AUSTRALIA PTY LTD </w:t>
      </w:r>
    </w:p>
    <w:p w14:paraId="5F4D54C1" w14:textId="6A07B149" w:rsidR="00E11F44" w:rsidRPr="004D671D" w:rsidRDefault="007E490F" w:rsidP="00CD6257">
      <w:pPr>
        <w:pStyle w:val="2-SectionHeading"/>
        <w:rPr>
          <w:rFonts w:cstheme="minorHAnsi"/>
          <w:color w:val="FF0000"/>
        </w:rPr>
      </w:pPr>
      <w:r w:rsidRPr="004D671D">
        <w:t xml:space="preserve">Purpose of </w:t>
      </w:r>
      <w:r w:rsidR="00FA0B04" w:rsidRPr="004D671D">
        <w:t>Submission</w:t>
      </w:r>
      <w:r w:rsidRPr="004D671D">
        <w:t xml:space="preserve"> </w:t>
      </w:r>
    </w:p>
    <w:p w14:paraId="11339848" w14:textId="5143C3E6" w:rsidR="00A16DEB" w:rsidRPr="004D671D" w:rsidRDefault="006C6C10" w:rsidP="00633DD6">
      <w:pPr>
        <w:pStyle w:val="3Bodytext"/>
        <w:rPr>
          <w:rFonts w:cstheme="minorHAnsi"/>
        </w:rPr>
      </w:pPr>
      <w:bookmarkStart w:id="0" w:name="_Hlk168309751"/>
      <w:r w:rsidRPr="004D671D">
        <w:rPr>
          <w:rFonts w:cstheme="minorHAnsi"/>
          <w:szCs w:val="24"/>
        </w:rPr>
        <w:t>Th</w:t>
      </w:r>
      <w:r w:rsidR="00A16DEB" w:rsidRPr="004D671D">
        <w:rPr>
          <w:rFonts w:cstheme="minorHAnsi"/>
          <w:szCs w:val="24"/>
        </w:rPr>
        <w:t>is</w:t>
      </w:r>
      <w:r w:rsidRPr="004D671D">
        <w:rPr>
          <w:rFonts w:cstheme="minorHAnsi"/>
          <w:szCs w:val="24"/>
        </w:rPr>
        <w:t xml:space="preserve"> Category </w:t>
      </w:r>
      <w:r w:rsidR="00814B49" w:rsidRPr="004D671D">
        <w:rPr>
          <w:rFonts w:cstheme="minorHAnsi"/>
          <w:szCs w:val="24"/>
        </w:rPr>
        <w:t>3</w:t>
      </w:r>
      <w:r w:rsidRPr="004D671D">
        <w:rPr>
          <w:rFonts w:cstheme="minorHAnsi"/>
          <w:szCs w:val="24"/>
        </w:rPr>
        <w:t xml:space="preserve"> submission </w:t>
      </w:r>
      <w:r w:rsidR="00244BEC" w:rsidRPr="004D671D">
        <w:rPr>
          <w:rFonts w:cstheme="minorHAnsi"/>
          <w:szCs w:val="24"/>
        </w:rPr>
        <w:t>requested</w:t>
      </w:r>
      <w:r w:rsidRPr="004D671D">
        <w:rPr>
          <w:rFonts w:cstheme="minorHAnsi"/>
          <w:szCs w:val="24"/>
        </w:rPr>
        <w:t xml:space="preserve"> </w:t>
      </w:r>
      <w:r w:rsidR="00814B49" w:rsidRPr="004D671D">
        <w:rPr>
          <w:rFonts w:cstheme="minorHAnsi"/>
          <w:szCs w:val="24"/>
        </w:rPr>
        <w:t>t</w:t>
      </w:r>
      <w:r w:rsidR="00814B49" w:rsidRPr="004D671D">
        <w:t xml:space="preserve">he PBAC to </w:t>
      </w:r>
      <w:r w:rsidR="00A16DEB" w:rsidRPr="004D671D">
        <w:t>revise</w:t>
      </w:r>
      <w:r w:rsidR="00814B49" w:rsidRPr="004D671D">
        <w:t xml:space="preserve"> the previously estimated utilisation for nivolumab</w:t>
      </w:r>
      <w:r w:rsidR="00C521C0" w:rsidRPr="004D671D">
        <w:t xml:space="preserve"> (Opdivo®)</w:t>
      </w:r>
      <w:r w:rsidR="00814B49" w:rsidRPr="004D671D">
        <w:t xml:space="preserve"> and ipilimumab</w:t>
      </w:r>
      <w:r w:rsidR="00C521C0" w:rsidRPr="004D671D">
        <w:t xml:space="preserve"> (Yervoy®)</w:t>
      </w:r>
      <w:r w:rsidR="00A16DEB" w:rsidRPr="004D671D">
        <w:t xml:space="preserve"> (herein referred to as NIVO+IPI)</w:t>
      </w:r>
      <w:r w:rsidR="00814B49" w:rsidRPr="004D671D">
        <w:t xml:space="preserve"> for the treatment of unresectable malignant mesothelioma </w:t>
      </w:r>
      <w:r w:rsidR="00A16DEB" w:rsidRPr="004D671D">
        <w:t>to reflect the higher than estimated utilisation of NIVO+IPI for first-line mesothelioma treatment since listing on 1 July 2021.</w:t>
      </w:r>
    </w:p>
    <w:p w14:paraId="20FC615A" w14:textId="37D39A7C" w:rsidR="00640D16" w:rsidRPr="004D671D" w:rsidRDefault="00A16DEB" w:rsidP="00633DD6">
      <w:pPr>
        <w:pStyle w:val="3Bodytext"/>
      </w:pPr>
      <w:r w:rsidRPr="004D671D">
        <w:t xml:space="preserve">The sponsor proposed that the existing risk sharing arrangement (RSA) caps be increased to reflect these revised estimates. </w:t>
      </w:r>
      <w:r w:rsidR="00261D8E">
        <w:t xml:space="preserve">The sponsor also proposed that the percentage rebate could be lowered in the case that the changes to the RSA caps were not acceptable. </w:t>
      </w:r>
    </w:p>
    <w:bookmarkEnd w:id="0"/>
    <w:p w14:paraId="3D1D4320" w14:textId="77777777" w:rsidR="007E490F" w:rsidRPr="004D671D" w:rsidRDefault="007E490F" w:rsidP="001F2311">
      <w:pPr>
        <w:pStyle w:val="2-SectionHeading"/>
        <w:numPr>
          <w:ilvl w:val="0"/>
          <w:numId w:val="2"/>
        </w:numPr>
      </w:pPr>
      <w:r w:rsidRPr="004D671D">
        <w:t xml:space="preserve">Background </w:t>
      </w:r>
    </w:p>
    <w:p w14:paraId="196FAD9C" w14:textId="41E5EE70" w:rsidR="001F2311" w:rsidRPr="004D671D" w:rsidRDefault="0011290B" w:rsidP="00633DD6">
      <w:pPr>
        <w:pStyle w:val="3Bodytext"/>
        <w:rPr>
          <w:color w:val="000000" w:themeColor="text1"/>
        </w:rPr>
      </w:pPr>
      <w:r w:rsidRPr="004D671D">
        <w:t xml:space="preserve">Nivolumab and ipilimumab </w:t>
      </w:r>
      <w:r w:rsidRPr="004D671D">
        <w:rPr>
          <w:color w:val="000000" w:themeColor="text1"/>
        </w:rPr>
        <w:t>are</w:t>
      </w:r>
      <w:r w:rsidR="001F2311" w:rsidRPr="004D671D">
        <w:rPr>
          <w:color w:val="000000" w:themeColor="text1"/>
        </w:rPr>
        <w:t xml:space="preserve"> currently listed on the PBS as </w:t>
      </w:r>
      <w:r w:rsidR="004D4B6A" w:rsidRPr="004D671D">
        <w:rPr>
          <w:color w:val="000000" w:themeColor="text1"/>
        </w:rPr>
        <w:t>a</w:t>
      </w:r>
      <w:r w:rsidR="001F2311" w:rsidRPr="004D671D">
        <w:rPr>
          <w:color w:val="000000" w:themeColor="text1"/>
        </w:rPr>
        <w:t xml:space="preserve"> </w:t>
      </w:r>
      <w:r w:rsidRPr="004D671D">
        <w:t>Section 100 (s100) Efficient Funding of Chemotherapy (EFC) (Public/Private Hospital)</w:t>
      </w:r>
      <w:r w:rsidR="00B73022" w:rsidRPr="004D671D">
        <w:t xml:space="preserve"> Authority Required (STREAMLINED)</w:t>
      </w:r>
      <w:r w:rsidR="001F2311" w:rsidRPr="004D671D">
        <w:t xml:space="preserve"> </w:t>
      </w:r>
      <w:r w:rsidR="001F2311" w:rsidRPr="004D671D">
        <w:rPr>
          <w:color w:val="000000" w:themeColor="text1"/>
        </w:rPr>
        <w:t>listing for</w:t>
      </w:r>
      <w:r w:rsidR="00B73022" w:rsidRPr="004D671D">
        <w:rPr>
          <w:color w:val="000000" w:themeColor="text1"/>
        </w:rPr>
        <w:t xml:space="preserve"> use together </w:t>
      </w:r>
      <w:r w:rsidR="000C7510">
        <w:rPr>
          <w:color w:val="000000" w:themeColor="text1"/>
        </w:rPr>
        <w:t>to treat</w:t>
      </w:r>
      <w:r w:rsidR="000C7510" w:rsidRPr="004D671D">
        <w:rPr>
          <w:color w:val="000000" w:themeColor="text1"/>
        </w:rPr>
        <w:t xml:space="preserve"> </w:t>
      </w:r>
      <w:r w:rsidRPr="004D671D">
        <w:t>unresectable malignant mesothelioma</w:t>
      </w:r>
      <w:r w:rsidR="001F2311" w:rsidRPr="004D671D">
        <w:rPr>
          <w:color w:val="000000" w:themeColor="text1"/>
        </w:rPr>
        <w:t xml:space="preserve">. </w:t>
      </w:r>
    </w:p>
    <w:p w14:paraId="33C2C319" w14:textId="66DF215F" w:rsidR="007E490F" w:rsidRPr="004D671D" w:rsidRDefault="007E490F" w:rsidP="007E490F">
      <w:pPr>
        <w:pStyle w:val="4-SubsectionHeading"/>
      </w:pPr>
      <w:r w:rsidRPr="004D671D">
        <w:t>Registration status</w:t>
      </w:r>
    </w:p>
    <w:p w14:paraId="056E0FC8" w14:textId="770097C4" w:rsidR="00FA6ED7" w:rsidRPr="004D671D" w:rsidRDefault="00C521C0" w:rsidP="00633DD6">
      <w:pPr>
        <w:pStyle w:val="3Bodytext"/>
      </w:pPr>
      <w:r w:rsidRPr="004D671D">
        <w:t>Nivolumab</w:t>
      </w:r>
      <w:r w:rsidR="007E490F" w:rsidRPr="004D671D">
        <w:t xml:space="preserve"> </w:t>
      </w:r>
      <w:r w:rsidRPr="004D671D">
        <w:t xml:space="preserve">and ipilimumab </w:t>
      </w:r>
      <w:r w:rsidR="00324DDD" w:rsidRPr="004D671D">
        <w:t>are TGA registered for</w:t>
      </w:r>
      <w:r w:rsidRPr="004D671D">
        <w:t xml:space="preserve"> the following indication:</w:t>
      </w:r>
    </w:p>
    <w:p w14:paraId="656F09F7" w14:textId="253E998E" w:rsidR="00C521C0" w:rsidRPr="004D671D" w:rsidRDefault="00504FEC" w:rsidP="004D671D">
      <w:pPr>
        <w:pStyle w:val="3Bodytext"/>
        <w:numPr>
          <w:ilvl w:val="0"/>
          <w:numId w:val="0"/>
        </w:numPr>
        <w:ind w:left="720"/>
      </w:pPr>
      <w:r>
        <w:t>‘</w:t>
      </w:r>
      <w:r w:rsidR="00C521C0" w:rsidRPr="004D671D">
        <w:t xml:space="preserve">(Nivolumab), in combination with ipilimumab, is indicated for the first-line treatment of patients with unresectable malignant pleural mesothelioma. </w:t>
      </w:r>
    </w:p>
    <w:p w14:paraId="505F1C94" w14:textId="5439F323" w:rsidR="00B73022" w:rsidRPr="004D671D" w:rsidRDefault="00C521C0" w:rsidP="00633DD6">
      <w:pPr>
        <w:pStyle w:val="3Bodytext"/>
        <w:numPr>
          <w:ilvl w:val="0"/>
          <w:numId w:val="0"/>
        </w:numPr>
        <w:ind w:left="720"/>
      </w:pPr>
      <w:r w:rsidRPr="004D671D">
        <w:t>(Ipilimumab), in combination with nivolumab, is indicated for the first-line treatment of patients with unresectable malignant pleural mesothelioma.</w:t>
      </w:r>
      <w:r w:rsidR="00504FEC">
        <w:t>’</w:t>
      </w:r>
    </w:p>
    <w:p w14:paraId="0094486E" w14:textId="77777777" w:rsidR="007E490F" w:rsidRPr="004D671D" w:rsidRDefault="007E490F" w:rsidP="007E490F">
      <w:pPr>
        <w:pStyle w:val="4-SubsectionHeading"/>
      </w:pPr>
      <w:r w:rsidRPr="004D671D">
        <w:lastRenderedPageBreak/>
        <w:t xml:space="preserve">Previous PBAC consideration </w:t>
      </w:r>
    </w:p>
    <w:p w14:paraId="5C6809F1" w14:textId="2E05D913" w:rsidR="007E490F" w:rsidRPr="004D671D" w:rsidRDefault="00F31C51" w:rsidP="00633DD6">
      <w:pPr>
        <w:pStyle w:val="3Bodytext"/>
        <w:rPr>
          <w:i/>
        </w:rPr>
      </w:pPr>
      <w:r>
        <w:t>NIVO+IPI</w:t>
      </w:r>
      <w:r w:rsidR="00392430" w:rsidRPr="004D671D">
        <w:t xml:space="preserve"> for the treatment of unresectable malignant pleural mesothelioma </w:t>
      </w:r>
      <w:r w:rsidR="007E490F" w:rsidRPr="004D671D">
        <w:t xml:space="preserve">was </w:t>
      </w:r>
      <w:r w:rsidR="00392430" w:rsidRPr="004D671D">
        <w:t xml:space="preserve">recommended </w:t>
      </w:r>
      <w:r w:rsidR="007E490F" w:rsidRPr="004D671D">
        <w:t xml:space="preserve">by the PBAC at its </w:t>
      </w:r>
      <w:r w:rsidR="00392430" w:rsidRPr="004D671D">
        <w:t>March 2021</w:t>
      </w:r>
      <w:r w:rsidR="007E490F" w:rsidRPr="004D671D">
        <w:t xml:space="preserve"> meeting.</w:t>
      </w:r>
      <w:r w:rsidR="00392430" w:rsidRPr="004D671D">
        <w:t xml:space="preserve"> NIVO+IPI has been listed on the PBS since July 2021.</w:t>
      </w:r>
    </w:p>
    <w:p w14:paraId="655731D6" w14:textId="63F9AAE6" w:rsidR="00297144" w:rsidRPr="004D671D" w:rsidRDefault="00297144" w:rsidP="00297144">
      <w:pPr>
        <w:pStyle w:val="4-SubsectionHeading"/>
      </w:pPr>
      <w:r w:rsidRPr="004D671D">
        <w:t>Current utilisation, RSA and expenditure</w:t>
      </w:r>
    </w:p>
    <w:p w14:paraId="10741249" w14:textId="1AD96D7E" w:rsidR="00297144" w:rsidRPr="004D671D" w:rsidRDefault="00297144" w:rsidP="00633DD6">
      <w:pPr>
        <w:pStyle w:val="3Bodytext"/>
      </w:pPr>
      <w:r w:rsidRPr="004D671D">
        <w:t xml:space="preserve">At its February 2024 meeting, the Drug </w:t>
      </w:r>
      <w:r w:rsidR="004D671D">
        <w:t>U</w:t>
      </w:r>
      <w:r w:rsidR="004D671D" w:rsidRPr="004D671D">
        <w:t xml:space="preserve">tilisation </w:t>
      </w:r>
      <w:r w:rsidR="004D671D">
        <w:t>S</w:t>
      </w:r>
      <w:r w:rsidR="004D671D" w:rsidRPr="004D671D">
        <w:t>ub</w:t>
      </w:r>
      <w:r w:rsidRPr="004D671D">
        <w:t>-</w:t>
      </w:r>
      <w:r w:rsidR="004D671D">
        <w:t>C</w:t>
      </w:r>
      <w:r w:rsidR="004D671D" w:rsidRPr="004D671D">
        <w:t xml:space="preserve">ommittee </w:t>
      </w:r>
      <w:r w:rsidRPr="004D671D">
        <w:t>(DUSC) considered an analysis of the predicted versus actual utilisation of NIV</w:t>
      </w:r>
      <w:r w:rsidR="004D671D">
        <w:t>O</w:t>
      </w:r>
      <w:r w:rsidRPr="004D671D">
        <w:t xml:space="preserve">+IPI over the first 24 months of listing for unresectable malignant mesothelioma. </w:t>
      </w:r>
      <w:r w:rsidR="00BD6F37" w:rsidRPr="004D671D">
        <w:t xml:space="preserve">The report found that while numbers of patients and scripts were </w:t>
      </w:r>
      <w:proofErr w:type="gramStart"/>
      <w:r w:rsidR="00BD6F37" w:rsidRPr="004D671D">
        <w:t>similar to</w:t>
      </w:r>
      <w:proofErr w:type="gramEnd"/>
      <w:r w:rsidR="00BD6F37" w:rsidRPr="004D671D">
        <w:t xml:space="preserve"> the estimated numbers</w:t>
      </w:r>
      <w:r w:rsidR="000C7510">
        <w:t>,</w:t>
      </w:r>
      <w:r w:rsidR="00BD6F37" w:rsidRPr="004D671D">
        <w:t xml:space="preserve"> the</w:t>
      </w:r>
      <w:r w:rsidR="00C62C98" w:rsidRPr="004D671D">
        <w:t xml:space="preserve"> overall</w:t>
      </w:r>
      <w:r w:rsidR="00BD6F37" w:rsidRPr="004D671D">
        <w:t xml:space="preserve"> expenditure</w:t>
      </w:r>
      <w:r w:rsidR="00C62C98" w:rsidRPr="004D671D">
        <w:t xml:space="preserve"> was higher than estimated</w:t>
      </w:r>
      <w:r w:rsidR="00BD6F37" w:rsidRPr="004D671D">
        <w:t xml:space="preserve">. </w:t>
      </w:r>
      <w:r w:rsidR="000C7510">
        <w:t>Consequently, the</w:t>
      </w:r>
      <w:r w:rsidR="003626BF" w:rsidRPr="004D671D">
        <w:t xml:space="preserve"> RSA caps were being exceeded (Table 1).</w:t>
      </w:r>
      <w:r w:rsidR="008A4186">
        <w:t xml:space="preserve"> </w:t>
      </w:r>
      <w:r w:rsidR="008A4186" w:rsidRPr="00334113">
        <w:t xml:space="preserve">A potential counting error has been identified with the number of predicted patients included in Table 1. The DUSC will reconsider the figures and liaise with </w:t>
      </w:r>
      <w:r w:rsidR="006F35DE">
        <w:t xml:space="preserve">the </w:t>
      </w:r>
      <w:r w:rsidR="008A4186" w:rsidRPr="00334113">
        <w:t>sponsor at a subsequent DUSC meeting.</w:t>
      </w:r>
    </w:p>
    <w:p w14:paraId="62473BC2" w14:textId="05E3724F" w:rsidR="003626BF" w:rsidRPr="004D671D" w:rsidRDefault="003626BF" w:rsidP="006E6E09">
      <w:pPr>
        <w:pStyle w:val="TableFigureHeading"/>
        <w:keepLines/>
      </w:pPr>
      <w:r w:rsidRPr="004D671D">
        <w:t xml:space="preserve">Table </w:t>
      </w:r>
      <w:r w:rsidR="00F8422A">
        <w:fldChar w:fldCharType="begin"/>
      </w:r>
      <w:r w:rsidR="00F8422A">
        <w:instrText xml:space="preserve"> SEQ Table \* ARABIC </w:instrText>
      </w:r>
      <w:r w:rsidR="00F8422A">
        <w:fldChar w:fldCharType="separate"/>
      </w:r>
      <w:r w:rsidR="00AE0CA7">
        <w:rPr>
          <w:noProof/>
        </w:rPr>
        <w:t>1</w:t>
      </w:r>
      <w:r w:rsidR="00F8422A">
        <w:fldChar w:fldCharType="end"/>
      </w:r>
      <w:r w:rsidRPr="004D671D">
        <w:t>: Estimated and actual utilisation and expenditure of NIVO+IPI</w:t>
      </w:r>
    </w:p>
    <w:tbl>
      <w:tblPr>
        <w:tblStyle w:val="TableGrid"/>
        <w:tblW w:w="5000" w:type="pct"/>
        <w:tblLook w:val="04A0" w:firstRow="1" w:lastRow="0" w:firstColumn="1" w:lastColumn="0" w:noHBand="0" w:noVBand="1"/>
        <w:tblCaption w:val="Table 1: Estimated and actual utilisation and expenditure of NIVO+IPI"/>
      </w:tblPr>
      <w:tblGrid>
        <w:gridCol w:w="2689"/>
        <w:gridCol w:w="1134"/>
        <w:gridCol w:w="1842"/>
        <w:gridCol w:w="1701"/>
        <w:gridCol w:w="1650"/>
      </w:tblGrid>
      <w:tr w:rsidR="003626BF" w:rsidRPr="00032882" w14:paraId="79EB659C" w14:textId="77777777" w:rsidTr="003626BF">
        <w:tc>
          <w:tcPr>
            <w:tcW w:w="3823" w:type="dxa"/>
            <w:gridSpan w:val="2"/>
            <w:vMerge w:val="restart"/>
            <w:shd w:val="clear" w:color="auto" w:fill="BFBFBF" w:themeFill="background1" w:themeFillShade="BF"/>
          </w:tcPr>
          <w:p w14:paraId="55963805" w14:textId="77777777" w:rsidR="003626BF" w:rsidRPr="00032882" w:rsidRDefault="003626BF" w:rsidP="006E6E09">
            <w:pPr>
              <w:pStyle w:val="Tablewriting"/>
              <w:keepNext/>
              <w:keepLines/>
              <w:spacing w:before="0" w:after="0"/>
              <w:rPr>
                <w:rFonts w:ascii="Arial Narrow" w:hAnsi="Arial Narrow"/>
              </w:rPr>
            </w:pPr>
          </w:p>
        </w:tc>
        <w:tc>
          <w:tcPr>
            <w:tcW w:w="1842" w:type="dxa"/>
            <w:shd w:val="clear" w:color="auto" w:fill="BFBFBF" w:themeFill="background1" w:themeFillShade="BF"/>
          </w:tcPr>
          <w:p w14:paraId="7EEFFE2A" w14:textId="7777777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Year 1</w:t>
            </w:r>
          </w:p>
        </w:tc>
        <w:tc>
          <w:tcPr>
            <w:tcW w:w="1701" w:type="dxa"/>
            <w:shd w:val="clear" w:color="auto" w:fill="BFBFBF" w:themeFill="background1" w:themeFillShade="BF"/>
          </w:tcPr>
          <w:p w14:paraId="57F6961B" w14:textId="7777777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Year 2</w:t>
            </w:r>
          </w:p>
        </w:tc>
        <w:tc>
          <w:tcPr>
            <w:tcW w:w="1650" w:type="dxa"/>
            <w:shd w:val="clear" w:color="auto" w:fill="BFBFBF" w:themeFill="background1" w:themeFillShade="BF"/>
          </w:tcPr>
          <w:p w14:paraId="29E96599" w14:textId="7777777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Year 3</w:t>
            </w:r>
          </w:p>
        </w:tc>
      </w:tr>
      <w:tr w:rsidR="003626BF" w:rsidRPr="00032882" w14:paraId="753A77AC" w14:textId="77777777" w:rsidTr="003626BF">
        <w:tc>
          <w:tcPr>
            <w:tcW w:w="3823" w:type="dxa"/>
            <w:gridSpan w:val="2"/>
            <w:vMerge/>
            <w:shd w:val="clear" w:color="auto" w:fill="BFBFBF" w:themeFill="background1" w:themeFillShade="BF"/>
          </w:tcPr>
          <w:p w14:paraId="56A6195E" w14:textId="77777777" w:rsidR="003626BF" w:rsidRPr="00032882" w:rsidRDefault="003626BF" w:rsidP="006E6E09">
            <w:pPr>
              <w:pStyle w:val="Tablewriting"/>
              <w:keepNext/>
              <w:keepLines/>
              <w:spacing w:before="0" w:after="0"/>
              <w:rPr>
                <w:rFonts w:ascii="Arial Narrow" w:hAnsi="Arial Narrow"/>
              </w:rPr>
            </w:pPr>
          </w:p>
        </w:tc>
        <w:tc>
          <w:tcPr>
            <w:tcW w:w="1842" w:type="dxa"/>
            <w:shd w:val="clear" w:color="auto" w:fill="BFBFBF" w:themeFill="background1" w:themeFillShade="BF"/>
          </w:tcPr>
          <w:p w14:paraId="3D280331" w14:textId="0F289A10"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1 July 2021 to 30 June 2022</w:t>
            </w:r>
          </w:p>
        </w:tc>
        <w:tc>
          <w:tcPr>
            <w:tcW w:w="1701" w:type="dxa"/>
            <w:shd w:val="clear" w:color="auto" w:fill="BFBFBF" w:themeFill="background1" w:themeFillShade="BF"/>
          </w:tcPr>
          <w:p w14:paraId="430F32B0" w14:textId="7507DA1A"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1 July 2022 to 30 June 2023</w:t>
            </w:r>
          </w:p>
        </w:tc>
        <w:tc>
          <w:tcPr>
            <w:tcW w:w="1650" w:type="dxa"/>
            <w:shd w:val="clear" w:color="auto" w:fill="BFBFBF" w:themeFill="background1" w:themeFillShade="BF"/>
          </w:tcPr>
          <w:p w14:paraId="39185325" w14:textId="215FADD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1</w:t>
            </w:r>
            <w:r w:rsidRPr="00032882">
              <w:rPr>
                <w:rFonts w:ascii="Arial Narrow" w:hAnsi="Arial Narrow"/>
                <w:b/>
                <w:bCs/>
                <w:vertAlign w:val="superscript"/>
              </w:rPr>
              <w:t> </w:t>
            </w:r>
            <w:r w:rsidRPr="00032882">
              <w:rPr>
                <w:rFonts w:ascii="Arial Narrow" w:hAnsi="Arial Narrow"/>
                <w:b/>
                <w:bCs/>
              </w:rPr>
              <w:t>July 2023 to 30</w:t>
            </w:r>
            <w:r w:rsidRPr="00032882">
              <w:rPr>
                <w:rFonts w:ascii="Arial Narrow" w:hAnsi="Arial Narrow"/>
                <w:b/>
                <w:bCs/>
                <w:vertAlign w:val="superscript"/>
              </w:rPr>
              <w:t> </w:t>
            </w:r>
            <w:r w:rsidRPr="00032882">
              <w:rPr>
                <w:rFonts w:ascii="Arial Narrow" w:hAnsi="Arial Narrow"/>
                <w:b/>
                <w:bCs/>
              </w:rPr>
              <w:t>June 2024*</w:t>
            </w:r>
          </w:p>
        </w:tc>
      </w:tr>
      <w:tr w:rsidR="003626BF" w:rsidRPr="00032882" w14:paraId="4143A82C" w14:textId="77777777" w:rsidTr="003626BF">
        <w:tc>
          <w:tcPr>
            <w:tcW w:w="2689" w:type="dxa"/>
            <w:vMerge w:val="restart"/>
          </w:tcPr>
          <w:p w14:paraId="5F0DFB64" w14:textId="7777777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Patients</w:t>
            </w:r>
          </w:p>
        </w:tc>
        <w:tc>
          <w:tcPr>
            <w:tcW w:w="1134" w:type="dxa"/>
          </w:tcPr>
          <w:p w14:paraId="3672198C" w14:textId="154D3FBA"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Predicted</w:t>
            </w:r>
            <w:r w:rsidR="008B7377" w:rsidRPr="00032882">
              <w:rPr>
                <w:rFonts w:ascii="Arial Narrow" w:hAnsi="Arial Narrow"/>
                <w:b/>
                <w:bCs/>
                <w:vertAlign w:val="superscript"/>
              </w:rPr>
              <w:t>#</w:t>
            </w:r>
            <w:r w:rsidR="008A4186">
              <w:rPr>
                <w:rFonts w:ascii="Arial Narrow" w:hAnsi="Arial Narrow"/>
                <w:b/>
                <w:bCs/>
                <w:vertAlign w:val="superscript"/>
              </w:rPr>
              <w:t>+</w:t>
            </w:r>
          </w:p>
        </w:tc>
        <w:tc>
          <w:tcPr>
            <w:tcW w:w="1842" w:type="dxa"/>
          </w:tcPr>
          <w:p w14:paraId="524AF11E" w14:textId="5575629D" w:rsidR="003626BF" w:rsidRPr="00A366EE" w:rsidRDefault="00CA4FD9" w:rsidP="006E6E09">
            <w:pPr>
              <w:pStyle w:val="TableText0"/>
              <w:keepLines/>
              <w:jc w:val="right"/>
              <w:rPr>
                <w:szCs w:val="20"/>
                <w:highlight w:val="lightGray"/>
              </w:rPr>
            </w:pPr>
            <w:r w:rsidRPr="00CA4FD9">
              <w:rPr>
                <w:color w:val="000000"/>
                <w:szCs w:val="20"/>
                <w:shd w:val="solid" w:color="000000" w:fill="000000"/>
                <w14:textFill>
                  <w14:solidFill>
                    <w14:srgbClr w14:val="000000">
                      <w14:alpha w14:val="100000"/>
                    </w14:srgbClr>
                  </w14:solidFill>
                </w14:textFill>
              </w:rPr>
              <w:t>|</w:t>
            </w:r>
            <w:r w:rsidR="003610CE" w:rsidRPr="00A366EE">
              <w:rPr>
                <w:szCs w:val="20"/>
                <w:vertAlign w:val="superscript"/>
              </w:rPr>
              <w:t>1</w:t>
            </w:r>
            <w:r w:rsidR="003610CE">
              <w:rPr>
                <w:szCs w:val="20"/>
                <w:vertAlign w:val="superscript"/>
              </w:rPr>
              <w:t xml:space="preserve"> </w:t>
            </w:r>
            <w:r w:rsidR="008B7377" w:rsidRPr="00476420">
              <w:rPr>
                <w:szCs w:val="20"/>
              </w:rPr>
              <w:t>(</w:t>
            </w:r>
            <w:r w:rsidRPr="00CA4FD9">
              <w:rPr>
                <w:i/>
                <w:iCs/>
                <w:color w:val="000000"/>
                <w:szCs w:val="20"/>
                <w:shd w:val="solid" w:color="000000" w:fill="000000"/>
                <w14:textFill>
                  <w14:solidFill>
                    <w14:srgbClr w14:val="000000">
                      <w14:alpha w14:val="100000"/>
                    </w14:srgbClr>
                  </w14:solidFill>
                </w14:textFill>
              </w:rPr>
              <w:t>|</w:t>
            </w:r>
            <w:r w:rsidR="003610CE" w:rsidRPr="007C6F1B">
              <w:rPr>
                <w:szCs w:val="20"/>
                <w:vertAlign w:val="superscript"/>
              </w:rPr>
              <w:t>1</w:t>
            </w:r>
            <w:r w:rsidR="008B7377" w:rsidRPr="00476420">
              <w:rPr>
                <w:szCs w:val="20"/>
              </w:rPr>
              <w:t>)</w:t>
            </w:r>
          </w:p>
        </w:tc>
        <w:tc>
          <w:tcPr>
            <w:tcW w:w="1701" w:type="dxa"/>
          </w:tcPr>
          <w:p w14:paraId="2010DCE6" w14:textId="64CC0170" w:rsidR="003626BF" w:rsidRPr="00476420" w:rsidRDefault="00CA4FD9" w:rsidP="006E6E09">
            <w:pPr>
              <w:pStyle w:val="TableText0"/>
              <w:keepLines/>
              <w:jc w:val="right"/>
              <w:rPr>
                <w:szCs w:val="20"/>
              </w:rPr>
            </w:pPr>
            <w:r w:rsidRPr="00CA4FD9">
              <w:rPr>
                <w:color w:val="000000"/>
                <w:szCs w:val="20"/>
                <w:shd w:val="solid" w:color="000000" w:fill="000000"/>
                <w14:textFill>
                  <w14:solidFill>
                    <w14:srgbClr w14:val="000000">
                      <w14:alpha w14:val="100000"/>
                    </w14:srgbClr>
                  </w14:solidFill>
                </w14:textFill>
              </w:rPr>
              <w:t>|</w:t>
            </w:r>
            <w:r w:rsidR="003610CE" w:rsidRPr="007C6F1B">
              <w:rPr>
                <w:szCs w:val="20"/>
                <w:vertAlign w:val="superscript"/>
              </w:rPr>
              <w:t>1</w:t>
            </w:r>
            <w:r w:rsidR="008B7377" w:rsidRPr="00476420">
              <w:rPr>
                <w:szCs w:val="20"/>
              </w:rPr>
              <w:t xml:space="preserve"> (</w:t>
            </w:r>
            <w:r w:rsidRPr="00CA4FD9">
              <w:rPr>
                <w:i/>
                <w:iCs/>
                <w:color w:val="000000"/>
                <w:szCs w:val="20"/>
                <w:shd w:val="solid" w:color="000000" w:fill="000000"/>
                <w14:textFill>
                  <w14:solidFill>
                    <w14:srgbClr w14:val="000000">
                      <w14:alpha w14:val="100000"/>
                    </w14:srgbClr>
                  </w14:solidFill>
                </w14:textFill>
              </w:rPr>
              <w:t>|</w:t>
            </w:r>
            <w:r w:rsidR="003610CE" w:rsidRPr="007C6F1B">
              <w:rPr>
                <w:szCs w:val="20"/>
                <w:vertAlign w:val="superscript"/>
              </w:rPr>
              <w:t>1</w:t>
            </w:r>
            <w:r w:rsidR="008B7377" w:rsidRPr="00476420">
              <w:rPr>
                <w:szCs w:val="20"/>
              </w:rPr>
              <w:t>)</w:t>
            </w:r>
          </w:p>
        </w:tc>
        <w:tc>
          <w:tcPr>
            <w:tcW w:w="1650" w:type="dxa"/>
          </w:tcPr>
          <w:p w14:paraId="41F72498" w14:textId="62BD141D" w:rsidR="003626BF" w:rsidRPr="00476420" w:rsidRDefault="00CA4FD9" w:rsidP="006E6E09">
            <w:pPr>
              <w:pStyle w:val="TableText0"/>
              <w:keepLines/>
              <w:jc w:val="right"/>
              <w:rPr>
                <w:szCs w:val="20"/>
              </w:rPr>
            </w:pPr>
            <w:r w:rsidRPr="00CA4FD9">
              <w:rPr>
                <w:rFonts w:hint="eastAsia"/>
                <w:color w:val="000000"/>
                <w:w w:val="15"/>
                <w:szCs w:val="20"/>
                <w:shd w:val="solid" w:color="000000" w:fill="000000"/>
                <w:fitText w:val="45" w:id="-893751808"/>
                <w14:textFill>
                  <w14:solidFill>
                    <w14:srgbClr w14:val="000000">
                      <w14:alpha w14:val="100000"/>
                    </w14:srgbClr>
                  </w14:solidFill>
                </w14:textFill>
              </w:rPr>
              <w:t xml:space="preserve">　</w:t>
            </w:r>
            <w:r w:rsidRPr="00CA4FD9">
              <w:rPr>
                <w:color w:val="000000"/>
                <w:w w:val="15"/>
                <w:szCs w:val="20"/>
                <w:shd w:val="solid" w:color="000000" w:fill="000000"/>
                <w:fitText w:val="45" w:id="-893751808"/>
                <w14:textFill>
                  <w14:solidFill>
                    <w14:srgbClr w14:val="000000">
                      <w14:alpha w14:val="100000"/>
                    </w14:srgbClr>
                  </w14:solidFill>
                </w14:textFill>
              </w:rPr>
              <w:t>|</w:t>
            </w:r>
            <w:r w:rsidRPr="00CA4FD9">
              <w:rPr>
                <w:rFonts w:hint="eastAsia"/>
                <w:color w:val="000000"/>
                <w:spacing w:val="-30"/>
                <w:w w:val="15"/>
                <w:szCs w:val="20"/>
                <w:shd w:val="solid" w:color="000000" w:fill="000000"/>
                <w:fitText w:val="45" w:id="-893751808"/>
                <w14:textFill>
                  <w14:solidFill>
                    <w14:srgbClr w14:val="000000">
                      <w14:alpha w14:val="100000"/>
                    </w14:srgbClr>
                  </w14:solidFill>
                </w14:textFill>
              </w:rPr>
              <w:t xml:space="preserve">　</w:t>
            </w:r>
            <w:r w:rsidR="003610CE" w:rsidRPr="007C6F1B">
              <w:rPr>
                <w:szCs w:val="20"/>
                <w:vertAlign w:val="superscript"/>
              </w:rPr>
              <w:t>1</w:t>
            </w:r>
            <w:r w:rsidR="008A0EBE" w:rsidRPr="00476420">
              <w:rPr>
                <w:szCs w:val="20"/>
              </w:rPr>
              <w:t xml:space="preserve"> </w:t>
            </w:r>
            <w:r w:rsidR="008B7377" w:rsidRPr="00476420">
              <w:rPr>
                <w:szCs w:val="20"/>
              </w:rPr>
              <w:t>(</w:t>
            </w:r>
            <w:r w:rsidRPr="00CA4FD9">
              <w:rPr>
                <w:i/>
                <w:iCs/>
                <w:color w:val="000000"/>
                <w:szCs w:val="20"/>
                <w:shd w:val="solid" w:color="000000" w:fill="000000"/>
                <w14:textFill>
                  <w14:solidFill>
                    <w14:srgbClr w14:val="000000">
                      <w14:alpha w14:val="100000"/>
                    </w14:srgbClr>
                  </w14:solidFill>
                </w14:textFill>
              </w:rPr>
              <w:t>|</w:t>
            </w:r>
            <w:r w:rsidR="003610CE" w:rsidRPr="007C6F1B">
              <w:rPr>
                <w:szCs w:val="20"/>
                <w:vertAlign w:val="superscript"/>
              </w:rPr>
              <w:t>1</w:t>
            </w:r>
            <w:r w:rsidR="008B7377" w:rsidRPr="00476420">
              <w:rPr>
                <w:szCs w:val="20"/>
              </w:rPr>
              <w:t>)</w:t>
            </w:r>
          </w:p>
        </w:tc>
      </w:tr>
      <w:tr w:rsidR="003626BF" w:rsidRPr="00032882" w14:paraId="6165CC24" w14:textId="77777777" w:rsidTr="003626BF">
        <w:tc>
          <w:tcPr>
            <w:tcW w:w="2689" w:type="dxa"/>
            <w:vMerge/>
          </w:tcPr>
          <w:p w14:paraId="5B97685D" w14:textId="77777777" w:rsidR="003626BF" w:rsidRPr="00032882" w:rsidRDefault="003626BF" w:rsidP="006E6E09">
            <w:pPr>
              <w:pStyle w:val="Tablewriting"/>
              <w:keepNext/>
              <w:keepLines/>
              <w:spacing w:before="0" w:after="0"/>
              <w:rPr>
                <w:rFonts w:ascii="Arial Narrow" w:hAnsi="Arial Narrow"/>
                <w:b/>
                <w:bCs/>
              </w:rPr>
            </w:pPr>
          </w:p>
        </w:tc>
        <w:tc>
          <w:tcPr>
            <w:tcW w:w="1134" w:type="dxa"/>
          </w:tcPr>
          <w:p w14:paraId="5A8BA375" w14:textId="7777777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Actual</w:t>
            </w:r>
          </w:p>
        </w:tc>
        <w:tc>
          <w:tcPr>
            <w:tcW w:w="1842" w:type="dxa"/>
          </w:tcPr>
          <w:p w14:paraId="3A0A9A05" w14:textId="6DB5851E" w:rsidR="003626BF" w:rsidRPr="00BF6D9D" w:rsidRDefault="003626BF" w:rsidP="006E6E09">
            <w:pPr>
              <w:pStyle w:val="TableText0"/>
              <w:keepLines/>
              <w:jc w:val="right"/>
              <w:rPr>
                <w:szCs w:val="20"/>
              </w:rPr>
            </w:pPr>
            <w:r w:rsidRPr="00BF6D9D">
              <w:rPr>
                <w:szCs w:val="20"/>
              </w:rPr>
              <w:t>748</w:t>
            </w:r>
          </w:p>
        </w:tc>
        <w:tc>
          <w:tcPr>
            <w:tcW w:w="1701" w:type="dxa"/>
          </w:tcPr>
          <w:p w14:paraId="43C3757A" w14:textId="67C0CB9A" w:rsidR="003626BF" w:rsidRPr="00BF6D9D" w:rsidRDefault="003626BF" w:rsidP="006E6E09">
            <w:pPr>
              <w:pStyle w:val="TableText0"/>
              <w:keepLines/>
              <w:jc w:val="right"/>
              <w:rPr>
                <w:szCs w:val="20"/>
              </w:rPr>
            </w:pPr>
            <w:r w:rsidRPr="00BF6D9D">
              <w:rPr>
                <w:szCs w:val="20"/>
              </w:rPr>
              <w:t>742</w:t>
            </w:r>
          </w:p>
        </w:tc>
        <w:tc>
          <w:tcPr>
            <w:tcW w:w="1650" w:type="dxa"/>
          </w:tcPr>
          <w:p w14:paraId="3C7EA3FC" w14:textId="6A4FCEF3" w:rsidR="003626BF" w:rsidRPr="00BF6D9D" w:rsidRDefault="003626BF" w:rsidP="006E6E09">
            <w:pPr>
              <w:pStyle w:val="TableText0"/>
              <w:keepLines/>
              <w:jc w:val="right"/>
              <w:rPr>
                <w:szCs w:val="20"/>
              </w:rPr>
            </w:pPr>
            <w:r w:rsidRPr="00BF6D9D">
              <w:rPr>
                <w:szCs w:val="20"/>
              </w:rPr>
              <w:t>502</w:t>
            </w:r>
          </w:p>
        </w:tc>
      </w:tr>
      <w:tr w:rsidR="003626BF" w:rsidRPr="00032882" w14:paraId="206678B5" w14:textId="77777777" w:rsidTr="003626BF">
        <w:tc>
          <w:tcPr>
            <w:tcW w:w="2689" w:type="dxa"/>
            <w:vMerge/>
          </w:tcPr>
          <w:p w14:paraId="195579DD" w14:textId="77777777" w:rsidR="003626BF" w:rsidRPr="00032882" w:rsidRDefault="003626BF" w:rsidP="006E6E09">
            <w:pPr>
              <w:pStyle w:val="Tablewriting"/>
              <w:keepNext/>
              <w:keepLines/>
              <w:spacing w:before="0" w:after="0"/>
              <w:rPr>
                <w:rFonts w:ascii="Arial Narrow" w:hAnsi="Arial Narrow"/>
                <w:b/>
                <w:bCs/>
              </w:rPr>
            </w:pPr>
          </w:p>
        </w:tc>
        <w:tc>
          <w:tcPr>
            <w:tcW w:w="1134" w:type="dxa"/>
          </w:tcPr>
          <w:p w14:paraId="7F30E5A1" w14:textId="1E1AEC6A"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Difference</w:t>
            </w:r>
            <w:r w:rsidR="004C2EA5" w:rsidRPr="00032882">
              <w:rPr>
                <w:rFonts w:ascii="Arial Narrow" w:hAnsi="Arial Narrow"/>
                <w:b/>
                <w:bCs/>
                <w:vertAlign w:val="superscript"/>
              </w:rPr>
              <w:t>#</w:t>
            </w:r>
          </w:p>
        </w:tc>
        <w:tc>
          <w:tcPr>
            <w:tcW w:w="1842" w:type="dxa"/>
          </w:tcPr>
          <w:p w14:paraId="11E6433C" w14:textId="33B6D7F0" w:rsidR="003626BF" w:rsidRPr="00973F69" w:rsidRDefault="003626BF" w:rsidP="006E6E09">
            <w:pPr>
              <w:pStyle w:val="TableText0"/>
              <w:keepLines/>
              <w:jc w:val="right"/>
              <w:rPr>
                <w:szCs w:val="20"/>
              </w:rPr>
            </w:pPr>
            <w:r w:rsidRPr="00973F69">
              <w:rPr>
                <w:szCs w:val="20"/>
              </w:rPr>
              <w:t>-</w:t>
            </w:r>
            <w:r w:rsidR="00CA4FD9" w:rsidRPr="00CA4FD9">
              <w:rPr>
                <w:rFonts w:hint="eastAsia"/>
                <w:color w:val="000000"/>
                <w:w w:val="30"/>
                <w:szCs w:val="20"/>
                <w:shd w:val="solid" w:color="000000" w:fill="000000"/>
                <w:fitText w:val="135" w:id="-893751807"/>
                <w14:textFill>
                  <w14:solidFill>
                    <w14:srgbClr w14:val="000000">
                      <w14:alpha w14:val="100000"/>
                    </w14:srgbClr>
                  </w14:solidFill>
                </w14:textFill>
              </w:rPr>
              <w:t xml:space="preserve">　</w:t>
            </w:r>
            <w:r w:rsidR="00CA4FD9" w:rsidRPr="00CA4FD9">
              <w:rPr>
                <w:color w:val="000000"/>
                <w:w w:val="30"/>
                <w:szCs w:val="20"/>
                <w:shd w:val="solid" w:color="000000" w:fill="000000"/>
                <w:fitText w:val="135" w:id="-893751807"/>
                <w14:textFill>
                  <w14:solidFill>
                    <w14:srgbClr w14:val="000000">
                      <w14:alpha w14:val="100000"/>
                    </w14:srgbClr>
                  </w14:solidFill>
                </w14:textFill>
              </w:rPr>
              <w:t>|</w:t>
            </w:r>
            <w:r w:rsidR="00CA4FD9" w:rsidRPr="00CA4FD9">
              <w:rPr>
                <w:rFonts w:hint="eastAsia"/>
                <w:color w:val="000000"/>
                <w:w w:val="30"/>
                <w:szCs w:val="20"/>
                <w:shd w:val="solid" w:color="000000" w:fill="000000"/>
                <w:fitText w:val="135" w:id="-893751807"/>
                <w14:textFill>
                  <w14:solidFill>
                    <w14:srgbClr w14:val="000000">
                      <w14:alpha w14:val="100000"/>
                    </w14:srgbClr>
                  </w14:solidFill>
                </w14:textFill>
              </w:rPr>
              <w:t xml:space="preserve">　</w:t>
            </w:r>
            <w:r w:rsidRPr="00973F69">
              <w:rPr>
                <w:szCs w:val="20"/>
              </w:rPr>
              <w:t>%</w:t>
            </w:r>
            <w:r w:rsidR="008B7377" w:rsidRPr="00973F69">
              <w:rPr>
                <w:szCs w:val="20"/>
              </w:rPr>
              <w:t xml:space="preserve"> </w:t>
            </w:r>
            <w:r w:rsidR="008B7377" w:rsidRPr="00973F69">
              <w:rPr>
                <w:i/>
                <w:iCs/>
                <w:szCs w:val="20"/>
              </w:rPr>
              <w:t>(-</w:t>
            </w:r>
            <w:r w:rsidR="00CA4FD9" w:rsidRPr="00CA4FD9">
              <w:rPr>
                <w:i/>
                <w:iCs/>
                <w:color w:val="000000"/>
                <w:szCs w:val="20"/>
                <w:shd w:val="solid" w:color="000000" w:fill="000000"/>
                <w14:textFill>
                  <w14:solidFill>
                    <w14:srgbClr w14:val="000000">
                      <w14:alpha w14:val="100000"/>
                    </w14:srgbClr>
                  </w14:solidFill>
                </w14:textFill>
              </w:rPr>
              <w:t>|</w:t>
            </w:r>
            <w:r w:rsidR="008B7377" w:rsidRPr="00973F69">
              <w:rPr>
                <w:i/>
                <w:iCs/>
                <w:szCs w:val="20"/>
              </w:rPr>
              <w:t>%)</w:t>
            </w:r>
          </w:p>
        </w:tc>
        <w:tc>
          <w:tcPr>
            <w:tcW w:w="1701" w:type="dxa"/>
          </w:tcPr>
          <w:p w14:paraId="49ADFE15" w14:textId="609FEBDA" w:rsidR="003626BF" w:rsidRPr="00973F69" w:rsidRDefault="00CA4FD9" w:rsidP="006E6E09">
            <w:pPr>
              <w:pStyle w:val="TableText0"/>
              <w:keepLines/>
              <w:jc w:val="right"/>
              <w:rPr>
                <w:szCs w:val="20"/>
              </w:rPr>
            </w:pPr>
            <w:r w:rsidRPr="00CA4FD9">
              <w:rPr>
                <w:color w:val="000000"/>
                <w:spacing w:val="79"/>
                <w:szCs w:val="20"/>
                <w:shd w:val="solid" w:color="000000" w:fill="000000"/>
                <w:fitText w:val="165" w:id="-893751806"/>
                <w14:textFill>
                  <w14:solidFill>
                    <w14:srgbClr w14:val="000000">
                      <w14:alpha w14:val="100000"/>
                    </w14:srgbClr>
                  </w14:solidFill>
                </w14:textFill>
              </w:rPr>
              <w:t>|</w:t>
            </w:r>
            <w:r w:rsidRPr="00CA4FD9">
              <w:rPr>
                <w:color w:val="000000"/>
                <w:szCs w:val="20"/>
                <w:shd w:val="solid" w:color="000000" w:fill="000000"/>
                <w:fitText w:val="165" w:id="-893751806"/>
                <w14:textFill>
                  <w14:solidFill>
                    <w14:srgbClr w14:val="000000">
                      <w14:alpha w14:val="100000"/>
                    </w14:srgbClr>
                  </w14:solidFill>
                </w14:textFill>
              </w:rPr>
              <w:t>|</w:t>
            </w:r>
            <w:r w:rsidR="003626BF" w:rsidRPr="00973F69">
              <w:rPr>
                <w:szCs w:val="20"/>
              </w:rPr>
              <w:t>%</w:t>
            </w:r>
            <w:r w:rsidR="008B7377" w:rsidRPr="00973F69">
              <w:rPr>
                <w:szCs w:val="20"/>
              </w:rPr>
              <w:t xml:space="preserve"> (</w:t>
            </w:r>
            <w:r w:rsidRPr="00CA4FD9">
              <w:rPr>
                <w:i/>
                <w:iCs/>
                <w:color w:val="000000"/>
                <w:szCs w:val="20"/>
                <w:shd w:val="solid" w:color="000000" w:fill="000000"/>
                <w14:textFill>
                  <w14:solidFill>
                    <w14:srgbClr w14:val="000000">
                      <w14:alpha w14:val="100000"/>
                    </w14:srgbClr>
                  </w14:solidFill>
                </w14:textFill>
              </w:rPr>
              <w:t>|</w:t>
            </w:r>
            <w:r w:rsidR="008B7377" w:rsidRPr="00973F69">
              <w:rPr>
                <w:i/>
                <w:iCs/>
                <w:szCs w:val="20"/>
              </w:rPr>
              <w:t>%)</w:t>
            </w:r>
          </w:p>
        </w:tc>
        <w:tc>
          <w:tcPr>
            <w:tcW w:w="1650" w:type="dxa"/>
          </w:tcPr>
          <w:p w14:paraId="32F948B1" w14:textId="77777777" w:rsidR="003626BF" w:rsidRPr="00032882" w:rsidRDefault="003626BF" w:rsidP="006E6E09">
            <w:pPr>
              <w:pStyle w:val="TableText0"/>
              <w:keepLines/>
              <w:jc w:val="right"/>
              <w:rPr>
                <w:szCs w:val="20"/>
              </w:rPr>
            </w:pPr>
            <w:r w:rsidRPr="00032882">
              <w:rPr>
                <w:szCs w:val="20"/>
              </w:rPr>
              <w:t>NA</w:t>
            </w:r>
          </w:p>
        </w:tc>
      </w:tr>
      <w:tr w:rsidR="003626BF" w:rsidRPr="00032882" w14:paraId="07E76C52" w14:textId="77777777" w:rsidTr="003626BF">
        <w:tc>
          <w:tcPr>
            <w:tcW w:w="2689" w:type="dxa"/>
            <w:vMerge w:val="restart"/>
          </w:tcPr>
          <w:p w14:paraId="16317965" w14:textId="7777777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Prescriptions</w:t>
            </w:r>
          </w:p>
        </w:tc>
        <w:tc>
          <w:tcPr>
            <w:tcW w:w="1134" w:type="dxa"/>
          </w:tcPr>
          <w:p w14:paraId="030ACFAB" w14:textId="5560B0CC"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Predicted</w:t>
            </w:r>
            <w:r w:rsidR="00FC6211" w:rsidRPr="00032882">
              <w:rPr>
                <w:rFonts w:ascii="Arial Narrow" w:hAnsi="Arial Narrow"/>
                <w:b/>
                <w:bCs/>
                <w:vertAlign w:val="superscript"/>
              </w:rPr>
              <w:t>#</w:t>
            </w:r>
          </w:p>
        </w:tc>
        <w:tc>
          <w:tcPr>
            <w:tcW w:w="1842" w:type="dxa"/>
          </w:tcPr>
          <w:p w14:paraId="50CD7A88" w14:textId="2BE94184" w:rsidR="003626BF" w:rsidRPr="00476420" w:rsidRDefault="00CA4FD9" w:rsidP="006E6E09">
            <w:pPr>
              <w:pStyle w:val="TableText0"/>
              <w:keepLines/>
              <w:jc w:val="right"/>
              <w:rPr>
                <w:szCs w:val="20"/>
              </w:rPr>
            </w:pPr>
            <w:r w:rsidRPr="00CA4FD9">
              <w:rPr>
                <w:color w:val="000000"/>
                <w:szCs w:val="20"/>
                <w:shd w:val="solid" w:color="000000" w:fill="000000"/>
                <w14:textFill>
                  <w14:solidFill>
                    <w14:srgbClr w14:val="000000">
                      <w14:alpha w14:val="100000"/>
                    </w14:srgbClr>
                  </w14:solidFill>
                </w14:textFill>
              </w:rPr>
              <w:t>|</w:t>
            </w:r>
            <w:r w:rsidR="003610CE" w:rsidRPr="00A366EE">
              <w:rPr>
                <w:szCs w:val="20"/>
                <w:vertAlign w:val="superscript"/>
              </w:rPr>
              <w:t>2</w:t>
            </w:r>
            <w:r w:rsidR="00FC6211" w:rsidRPr="00476420">
              <w:rPr>
                <w:szCs w:val="20"/>
              </w:rPr>
              <w:t xml:space="preserve"> (</w:t>
            </w:r>
            <w:r w:rsidRPr="00CA4FD9">
              <w:rPr>
                <w:i/>
                <w:iCs/>
                <w:color w:val="000000"/>
                <w:szCs w:val="20"/>
                <w:shd w:val="solid" w:color="000000" w:fill="000000"/>
                <w14:textFill>
                  <w14:solidFill>
                    <w14:srgbClr w14:val="000000">
                      <w14:alpha w14:val="100000"/>
                    </w14:srgbClr>
                  </w14:solidFill>
                </w14:textFill>
              </w:rPr>
              <w:t>|</w:t>
            </w:r>
            <w:r w:rsidR="003610CE" w:rsidRPr="00A366EE">
              <w:rPr>
                <w:i/>
                <w:iCs/>
                <w:szCs w:val="20"/>
                <w:vertAlign w:val="superscript"/>
              </w:rPr>
              <w:t>3</w:t>
            </w:r>
            <w:r w:rsidR="00FC6211" w:rsidRPr="00476420">
              <w:rPr>
                <w:szCs w:val="20"/>
              </w:rPr>
              <w:t xml:space="preserve">) </w:t>
            </w:r>
          </w:p>
        </w:tc>
        <w:tc>
          <w:tcPr>
            <w:tcW w:w="1701" w:type="dxa"/>
          </w:tcPr>
          <w:p w14:paraId="75E2A213" w14:textId="09C42BAE" w:rsidR="003626BF" w:rsidRPr="00476420" w:rsidRDefault="00CA4FD9" w:rsidP="006E6E09">
            <w:pPr>
              <w:pStyle w:val="TableText0"/>
              <w:keepLines/>
              <w:jc w:val="right"/>
              <w:rPr>
                <w:szCs w:val="20"/>
              </w:rPr>
            </w:pPr>
            <w:r w:rsidRPr="00CA4FD9">
              <w:rPr>
                <w:color w:val="000000"/>
                <w:szCs w:val="20"/>
                <w:shd w:val="solid" w:color="000000" w:fill="000000"/>
                <w14:textFill>
                  <w14:solidFill>
                    <w14:srgbClr w14:val="000000">
                      <w14:alpha w14:val="100000"/>
                    </w14:srgbClr>
                  </w14:solidFill>
                </w14:textFill>
              </w:rPr>
              <w:t>|</w:t>
            </w:r>
            <w:r w:rsidR="003610CE" w:rsidRPr="007C6F1B">
              <w:rPr>
                <w:i/>
                <w:iCs/>
                <w:szCs w:val="20"/>
                <w:vertAlign w:val="superscript"/>
              </w:rPr>
              <w:t>3</w:t>
            </w:r>
            <w:r w:rsidR="00FC6211" w:rsidRPr="00476420">
              <w:rPr>
                <w:szCs w:val="20"/>
              </w:rPr>
              <w:t xml:space="preserve"> (</w:t>
            </w:r>
            <w:r w:rsidRPr="00CA4FD9">
              <w:rPr>
                <w:i/>
                <w:iCs/>
                <w:color w:val="000000"/>
                <w:szCs w:val="20"/>
                <w:shd w:val="solid" w:color="000000" w:fill="000000"/>
                <w14:textFill>
                  <w14:solidFill>
                    <w14:srgbClr w14:val="000000">
                      <w14:alpha w14:val="100000"/>
                    </w14:srgbClr>
                  </w14:solidFill>
                </w14:textFill>
              </w:rPr>
              <w:t>|</w:t>
            </w:r>
            <w:r w:rsidR="003610CE" w:rsidRPr="007C6F1B">
              <w:rPr>
                <w:i/>
                <w:iCs/>
                <w:szCs w:val="20"/>
                <w:vertAlign w:val="superscript"/>
              </w:rPr>
              <w:t>3</w:t>
            </w:r>
            <w:r w:rsidR="00FC6211" w:rsidRPr="00476420">
              <w:rPr>
                <w:szCs w:val="20"/>
              </w:rPr>
              <w:t>)</w:t>
            </w:r>
          </w:p>
        </w:tc>
        <w:tc>
          <w:tcPr>
            <w:tcW w:w="1650" w:type="dxa"/>
          </w:tcPr>
          <w:p w14:paraId="1270AE9D" w14:textId="7BFC4DC8" w:rsidR="003626BF" w:rsidRPr="00A366EE" w:rsidRDefault="00CA4FD9" w:rsidP="006E6E09">
            <w:pPr>
              <w:pStyle w:val="TableText0"/>
              <w:keepLines/>
              <w:jc w:val="right"/>
              <w:rPr>
                <w:szCs w:val="20"/>
                <w:highlight w:val="lightGray"/>
              </w:rPr>
            </w:pPr>
            <w:r w:rsidRPr="00CA4FD9">
              <w:rPr>
                <w:color w:val="000000"/>
                <w:szCs w:val="20"/>
                <w:shd w:val="solid" w:color="000000" w:fill="000000"/>
                <w14:textFill>
                  <w14:solidFill>
                    <w14:srgbClr w14:val="000000">
                      <w14:alpha w14:val="100000"/>
                    </w14:srgbClr>
                  </w14:solidFill>
                </w14:textFill>
              </w:rPr>
              <w:t>|</w:t>
            </w:r>
            <w:r w:rsidR="003610CE" w:rsidRPr="007C6F1B">
              <w:rPr>
                <w:i/>
                <w:iCs/>
                <w:szCs w:val="20"/>
                <w:vertAlign w:val="superscript"/>
              </w:rPr>
              <w:t>3</w:t>
            </w:r>
          </w:p>
        </w:tc>
      </w:tr>
      <w:tr w:rsidR="003626BF" w:rsidRPr="00032882" w14:paraId="685F4C42" w14:textId="77777777" w:rsidTr="003626BF">
        <w:tc>
          <w:tcPr>
            <w:tcW w:w="2689" w:type="dxa"/>
            <w:vMerge/>
          </w:tcPr>
          <w:p w14:paraId="54332A81" w14:textId="77777777" w:rsidR="003626BF" w:rsidRPr="00032882" w:rsidRDefault="003626BF" w:rsidP="006E6E09">
            <w:pPr>
              <w:pStyle w:val="Tablewriting"/>
              <w:keepNext/>
              <w:keepLines/>
              <w:spacing w:before="0" w:after="0"/>
              <w:rPr>
                <w:rFonts w:ascii="Arial Narrow" w:hAnsi="Arial Narrow"/>
                <w:b/>
                <w:bCs/>
              </w:rPr>
            </w:pPr>
          </w:p>
        </w:tc>
        <w:tc>
          <w:tcPr>
            <w:tcW w:w="1134" w:type="dxa"/>
          </w:tcPr>
          <w:p w14:paraId="49F270DA" w14:textId="7777777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Actual</w:t>
            </w:r>
          </w:p>
        </w:tc>
        <w:tc>
          <w:tcPr>
            <w:tcW w:w="1842" w:type="dxa"/>
          </w:tcPr>
          <w:p w14:paraId="74E03ACD" w14:textId="655739D5" w:rsidR="003626BF" w:rsidRPr="00421784" w:rsidRDefault="003626BF" w:rsidP="006E6E09">
            <w:pPr>
              <w:pStyle w:val="TableText0"/>
              <w:keepLines/>
              <w:jc w:val="right"/>
              <w:rPr>
                <w:szCs w:val="20"/>
              </w:rPr>
            </w:pPr>
            <w:r w:rsidRPr="00421784">
              <w:rPr>
                <w:szCs w:val="20"/>
              </w:rPr>
              <w:t>7</w:t>
            </w:r>
            <w:r w:rsidR="00501671" w:rsidRPr="00421784">
              <w:rPr>
                <w:szCs w:val="20"/>
              </w:rPr>
              <w:t>,</w:t>
            </w:r>
            <w:r w:rsidRPr="00421784">
              <w:rPr>
                <w:szCs w:val="20"/>
              </w:rPr>
              <w:t>997</w:t>
            </w:r>
          </w:p>
        </w:tc>
        <w:tc>
          <w:tcPr>
            <w:tcW w:w="1701" w:type="dxa"/>
          </w:tcPr>
          <w:p w14:paraId="593CC1FB" w14:textId="5E527FFC" w:rsidR="003626BF" w:rsidRPr="00421784" w:rsidRDefault="003626BF" w:rsidP="006E6E09">
            <w:pPr>
              <w:pStyle w:val="TableText0"/>
              <w:keepLines/>
              <w:jc w:val="right"/>
              <w:rPr>
                <w:szCs w:val="20"/>
              </w:rPr>
            </w:pPr>
            <w:r w:rsidRPr="00421784">
              <w:rPr>
                <w:szCs w:val="20"/>
              </w:rPr>
              <w:t>7</w:t>
            </w:r>
            <w:r w:rsidR="00501671" w:rsidRPr="00421784">
              <w:rPr>
                <w:szCs w:val="20"/>
              </w:rPr>
              <w:t>,</w:t>
            </w:r>
            <w:r w:rsidRPr="00421784">
              <w:rPr>
                <w:szCs w:val="20"/>
              </w:rPr>
              <w:t>724</w:t>
            </w:r>
          </w:p>
        </w:tc>
        <w:tc>
          <w:tcPr>
            <w:tcW w:w="1650" w:type="dxa"/>
          </w:tcPr>
          <w:p w14:paraId="0AEAAF9A" w14:textId="1E04DE0F" w:rsidR="003626BF" w:rsidRPr="00421784" w:rsidRDefault="003626BF" w:rsidP="006E6E09">
            <w:pPr>
              <w:pStyle w:val="TableText0"/>
              <w:keepLines/>
              <w:jc w:val="right"/>
              <w:rPr>
                <w:szCs w:val="20"/>
              </w:rPr>
            </w:pPr>
            <w:r w:rsidRPr="00421784">
              <w:rPr>
                <w:szCs w:val="20"/>
              </w:rPr>
              <w:t>3</w:t>
            </w:r>
            <w:r w:rsidR="00501671" w:rsidRPr="00421784">
              <w:rPr>
                <w:szCs w:val="20"/>
              </w:rPr>
              <w:t>,</w:t>
            </w:r>
            <w:r w:rsidRPr="00421784">
              <w:rPr>
                <w:szCs w:val="20"/>
              </w:rPr>
              <w:t>387</w:t>
            </w:r>
          </w:p>
        </w:tc>
      </w:tr>
      <w:tr w:rsidR="003626BF" w:rsidRPr="00032882" w14:paraId="0264BFAE" w14:textId="77777777" w:rsidTr="003626BF">
        <w:tc>
          <w:tcPr>
            <w:tcW w:w="2689" w:type="dxa"/>
            <w:vMerge/>
          </w:tcPr>
          <w:p w14:paraId="2AFD6B5A" w14:textId="77777777" w:rsidR="003626BF" w:rsidRPr="00032882" w:rsidRDefault="003626BF" w:rsidP="006E6E09">
            <w:pPr>
              <w:pStyle w:val="Tablewriting"/>
              <w:keepNext/>
              <w:keepLines/>
              <w:spacing w:before="0" w:after="0"/>
              <w:rPr>
                <w:rFonts w:ascii="Arial Narrow" w:hAnsi="Arial Narrow"/>
                <w:b/>
                <w:bCs/>
              </w:rPr>
            </w:pPr>
          </w:p>
        </w:tc>
        <w:tc>
          <w:tcPr>
            <w:tcW w:w="1134" w:type="dxa"/>
          </w:tcPr>
          <w:p w14:paraId="570C1A56" w14:textId="17AEECCE"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Difference</w:t>
            </w:r>
            <w:r w:rsidR="00FC6211" w:rsidRPr="00032882">
              <w:rPr>
                <w:rFonts w:ascii="Arial Narrow" w:hAnsi="Arial Narrow"/>
                <w:b/>
                <w:bCs/>
                <w:vertAlign w:val="superscript"/>
              </w:rPr>
              <w:t>#</w:t>
            </w:r>
          </w:p>
        </w:tc>
        <w:tc>
          <w:tcPr>
            <w:tcW w:w="1842" w:type="dxa"/>
          </w:tcPr>
          <w:p w14:paraId="065B2964" w14:textId="5F9E19AB" w:rsidR="003626BF" w:rsidRPr="00370A5C" w:rsidRDefault="003626BF" w:rsidP="006E6E09">
            <w:pPr>
              <w:pStyle w:val="TableText0"/>
              <w:keepLines/>
              <w:jc w:val="right"/>
              <w:rPr>
                <w:szCs w:val="20"/>
              </w:rPr>
            </w:pPr>
            <w:r w:rsidRPr="00370A5C">
              <w:rPr>
                <w:szCs w:val="20"/>
              </w:rPr>
              <w:t>-</w:t>
            </w:r>
            <w:r w:rsidR="00CA4FD9" w:rsidRPr="00CA4FD9">
              <w:rPr>
                <w:rFonts w:hint="eastAsia"/>
                <w:color w:val="000000"/>
                <w:w w:val="30"/>
                <w:szCs w:val="20"/>
                <w:shd w:val="solid" w:color="000000" w:fill="000000"/>
                <w:fitText w:val="135" w:id="-893751805"/>
                <w14:textFill>
                  <w14:solidFill>
                    <w14:srgbClr w14:val="000000">
                      <w14:alpha w14:val="100000"/>
                    </w14:srgbClr>
                  </w14:solidFill>
                </w14:textFill>
              </w:rPr>
              <w:t xml:space="preserve">　</w:t>
            </w:r>
            <w:r w:rsidR="00CA4FD9" w:rsidRPr="00CA4FD9">
              <w:rPr>
                <w:color w:val="000000"/>
                <w:w w:val="30"/>
                <w:szCs w:val="20"/>
                <w:shd w:val="solid" w:color="000000" w:fill="000000"/>
                <w:fitText w:val="135" w:id="-893751805"/>
                <w14:textFill>
                  <w14:solidFill>
                    <w14:srgbClr w14:val="000000">
                      <w14:alpha w14:val="100000"/>
                    </w14:srgbClr>
                  </w14:solidFill>
                </w14:textFill>
              </w:rPr>
              <w:t>|</w:t>
            </w:r>
            <w:r w:rsidR="00CA4FD9" w:rsidRPr="00CA4FD9">
              <w:rPr>
                <w:rFonts w:hint="eastAsia"/>
                <w:color w:val="000000"/>
                <w:w w:val="30"/>
                <w:szCs w:val="20"/>
                <w:shd w:val="solid" w:color="000000" w:fill="000000"/>
                <w:fitText w:val="135" w:id="-893751805"/>
                <w14:textFill>
                  <w14:solidFill>
                    <w14:srgbClr w14:val="000000">
                      <w14:alpha w14:val="100000"/>
                    </w14:srgbClr>
                  </w14:solidFill>
                </w14:textFill>
              </w:rPr>
              <w:t xml:space="preserve">　</w:t>
            </w:r>
            <w:r w:rsidRPr="00370A5C">
              <w:rPr>
                <w:szCs w:val="20"/>
              </w:rPr>
              <w:t>%</w:t>
            </w:r>
            <w:r w:rsidR="00FC6211" w:rsidRPr="00370A5C">
              <w:rPr>
                <w:szCs w:val="20"/>
              </w:rPr>
              <w:t xml:space="preserve"> </w:t>
            </w:r>
            <w:r w:rsidR="00FC6211" w:rsidRPr="00370A5C">
              <w:rPr>
                <w:i/>
                <w:iCs/>
                <w:szCs w:val="20"/>
              </w:rPr>
              <w:t>(-</w:t>
            </w:r>
            <w:r w:rsidR="00CA4FD9" w:rsidRPr="00CA4FD9">
              <w:rPr>
                <w:i/>
                <w:iCs/>
                <w:color w:val="000000"/>
                <w:szCs w:val="20"/>
                <w:shd w:val="solid" w:color="000000" w:fill="000000"/>
                <w14:textFill>
                  <w14:solidFill>
                    <w14:srgbClr w14:val="000000">
                      <w14:alpha w14:val="100000"/>
                    </w14:srgbClr>
                  </w14:solidFill>
                </w14:textFill>
              </w:rPr>
              <w:t>|</w:t>
            </w:r>
            <w:r w:rsidR="00FC6211" w:rsidRPr="00370A5C">
              <w:rPr>
                <w:i/>
                <w:iCs/>
                <w:szCs w:val="20"/>
              </w:rPr>
              <w:t>%)</w:t>
            </w:r>
          </w:p>
        </w:tc>
        <w:tc>
          <w:tcPr>
            <w:tcW w:w="1701" w:type="dxa"/>
          </w:tcPr>
          <w:p w14:paraId="724F9420" w14:textId="0523916F" w:rsidR="003626BF" w:rsidRPr="00370A5C" w:rsidRDefault="003626BF" w:rsidP="006E6E09">
            <w:pPr>
              <w:pStyle w:val="TableText0"/>
              <w:keepLines/>
              <w:jc w:val="right"/>
              <w:rPr>
                <w:szCs w:val="20"/>
              </w:rPr>
            </w:pPr>
            <w:r w:rsidRPr="00370A5C">
              <w:rPr>
                <w:szCs w:val="20"/>
              </w:rPr>
              <w:t>-</w:t>
            </w:r>
            <w:r w:rsidR="00CA4FD9" w:rsidRPr="00CA4FD9">
              <w:rPr>
                <w:color w:val="000000"/>
                <w:spacing w:val="169"/>
                <w:szCs w:val="20"/>
                <w:shd w:val="solid" w:color="000000" w:fill="000000"/>
                <w:fitText w:val="255" w:id="-893751804"/>
                <w14:textFill>
                  <w14:solidFill>
                    <w14:srgbClr w14:val="000000">
                      <w14:alpha w14:val="100000"/>
                    </w14:srgbClr>
                  </w14:solidFill>
                </w14:textFill>
              </w:rPr>
              <w:t>|</w:t>
            </w:r>
            <w:r w:rsidR="00CA4FD9" w:rsidRPr="00CA4FD9">
              <w:rPr>
                <w:color w:val="000000"/>
                <w:szCs w:val="20"/>
                <w:shd w:val="solid" w:color="000000" w:fill="000000"/>
                <w:fitText w:val="255" w:id="-893751804"/>
                <w14:textFill>
                  <w14:solidFill>
                    <w14:srgbClr w14:val="000000">
                      <w14:alpha w14:val="100000"/>
                    </w14:srgbClr>
                  </w14:solidFill>
                </w14:textFill>
              </w:rPr>
              <w:t>|</w:t>
            </w:r>
            <w:r w:rsidRPr="00370A5C">
              <w:rPr>
                <w:szCs w:val="20"/>
              </w:rPr>
              <w:t>%</w:t>
            </w:r>
            <w:r w:rsidR="00FC6211" w:rsidRPr="00370A5C">
              <w:rPr>
                <w:szCs w:val="20"/>
              </w:rPr>
              <w:t xml:space="preserve"> </w:t>
            </w:r>
            <w:r w:rsidR="00FC6211" w:rsidRPr="00370A5C">
              <w:rPr>
                <w:i/>
                <w:iCs/>
                <w:szCs w:val="20"/>
              </w:rPr>
              <w:t>(-</w:t>
            </w:r>
            <w:r w:rsidR="00CA4FD9" w:rsidRPr="00B675D1">
              <w:rPr>
                <w:rFonts w:hint="eastAsia"/>
                <w:i/>
                <w:iCs/>
                <w:color w:val="000000"/>
                <w:w w:val="20"/>
                <w:szCs w:val="20"/>
                <w:shd w:val="solid" w:color="000000" w:fill="000000"/>
                <w:fitText w:val="90" w:id="-893751803"/>
                <w14:textFill>
                  <w14:solidFill>
                    <w14:srgbClr w14:val="000000">
                      <w14:alpha w14:val="100000"/>
                    </w14:srgbClr>
                  </w14:solidFill>
                </w14:textFill>
              </w:rPr>
              <w:t xml:space="preserve">　</w:t>
            </w:r>
            <w:r w:rsidR="00CA4FD9" w:rsidRPr="00B675D1">
              <w:rPr>
                <w:i/>
                <w:iCs/>
                <w:color w:val="000000"/>
                <w:w w:val="20"/>
                <w:szCs w:val="20"/>
                <w:shd w:val="solid" w:color="000000" w:fill="000000"/>
                <w:fitText w:val="90" w:id="-893751803"/>
                <w14:textFill>
                  <w14:solidFill>
                    <w14:srgbClr w14:val="000000">
                      <w14:alpha w14:val="100000"/>
                    </w14:srgbClr>
                  </w14:solidFill>
                </w14:textFill>
              </w:rPr>
              <w:t>|</w:t>
            </w:r>
            <w:r w:rsidR="00CA4FD9" w:rsidRPr="00B675D1">
              <w:rPr>
                <w:rFonts w:hint="eastAsia"/>
                <w:i/>
                <w:iCs/>
                <w:color w:val="000000"/>
                <w:spacing w:val="3"/>
                <w:w w:val="20"/>
                <w:szCs w:val="20"/>
                <w:shd w:val="solid" w:color="000000" w:fill="000000"/>
                <w:fitText w:val="90" w:id="-893751803"/>
                <w14:textFill>
                  <w14:solidFill>
                    <w14:srgbClr w14:val="000000">
                      <w14:alpha w14:val="100000"/>
                    </w14:srgbClr>
                  </w14:solidFill>
                </w14:textFill>
              </w:rPr>
              <w:t xml:space="preserve">　</w:t>
            </w:r>
            <w:r w:rsidR="00FC6211" w:rsidRPr="00370A5C">
              <w:rPr>
                <w:i/>
                <w:iCs/>
                <w:szCs w:val="20"/>
              </w:rPr>
              <w:t>%)</w:t>
            </w:r>
          </w:p>
        </w:tc>
        <w:tc>
          <w:tcPr>
            <w:tcW w:w="1650" w:type="dxa"/>
          </w:tcPr>
          <w:p w14:paraId="71F295AB" w14:textId="77777777" w:rsidR="003626BF" w:rsidRPr="00032882" w:rsidRDefault="003626BF" w:rsidP="006E6E09">
            <w:pPr>
              <w:pStyle w:val="TableText0"/>
              <w:keepLines/>
              <w:jc w:val="right"/>
              <w:rPr>
                <w:szCs w:val="20"/>
              </w:rPr>
            </w:pPr>
            <w:r w:rsidRPr="00032882">
              <w:rPr>
                <w:szCs w:val="20"/>
              </w:rPr>
              <w:t>NA</w:t>
            </w:r>
          </w:p>
        </w:tc>
      </w:tr>
      <w:tr w:rsidR="003626BF" w:rsidRPr="00032882" w14:paraId="7393E112" w14:textId="77777777" w:rsidTr="003626BF">
        <w:tc>
          <w:tcPr>
            <w:tcW w:w="2689" w:type="dxa"/>
          </w:tcPr>
          <w:p w14:paraId="6E1A21BE" w14:textId="7777777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Net Cost PBS/RPBS</w:t>
            </w:r>
          </w:p>
        </w:tc>
        <w:tc>
          <w:tcPr>
            <w:tcW w:w="1134" w:type="dxa"/>
          </w:tcPr>
          <w:p w14:paraId="7B8D6451" w14:textId="73F73DCF"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Predicted</w:t>
            </w:r>
            <w:r w:rsidR="00FC6211" w:rsidRPr="00032882">
              <w:rPr>
                <w:rFonts w:ascii="Arial Narrow" w:hAnsi="Arial Narrow"/>
                <w:b/>
                <w:bCs/>
                <w:vertAlign w:val="superscript"/>
              </w:rPr>
              <w:t>#</w:t>
            </w:r>
          </w:p>
        </w:tc>
        <w:tc>
          <w:tcPr>
            <w:tcW w:w="1842" w:type="dxa"/>
          </w:tcPr>
          <w:p w14:paraId="519E306A" w14:textId="73409E22" w:rsidR="00AF6093" w:rsidRPr="0037650F" w:rsidRDefault="00CA4FD9" w:rsidP="006E6E09">
            <w:pPr>
              <w:pStyle w:val="TableText0"/>
              <w:keepLines/>
              <w:jc w:val="right"/>
              <w:rPr>
                <w:szCs w:val="20"/>
              </w:rPr>
            </w:pPr>
            <w:r w:rsidRPr="00CA4FD9">
              <w:rPr>
                <w:color w:val="000000"/>
                <w:szCs w:val="20"/>
                <w:shd w:val="solid" w:color="000000" w:fill="000000"/>
                <w14:textFill>
                  <w14:solidFill>
                    <w14:srgbClr w14:val="000000">
                      <w14:alpha w14:val="100000"/>
                    </w14:srgbClr>
                  </w14:solidFill>
                </w14:textFill>
              </w:rPr>
              <w:t>|</w:t>
            </w:r>
            <w:r w:rsidR="00D06EEE" w:rsidRPr="00A366EE">
              <w:rPr>
                <w:szCs w:val="20"/>
                <w:vertAlign w:val="superscript"/>
              </w:rPr>
              <w:t>4</w:t>
            </w:r>
            <w:r w:rsidR="00AF6093" w:rsidRPr="0037650F">
              <w:rPr>
                <w:szCs w:val="20"/>
              </w:rPr>
              <w:t xml:space="preserve"> (</w:t>
            </w:r>
          </w:p>
          <w:p w14:paraId="3CB42AD9" w14:textId="3A6B63B2" w:rsidR="00AF6093" w:rsidRPr="0037650F" w:rsidRDefault="00CA4FD9" w:rsidP="006E6E09">
            <w:pPr>
              <w:keepNext/>
              <w:keepLines/>
              <w:jc w:val="right"/>
              <w:rPr>
                <w:rFonts w:ascii="Arial Narrow" w:eastAsiaTheme="majorEastAsia" w:hAnsi="Arial Narrow" w:cstheme="majorBidi"/>
                <w:bCs/>
                <w:sz w:val="20"/>
                <w:szCs w:val="20"/>
              </w:rPr>
            </w:pPr>
            <w:r w:rsidRPr="00CA4FD9">
              <w:rPr>
                <w:rFonts w:ascii="Arial Narrow" w:eastAsiaTheme="majorEastAsia" w:hAnsi="Arial Narrow" w:cstheme="majorBidi"/>
                <w:bCs/>
                <w:i/>
                <w:iCs/>
                <w:color w:val="000000"/>
                <w:sz w:val="20"/>
                <w:szCs w:val="20"/>
                <w:shd w:val="solid" w:color="000000" w:fill="000000"/>
                <w14:textFill>
                  <w14:solidFill>
                    <w14:srgbClr w14:val="000000">
                      <w14:alpha w14:val="100000"/>
                    </w14:srgbClr>
                  </w14:solidFill>
                </w14:textFill>
              </w:rPr>
              <w:t>|</w:t>
            </w:r>
            <w:r w:rsidR="00AF6093" w:rsidRPr="0037650F">
              <w:rPr>
                <w:rFonts w:ascii="Arial Narrow" w:eastAsiaTheme="majorEastAsia" w:hAnsi="Arial Narrow" w:cstheme="majorBidi"/>
                <w:bCs/>
                <w:sz w:val="20"/>
                <w:szCs w:val="20"/>
              </w:rPr>
              <w:t>)</w:t>
            </w:r>
            <w:r w:rsidR="00817468" w:rsidRPr="00A366EE">
              <w:rPr>
                <w:rFonts w:ascii="Arial Narrow" w:eastAsiaTheme="majorEastAsia" w:hAnsi="Arial Narrow" w:cstheme="majorBidi"/>
                <w:bCs/>
                <w:sz w:val="20"/>
                <w:szCs w:val="20"/>
                <w:vertAlign w:val="superscript"/>
              </w:rPr>
              <w:t>5</w:t>
            </w:r>
          </w:p>
          <w:p w14:paraId="7A4E76BA" w14:textId="66DCA697" w:rsidR="003626BF" w:rsidRPr="0037650F" w:rsidRDefault="003626BF" w:rsidP="006E6E09">
            <w:pPr>
              <w:pStyle w:val="TableText0"/>
              <w:keepLines/>
              <w:jc w:val="right"/>
              <w:rPr>
                <w:szCs w:val="20"/>
              </w:rPr>
            </w:pPr>
          </w:p>
        </w:tc>
        <w:tc>
          <w:tcPr>
            <w:tcW w:w="1701" w:type="dxa"/>
          </w:tcPr>
          <w:p w14:paraId="4A85998F" w14:textId="4D2678A7" w:rsidR="00AF6093" w:rsidRPr="0037650F" w:rsidRDefault="00CA4FD9" w:rsidP="006E6E09">
            <w:pPr>
              <w:keepNext/>
              <w:keepLines/>
              <w:jc w:val="right"/>
              <w:rPr>
                <w:rFonts w:ascii="Arial Narrow" w:hAnsi="Arial Narrow" w:cs="Calibri"/>
                <w:color w:val="000000"/>
                <w:sz w:val="20"/>
                <w:szCs w:val="20"/>
              </w:rPr>
            </w:pPr>
            <w:r w:rsidRPr="00CA4FD9">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617E3A" w:rsidRPr="00A366EE">
              <w:rPr>
                <w:rFonts w:ascii="Arial Narrow" w:hAnsi="Arial Narrow"/>
                <w:sz w:val="20"/>
                <w:szCs w:val="20"/>
                <w:vertAlign w:val="superscript"/>
              </w:rPr>
              <w:t>6</w:t>
            </w:r>
            <w:r w:rsidRPr="00CA4FD9">
              <w:rPr>
                <w:rFonts w:ascii="Arial Narrow" w:eastAsiaTheme="majorEastAsia" w:hAnsi="Arial Narrow" w:cstheme="majorBidi"/>
                <w:bCs/>
                <w:i/>
                <w:iCs/>
                <w:color w:val="000000"/>
                <w:sz w:val="20"/>
                <w:szCs w:val="20"/>
                <w:shd w:val="solid" w:color="000000" w:fill="000000"/>
                <w14:textFill>
                  <w14:solidFill>
                    <w14:srgbClr w14:val="000000">
                      <w14:alpha w14:val="100000"/>
                    </w14:srgbClr>
                  </w14:solidFill>
                </w14:textFill>
              </w:rPr>
              <w:t>|</w:t>
            </w:r>
            <w:r w:rsidR="00617E3A" w:rsidRPr="007C6F1B">
              <w:rPr>
                <w:rFonts w:ascii="Arial Narrow" w:hAnsi="Arial Narrow"/>
                <w:sz w:val="20"/>
                <w:szCs w:val="20"/>
                <w:vertAlign w:val="superscript"/>
              </w:rPr>
              <w:t>6</w:t>
            </w:r>
            <w:r w:rsidR="00AF6093" w:rsidRPr="0037650F">
              <w:rPr>
                <w:rFonts w:ascii="Arial Narrow" w:hAnsi="Arial Narrow" w:cs="Calibri"/>
                <w:color w:val="000000"/>
                <w:sz w:val="20"/>
                <w:szCs w:val="20"/>
              </w:rPr>
              <w:t>)</w:t>
            </w:r>
          </w:p>
          <w:p w14:paraId="2F2DAECA" w14:textId="0260D97F" w:rsidR="003626BF" w:rsidRPr="0037650F" w:rsidRDefault="003626BF" w:rsidP="006E6E09">
            <w:pPr>
              <w:pStyle w:val="TableText0"/>
              <w:keepLines/>
              <w:jc w:val="right"/>
              <w:rPr>
                <w:szCs w:val="20"/>
              </w:rPr>
            </w:pPr>
          </w:p>
        </w:tc>
        <w:tc>
          <w:tcPr>
            <w:tcW w:w="1650" w:type="dxa"/>
          </w:tcPr>
          <w:p w14:paraId="0697408C" w14:textId="5C9CAF4A" w:rsidR="003626BF" w:rsidRPr="00032882" w:rsidRDefault="00CA4FD9" w:rsidP="006E6E09">
            <w:pPr>
              <w:pStyle w:val="TableText0"/>
              <w:keepLines/>
              <w:jc w:val="right"/>
              <w:rPr>
                <w:szCs w:val="20"/>
              </w:rPr>
            </w:pPr>
            <w:r w:rsidRPr="00CA4FD9">
              <w:rPr>
                <w:color w:val="000000"/>
                <w:szCs w:val="20"/>
                <w:shd w:val="solid" w:color="000000" w:fill="000000"/>
                <w14:textFill>
                  <w14:solidFill>
                    <w14:srgbClr w14:val="000000">
                      <w14:alpha w14:val="100000"/>
                    </w14:srgbClr>
                  </w14:solidFill>
                </w14:textFill>
              </w:rPr>
              <w:t>|</w:t>
            </w:r>
            <w:r w:rsidR="00617E3A" w:rsidRPr="007C6F1B">
              <w:rPr>
                <w:szCs w:val="20"/>
                <w:vertAlign w:val="superscript"/>
              </w:rPr>
              <w:t>6</w:t>
            </w:r>
          </w:p>
        </w:tc>
      </w:tr>
      <w:tr w:rsidR="003626BF" w:rsidRPr="00032882" w14:paraId="6EE12AAC" w14:textId="77777777" w:rsidTr="003626BF">
        <w:tc>
          <w:tcPr>
            <w:tcW w:w="2689" w:type="dxa"/>
            <w:vMerge w:val="restart"/>
          </w:tcPr>
          <w:p w14:paraId="0B2E61CF" w14:textId="77777777" w:rsidR="003626BF" w:rsidRPr="00032882" w:rsidRDefault="003626BF" w:rsidP="006E6E09">
            <w:pPr>
              <w:pStyle w:val="Tablewriting"/>
              <w:keepNext/>
              <w:keepLines/>
              <w:spacing w:before="0" w:after="0"/>
              <w:rPr>
                <w:rFonts w:ascii="Arial Narrow" w:hAnsi="Arial Narrow"/>
                <w:b/>
                <w:bCs/>
              </w:rPr>
            </w:pPr>
          </w:p>
        </w:tc>
        <w:tc>
          <w:tcPr>
            <w:tcW w:w="1134" w:type="dxa"/>
          </w:tcPr>
          <w:p w14:paraId="0D6AF5D4" w14:textId="77777777"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Actual</w:t>
            </w:r>
          </w:p>
        </w:tc>
        <w:tc>
          <w:tcPr>
            <w:tcW w:w="1842" w:type="dxa"/>
          </w:tcPr>
          <w:p w14:paraId="5B657F42" w14:textId="3BC7B46D" w:rsidR="003626BF" w:rsidRPr="00421784" w:rsidRDefault="003626BF" w:rsidP="006E6E09">
            <w:pPr>
              <w:pStyle w:val="TableText0"/>
              <w:keepLines/>
              <w:jc w:val="right"/>
              <w:rPr>
                <w:szCs w:val="20"/>
              </w:rPr>
            </w:pPr>
            <w:r w:rsidRPr="00421784">
              <w:rPr>
                <w:szCs w:val="20"/>
              </w:rPr>
              <w:t>$58,009,360</w:t>
            </w:r>
            <w:r w:rsidR="00FC6211" w:rsidRPr="00421784">
              <w:rPr>
                <w:szCs w:val="20"/>
              </w:rPr>
              <w:t xml:space="preserve"> </w:t>
            </w:r>
          </w:p>
        </w:tc>
        <w:tc>
          <w:tcPr>
            <w:tcW w:w="1701" w:type="dxa"/>
          </w:tcPr>
          <w:p w14:paraId="272264FA" w14:textId="77617E4E" w:rsidR="00FC6211" w:rsidRPr="00421784" w:rsidRDefault="003626BF" w:rsidP="006E6E09">
            <w:pPr>
              <w:pStyle w:val="TableText0"/>
              <w:keepLines/>
              <w:jc w:val="right"/>
              <w:rPr>
                <w:szCs w:val="20"/>
              </w:rPr>
            </w:pPr>
            <w:r w:rsidRPr="00421784">
              <w:rPr>
                <w:szCs w:val="20"/>
              </w:rPr>
              <w:t>$59,793,100</w:t>
            </w:r>
            <w:r w:rsidR="00FC6211" w:rsidRPr="00421784">
              <w:rPr>
                <w:szCs w:val="20"/>
              </w:rPr>
              <w:t xml:space="preserve"> </w:t>
            </w:r>
          </w:p>
          <w:p w14:paraId="5FCFFE7C" w14:textId="073D00F4" w:rsidR="003626BF" w:rsidRPr="00421784" w:rsidRDefault="003626BF" w:rsidP="006E6E09">
            <w:pPr>
              <w:keepNext/>
              <w:keepLines/>
              <w:jc w:val="right"/>
              <w:rPr>
                <w:rFonts w:ascii="Arial Narrow" w:hAnsi="Arial Narrow"/>
                <w:sz w:val="20"/>
                <w:szCs w:val="20"/>
              </w:rPr>
            </w:pPr>
          </w:p>
        </w:tc>
        <w:tc>
          <w:tcPr>
            <w:tcW w:w="1650" w:type="dxa"/>
          </w:tcPr>
          <w:p w14:paraId="4962D062" w14:textId="723765D4" w:rsidR="003626BF" w:rsidRPr="00421784" w:rsidRDefault="003626BF" w:rsidP="006E6E09">
            <w:pPr>
              <w:pStyle w:val="TableText0"/>
              <w:keepLines/>
              <w:jc w:val="right"/>
              <w:rPr>
                <w:szCs w:val="20"/>
              </w:rPr>
            </w:pPr>
            <w:r w:rsidRPr="00421784">
              <w:rPr>
                <w:szCs w:val="20"/>
              </w:rPr>
              <w:t>$27,911,298</w:t>
            </w:r>
            <w:r w:rsidR="00354C03">
              <w:rPr>
                <w:szCs w:val="20"/>
                <w:vertAlign w:val="superscript"/>
              </w:rPr>
              <w:t>-</w:t>
            </w:r>
          </w:p>
        </w:tc>
      </w:tr>
      <w:tr w:rsidR="003626BF" w:rsidRPr="00032882" w14:paraId="3CD3F7CE" w14:textId="77777777" w:rsidTr="003626BF">
        <w:tc>
          <w:tcPr>
            <w:tcW w:w="2689" w:type="dxa"/>
            <w:vMerge/>
          </w:tcPr>
          <w:p w14:paraId="4F2EF7FA" w14:textId="77777777" w:rsidR="003626BF" w:rsidRPr="00032882" w:rsidRDefault="003626BF" w:rsidP="006E6E09">
            <w:pPr>
              <w:pStyle w:val="Tablewriting"/>
              <w:keepNext/>
              <w:keepLines/>
              <w:spacing w:before="0" w:after="0"/>
              <w:rPr>
                <w:rFonts w:ascii="Arial Narrow" w:hAnsi="Arial Narrow"/>
                <w:b/>
                <w:bCs/>
              </w:rPr>
            </w:pPr>
          </w:p>
        </w:tc>
        <w:tc>
          <w:tcPr>
            <w:tcW w:w="1134" w:type="dxa"/>
          </w:tcPr>
          <w:p w14:paraId="57EC1673" w14:textId="6F6EC0FB"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Difference</w:t>
            </w:r>
            <w:r w:rsidR="00FC6211" w:rsidRPr="00032882">
              <w:rPr>
                <w:rFonts w:ascii="Arial Narrow" w:hAnsi="Arial Narrow"/>
                <w:b/>
                <w:bCs/>
                <w:vertAlign w:val="superscript"/>
              </w:rPr>
              <w:t>#</w:t>
            </w:r>
          </w:p>
        </w:tc>
        <w:tc>
          <w:tcPr>
            <w:tcW w:w="1842" w:type="dxa"/>
          </w:tcPr>
          <w:p w14:paraId="17261172" w14:textId="4EDD5CDE" w:rsidR="003626BF" w:rsidRPr="00370A5C" w:rsidRDefault="003626BF" w:rsidP="006E6E09">
            <w:pPr>
              <w:pStyle w:val="TableText0"/>
              <w:keepLines/>
              <w:jc w:val="right"/>
              <w:rPr>
                <w:szCs w:val="20"/>
              </w:rPr>
            </w:pPr>
            <w:r w:rsidRPr="00370A5C">
              <w:rPr>
                <w:szCs w:val="20"/>
              </w:rPr>
              <w:t>-</w:t>
            </w:r>
            <w:r w:rsidR="00CA4FD9" w:rsidRPr="00CA4FD9">
              <w:rPr>
                <w:rFonts w:hint="eastAsia"/>
                <w:color w:val="000000"/>
                <w:w w:val="15"/>
                <w:szCs w:val="20"/>
                <w:shd w:val="solid" w:color="000000" w:fill="000000"/>
                <w:fitText w:val="60" w:id="-893751802"/>
                <w14:textFill>
                  <w14:solidFill>
                    <w14:srgbClr w14:val="000000">
                      <w14:alpha w14:val="100000"/>
                    </w14:srgbClr>
                  </w14:solidFill>
                </w14:textFill>
              </w:rPr>
              <w:t xml:space="preserve">　</w:t>
            </w:r>
            <w:r w:rsidR="00CA4FD9" w:rsidRPr="00CA4FD9">
              <w:rPr>
                <w:color w:val="000000"/>
                <w:w w:val="15"/>
                <w:szCs w:val="20"/>
                <w:shd w:val="solid" w:color="000000" w:fill="000000"/>
                <w:fitText w:val="60" w:id="-893751802"/>
                <w14:textFill>
                  <w14:solidFill>
                    <w14:srgbClr w14:val="000000">
                      <w14:alpha w14:val="100000"/>
                    </w14:srgbClr>
                  </w14:solidFill>
                </w14:textFill>
              </w:rPr>
              <w:t>|</w:t>
            </w:r>
            <w:r w:rsidR="00CA4FD9" w:rsidRPr="00CA4FD9">
              <w:rPr>
                <w:rFonts w:hint="eastAsia"/>
                <w:color w:val="000000"/>
                <w:spacing w:val="-15"/>
                <w:w w:val="15"/>
                <w:szCs w:val="20"/>
                <w:shd w:val="solid" w:color="000000" w:fill="000000"/>
                <w:fitText w:val="60" w:id="-893751802"/>
                <w14:textFill>
                  <w14:solidFill>
                    <w14:srgbClr w14:val="000000">
                      <w14:alpha w14:val="100000"/>
                    </w14:srgbClr>
                  </w14:solidFill>
                </w14:textFill>
              </w:rPr>
              <w:t xml:space="preserve">　</w:t>
            </w:r>
            <w:r w:rsidRPr="00370A5C">
              <w:rPr>
                <w:szCs w:val="20"/>
              </w:rPr>
              <w:t>%</w:t>
            </w:r>
            <w:r w:rsidR="00AF6093" w:rsidRPr="00370A5C">
              <w:rPr>
                <w:szCs w:val="20"/>
              </w:rPr>
              <w:t xml:space="preserve"> (</w:t>
            </w:r>
            <w:r w:rsidR="00CA4FD9" w:rsidRPr="00CA4FD9">
              <w:rPr>
                <w:i/>
                <w:iCs/>
                <w:color w:val="000000"/>
                <w:szCs w:val="20"/>
                <w:shd w:val="solid" w:color="000000" w:fill="000000"/>
                <w14:textFill>
                  <w14:solidFill>
                    <w14:srgbClr w14:val="000000">
                      <w14:alpha w14:val="100000"/>
                    </w14:srgbClr>
                  </w14:solidFill>
                </w14:textFill>
              </w:rPr>
              <w:t>|</w:t>
            </w:r>
            <w:r w:rsidR="00AF6093" w:rsidRPr="00370A5C">
              <w:rPr>
                <w:i/>
                <w:iCs/>
                <w:szCs w:val="20"/>
              </w:rPr>
              <w:t>%)</w:t>
            </w:r>
          </w:p>
        </w:tc>
        <w:tc>
          <w:tcPr>
            <w:tcW w:w="1701" w:type="dxa"/>
          </w:tcPr>
          <w:p w14:paraId="2A7809D3" w14:textId="7B43D869" w:rsidR="003626BF" w:rsidRPr="00370A5C" w:rsidRDefault="00CA4FD9" w:rsidP="006E6E09">
            <w:pPr>
              <w:pStyle w:val="TableText0"/>
              <w:keepLines/>
              <w:jc w:val="right"/>
              <w:rPr>
                <w:szCs w:val="20"/>
              </w:rPr>
            </w:pPr>
            <w:r w:rsidRPr="00CA4FD9">
              <w:rPr>
                <w:color w:val="000000"/>
                <w:spacing w:val="79"/>
                <w:szCs w:val="20"/>
                <w:shd w:val="solid" w:color="000000" w:fill="000000"/>
                <w:fitText w:val="165" w:id="-893751801"/>
                <w14:textFill>
                  <w14:solidFill>
                    <w14:srgbClr w14:val="000000">
                      <w14:alpha w14:val="100000"/>
                    </w14:srgbClr>
                  </w14:solidFill>
                </w14:textFill>
              </w:rPr>
              <w:t>|</w:t>
            </w:r>
            <w:r w:rsidRPr="00CA4FD9">
              <w:rPr>
                <w:color w:val="000000"/>
                <w:szCs w:val="20"/>
                <w:shd w:val="solid" w:color="000000" w:fill="000000"/>
                <w:fitText w:val="165" w:id="-893751801"/>
                <w14:textFill>
                  <w14:solidFill>
                    <w14:srgbClr w14:val="000000">
                      <w14:alpha w14:val="100000"/>
                    </w14:srgbClr>
                  </w14:solidFill>
                </w14:textFill>
              </w:rPr>
              <w:t>|</w:t>
            </w:r>
            <w:r w:rsidR="003626BF" w:rsidRPr="00370A5C">
              <w:rPr>
                <w:szCs w:val="20"/>
              </w:rPr>
              <w:t>%</w:t>
            </w:r>
            <w:r w:rsidR="00AF6093" w:rsidRPr="00370A5C">
              <w:rPr>
                <w:szCs w:val="20"/>
              </w:rPr>
              <w:t xml:space="preserve"> (</w:t>
            </w:r>
            <w:r w:rsidRPr="00CA4FD9">
              <w:rPr>
                <w:i/>
                <w:iCs/>
                <w:color w:val="000000"/>
                <w:szCs w:val="20"/>
                <w:shd w:val="solid" w:color="000000" w:fill="000000"/>
                <w14:textFill>
                  <w14:solidFill>
                    <w14:srgbClr w14:val="000000">
                      <w14:alpha w14:val="100000"/>
                    </w14:srgbClr>
                  </w14:solidFill>
                </w14:textFill>
              </w:rPr>
              <w:t>|</w:t>
            </w:r>
            <w:r w:rsidR="00AF6093" w:rsidRPr="00370A5C">
              <w:rPr>
                <w:i/>
                <w:iCs/>
                <w:szCs w:val="20"/>
              </w:rPr>
              <w:t>%)</w:t>
            </w:r>
          </w:p>
        </w:tc>
        <w:tc>
          <w:tcPr>
            <w:tcW w:w="1650" w:type="dxa"/>
          </w:tcPr>
          <w:p w14:paraId="5A1D9B19" w14:textId="77777777" w:rsidR="003626BF" w:rsidRPr="00032882" w:rsidRDefault="003626BF" w:rsidP="006E6E09">
            <w:pPr>
              <w:pStyle w:val="TableText0"/>
              <w:keepLines/>
              <w:jc w:val="right"/>
              <w:rPr>
                <w:szCs w:val="20"/>
              </w:rPr>
            </w:pPr>
            <w:r w:rsidRPr="00032882">
              <w:rPr>
                <w:szCs w:val="20"/>
              </w:rPr>
              <w:t>NA</w:t>
            </w:r>
          </w:p>
        </w:tc>
      </w:tr>
      <w:tr w:rsidR="003626BF" w:rsidRPr="00032882" w14:paraId="26DBF698" w14:textId="77777777" w:rsidTr="003626BF">
        <w:tc>
          <w:tcPr>
            <w:tcW w:w="2689" w:type="dxa"/>
          </w:tcPr>
          <w:p w14:paraId="7605BEDC" w14:textId="43EA9F62"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Total Commonwealth Payment</w:t>
            </w:r>
          </w:p>
        </w:tc>
        <w:tc>
          <w:tcPr>
            <w:tcW w:w="1134" w:type="dxa"/>
          </w:tcPr>
          <w:p w14:paraId="5577E758" w14:textId="01754325"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Actual</w:t>
            </w:r>
          </w:p>
        </w:tc>
        <w:tc>
          <w:tcPr>
            <w:tcW w:w="1842" w:type="dxa"/>
          </w:tcPr>
          <w:p w14:paraId="73F30AAF" w14:textId="50F88BCD" w:rsidR="003626BF" w:rsidRPr="00A366EE" w:rsidRDefault="00CA4FD9" w:rsidP="006E6E09">
            <w:pPr>
              <w:pStyle w:val="TableText0"/>
              <w:keepLines/>
              <w:jc w:val="right"/>
              <w:rPr>
                <w:szCs w:val="20"/>
                <w:highlight w:val="lightGray"/>
              </w:rPr>
            </w:pPr>
            <w:r w:rsidRPr="00CA4FD9">
              <w:rPr>
                <w:color w:val="000000"/>
                <w:szCs w:val="20"/>
                <w:shd w:val="solid" w:color="000000" w:fill="000000"/>
                <w14:textFill>
                  <w14:solidFill>
                    <w14:srgbClr w14:val="000000">
                      <w14:alpha w14:val="100000"/>
                    </w14:srgbClr>
                  </w14:solidFill>
                </w14:textFill>
              </w:rPr>
              <w:t>|</w:t>
            </w:r>
            <w:r w:rsidR="00354C03">
              <w:rPr>
                <w:szCs w:val="20"/>
                <w:vertAlign w:val="superscript"/>
              </w:rPr>
              <w:t>7</w:t>
            </w:r>
          </w:p>
        </w:tc>
        <w:tc>
          <w:tcPr>
            <w:tcW w:w="1701" w:type="dxa"/>
          </w:tcPr>
          <w:p w14:paraId="4DEDD51B" w14:textId="0C3C35DE" w:rsidR="003626BF" w:rsidRPr="00A366EE" w:rsidRDefault="00CA4FD9" w:rsidP="006E6E09">
            <w:pPr>
              <w:pStyle w:val="TableText0"/>
              <w:keepLines/>
              <w:jc w:val="right"/>
              <w:rPr>
                <w:szCs w:val="20"/>
                <w:highlight w:val="lightGray"/>
              </w:rPr>
            </w:pPr>
            <w:r w:rsidRPr="00CA4FD9">
              <w:rPr>
                <w:color w:val="000000"/>
                <w:szCs w:val="20"/>
                <w:shd w:val="solid" w:color="000000" w:fill="000000"/>
                <w14:textFill>
                  <w14:solidFill>
                    <w14:srgbClr w14:val="000000">
                      <w14:alpha w14:val="100000"/>
                    </w14:srgbClr>
                  </w14:solidFill>
                </w14:textFill>
              </w:rPr>
              <w:t>|</w:t>
            </w:r>
            <w:r w:rsidR="00354C03">
              <w:rPr>
                <w:szCs w:val="20"/>
                <w:vertAlign w:val="superscript"/>
              </w:rPr>
              <w:t>7</w:t>
            </w:r>
          </w:p>
        </w:tc>
        <w:tc>
          <w:tcPr>
            <w:tcW w:w="1650" w:type="dxa"/>
          </w:tcPr>
          <w:p w14:paraId="38155EA0" w14:textId="23C3197A" w:rsidR="003626BF" w:rsidRPr="00032882" w:rsidRDefault="00CA4FD9" w:rsidP="006E6E09">
            <w:pPr>
              <w:pStyle w:val="TableText0"/>
              <w:keepLines/>
              <w:jc w:val="right"/>
              <w:rPr>
                <w:szCs w:val="20"/>
              </w:rPr>
            </w:pPr>
            <w:r w:rsidRPr="00CA4FD9">
              <w:rPr>
                <w:color w:val="000000"/>
                <w:szCs w:val="20"/>
                <w:shd w:val="solid" w:color="000000" w:fill="000000"/>
                <w14:textFill>
                  <w14:solidFill>
                    <w14:srgbClr w14:val="000000">
                      <w14:alpha w14:val="100000"/>
                    </w14:srgbClr>
                  </w14:solidFill>
                </w14:textFill>
              </w:rPr>
              <w:t>|</w:t>
            </w:r>
            <w:r w:rsidR="00354C03">
              <w:rPr>
                <w:szCs w:val="20"/>
                <w:vertAlign w:val="superscript"/>
              </w:rPr>
              <w:t>7</w:t>
            </w:r>
          </w:p>
        </w:tc>
      </w:tr>
      <w:tr w:rsidR="003626BF" w:rsidRPr="00032882" w14:paraId="0C28CE16" w14:textId="77777777" w:rsidTr="00CA4FD9">
        <w:tc>
          <w:tcPr>
            <w:tcW w:w="2689" w:type="dxa"/>
          </w:tcPr>
          <w:p w14:paraId="411A1A28" w14:textId="135C8030"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RSA Cap Threshold</w:t>
            </w:r>
          </w:p>
        </w:tc>
        <w:tc>
          <w:tcPr>
            <w:tcW w:w="1134" w:type="dxa"/>
          </w:tcPr>
          <w:p w14:paraId="216A55E9" w14:textId="0A9D8151"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Actual</w:t>
            </w:r>
          </w:p>
        </w:tc>
        <w:tc>
          <w:tcPr>
            <w:tcW w:w="1842" w:type="dxa"/>
            <w:tcBorders>
              <w:bottom w:val="single" w:sz="4" w:space="0" w:color="auto"/>
            </w:tcBorders>
          </w:tcPr>
          <w:p w14:paraId="076E9C45" w14:textId="29CDF3ED" w:rsidR="003626BF" w:rsidRPr="00A366EE" w:rsidRDefault="00CA4FD9" w:rsidP="006E6E09">
            <w:pPr>
              <w:pStyle w:val="TableText0"/>
              <w:keepLines/>
              <w:jc w:val="right"/>
              <w:rPr>
                <w:szCs w:val="20"/>
                <w:highlight w:val="lightGray"/>
              </w:rPr>
            </w:pPr>
            <w:r w:rsidRPr="00CA4FD9">
              <w:rPr>
                <w:color w:val="000000"/>
                <w:szCs w:val="20"/>
                <w:shd w:val="solid" w:color="000000" w:fill="000000"/>
                <w14:textFill>
                  <w14:solidFill>
                    <w14:srgbClr w14:val="000000">
                      <w14:alpha w14:val="100000"/>
                    </w14:srgbClr>
                  </w14:solidFill>
                </w14:textFill>
              </w:rPr>
              <w:t>|</w:t>
            </w:r>
            <w:r w:rsidR="003D3292">
              <w:rPr>
                <w:szCs w:val="20"/>
                <w:vertAlign w:val="superscript"/>
              </w:rPr>
              <w:t>7</w:t>
            </w:r>
          </w:p>
        </w:tc>
        <w:tc>
          <w:tcPr>
            <w:tcW w:w="1701" w:type="dxa"/>
            <w:tcBorders>
              <w:bottom w:val="single" w:sz="4" w:space="0" w:color="auto"/>
            </w:tcBorders>
          </w:tcPr>
          <w:p w14:paraId="396DC7A0" w14:textId="49AC0A2D" w:rsidR="003626BF" w:rsidRPr="00A366EE" w:rsidRDefault="00CA4FD9" w:rsidP="006E6E09">
            <w:pPr>
              <w:pStyle w:val="TableText0"/>
              <w:keepLines/>
              <w:jc w:val="right"/>
              <w:rPr>
                <w:szCs w:val="20"/>
                <w:highlight w:val="lightGray"/>
              </w:rPr>
            </w:pPr>
            <w:r w:rsidRPr="00CA4FD9">
              <w:rPr>
                <w:color w:val="000000"/>
                <w:szCs w:val="20"/>
                <w:shd w:val="solid" w:color="000000" w:fill="000000"/>
                <w14:textFill>
                  <w14:solidFill>
                    <w14:srgbClr w14:val="000000">
                      <w14:alpha w14:val="100000"/>
                    </w14:srgbClr>
                  </w14:solidFill>
                </w14:textFill>
              </w:rPr>
              <w:t>|</w:t>
            </w:r>
            <w:r w:rsidR="003D3292">
              <w:rPr>
                <w:szCs w:val="20"/>
                <w:vertAlign w:val="superscript"/>
              </w:rPr>
              <w:t>7</w:t>
            </w:r>
          </w:p>
        </w:tc>
        <w:tc>
          <w:tcPr>
            <w:tcW w:w="1650" w:type="dxa"/>
          </w:tcPr>
          <w:p w14:paraId="439026AF" w14:textId="0182F2F3" w:rsidR="003626BF" w:rsidRPr="00032882" w:rsidRDefault="00CA4FD9" w:rsidP="006E6E09">
            <w:pPr>
              <w:pStyle w:val="TableText0"/>
              <w:keepLines/>
              <w:jc w:val="right"/>
              <w:rPr>
                <w:szCs w:val="20"/>
              </w:rPr>
            </w:pPr>
            <w:r w:rsidRPr="00CA4FD9">
              <w:rPr>
                <w:color w:val="000000"/>
                <w:szCs w:val="20"/>
                <w:shd w:val="solid" w:color="000000" w:fill="000000"/>
                <w14:textFill>
                  <w14:solidFill>
                    <w14:srgbClr w14:val="000000">
                      <w14:alpha w14:val="100000"/>
                    </w14:srgbClr>
                  </w14:solidFill>
                </w14:textFill>
              </w:rPr>
              <w:t>|</w:t>
            </w:r>
            <w:r w:rsidR="003D3292">
              <w:rPr>
                <w:szCs w:val="20"/>
                <w:vertAlign w:val="superscript"/>
              </w:rPr>
              <w:t>7</w:t>
            </w:r>
          </w:p>
        </w:tc>
      </w:tr>
      <w:tr w:rsidR="003626BF" w:rsidRPr="00032882" w14:paraId="7410C5C0" w14:textId="77777777" w:rsidTr="00CA4FD9">
        <w:tc>
          <w:tcPr>
            <w:tcW w:w="2689" w:type="dxa"/>
          </w:tcPr>
          <w:p w14:paraId="1C22639F" w14:textId="7F54EA49"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Total % of Cap Reached</w:t>
            </w:r>
          </w:p>
        </w:tc>
        <w:tc>
          <w:tcPr>
            <w:tcW w:w="1134" w:type="dxa"/>
          </w:tcPr>
          <w:p w14:paraId="6E5484D4" w14:textId="5776AD9C" w:rsidR="003626BF" w:rsidRPr="00032882" w:rsidRDefault="003626BF" w:rsidP="006E6E09">
            <w:pPr>
              <w:pStyle w:val="Tablewriting"/>
              <w:keepNext/>
              <w:keepLines/>
              <w:spacing w:before="0" w:after="0"/>
              <w:rPr>
                <w:rFonts w:ascii="Arial Narrow" w:hAnsi="Arial Narrow"/>
                <w:b/>
                <w:bCs/>
              </w:rPr>
            </w:pPr>
            <w:r w:rsidRPr="00032882">
              <w:rPr>
                <w:rFonts w:ascii="Arial Narrow" w:hAnsi="Arial Narrow"/>
                <w:b/>
                <w:bCs/>
              </w:rPr>
              <w:t>Actual</w:t>
            </w:r>
          </w:p>
        </w:tc>
        <w:tc>
          <w:tcPr>
            <w:tcW w:w="1842" w:type="dxa"/>
            <w:shd w:val="solid" w:color="000000" w:fill="000000"/>
          </w:tcPr>
          <w:p w14:paraId="3B78B074" w14:textId="5CD809BE" w:rsidR="003626BF" w:rsidRPr="00A366EE" w:rsidRDefault="00CA4FD9" w:rsidP="006E6E09">
            <w:pPr>
              <w:pStyle w:val="TableText0"/>
              <w:keepLines/>
              <w:jc w:val="right"/>
              <w:rPr>
                <w:szCs w:val="20"/>
                <w:highlight w:val="lightGray"/>
              </w:rPr>
            </w:pPr>
            <w:r w:rsidRPr="00CA4FD9">
              <w:rPr>
                <w:color w:val="000000"/>
                <w:szCs w:val="20"/>
                <w14:textFill>
                  <w14:solidFill>
                    <w14:srgbClr w14:val="000000">
                      <w14:alpha w14:val="100000"/>
                    </w14:srgbClr>
                  </w14:solidFill>
                </w14:textFill>
              </w:rPr>
              <w:t>|</w:t>
            </w:r>
          </w:p>
        </w:tc>
        <w:tc>
          <w:tcPr>
            <w:tcW w:w="1701" w:type="dxa"/>
            <w:shd w:val="solid" w:color="000000" w:fill="000000"/>
          </w:tcPr>
          <w:p w14:paraId="20161A4D" w14:textId="6763489D" w:rsidR="003626BF" w:rsidRPr="00A366EE" w:rsidRDefault="00CA4FD9" w:rsidP="006E6E09">
            <w:pPr>
              <w:pStyle w:val="TableText0"/>
              <w:keepLines/>
              <w:jc w:val="right"/>
              <w:rPr>
                <w:szCs w:val="20"/>
                <w:highlight w:val="lightGray"/>
              </w:rPr>
            </w:pPr>
            <w:r w:rsidRPr="00CA4FD9">
              <w:rPr>
                <w:color w:val="000000"/>
                <w:szCs w:val="20"/>
                <w14:textFill>
                  <w14:solidFill>
                    <w14:srgbClr w14:val="000000">
                      <w14:alpha w14:val="100000"/>
                    </w14:srgbClr>
                  </w14:solidFill>
                </w14:textFill>
              </w:rPr>
              <w:t>|</w:t>
            </w:r>
          </w:p>
        </w:tc>
        <w:tc>
          <w:tcPr>
            <w:tcW w:w="1650" w:type="dxa"/>
          </w:tcPr>
          <w:p w14:paraId="0AFBAC61" w14:textId="4A830E30" w:rsidR="003626BF" w:rsidRPr="00032882" w:rsidRDefault="003626BF" w:rsidP="006E6E09">
            <w:pPr>
              <w:pStyle w:val="TableText0"/>
              <w:keepLines/>
              <w:jc w:val="right"/>
              <w:rPr>
                <w:szCs w:val="20"/>
              </w:rPr>
            </w:pPr>
            <w:r w:rsidRPr="00032882">
              <w:rPr>
                <w:szCs w:val="20"/>
              </w:rPr>
              <w:t>NA</w:t>
            </w:r>
          </w:p>
        </w:tc>
      </w:tr>
    </w:tbl>
    <w:p w14:paraId="74E72B96" w14:textId="71449B93" w:rsidR="00E720FC" w:rsidRPr="004D671D" w:rsidRDefault="00E720FC" w:rsidP="006E6E09">
      <w:pPr>
        <w:pStyle w:val="TableFooter"/>
        <w:keepNext/>
        <w:keepLines/>
      </w:pPr>
      <w:r w:rsidRPr="004D671D">
        <w:t>Source</w:t>
      </w:r>
      <w:r w:rsidR="009A5008">
        <w:t>:</w:t>
      </w:r>
      <w:r w:rsidRPr="004D671D">
        <w:t xml:space="preserve"> Table 2 and Table 3, Item 7.2 DUSC Report, DUSC Meeting February 2024</w:t>
      </w:r>
      <w:r w:rsidR="00810727">
        <w:t>;</w:t>
      </w:r>
      <w:r w:rsidR="00180044">
        <w:t xml:space="preserve"> total Commonwealth payments have been updated with the latest available data</w:t>
      </w:r>
      <w:r w:rsidR="007F47A7">
        <w:t xml:space="preserve"> to May 2024</w:t>
      </w:r>
      <w:r w:rsidRPr="004D671D">
        <w:t xml:space="preserve">. </w:t>
      </w:r>
    </w:p>
    <w:p w14:paraId="61002D3D" w14:textId="7BAE4B85" w:rsidR="003626BF" w:rsidRPr="004D671D" w:rsidRDefault="003626BF" w:rsidP="006E6E09">
      <w:pPr>
        <w:pStyle w:val="TableFooter"/>
        <w:keepNext/>
        <w:keepLines/>
      </w:pPr>
      <w:r w:rsidRPr="004D671D">
        <w:t xml:space="preserve">* Year 3 contains data up to </w:t>
      </w:r>
      <w:r w:rsidR="00180044">
        <w:t>May 2024</w:t>
      </w:r>
      <w:r w:rsidRPr="004D671D">
        <w:t xml:space="preserve"> and is not representative of a full listing year. </w:t>
      </w:r>
    </w:p>
    <w:p w14:paraId="16626F91" w14:textId="08D7C3F8" w:rsidR="003626BF" w:rsidRDefault="00E720FC" w:rsidP="006E6E09">
      <w:pPr>
        <w:pStyle w:val="TableFooter"/>
        <w:keepNext/>
        <w:keepLines/>
      </w:pPr>
      <w:r w:rsidRPr="004D671D">
        <w:t>Note: Total Commonwealth payment is based on Special Pricing Arrangements resulting in less cost to PBS/RPBS than the published DPMQ.</w:t>
      </w:r>
    </w:p>
    <w:p w14:paraId="0B6D746A" w14:textId="60698DC0" w:rsidR="008A4186" w:rsidRDefault="004C2EA5" w:rsidP="006E6E09">
      <w:pPr>
        <w:pStyle w:val="TableFooter"/>
        <w:keepNext/>
        <w:keepLines/>
      </w:pPr>
      <w:r>
        <w:t xml:space="preserve"># Figures in italics were derived by the Secretariat, adjusted from calendar year to a 1 July start. For example, first listing year </w:t>
      </w:r>
      <w:r w:rsidR="00CC33B0" w:rsidRPr="00CC33B0">
        <w:t>500 to &lt;</w:t>
      </w:r>
      <w:r w:rsidR="00AE2B31">
        <w:t> </w:t>
      </w:r>
      <w:r w:rsidR="00CC33B0" w:rsidRPr="00CC33B0">
        <w:t>5,000</w:t>
      </w:r>
      <w:r w:rsidR="009468AF">
        <w:t xml:space="preserve"> patients</w:t>
      </w:r>
      <w:r>
        <w:t xml:space="preserve"> = 7/12 x </w:t>
      </w:r>
      <w:r w:rsidR="007C719A" w:rsidRPr="007C719A">
        <w:t>500 to &lt; 5,000</w:t>
      </w:r>
      <w:r>
        <w:t xml:space="preserve"> + 5/12 x </w:t>
      </w:r>
      <w:r w:rsidR="007C719A" w:rsidRPr="007C719A">
        <w:t>500 to &lt; 5,000</w:t>
      </w:r>
    </w:p>
    <w:p w14:paraId="60B77751" w14:textId="77777777" w:rsidR="001A366A" w:rsidRDefault="008A4186" w:rsidP="00AE2B31">
      <w:pPr>
        <w:pStyle w:val="TableFooter"/>
      </w:pPr>
      <w:r>
        <w:t>+ A potential counting error has been identified in the number of predicted patients and will be reconsidered at a subsequent DUSC meeting.</w:t>
      </w:r>
    </w:p>
    <w:p w14:paraId="1E8697F1" w14:textId="42398F43" w:rsidR="001A366A" w:rsidRPr="00AE2B31" w:rsidRDefault="001A366A" w:rsidP="001A366A">
      <w:pPr>
        <w:pStyle w:val="TableFigureFooter"/>
        <w:rPr>
          <w:i/>
          <w:iCs/>
          <w:szCs w:val="18"/>
        </w:rPr>
      </w:pPr>
      <w:r w:rsidRPr="00AE2B31">
        <w:rPr>
          <w:i/>
          <w:iCs/>
          <w:szCs w:val="18"/>
        </w:rPr>
        <w:t>The redacted values correspond to the following ranges:</w:t>
      </w:r>
    </w:p>
    <w:p w14:paraId="3B41BFD5" w14:textId="039E510C" w:rsidR="001A366A" w:rsidRPr="00AE2B31" w:rsidRDefault="0053084B" w:rsidP="001A366A">
      <w:pPr>
        <w:pStyle w:val="TableFigureFooter"/>
        <w:rPr>
          <w:i/>
          <w:iCs/>
          <w:szCs w:val="18"/>
        </w:rPr>
      </w:pPr>
      <w:r w:rsidRPr="00AE2B31">
        <w:rPr>
          <w:i/>
          <w:iCs/>
          <w:szCs w:val="18"/>
        </w:rPr>
        <w:t xml:space="preserve">1 </w:t>
      </w:r>
      <w:r w:rsidR="001A366A" w:rsidRPr="00AE2B31">
        <w:rPr>
          <w:i/>
          <w:iCs/>
          <w:szCs w:val="18"/>
        </w:rPr>
        <w:t xml:space="preserve">500 to &lt; 5,0000 </w:t>
      </w:r>
    </w:p>
    <w:p w14:paraId="64692B10" w14:textId="16882EB4" w:rsidR="001A366A" w:rsidRPr="00AE2B31" w:rsidRDefault="005506C6" w:rsidP="001A366A">
      <w:pPr>
        <w:pStyle w:val="TableFigureFooter"/>
        <w:rPr>
          <w:i/>
          <w:iCs/>
          <w:szCs w:val="18"/>
        </w:rPr>
      </w:pPr>
      <w:r w:rsidRPr="00AE2B31">
        <w:rPr>
          <w:i/>
          <w:iCs/>
          <w:szCs w:val="18"/>
        </w:rPr>
        <w:t>2</w:t>
      </w:r>
      <w:r w:rsidR="001A366A" w:rsidRPr="00AE2B31">
        <w:rPr>
          <w:i/>
          <w:iCs/>
          <w:szCs w:val="18"/>
        </w:rPr>
        <w:t xml:space="preserve"> 10,000 to &lt; 20,000</w:t>
      </w:r>
    </w:p>
    <w:p w14:paraId="43610C20" w14:textId="5CF85852" w:rsidR="005506C6" w:rsidRPr="00AE2B31" w:rsidRDefault="00695E3B" w:rsidP="001A366A">
      <w:pPr>
        <w:pStyle w:val="TableFigureFooter"/>
        <w:rPr>
          <w:i/>
          <w:iCs/>
          <w:szCs w:val="18"/>
        </w:rPr>
      </w:pPr>
      <w:r w:rsidRPr="00AE2B31">
        <w:rPr>
          <w:i/>
          <w:iCs/>
          <w:szCs w:val="18"/>
        </w:rPr>
        <w:t xml:space="preserve">3 </w:t>
      </w:r>
      <w:r w:rsidR="005506C6" w:rsidRPr="00AE2B31">
        <w:rPr>
          <w:i/>
          <w:iCs/>
          <w:szCs w:val="18"/>
        </w:rPr>
        <w:t>5,000 to &lt; 10,000</w:t>
      </w:r>
    </w:p>
    <w:p w14:paraId="2276B0E8" w14:textId="51F41411" w:rsidR="00817468" w:rsidRPr="00AE2B31" w:rsidRDefault="00817468" w:rsidP="001A366A">
      <w:pPr>
        <w:pStyle w:val="TableFigureFooter"/>
        <w:rPr>
          <w:i/>
          <w:iCs/>
          <w:szCs w:val="18"/>
        </w:rPr>
      </w:pPr>
      <w:r w:rsidRPr="00AE2B31">
        <w:rPr>
          <w:i/>
          <w:iCs/>
          <w:szCs w:val="18"/>
        </w:rPr>
        <w:t>4 $60 million to &lt; $70 million</w:t>
      </w:r>
    </w:p>
    <w:p w14:paraId="7767488A" w14:textId="7E0F1D67" w:rsidR="00EC08DC" w:rsidRPr="00AE2B31" w:rsidRDefault="00EC08DC" w:rsidP="001A366A">
      <w:pPr>
        <w:pStyle w:val="TableFigureFooter"/>
        <w:rPr>
          <w:i/>
          <w:iCs/>
          <w:szCs w:val="18"/>
        </w:rPr>
      </w:pPr>
      <w:r w:rsidRPr="00AE2B31">
        <w:rPr>
          <w:i/>
          <w:iCs/>
          <w:szCs w:val="18"/>
        </w:rPr>
        <w:t>5 $50 million to &lt; $60 million</w:t>
      </w:r>
    </w:p>
    <w:p w14:paraId="02E60B68" w14:textId="6B9FF68B" w:rsidR="00DC2FF2" w:rsidRPr="00AE2B31" w:rsidRDefault="00DC2FF2" w:rsidP="001A366A">
      <w:pPr>
        <w:pStyle w:val="TableFigureFooter"/>
        <w:rPr>
          <w:i/>
          <w:iCs/>
          <w:szCs w:val="18"/>
        </w:rPr>
      </w:pPr>
      <w:r w:rsidRPr="00AE2B31">
        <w:rPr>
          <w:i/>
          <w:iCs/>
          <w:szCs w:val="18"/>
        </w:rPr>
        <w:t>6 $40 million to &lt; $50 million</w:t>
      </w:r>
    </w:p>
    <w:p w14:paraId="4F04B659" w14:textId="79966B88" w:rsidR="003D3292" w:rsidRPr="00AE2B31" w:rsidRDefault="003D3292" w:rsidP="003D3292">
      <w:pPr>
        <w:pStyle w:val="TableFigureFooter"/>
        <w:rPr>
          <w:i/>
          <w:iCs/>
          <w:szCs w:val="18"/>
        </w:rPr>
      </w:pPr>
      <w:r w:rsidRPr="00AE2B31">
        <w:rPr>
          <w:i/>
          <w:iCs/>
          <w:szCs w:val="18"/>
        </w:rPr>
        <w:t>7$10 million to &lt; $20 million</w:t>
      </w:r>
    </w:p>
    <w:p w14:paraId="31A5F91A" w14:textId="5C816120" w:rsidR="001A366A" w:rsidRPr="00AE2B31" w:rsidRDefault="003D3292" w:rsidP="001A366A">
      <w:pPr>
        <w:pStyle w:val="TableFigureFooter"/>
        <w:rPr>
          <w:i/>
          <w:iCs/>
          <w:szCs w:val="18"/>
        </w:rPr>
      </w:pPr>
      <w:r w:rsidRPr="00AE2B31">
        <w:rPr>
          <w:i/>
          <w:iCs/>
          <w:szCs w:val="18"/>
        </w:rPr>
        <w:t xml:space="preserve">8 </w:t>
      </w:r>
      <w:r w:rsidR="001A366A" w:rsidRPr="00AE2B31">
        <w:rPr>
          <w:i/>
          <w:iCs/>
          <w:szCs w:val="18"/>
        </w:rPr>
        <w:t>$20 million to &lt; $30 million</w:t>
      </w:r>
    </w:p>
    <w:p w14:paraId="49F9A44B" w14:textId="77777777" w:rsidR="00C62C98" w:rsidRPr="004D671D" w:rsidRDefault="00C62C98" w:rsidP="00633DD6">
      <w:pPr>
        <w:pStyle w:val="3Bodytext"/>
      </w:pPr>
      <w:r w:rsidRPr="004D671D">
        <w:lastRenderedPageBreak/>
        <w:t>DUSC considered that the discrepancy in estimated and actual expenditure was due to:</w:t>
      </w:r>
    </w:p>
    <w:p w14:paraId="22954CF3" w14:textId="27BDB3AB" w:rsidR="00C62C98" w:rsidRPr="004D671D" w:rsidRDefault="00C62C98" w:rsidP="00C62C98">
      <w:pPr>
        <w:pStyle w:val="Bulletpoints"/>
      </w:pPr>
      <w:r w:rsidRPr="004D671D">
        <w:t>An increase in patients undergoing initial treatment as the incidence of mesothelioma increases (as predicted by DUSC and PBAC during the March 2021 submission)</w:t>
      </w:r>
      <w:r w:rsidR="00F92459">
        <w:t xml:space="preserve">, </w:t>
      </w:r>
      <w:r w:rsidR="00334113">
        <w:t>r</w:t>
      </w:r>
      <w:r w:rsidR="00F92459">
        <w:t>esulting in</w:t>
      </w:r>
      <w:r w:rsidR="00E85236" w:rsidRPr="004D671D">
        <w:t xml:space="preserve"> a higher</w:t>
      </w:r>
      <w:r w:rsidR="00846DAC">
        <w:noBreakHyphen/>
      </w:r>
      <w:r w:rsidR="00E85236" w:rsidRPr="004D671D">
        <w:t>than</w:t>
      </w:r>
      <w:r w:rsidR="00846DAC">
        <w:noBreakHyphen/>
      </w:r>
      <w:r w:rsidR="006C43CE" w:rsidRPr="004D671D">
        <w:t xml:space="preserve">expected number of </w:t>
      </w:r>
      <w:r w:rsidR="00E85236" w:rsidRPr="004D671D">
        <w:t>prevalent patients.</w:t>
      </w:r>
    </w:p>
    <w:p w14:paraId="64BA39E4" w14:textId="6293C426" w:rsidR="00422CA9" w:rsidRPr="004D671D" w:rsidRDefault="00C62C98" w:rsidP="00C62C98">
      <w:pPr>
        <w:pStyle w:val="Bulletpoints"/>
      </w:pPr>
      <w:r w:rsidRPr="004D671D">
        <w:t>Clinicians preferring to use</w:t>
      </w:r>
      <w:r w:rsidR="004207B7" w:rsidRPr="004D671D">
        <w:t xml:space="preserve"> two</w:t>
      </w:r>
      <w:r w:rsidR="00634BA9">
        <w:t>-</w:t>
      </w:r>
      <w:r w:rsidR="004207B7" w:rsidRPr="004D671D">
        <w:t xml:space="preserve"> or</w:t>
      </w:r>
      <w:r w:rsidRPr="004D671D">
        <w:t xml:space="preserve"> three-weekly flat dosing</w:t>
      </w:r>
      <w:r w:rsidR="00422CA9" w:rsidRPr="004D671D">
        <w:t xml:space="preserve"> of </w:t>
      </w:r>
      <w:r w:rsidR="004207B7" w:rsidRPr="004D671D">
        <w:t>240</w:t>
      </w:r>
      <w:r w:rsidR="004D671D">
        <w:t xml:space="preserve"> </w:t>
      </w:r>
      <w:r w:rsidR="004207B7" w:rsidRPr="004D671D">
        <w:t xml:space="preserve">mg or </w:t>
      </w:r>
      <w:r w:rsidR="00422CA9" w:rsidRPr="004D671D">
        <w:t>360 mg</w:t>
      </w:r>
      <w:r w:rsidR="00E85236" w:rsidRPr="004D671D">
        <w:t xml:space="preserve"> (approximately </w:t>
      </w:r>
      <w:r w:rsidR="004207B7" w:rsidRPr="004D671D">
        <w:t>62</w:t>
      </w:r>
      <w:r w:rsidR="00E85236" w:rsidRPr="004D671D">
        <w:t>% of scripts)</w:t>
      </w:r>
      <w:r w:rsidRPr="004D671D">
        <w:t xml:space="preserve"> </w:t>
      </w:r>
      <w:r w:rsidR="00422CA9" w:rsidRPr="004D671D">
        <w:t xml:space="preserve">rather than </w:t>
      </w:r>
      <w:r w:rsidR="00E85236" w:rsidRPr="004D671D">
        <w:t xml:space="preserve">the by-weight dose of </w:t>
      </w:r>
      <w:r w:rsidR="00422CA9" w:rsidRPr="004D671D">
        <w:t>3</w:t>
      </w:r>
      <w:r w:rsidR="00634BA9">
        <w:t> </w:t>
      </w:r>
      <w:r w:rsidR="00422CA9" w:rsidRPr="004D671D">
        <w:t>mg/kg presented in the March 2021 submission</w:t>
      </w:r>
      <w:r w:rsidR="00846DAC">
        <w:t>,</w:t>
      </w:r>
      <w:r w:rsidR="00422CA9" w:rsidRPr="004D671D">
        <w:t xml:space="preserve"> </w:t>
      </w:r>
      <w:r w:rsidR="00846DAC">
        <w:t>resulting in</w:t>
      </w:r>
      <w:r w:rsidR="00422CA9" w:rsidRPr="004D671D">
        <w:t xml:space="preserve"> a </w:t>
      </w:r>
      <w:r w:rsidR="00846DAC">
        <w:t>higher</w:t>
      </w:r>
      <w:r w:rsidR="00422CA9" w:rsidRPr="004D671D">
        <w:t xml:space="preserve"> expenditure. </w:t>
      </w:r>
    </w:p>
    <w:p w14:paraId="5D248ED1" w14:textId="328CA44D" w:rsidR="00C62C98" w:rsidRPr="004D671D" w:rsidRDefault="00422CA9" w:rsidP="00C62C98">
      <w:pPr>
        <w:pStyle w:val="Bulletpoints"/>
      </w:pPr>
      <w:r w:rsidRPr="004D671D">
        <w:t xml:space="preserve">For patients receiving weight-based dosing, </w:t>
      </w:r>
      <w:r w:rsidR="004207B7" w:rsidRPr="004D671D">
        <w:t xml:space="preserve">as </w:t>
      </w:r>
      <w:r w:rsidRPr="004D671D">
        <w:t xml:space="preserve">identified by PBAC and DUSC when considering the March 2021 submission, using the average patient weight from the Checkmate 743 trial of 72.75 kg </w:t>
      </w:r>
      <w:r w:rsidR="004207B7" w:rsidRPr="004D671D">
        <w:t xml:space="preserve">would </w:t>
      </w:r>
      <w:r w:rsidRPr="004D671D">
        <w:t>underestimat</w:t>
      </w:r>
      <w:r w:rsidR="004207B7" w:rsidRPr="004D671D">
        <w:t xml:space="preserve">e </w:t>
      </w:r>
      <w:r w:rsidRPr="004D671D">
        <w:t>expenditure</w:t>
      </w:r>
      <w:r w:rsidR="00F92459">
        <w:t>,</w:t>
      </w:r>
      <w:r w:rsidRPr="004D671D">
        <w:t xml:space="preserve"> as</w:t>
      </w:r>
      <w:r w:rsidR="004207B7" w:rsidRPr="004D671D">
        <w:t xml:space="preserve"> the</w:t>
      </w:r>
      <w:r w:rsidRPr="004D671D">
        <w:t xml:space="preserve"> larger</w:t>
      </w:r>
      <w:r w:rsidR="004207B7" w:rsidRPr="004D671D">
        <w:t xml:space="preserve"> male</w:t>
      </w:r>
      <w:r w:rsidRPr="004D671D">
        <w:t xml:space="preserve"> patients</w:t>
      </w:r>
      <w:r w:rsidR="004207B7" w:rsidRPr="004D671D">
        <w:t xml:space="preserve"> who were more likely to be diagnosed with mesothelioma in Australia</w:t>
      </w:r>
      <w:r w:rsidRPr="004D671D">
        <w:t xml:space="preserve"> would need higher doses; and</w:t>
      </w:r>
    </w:p>
    <w:p w14:paraId="75F07430" w14:textId="76D79796" w:rsidR="00422CA9" w:rsidRPr="004D671D" w:rsidRDefault="00422CA9" w:rsidP="00C62C98">
      <w:pPr>
        <w:pStyle w:val="Bulletpoints"/>
      </w:pPr>
      <w:r w:rsidRPr="004D671D">
        <w:t>DUSC identified</w:t>
      </w:r>
      <w:r w:rsidR="00633DD6" w:rsidRPr="004D671D">
        <w:t xml:space="preserve"> </w:t>
      </w:r>
      <w:r w:rsidRPr="004D671D">
        <w:t xml:space="preserve">some patients were receiving NIVO+IPI treatment </w:t>
      </w:r>
      <w:r w:rsidR="00CA2B0F">
        <w:t>beyond</w:t>
      </w:r>
      <w:r w:rsidR="00CA2B0F" w:rsidRPr="004D671D">
        <w:t xml:space="preserve"> </w:t>
      </w:r>
      <w:r w:rsidRPr="004D671D">
        <w:t>the 24 months</w:t>
      </w:r>
      <w:r w:rsidR="00633DD6" w:rsidRPr="004D671D">
        <w:t xml:space="preserve"> limited in the restriction.</w:t>
      </w:r>
    </w:p>
    <w:p w14:paraId="267547F5" w14:textId="29D567A0" w:rsidR="00633DD6" w:rsidRPr="004D671D" w:rsidRDefault="00633DD6" w:rsidP="00633DD6">
      <w:pPr>
        <w:pStyle w:val="3Bodytext"/>
      </w:pPr>
      <w:r w:rsidRPr="004D671D">
        <w:t xml:space="preserve">As part of their response to the DUSC Report, the sponsor requested that the PBAC recommend increasing the RSA caps or reducing the rebate to account for the uptake and dosage utilisation identified by DUSC and </w:t>
      </w:r>
      <w:r w:rsidR="00C85944">
        <w:t>consequent</w:t>
      </w:r>
      <w:r w:rsidR="00C85944" w:rsidRPr="004D671D">
        <w:t xml:space="preserve"> </w:t>
      </w:r>
      <w:r w:rsidRPr="004D671D">
        <w:t>exceeding of expenditure and RSA caps.</w:t>
      </w:r>
    </w:p>
    <w:p w14:paraId="7EE14EB1" w14:textId="11B7C6AF" w:rsidR="00633DD6" w:rsidRPr="004D671D" w:rsidRDefault="00633DD6" w:rsidP="00633DD6">
      <w:pPr>
        <w:pStyle w:val="3Bodytext"/>
      </w:pPr>
      <w:r w:rsidRPr="004D671D">
        <w:t xml:space="preserve">At </w:t>
      </w:r>
      <w:r w:rsidR="005470EB">
        <w:t>its</w:t>
      </w:r>
      <w:r w:rsidR="005470EB" w:rsidRPr="004D671D">
        <w:t xml:space="preserve"> </w:t>
      </w:r>
      <w:r w:rsidRPr="004D671D">
        <w:t xml:space="preserve">March 2024 meeting, the PBAC considered the DUSC report and agreed with DUSC on the main drivers of utilisation beyond the March 2021 estimates. </w:t>
      </w:r>
      <w:r w:rsidR="003A2EE7" w:rsidRPr="004D671D">
        <w:t xml:space="preserve">The PBAC noted the sponsor’s request and said that the current cap was working as intended, to account for uncertainty related to the incidence rates and the </w:t>
      </w:r>
      <w:r w:rsidR="004862AB">
        <w:t>higher proportion of</w:t>
      </w:r>
      <w:r w:rsidR="003A2EE7" w:rsidRPr="004D671D">
        <w:t xml:space="preserve"> flat-dosing. The PBAC considered that an application to change the RSA caps </w:t>
      </w:r>
      <w:proofErr w:type="gramStart"/>
      <w:r w:rsidR="003A2EE7" w:rsidRPr="004D671D">
        <w:t>on the basis of</w:t>
      </w:r>
      <w:proofErr w:type="gramEnd"/>
      <w:r w:rsidR="003A2EE7" w:rsidRPr="004D671D">
        <w:t xml:space="preserve"> </w:t>
      </w:r>
      <w:r w:rsidR="004862AB">
        <w:t>a higher proportion</w:t>
      </w:r>
      <w:r w:rsidR="003A2EE7" w:rsidRPr="004D671D">
        <w:t xml:space="preserve"> of flat-dosing would not be appropriate. </w:t>
      </w:r>
    </w:p>
    <w:p w14:paraId="2B6FE2D1" w14:textId="4B0417EF" w:rsidR="00E720FC" w:rsidRPr="004D671D" w:rsidRDefault="00E720FC" w:rsidP="00633DD6">
      <w:pPr>
        <w:pStyle w:val="3Bodytext"/>
      </w:pPr>
      <w:r w:rsidRPr="004D671D">
        <w:t xml:space="preserve">The DUSC report and the submission both state that the RSA cap for the year </w:t>
      </w:r>
      <w:r w:rsidR="00F10351" w:rsidRPr="004D671D">
        <w:t xml:space="preserve">2023/2024 </w:t>
      </w:r>
      <w:r w:rsidRPr="004D671D">
        <w:t>is likely to be exceeded.</w:t>
      </w:r>
    </w:p>
    <w:p w14:paraId="1B8790B6" w14:textId="3F237CBF" w:rsidR="00964A9F" w:rsidRPr="004D671D" w:rsidRDefault="00964A9F" w:rsidP="00633DD6">
      <w:pPr>
        <w:pStyle w:val="2-SectionHeading"/>
        <w:jc w:val="both"/>
      </w:pPr>
      <w:r w:rsidRPr="004D671D">
        <w:t>Requested listing</w:t>
      </w:r>
    </w:p>
    <w:p w14:paraId="1871021D" w14:textId="2560A462" w:rsidR="004D4B6A" w:rsidRPr="004D671D" w:rsidRDefault="004D4B6A" w:rsidP="00633DD6">
      <w:pPr>
        <w:pStyle w:val="3Bodytext"/>
      </w:pPr>
      <w:r w:rsidRPr="004D671D">
        <w:t xml:space="preserve">The submission proposed no changes to the existing listing. </w:t>
      </w:r>
    </w:p>
    <w:p w14:paraId="0436B7D8" w14:textId="77777777" w:rsidR="00C27C1C" w:rsidRPr="004D671D" w:rsidRDefault="00C27C1C" w:rsidP="00633DD6">
      <w:pPr>
        <w:pStyle w:val="Heading1"/>
        <w:keepLines/>
        <w:numPr>
          <w:ilvl w:val="0"/>
          <w:numId w:val="2"/>
        </w:numPr>
        <w:spacing w:before="240"/>
        <w:ind w:left="709" w:hanging="709"/>
        <w:jc w:val="both"/>
        <w:rPr>
          <w:sz w:val="32"/>
          <w:szCs w:val="32"/>
        </w:rPr>
      </w:pPr>
      <w:r w:rsidRPr="004D671D">
        <w:rPr>
          <w:sz w:val="32"/>
          <w:szCs w:val="32"/>
        </w:rPr>
        <w:t>Consideration of the evidence</w:t>
      </w:r>
    </w:p>
    <w:p w14:paraId="6BAB7FA2" w14:textId="77777777" w:rsidR="00DB2D92" w:rsidRPr="00F91542" w:rsidRDefault="00DB2D92" w:rsidP="00DB2D92">
      <w:pPr>
        <w:pStyle w:val="3-SubsectionHeading"/>
        <w:rPr>
          <w:lang w:eastAsia="en-AU"/>
        </w:rPr>
      </w:pPr>
      <w:r w:rsidRPr="00F91542">
        <w:rPr>
          <w:lang w:eastAsia="en-AU"/>
        </w:rPr>
        <w:t>Sponsor hearing</w:t>
      </w:r>
    </w:p>
    <w:p w14:paraId="5CEF1805" w14:textId="6ADD0D3E" w:rsidR="00DB2D92" w:rsidRPr="00F91542" w:rsidRDefault="00DB2D92" w:rsidP="00DB2D92">
      <w:pPr>
        <w:widowControl w:val="0"/>
        <w:numPr>
          <w:ilvl w:val="1"/>
          <w:numId w:val="2"/>
        </w:numPr>
        <w:spacing w:after="120"/>
        <w:ind w:left="720"/>
        <w:rPr>
          <w:rFonts w:cs="Calibri"/>
          <w:bCs/>
          <w:snapToGrid w:val="0"/>
        </w:rPr>
      </w:pPr>
      <w:bookmarkStart w:id="1" w:name="_Hlk76382575"/>
      <w:r w:rsidRPr="00F91542">
        <w:rPr>
          <w:rFonts w:cs="Calibri"/>
          <w:bCs/>
          <w:snapToGrid w:val="0"/>
        </w:rPr>
        <w:t>There was no hearing for this item.</w:t>
      </w:r>
    </w:p>
    <w:bookmarkEnd w:id="1"/>
    <w:p w14:paraId="5B794EA8" w14:textId="77777777" w:rsidR="00DB2D92" w:rsidRPr="00D43AAC" w:rsidRDefault="00DB2D92" w:rsidP="00D43AAC">
      <w:pPr>
        <w:pStyle w:val="3-SubsectionHeading"/>
        <w:rPr>
          <w:lang w:eastAsia="en-AU"/>
        </w:rPr>
      </w:pPr>
      <w:r w:rsidRPr="00D43AAC">
        <w:rPr>
          <w:lang w:eastAsia="en-AU"/>
        </w:rPr>
        <w:t>Consumer comments</w:t>
      </w:r>
    </w:p>
    <w:p w14:paraId="0A46590B" w14:textId="77777777" w:rsidR="00D43AAC" w:rsidRPr="00D43AAC" w:rsidRDefault="00DB2D92" w:rsidP="00B2060A">
      <w:pPr>
        <w:widowControl w:val="0"/>
        <w:numPr>
          <w:ilvl w:val="1"/>
          <w:numId w:val="2"/>
        </w:numPr>
        <w:spacing w:after="120"/>
        <w:ind w:left="720"/>
        <w:rPr>
          <w:lang w:eastAsia="en-US"/>
        </w:rPr>
      </w:pPr>
      <w:r w:rsidRPr="00836F75">
        <w:rPr>
          <w:rFonts w:asciiTheme="minorHAnsi" w:hAnsiTheme="minorHAnsi" w:cs="Arial"/>
          <w:bCs/>
          <w:snapToGrid w:val="0"/>
        </w:rPr>
        <w:t xml:space="preserve">The PBAC noted and welcomed the input from organisations (1) via the Consumer Comments facility on the PBS website. The comments </w:t>
      </w:r>
      <w:r>
        <w:rPr>
          <w:rFonts w:asciiTheme="minorHAnsi" w:hAnsiTheme="minorHAnsi" w:cs="Arial"/>
          <w:bCs/>
          <w:snapToGrid w:val="0"/>
        </w:rPr>
        <w:t>from the Lung Foundation of Australia</w:t>
      </w:r>
      <w:r w:rsidR="00B2060A">
        <w:rPr>
          <w:rFonts w:asciiTheme="minorHAnsi" w:hAnsiTheme="minorHAnsi" w:cs="Arial"/>
          <w:bCs/>
          <w:snapToGrid w:val="0"/>
        </w:rPr>
        <w:t xml:space="preserve"> supported continued PBS-listing of NIVO+IPI for </w:t>
      </w:r>
      <w:r w:rsidR="00B2060A" w:rsidRPr="004D671D">
        <w:t xml:space="preserve">unresectable malignant </w:t>
      </w:r>
      <w:r w:rsidR="00B2060A" w:rsidRPr="004D671D">
        <w:lastRenderedPageBreak/>
        <w:t>mesothelioma</w:t>
      </w:r>
      <w:r w:rsidR="00B2060A">
        <w:t>. The Lung Foundation</w:t>
      </w:r>
      <w:r>
        <w:rPr>
          <w:rFonts w:asciiTheme="minorHAnsi" w:hAnsiTheme="minorHAnsi" w:cs="Arial"/>
          <w:bCs/>
          <w:snapToGrid w:val="0"/>
        </w:rPr>
        <w:t xml:space="preserve"> </w:t>
      </w:r>
      <w:r w:rsidRPr="00836F75">
        <w:rPr>
          <w:rFonts w:asciiTheme="minorHAnsi" w:hAnsiTheme="minorHAnsi" w:cs="Arial"/>
          <w:bCs/>
          <w:snapToGrid w:val="0"/>
        </w:rPr>
        <w:t xml:space="preserve">described a range of benefits of </w:t>
      </w:r>
      <w:r w:rsidR="00B2060A">
        <w:rPr>
          <w:rFonts w:asciiTheme="minorHAnsi" w:hAnsiTheme="minorHAnsi" w:cs="Arial"/>
          <w:bCs/>
          <w:snapToGrid w:val="0"/>
        </w:rPr>
        <w:t xml:space="preserve">continuing the listing, including access to a variety of treatments for </w:t>
      </w:r>
      <w:r w:rsidR="00B2060A" w:rsidRPr="004D671D">
        <w:t>unresectable malignant mesothelioma</w:t>
      </w:r>
      <w:r w:rsidR="00B2060A" w:rsidRPr="00075CAC">
        <w:rPr>
          <w:rFonts w:asciiTheme="minorHAnsi" w:hAnsiTheme="minorHAnsi" w:cs="Arial"/>
          <w:bCs/>
          <w:snapToGrid w:val="0"/>
        </w:rPr>
        <w:t xml:space="preserve"> </w:t>
      </w:r>
      <w:r w:rsidR="00B2060A">
        <w:rPr>
          <w:rFonts w:asciiTheme="minorHAnsi" w:hAnsiTheme="minorHAnsi" w:cs="Arial"/>
          <w:bCs/>
          <w:snapToGrid w:val="0"/>
        </w:rPr>
        <w:t>patients, the clinical benefit compared to other treatments for the disease and that NIVO+IPI is an effective treatment which improves patient outcomes.</w:t>
      </w:r>
    </w:p>
    <w:p w14:paraId="3F679FE9" w14:textId="0F59FCDD" w:rsidR="00C27C1C" w:rsidRPr="004D671D" w:rsidRDefault="003741BF" w:rsidP="00D43AAC">
      <w:pPr>
        <w:pStyle w:val="3-SubsectionHeading"/>
        <w:rPr>
          <w:lang w:eastAsia="en-AU"/>
        </w:rPr>
      </w:pPr>
      <w:r w:rsidRPr="00D43AAC">
        <w:rPr>
          <w:lang w:eastAsia="en-AU"/>
        </w:rPr>
        <w:t>Rationale for changes to the key inputs for financial estimates</w:t>
      </w:r>
      <w:r w:rsidR="00C27C1C" w:rsidRPr="00D43AAC">
        <w:rPr>
          <w:lang w:eastAsia="en-AU"/>
        </w:rPr>
        <w:t xml:space="preserve"> </w:t>
      </w:r>
    </w:p>
    <w:p w14:paraId="4A3CE3BB" w14:textId="7125645D" w:rsidR="00B6533B" w:rsidRPr="004D671D" w:rsidRDefault="00C27C1C" w:rsidP="00633DD6">
      <w:pPr>
        <w:pStyle w:val="3Bodytext"/>
      </w:pPr>
      <w:bookmarkStart w:id="2" w:name="_Hlk86163265"/>
      <w:r w:rsidRPr="004D671D">
        <w:t>The submission</w:t>
      </w:r>
      <w:r w:rsidR="003741BF" w:rsidRPr="004D671D">
        <w:t xml:space="preserve"> requested consideration of new financial estimates where the following changes were made:</w:t>
      </w:r>
    </w:p>
    <w:p w14:paraId="7F5A8173" w14:textId="4AD20FD2" w:rsidR="003741BF" w:rsidRPr="004D671D" w:rsidRDefault="003741BF" w:rsidP="003741BF">
      <w:pPr>
        <w:pStyle w:val="Bulletpoints"/>
      </w:pPr>
      <w:r w:rsidRPr="004D671D">
        <w:t>An increased uptake rate for first-line (1L) mesothelioma patients.</w:t>
      </w:r>
    </w:p>
    <w:p w14:paraId="1474E7DC" w14:textId="7CEFF0D3" w:rsidR="003741BF" w:rsidRPr="004D671D" w:rsidRDefault="003741BF" w:rsidP="003741BF">
      <w:pPr>
        <w:pStyle w:val="Bulletpoints"/>
      </w:pPr>
      <w:r w:rsidRPr="004D671D">
        <w:t>Applying a new public/private hospital split, based upon current usage.</w:t>
      </w:r>
    </w:p>
    <w:p w14:paraId="66E053ED" w14:textId="4B97AA37" w:rsidR="003741BF" w:rsidRPr="004D671D" w:rsidRDefault="003741BF" w:rsidP="003741BF">
      <w:pPr>
        <w:pStyle w:val="Bulletpoints"/>
      </w:pPr>
      <w:r w:rsidRPr="004D671D">
        <w:t>Lower prices as both NIVO and IPI have undergone statutory price reductions.</w:t>
      </w:r>
    </w:p>
    <w:p w14:paraId="327F93C4" w14:textId="2321A0AA" w:rsidR="002B3B32" w:rsidRPr="004D671D" w:rsidRDefault="002B3B32" w:rsidP="003741BF">
      <w:pPr>
        <w:pStyle w:val="3Bodytext"/>
      </w:pPr>
      <w:r w:rsidRPr="004D671D">
        <w:t xml:space="preserve">The submission concurred with the PBAC’s finding that the patient numbers in the March 2021 submission were underestimated. </w:t>
      </w:r>
      <w:r w:rsidR="0085752F">
        <w:t>However, t</w:t>
      </w:r>
      <w:r w:rsidRPr="004D671D">
        <w:t xml:space="preserve">he submission argued that the number of initiating patients </w:t>
      </w:r>
      <w:r w:rsidR="0085752F">
        <w:t>was higher than estimated</w:t>
      </w:r>
      <w:r w:rsidR="0085752F" w:rsidRPr="004D671D">
        <w:t xml:space="preserve"> </w:t>
      </w:r>
      <w:r w:rsidRPr="004D671D">
        <w:t>due to a higher-than-expected uptake rate in first</w:t>
      </w:r>
      <w:r w:rsidR="00D46581">
        <w:noBreakHyphen/>
      </w:r>
      <w:r w:rsidRPr="004D671D">
        <w:t>line malignant pleural mesothelioma (MPM)</w:t>
      </w:r>
      <w:r w:rsidR="00D46581">
        <w:t>,</w:t>
      </w:r>
      <w:r w:rsidRPr="004D671D">
        <w:t xml:space="preserve"> as well as use in </w:t>
      </w:r>
      <w:r w:rsidR="00304776" w:rsidRPr="004D671D">
        <w:t>non-</w:t>
      </w:r>
      <w:r w:rsidRPr="004D671D">
        <w:t>pleural mesothelioma</w:t>
      </w:r>
      <w:r w:rsidR="00304776" w:rsidRPr="004D671D">
        <w:t xml:space="preserve"> and 2L MPM</w:t>
      </w:r>
      <w:r w:rsidR="00493F2E">
        <w:t>,</w:t>
      </w:r>
      <w:r w:rsidRPr="004D671D">
        <w:t xml:space="preserve"> rather than </w:t>
      </w:r>
      <w:r w:rsidR="00493F2E">
        <w:t>a higher</w:t>
      </w:r>
      <w:r w:rsidR="00493F2E" w:rsidRPr="004D671D">
        <w:t xml:space="preserve"> </w:t>
      </w:r>
      <w:r w:rsidRPr="004D671D">
        <w:t>incidence of mesothelioma. The submission argued that the age-adjusted incidence rate has remained consistent for the previous three years (2020 through 2023) at 2.8 cases per 100,000 population. The submission thus did not present a change in incidence for mesothelioma.</w:t>
      </w:r>
    </w:p>
    <w:p w14:paraId="626991A3" w14:textId="3DE95374" w:rsidR="00EE5D7E" w:rsidRPr="004D671D" w:rsidRDefault="00304776" w:rsidP="003741BF">
      <w:pPr>
        <w:pStyle w:val="3Bodytext"/>
      </w:pPr>
      <w:r w:rsidRPr="004D671D">
        <w:t>The submission</w:t>
      </w:r>
      <w:r w:rsidR="003F04BA">
        <w:t xml:space="preserve"> proposed</w:t>
      </w:r>
      <w:r w:rsidR="007309C5">
        <w:t xml:space="preserve"> that</w:t>
      </w:r>
      <w:r w:rsidR="003F04BA">
        <w:t xml:space="preserve"> a challenge</w:t>
      </w:r>
      <w:r w:rsidRPr="004D671D">
        <w:t xml:space="preserve"> </w:t>
      </w:r>
      <w:r w:rsidR="003F04BA">
        <w:t xml:space="preserve">in estimating </w:t>
      </w:r>
      <w:r w:rsidRPr="004D671D">
        <w:t>the uptake rates</w:t>
      </w:r>
      <w:r w:rsidR="002C645E" w:rsidRPr="004D671D">
        <w:t xml:space="preserve"> was that</w:t>
      </w:r>
      <w:r w:rsidR="00EE5D7E" w:rsidRPr="004D671D">
        <w:t xml:space="preserve"> NIVO+IPI was one of the few new medicines for mesothelioma in 10 years and that there </w:t>
      </w:r>
      <w:r w:rsidR="00CD21EC">
        <w:t>was not</w:t>
      </w:r>
      <w:r w:rsidR="00EE5D7E" w:rsidRPr="004D671D">
        <w:t xml:space="preserve"> a compara</w:t>
      </w:r>
      <w:r w:rsidR="00CD21EC">
        <w:t>ble</w:t>
      </w:r>
      <w:r w:rsidR="00EE5D7E" w:rsidRPr="004D671D">
        <w:t xml:space="preserve"> </w:t>
      </w:r>
      <w:r w:rsidR="006B799F">
        <w:t>situation from which to estimate uptake rates</w:t>
      </w:r>
      <w:r w:rsidR="00EE5D7E" w:rsidRPr="004D671D">
        <w:t xml:space="preserve">. </w:t>
      </w:r>
    </w:p>
    <w:p w14:paraId="48536C17" w14:textId="1FD0AC39" w:rsidR="002B3B32" w:rsidRPr="004D671D" w:rsidRDefault="000F01C9" w:rsidP="003741BF">
      <w:pPr>
        <w:pStyle w:val="3Bodytext"/>
      </w:pPr>
      <w:r>
        <w:t>A</w:t>
      </w:r>
      <w:r w:rsidR="006620F9">
        <w:t xml:space="preserve"> </w:t>
      </w:r>
      <w:r w:rsidR="0034543B">
        <w:t>possible</w:t>
      </w:r>
      <w:r w:rsidR="00EE5D7E" w:rsidRPr="004D671D">
        <w:t xml:space="preserve"> driver for </w:t>
      </w:r>
      <w:r w:rsidR="0034543B">
        <w:t>higher</w:t>
      </w:r>
      <w:r w:rsidR="0034543B" w:rsidRPr="004D671D">
        <w:t xml:space="preserve"> </w:t>
      </w:r>
      <w:r w:rsidR="002C645E" w:rsidRPr="004D671D">
        <w:t xml:space="preserve">uptake </w:t>
      </w:r>
      <w:r w:rsidR="008D2454">
        <w:t xml:space="preserve">identified by the submission </w:t>
      </w:r>
      <w:r w:rsidR="002C645E" w:rsidRPr="004D671D">
        <w:t>was</w:t>
      </w:r>
      <w:r w:rsidR="00EE5D7E" w:rsidRPr="004D671D">
        <w:t xml:space="preserve"> the clinical management environment. The submission raised that Australia</w:t>
      </w:r>
      <w:r w:rsidR="00F10351" w:rsidRPr="004D671D">
        <w:t>n</w:t>
      </w:r>
      <w:r w:rsidR="00EE5D7E" w:rsidRPr="004D671D">
        <w:t xml:space="preserve"> clinical management guidelines from the Asbestos Diseases Research Institute were last updated in 2013, and </w:t>
      </w:r>
      <w:r w:rsidR="00BB0B71" w:rsidRPr="004D671D">
        <w:t>th</w:t>
      </w:r>
      <w:r w:rsidR="00BB0B71">
        <w:t>at</w:t>
      </w:r>
      <w:r w:rsidR="00BB0B71" w:rsidRPr="004D671D">
        <w:t xml:space="preserve"> </w:t>
      </w:r>
      <w:r w:rsidR="00EE5D7E" w:rsidRPr="004D671D">
        <w:t xml:space="preserve">many oncologists would </w:t>
      </w:r>
      <w:r w:rsidR="002C645E" w:rsidRPr="004D671D">
        <w:t>be referring</w:t>
      </w:r>
      <w:r w:rsidR="00EE5D7E" w:rsidRPr="004D671D">
        <w:t xml:space="preserve"> to more recent guidelines from </w:t>
      </w:r>
      <w:r w:rsidR="002C645E" w:rsidRPr="004D671D">
        <w:t xml:space="preserve">the National Comprehensive Cancer Network (NCCN) and European Society for Medical Oncology (ESMO). The NCCN guidelines released in 2024 “recommend NIVO+IPI as a preferred treatment option for both first-line and </w:t>
      </w:r>
      <w:r w:rsidR="00796AEE">
        <w:br/>
      </w:r>
      <w:r w:rsidR="002C645E" w:rsidRPr="004D671D">
        <w:t xml:space="preserve">second-line for patients with epithelioid and non-epithelioid malignant unresectable pleural and non-pleural mesothelioma” and the ESMO guidelines published in 2021 recommend “NIVO+IPI as the preferred first line option for unresectable MPM”. As such, the submission argued that more patients with unresectable MPM and </w:t>
      </w:r>
      <w:r w:rsidR="00796AEE">
        <w:br/>
      </w:r>
      <w:r w:rsidR="002C645E" w:rsidRPr="004D671D">
        <w:t xml:space="preserve">non-pleural mesothelioma could be assumed to be accessing NIVO+IPI </w:t>
      </w:r>
      <w:r w:rsidR="00C051B5">
        <w:t>as</w:t>
      </w:r>
      <w:r w:rsidR="002C645E" w:rsidRPr="004D671D">
        <w:t xml:space="preserve"> first</w:t>
      </w:r>
      <w:r w:rsidR="00C051B5">
        <w:noBreakHyphen/>
      </w:r>
      <w:r w:rsidR="002C645E" w:rsidRPr="004D671D">
        <w:t>line treatment.</w:t>
      </w:r>
      <w:r w:rsidR="002C645E" w:rsidRPr="00E24868">
        <w:t xml:space="preserve"> </w:t>
      </w:r>
      <w:r w:rsidRPr="00E24868">
        <w:t>No evidence was provided to support this assertion.</w:t>
      </w:r>
    </w:p>
    <w:p w14:paraId="25DB146F" w14:textId="1D33D9D6" w:rsidR="00F10D0E" w:rsidRDefault="00E97AF4" w:rsidP="003741BF">
      <w:pPr>
        <w:pStyle w:val="3Bodytext"/>
      </w:pPr>
      <w:r>
        <w:t>Additionally,</w:t>
      </w:r>
      <w:r w:rsidR="00CA1195" w:rsidRPr="004D671D">
        <w:t xml:space="preserve"> </w:t>
      </w:r>
      <w:r>
        <w:t>t</w:t>
      </w:r>
      <w:r w:rsidR="00CA1195" w:rsidRPr="004D671D">
        <w:t>he submission presented that the improvement NIVO+IPI</w:t>
      </w:r>
      <w:r>
        <w:t xml:space="preserve"> provided</w:t>
      </w:r>
      <w:r w:rsidR="00CA1195" w:rsidRPr="004D671D">
        <w:t xml:space="preserve"> over existing treatments at the time of listing may have encouraged more patients to see</w:t>
      </w:r>
      <w:r w:rsidR="00FF2710" w:rsidRPr="004D671D">
        <w:t>k</w:t>
      </w:r>
      <w:r w:rsidR="00CA1195" w:rsidRPr="004D671D">
        <w:t xml:space="preserve"> treatment rather than best </w:t>
      </w:r>
      <w:r w:rsidR="0061257A" w:rsidRPr="004D671D">
        <w:t>supportive</w:t>
      </w:r>
      <w:r w:rsidR="00CA1195" w:rsidRPr="004D671D">
        <w:t xml:space="preserve"> care (BSC)</w:t>
      </w:r>
      <w:r w:rsidR="0061257A" w:rsidRPr="004D671D">
        <w:t xml:space="preserve">, combined with NIVO+IPI being available on the PBS resulted in more patients than estimated. The improved </w:t>
      </w:r>
      <w:r w:rsidR="0061257A" w:rsidRPr="004D671D">
        <w:lastRenderedPageBreak/>
        <w:t>outcomes also m</w:t>
      </w:r>
      <w:r w:rsidR="00862F95" w:rsidRPr="004D671D">
        <w:t xml:space="preserve">eans that </w:t>
      </w:r>
      <w:r w:rsidR="00CF7B36" w:rsidRPr="004D671D">
        <w:t xml:space="preserve">clinicians will be more likely to prescribe, with </w:t>
      </w:r>
      <w:r w:rsidR="00FF2710" w:rsidRPr="004D671D">
        <w:t xml:space="preserve">the sponsor’s survey of 12 Australian mesothelioma clinicians (February 2024) finding that 1L NIVO+IPI was the preferred treatment in </w:t>
      </w:r>
      <w:r w:rsidR="00CA4FD9" w:rsidRPr="00AE0CA7">
        <w:rPr>
          <w:color w:val="000000"/>
          <w:w w:val="15"/>
          <w:shd w:val="solid" w:color="000000" w:fill="000000"/>
          <w:fitText w:val="-20" w:id="-893751800"/>
          <w14:textFill>
            <w14:solidFill>
              <w14:srgbClr w14:val="000000">
                <w14:alpha w14:val="100000"/>
              </w14:srgbClr>
            </w14:solidFill>
          </w14:textFill>
        </w:rPr>
        <w:t xml:space="preserve">|  </w:t>
      </w:r>
      <w:r w:rsidR="00CA4FD9" w:rsidRPr="00AE0CA7">
        <w:rPr>
          <w:color w:val="000000"/>
          <w:spacing w:val="-69"/>
          <w:w w:val="15"/>
          <w:shd w:val="solid" w:color="000000" w:fill="000000"/>
          <w:fitText w:val="-20" w:id="-893751800"/>
          <w14:textFill>
            <w14:solidFill>
              <w14:srgbClr w14:val="000000">
                <w14:alpha w14:val="100000"/>
              </w14:srgbClr>
            </w14:solidFill>
          </w14:textFill>
        </w:rPr>
        <w:t>|</w:t>
      </w:r>
      <w:r w:rsidR="00FF2710" w:rsidRPr="0020039D">
        <w:t>%</w:t>
      </w:r>
      <w:r w:rsidR="00FF2710" w:rsidRPr="004D671D">
        <w:t xml:space="preserve"> of cases for patients with unresectable malignant mesothelioma with a WHO rating of 0 or 1. </w:t>
      </w:r>
      <w:r w:rsidR="005969DE" w:rsidRPr="00E24868">
        <w:t>It would be reasonable to assume that the uptake rates presented in March 2021 accounted for the superiority of NIVO+IPI over BSC</w:t>
      </w:r>
      <w:r w:rsidR="00A85D89" w:rsidRPr="00E24868">
        <w:t xml:space="preserve"> and subsidised access of NIVO+IPI.</w:t>
      </w:r>
    </w:p>
    <w:p w14:paraId="1F9EDB39" w14:textId="0B77D41D" w:rsidR="00CA1195" w:rsidRPr="004D671D" w:rsidRDefault="00FF2710" w:rsidP="003741BF">
      <w:pPr>
        <w:pStyle w:val="3Bodytext"/>
      </w:pPr>
      <w:r w:rsidRPr="004D671D">
        <w:t>The final contributor to increased uptake of NIVO+IPI identified</w:t>
      </w:r>
      <w:r w:rsidR="009D6765">
        <w:t xml:space="preserve"> by the submission</w:t>
      </w:r>
      <w:r w:rsidRPr="004D671D">
        <w:t xml:space="preserve"> was that clinical trials for other immunotherapies have now either stopped recruiting or</w:t>
      </w:r>
      <w:r w:rsidR="009D6765">
        <w:t xml:space="preserve"> have</w:t>
      </w:r>
      <w:r w:rsidRPr="004D671D">
        <w:t xml:space="preserve"> not been launched in Australia, </w:t>
      </w:r>
      <w:r w:rsidR="009D6765">
        <w:t>directing</w:t>
      </w:r>
      <w:r w:rsidR="009D6765" w:rsidRPr="004D671D">
        <w:t xml:space="preserve"> </w:t>
      </w:r>
      <w:r w:rsidRPr="004D671D">
        <w:t xml:space="preserve">more patients </w:t>
      </w:r>
      <w:r w:rsidR="009D6765">
        <w:t>to</w:t>
      </w:r>
      <w:r w:rsidRPr="004D671D">
        <w:t xml:space="preserve"> NIVO+IPI.</w:t>
      </w:r>
      <w:r w:rsidR="00A85D89">
        <w:t xml:space="preserve"> </w:t>
      </w:r>
      <w:r w:rsidR="00A85D89" w:rsidRPr="00E24868">
        <w:t xml:space="preserve">It is unclear whether clinical trial recruitment was a factor in </w:t>
      </w:r>
      <w:r w:rsidR="00660E97" w:rsidRPr="00E24868">
        <w:t>estimating the uptake in March 2021</w:t>
      </w:r>
      <w:r w:rsidR="00660E97">
        <w:rPr>
          <w:i/>
          <w:iCs/>
        </w:rPr>
        <w:t xml:space="preserve">. </w:t>
      </w:r>
    </w:p>
    <w:p w14:paraId="43BD72CA" w14:textId="1C40BC9D" w:rsidR="002C645E" w:rsidRPr="004D671D" w:rsidRDefault="002C645E" w:rsidP="003741BF">
      <w:pPr>
        <w:pStyle w:val="3Bodytext"/>
      </w:pPr>
      <w:r w:rsidRPr="004D671D">
        <w:t>The submission</w:t>
      </w:r>
      <w:r w:rsidR="005B16DB" w:rsidRPr="004D671D">
        <w:t xml:space="preserve"> agreed with the PBAC and DUSC that the preference for flat</w:t>
      </w:r>
      <w:r w:rsidR="00660E97">
        <w:t>-</w:t>
      </w:r>
      <w:r w:rsidR="005B16DB" w:rsidRPr="004D671D">
        <w:t xml:space="preserve">dosing had impacted the utilisation and cost to the </w:t>
      </w:r>
      <w:r w:rsidR="00F10351" w:rsidRPr="004D671D">
        <w:t>PBS</w:t>
      </w:r>
      <w:r w:rsidR="005B16DB" w:rsidRPr="004D671D">
        <w:t>. The submission</w:t>
      </w:r>
      <w:r w:rsidRPr="004D671D">
        <w:t xml:space="preserve"> noted the PBAC’s opinion that amending the estimated costs and thus financial caps based upon the impact of flat-dosing versus weight-based dosing would be inappropriate. As such the submission did not provide </w:t>
      </w:r>
      <w:r w:rsidR="005B16DB" w:rsidRPr="004D671D">
        <w:t>re-calculated estimates based upon the flat</w:t>
      </w:r>
      <w:r w:rsidR="00660E97">
        <w:t>-</w:t>
      </w:r>
      <w:r w:rsidR="005B16DB" w:rsidRPr="004D671D">
        <w:t>dosing observations by DUSC.</w:t>
      </w:r>
    </w:p>
    <w:p w14:paraId="30DDD755" w14:textId="440A5C8B" w:rsidR="005B16DB" w:rsidRPr="004D671D" w:rsidRDefault="005B16DB" w:rsidP="00CA1195">
      <w:pPr>
        <w:pStyle w:val="3Bodytext"/>
      </w:pPr>
      <w:r w:rsidRPr="004D671D">
        <w:t xml:space="preserve">The submission agreed with the PBAC and DUSC that there appeared to be some </w:t>
      </w:r>
      <w:r w:rsidR="002B6C89">
        <w:t>use of NIVO+IPI beyond</w:t>
      </w:r>
      <w:r w:rsidRPr="004D671D">
        <w:t xml:space="preserve"> the 24 months stopping criteria. The submission argued that this was minimal, with “approximately 8-30 (0.6%-2.2%) patients” continuing past the </w:t>
      </w:r>
      <w:r w:rsidR="00796AEE">
        <w:br/>
      </w:r>
      <w:r w:rsidRPr="004D671D">
        <w:t xml:space="preserve">2-year stopping point. While acknowledging that this would contribute to </w:t>
      </w:r>
      <w:r w:rsidR="00796AEE">
        <w:br/>
      </w:r>
      <w:r w:rsidRPr="004D671D">
        <w:t xml:space="preserve">higher-than-expected utilisation, the submission stated that it was not </w:t>
      </w:r>
      <w:r w:rsidR="00FE5605">
        <w:t>a</w:t>
      </w:r>
      <w:r w:rsidR="00FE5605" w:rsidRPr="004D671D">
        <w:t xml:space="preserve"> </w:t>
      </w:r>
      <w:r w:rsidRPr="004D671D">
        <w:t xml:space="preserve">major contributor. </w:t>
      </w:r>
    </w:p>
    <w:bookmarkEnd w:id="2"/>
    <w:p w14:paraId="5EB16602" w14:textId="26A67E45" w:rsidR="00D70349" w:rsidRPr="004D671D" w:rsidRDefault="00D70349" w:rsidP="00D70349">
      <w:pPr>
        <w:pStyle w:val="4-SubsectionHeading"/>
        <w:rPr>
          <w:lang w:eastAsia="en-US"/>
        </w:rPr>
      </w:pPr>
      <w:r w:rsidRPr="004D671D">
        <w:rPr>
          <w:lang w:eastAsia="en-US"/>
        </w:rPr>
        <w:t xml:space="preserve">Estimated PBS </w:t>
      </w:r>
      <w:r w:rsidR="00276BE3" w:rsidRPr="004D671D">
        <w:rPr>
          <w:lang w:eastAsia="en-US"/>
        </w:rPr>
        <w:t>usage</w:t>
      </w:r>
      <w:r w:rsidRPr="004D671D">
        <w:rPr>
          <w:lang w:eastAsia="en-US"/>
        </w:rPr>
        <w:t xml:space="preserve"> and financial implications</w:t>
      </w:r>
    </w:p>
    <w:p w14:paraId="497D3075" w14:textId="00A6E4DE" w:rsidR="000C1AFF" w:rsidRPr="004D671D" w:rsidRDefault="00A41B03" w:rsidP="003741BF">
      <w:pPr>
        <w:pStyle w:val="3Bodytext"/>
      </w:pPr>
      <w:r>
        <w:t xml:space="preserve">The requested AEMP for nivolumab and ipilimumab is unchanged from the current listing for this indication. </w:t>
      </w:r>
      <w:r w:rsidR="00F4511D" w:rsidRPr="004D671D">
        <w:t xml:space="preserve"> </w:t>
      </w:r>
    </w:p>
    <w:p w14:paraId="6D2B27E7" w14:textId="67EB305F" w:rsidR="00F4511D" w:rsidRPr="004D671D" w:rsidRDefault="00F00E71" w:rsidP="003741BF">
      <w:pPr>
        <w:pStyle w:val="3Bodytext"/>
      </w:pPr>
      <w:r w:rsidRPr="004D671D">
        <w:fldChar w:fldCharType="begin"/>
      </w:r>
      <w:r w:rsidRPr="004D671D">
        <w:instrText xml:space="preserve"> REF _Ref168068022 \h </w:instrText>
      </w:r>
      <w:r w:rsidRPr="004D671D">
        <w:fldChar w:fldCharType="separate"/>
      </w:r>
      <w:r w:rsidR="00AE0CA7" w:rsidRPr="004D671D">
        <w:t xml:space="preserve">Table </w:t>
      </w:r>
      <w:r w:rsidR="00AE0CA7">
        <w:rPr>
          <w:noProof/>
        </w:rPr>
        <w:t>2</w:t>
      </w:r>
      <w:r w:rsidRPr="004D671D">
        <w:fldChar w:fldCharType="end"/>
      </w:r>
      <w:r w:rsidR="00F4511D" w:rsidRPr="004D671D">
        <w:t xml:space="preserve"> outlines the changes between the </w:t>
      </w:r>
      <w:r w:rsidR="00127E7C">
        <w:t>July</w:t>
      </w:r>
      <w:r w:rsidR="00127E7C" w:rsidRPr="004D671D">
        <w:t xml:space="preserve"> </w:t>
      </w:r>
      <w:r w:rsidR="00F4511D" w:rsidRPr="004D671D">
        <w:t xml:space="preserve">2021 </w:t>
      </w:r>
      <w:r w:rsidR="00EB76D9" w:rsidRPr="004D671D">
        <w:t>listing</w:t>
      </w:r>
      <w:r w:rsidR="00F4511D" w:rsidRPr="004D671D">
        <w:t xml:space="preserve"> and the new inputs used for this submission.</w:t>
      </w:r>
    </w:p>
    <w:p w14:paraId="12019A02" w14:textId="5A55D050" w:rsidR="00F00E71" w:rsidRPr="004D671D" w:rsidRDefault="00F00E71" w:rsidP="00EB76D9">
      <w:pPr>
        <w:pStyle w:val="TableFigureHeading"/>
        <w:keepLines/>
      </w:pPr>
      <w:bookmarkStart w:id="3" w:name="_Ref160082077"/>
      <w:bookmarkStart w:id="4" w:name="_Ref168068022"/>
      <w:bookmarkStart w:id="5" w:name="_Toc160709388"/>
      <w:r w:rsidRPr="004D671D">
        <w:lastRenderedPageBreak/>
        <w:t>Table</w:t>
      </w:r>
      <w:bookmarkEnd w:id="3"/>
      <w:r w:rsidRPr="004D671D">
        <w:t xml:space="preserve"> </w:t>
      </w:r>
      <w:r w:rsidR="00F8422A">
        <w:fldChar w:fldCharType="begin"/>
      </w:r>
      <w:r w:rsidR="00F8422A">
        <w:instrText xml:space="preserve"> SEQ Table \* ARABIC </w:instrText>
      </w:r>
      <w:r w:rsidR="00F8422A">
        <w:fldChar w:fldCharType="separate"/>
      </w:r>
      <w:r w:rsidR="00AE0CA7">
        <w:rPr>
          <w:noProof/>
        </w:rPr>
        <w:t>2</w:t>
      </w:r>
      <w:r w:rsidR="00F8422A">
        <w:fldChar w:fldCharType="end"/>
      </w:r>
      <w:bookmarkEnd w:id="4"/>
      <w:r w:rsidRPr="004D671D">
        <w:t>: Summary of key inputs and assumptions to the financial estimates for the PBS listing and current submission</w:t>
      </w:r>
      <w:bookmarkEnd w:id="5"/>
    </w:p>
    <w:tbl>
      <w:tblPr>
        <w:tblStyle w:val="ASDTable2"/>
        <w:tblW w:w="9070" w:type="dxa"/>
        <w:tblInd w:w="-3" w:type="dxa"/>
        <w:tblCellMar>
          <w:left w:w="28" w:type="dxa"/>
          <w:right w:w="28" w:type="dxa"/>
        </w:tblCellMar>
        <w:tblLook w:val="04A0" w:firstRow="1" w:lastRow="0" w:firstColumn="1" w:lastColumn="0" w:noHBand="0" w:noVBand="1"/>
        <w:tblCaption w:val="Table 2: Summary of key inputs and assumptions to the financial estimates for the PBS listing and current submission"/>
      </w:tblPr>
      <w:tblGrid>
        <w:gridCol w:w="755"/>
        <w:gridCol w:w="803"/>
        <w:gridCol w:w="2126"/>
        <w:gridCol w:w="1984"/>
        <w:gridCol w:w="1985"/>
        <w:gridCol w:w="1417"/>
      </w:tblGrid>
      <w:tr w:rsidR="00EB76D9" w:rsidRPr="00032882" w14:paraId="36C32841" w14:textId="5A5B59F6" w:rsidTr="00EB76D9">
        <w:trPr>
          <w:trHeight w:val="20"/>
        </w:trPr>
        <w:tc>
          <w:tcPr>
            <w:tcW w:w="1558" w:type="dxa"/>
            <w:gridSpan w:val="2"/>
            <w:shd w:val="clear" w:color="auto" w:fill="D9D9D9" w:themeFill="background1" w:themeFillShade="D9"/>
            <w:vAlign w:val="bottom"/>
          </w:tcPr>
          <w:p w14:paraId="627DF8B8" w14:textId="77777777" w:rsidR="00800961" w:rsidRPr="00032882" w:rsidRDefault="00800961" w:rsidP="00EB76D9">
            <w:pPr>
              <w:pStyle w:val="TableText0"/>
              <w:keepLines/>
              <w:jc w:val="center"/>
              <w:rPr>
                <w:rFonts w:eastAsia="Calibri"/>
                <w:b/>
                <w:bCs w:val="0"/>
                <w:szCs w:val="20"/>
              </w:rPr>
            </w:pPr>
            <w:r w:rsidRPr="00032882">
              <w:rPr>
                <w:rFonts w:eastAsia="Calibri"/>
                <w:b/>
                <w:bCs w:val="0"/>
                <w:szCs w:val="20"/>
              </w:rPr>
              <w:t>Model input</w:t>
            </w:r>
          </w:p>
        </w:tc>
        <w:tc>
          <w:tcPr>
            <w:tcW w:w="2126" w:type="dxa"/>
            <w:shd w:val="clear" w:color="auto" w:fill="D9D9D9" w:themeFill="background1" w:themeFillShade="D9"/>
            <w:vAlign w:val="bottom"/>
          </w:tcPr>
          <w:p w14:paraId="15BB9B50" w14:textId="77777777" w:rsidR="00800961" w:rsidRPr="00032882" w:rsidRDefault="00800961" w:rsidP="00EB76D9">
            <w:pPr>
              <w:pStyle w:val="TableText0"/>
              <w:keepLines/>
              <w:jc w:val="center"/>
              <w:rPr>
                <w:rFonts w:eastAsia="Calibri"/>
                <w:b/>
                <w:bCs w:val="0"/>
                <w:szCs w:val="20"/>
              </w:rPr>
            </w:pPr>
            <w:r w:rsidRPr="00032882">
              <w:rPr>
                <w:rFonts w:eastAsia="Calibri"/>
                <w:b/>
                <w:bCs w:val="0"/>
                <w:szCs w:val="20"/>
              </w:rPr>
              <w:t>Base case variable</w:t>
            </w:r>
          </w:p>
        </w:tc>
        <w:tc>
          <w:tcPr>
            <w:tcW w:w="1984" w:type="dxa"/>
            <w:shd w:val="clear" w:color="auto" w:fill="D9D9D9" w:themeFill="background1" w:themeFillShade="D9"/>
            <w:vAlign w:val="bottom"/>
          </w:tcPr>
          <w:p w14:paraId="59421830" w14:textId="77777777" w:rsidR="00800961" w:rsidRPr="00032882" w:rsidRDefault="00800961" w:rsidP="00EB76D9">
            <w:pPr>
              <w:pStyle w:val="TableText0"/>
              <w:keepLines/>
              <w:jc w:val="center"/>
              <w:rPr>
                <w:rFonts w:eastAsia="Calibri"/>
                <w:b/>
                <w:bCs w:val="0"/>
                <w:szCs w:val="20"/>
              </w:rPr>
            </w:pPr>
            <w:r w:rsidRPr="00032882">
              <w:rPr>
                <w:rFonts w:eastAsia="Calibri"/>
                <w:b/>
                <w:bCs w:val="0"/>
                <w:szCs w:val="20"/>
              </w:rPr>
              <w:t>PBS Listing</w:t>
            </w:r>
          </w:p>
        </w:tc>
        <w:tc>
          <w:tcPr>
            <w:tcW w:w="1985" w:type="dxa"/>
            <w:shd w:val="clear" w:color="auto" w:fill="D9D9D9" w:themeFill="background1" w:themeFillShade="D9"/>
            <w:vAlign w:val="bottom"/>
          </w:tcPr>
          <w:p w14:paraId="57A6D841" w14:textId="77777777" w:rsidR="00800961" w:rsidRPr="00032882" w:rsidRDefault="00800961" w:rsidP="00EB76D9">
            <w:pPr>
              <w:pStyle w:val="TableText0"/>
              <w:keepLines/>
              <w:jc w:val="center"/>
              <w:rPr>
                <w:rFonts w:eastAsia="Calibri"/>
                <w:b/>
                <w:bCs w:val="0"/>
                <w:szCs w:val="20"/>
              </w:rPr>
            </w:pPr>
            <w:r w:rsidRPr="00032882">
              <w:rPr>
                <w:rFonts w:eastAsia="Calibri"/>
                <w:b/>
                <w:bCs w:val="0"/>
                <w:szCs w:val="20"/>
              </w:rPr>
              <w:t>March 2024 Submission</w:t>
            </w:r>
          </w:p>
        </w:tc>
        <w:tc>
          <w:tcPr>
            <w:tcW w:w="1417" w:type="dxa"/>
            <w:shd w:val="clear" w:color="auto" w:fill="D9D9D9" w:themeFill="background1" w:themeFillShade="D9"/>
          </w:tcPr>
          <w:p w14:paraId="7D970EE6" w14:textId="47A8726E" w:rsidR="00800961" w:rsidRPr="00032882" w:rsidRDefault="00800961" w:rsidP="00EB76D9">
            <w:pPr>
              <w:pStyle w:val="TableText0"/>
              <w:keepLines/>
              <w:jc w:val="center"/>
              <w:rPr>
                <w:rFonts w:eastAsia="Calibri"/>
                <w:b/>
                <w:bCs w:val="0"/>
                <w:szCs w:val="20"/>
              </w:rPr>
            </w:pPr>
            <w:r w:rsidRPr="00032882">
              <w:rPr>
                <w:rFonts w:eastAsia="Calibri"/>
                <w:b/>
                <w:bCs w:val="0"/>
                <w:szCs w:val="20"/>
              </w:rPr>
              <w:t>Note</w:t>
            </w:r>
          </w:p>
        </w:tc>
      </w:tr>
      <w:tr w:rsidR="00EB76D9" w:rsidRPr="00032882" w14:paraId="64FCB356" w14:textId="27239A46" w:rsidTr="00EB76D9">
        <w:trPr>
          <w:trHeight w:val="20"/>
        </w:trPr>
        <w:tc>
          <w:tcPr>
            <w:tcW w:w="1558" w:type="dxa"/>
            <w:gridSpan w:val="2"/>
            <w:vMerge w:val="restart"/>
            <w:shd w:val="clear" w:color="auto" w:fill="FFFFFF" w:themeFill="background1"/>
            <w:vAlign w:val="center"/>
          </w:tcPr>
          <w:p w14:paraId="77EC1C01" w14:textId="77777777" w:rsidR="00800961" w:rsidRPr="00032882" w:rsidRDefault="00800961" w:rsidP="00EB76D9">
            <w:pPr>
              <w:pStyle w:val="TableText0"/>
              <w:keepLines/>
              <w:rPr>
                <w:rFonts w:eastAsia="Calibri"/>
                <w:szCs w:val="20"/>
              </w:rPr>
            </w:pPr>
            <w:r w:rsidRPr="00032882">
              <w:rPr>
                <w:rFonts w:eastAsia="Calibri"/>
                <w:szCs w:val="20"/>
              </w:rPr>
              <w:t>Eligible 1L mesothelioma population</w:t>
            </w:r>
          </w:p>
        </w:tc>
        <w:tc>
          <w:tcPr>
            <w:tcW w:w="2126" w:type="dxa"/>
            <w:shd w:val="clear" w:color="auto" w:fill="FFFFFF" w:themeFill="background1"/>
            <w:vAlign w:val="center"/>
          </w:tcPr>
          <w:p w14:paraId="37FB3CC3" w14:textId="77777777" w:rsidR="00800961" w:rsidRPr="00032882" w:rsidRDefault="00800961" w:rsidP="00EB76D9">
            <w:pPr>
              <w:pStyle w:val="TableText0"/>
              <w:keepLines/>
              <w:rPr>
                <w:rFonts w:eastAsia="Calibri"/>
                <w:szCs w:val="20"/>
              </w:rPr>
            </w:pPr>
            <w:r w:rsidRPr="00032882">
              <w:rPr>
                <w:rFonts w:eastAsia="Calibri"/>
                <w:szCs w:val="20"/>
              </w:rPr>
              <w:t xml:space="preserve">ABS population statistics - incidence rate for mesothelioma cancer </w:t>
            </w:r>
          </w:p>
        </w:tc>
        <w:tc>
          <w:tcPr>
            <w:tcW w:w="1984" w:type="dxa"/>
            <w:shd w:val="clear" w:color="auto" w:fill="FFFFFF" w:themeFill="background1"/>
            <w:vAlign w:val="center"/>
          </w:tcPr>
          <w:p w14:paraId="3C56DBFB" w14:textId="77777777" w:rsidR="00800961" w:rsidRPr="00032882" w:rsidRDefault="00800961" w:rsidP="00EB76D9">
            <w:pPr>
              <w:pStyle w:val="TableText0"/>
              <w:keepLines/>
              <w:jc w:val="center"/>
              <w:rPr>
                <w:rFonts w:eastAsia="Calibri"/>
                <w:szCs w:val="20"/>
              </w:rPr>
            </w:pPr>
            <w:r w:rsidRPr="00032882">
              <w:rPr>
                <w:rFonts w:eastAsia="Calibri"/>
                <w:szCs w:val="20"/>
              </w:rPr>
              <w:t>3.0 per 100,000</w:t>
            </w:r>
          </w:p>
          <w:p w14:paraId="6B420F89" w14:textId="77777777" w:rsidR="00800961" w:rsidRPr="00032882" w:rsidRDefault="00800961" w:rsidP="00EB76D9">
            <w:pPr>
              <w:pStyle w:val="TableText0"/>
              <w:keepLines/>
              <w:jc w:val="center"/>
              <w:rPr>
                <w:rFonts w:eastAsia="Calibri"/>
                <w:szCs w:val="20"/>
              </w:rPr>
            </w:pPr>
            <w:r w:rsidRPr="00032882">
              <w:rPr>
                <w:rFonts w:eastAsia="Calibri"/>
                <w:szCs w:val="20"/>
              </w:rPr>
              <w:t>ABS population statistics; PBAC &amp; DUSC recommendation</w:t>
            </w:r>
          </w:p>
        </w:tc>
        <w:tc>
          <w:tcPr>
            <w:tcW w:w="1985" w:type="dxa"/>
            <w:shd w:val="clear" w:color="auto" w:fill="FFFFFF" w:themeFill="background1"/>
            <w:vAlign w:val="center"/>
          </w:tcPr>
          <w:p w14:paraId="605AF56D" w14:textId="77777777" w:rsidR="00800961" w:rsidRPr="00032882" w:rsidRDefault="00800961" w:rsidP="00EB76D9">
            <w:pPr>
              <w:pStyle w:val="TableText0"/>
              <w:keepLines/>
              <w:jc w:val="center"/>
              <w:rPr>
                <w:rFonts w:eastAsia="Calibri"/>
                <w:iCs/>
                <w:szCs w:val="20"/>
              </w:rPr>
            </w:pPr>
            <w:r w:rsidRPr="00032882">
              <w:rPr>
                <w:rFonts w:eastAsia="Calibri"/>
                <w:iCs/>
                <w:szCs w:val="20"/>
              </w:rPr>
              <w:t>3.0 per 100,000</w:t>
            </w:r>
          </w:p>
          <w:p w14:paraId="1C863DC7" w14:textId="77777777" w:rsidR="00800961" w:rsidRPr="00032882" w:rsidRDefault="00800961" w:rsidP="00EB76D9">
            <w:pPr>
              <w:pStyle w:val="TableText0"/>
              <w:keepLines/>
              <w:jc w:val="center"/>
              <w:rPr>
                <w:rFonts w:eastAsia="Calibri"/>
                <w:szCs w:val="20"/>
              </w:rPr>
            </w:pPr>
            <w:r w:rsidRPr="00032882">
              <w:rPr>
                <w:rFonts w:eastAsia="Calibri"/>
                <w:szCs w:val="20"/>
              </w:rPr>
              <w:t>ABS population statistics; PBAC &amp; DUSC recommendation</w:t>
            </w:r>
          </w:p>
        </w:tc>
        <w:tc>
          <w:tcPr>
            <w:tcW w:w="1417" w:type="dxa"/>
            <w:shd w:val="clear" w:color="auto" w:fill="FFFFFF" w:themeFill="background1"/>
            <w:vAlign w:val="center"/>
          </w:tcPr>
          <w:p w14:paraId="1BE227B4" w14:textId="73F47F93" w:rsidR="00800961" w:rsidRPr="00032882" w:rsidRDefault="00800961" w:rsidP="00EB76D9">
            <w:pPr>
              <w:pStyle w:val="TableText0"/>
              <w:keepLines/>
              <w:jc w:val="center"/>
              <w:rPr>
                <w:rFonts w:eastAsia="Calibri"/>
                <w:iCs/>
                <w:szCs w:val="20"/>
              </w:rPr>
            </w:pPr>
            <w:r w:rsidRPr="00032882">
              <w:rPr>
                <w:rFonts w:eastAsia="Calibri"/>
                <w:iCs/>
                <w:szCs w:val="20"/>
              </w:rPr>
              <w:t>Unchanged</w:t>
            </w:r>
          </w:p>
        </w:tc>
      </w:tr>
      <w:tr w:rsidR="00EB76D9" w:rsidRPr="00032882" w14:paraId="6ED58306" w14:textId="4E19E7AD" w:rsidTr="00EB76D9">
        <w:trPr>
          <w:trHeight w:val="20"/>
        </w:trPr>
        <w:tc>
          <w:tcPr>
            <w:tcW w:w="1558" w:type="dxa"/>
            <w:gridSpan w:val="2"/>
            <w:vMerge/>
            <w:vAlign w:val="center"/>
          </w:tcPr>
          <w:p w14:paraId="4D78E559" w14:textId="77777777" w:rsidR="00800961" w:rsidRPr="00032882" w:rsidRDefault="00800961" w:rsidP="00EB76D9">
            <w:pPr>
              <w:pStyle w:val="TableText0"/>
              <w:keepLines/>
              <w:rPr>
                <w:rFonts w:eastAsia="Calibri"/>
                <w:szCs w:val="20"/>
              </w:rPr>
            </w:pPr>
          </w:p>
        </w:tc>
        <w:tc>
          <w:tcPr>
            <w:tcW w:w="2126" w:type="dxa"/>
            <w:shd w:val="clear" w:color="auto" w:fill="FFFFFF" w:themeFill="background1"/>
            <w:vAlign w:val="center"/>
          </w:tcPr>
          <w:p w14:paraId="320371E2" w14:textId="77777777" w:rsidR="00800961" w:rsidRPr="00032882" w:rsidRDefault="00800961" w:rsidP="00EB76D9">
            <w:pPr>
              <w:pStyle w:val="TableText0"/>
              <w:keepLines/>
              <w:rPr>
                <w:rFonts w:eastAsia="Calibri"/>
                <w:szCs w:val="20"/>
              </w:rPr>
            </w:pPr>
            <w:r w:rsidRPr="00032882">
              <w:rPr>
                <w:rFonts w:eastAsia="Calibri"/>
                <w:szCs w:val="20"/>
              </w:rPr>
              <w:t xml:space="preserve">Proportion of mesothelioma that is unresectable </w:t>
            </w:r>
          </w:p>
        </w:tc>
        <w:tc>
          <w:tcPr>
            <w:tcW w:w="1984" w:type="dxa"/>
            <w:shd w:val="clear" w:color="auto" w:fill="FFFFFF" w:themeFill="background1"/>
            <w:vAlign w:val="center"/>
          </w:tcPr>
          <w:p w14:paraId="4934A9D1" w14:textId="77777777" w:rsidR="00800961" w:rsidRPr="00032882" w:rsidRDefault="00800961" w:rsidP="00EB76D9">
            <w:pPr>
              <w:pStyle w:val="TableText0"/>
              <w:keepLines/>
              <w:jc w:val="center"/>
              <w:rPr>
                <w:rFonts w:eastAsia="Calibri"/>
                <w:szCs w:val="20"/>
              </w:rPr>
            </w:pPr>
            <w:r w:rsidRPr="00032882">
              <w:rPr>
                <w:rFonts w:eastAsia="Calibri"/>
                <w:szCs w:val="20"/>
              </w:rPr>
              <w:t>93.52%</w:t>
            </w:r>
          </w:p>
          <w:p w14:paraId="0463920B" w14:textId="6A4BBD29" w:rsidR="00800961" w:rsidRPr="00032882" w:rsidRDefault="00800961" w:rsidP="00EB76D9">
            <w:pPr>
              <w:pStyle w:val="TableText0"/>
              <w:keepLines/>
              <w:jc w:val="center"/>
              <w:rPr>
                <w:rFonts w:eastAsia="Calibri"/>
                <w:szCs w:val="20"/>
              </w:rPr>
            </w:pPr>
            <w:r w:rsidRPr="00032882">
              <w:rPr>
                <w:rFonts w:eastAsia="Calibri"/>
                <w:szCs w:val="20"/>
              </w:rPr>
              <w:t>(Linton, et al</w:t>
            </w:r>
            <w:r w:rsidR="004D671D" w:rsidRPr="00032882">
              <w:rPr>
                <w:rFonts w:eastAsia="Calibri"/>
                <w:szCs w:val="20"/>
              </w:rPr>
              <w:t xml:space="preserve">. </w:t>
            </w:r>
            <w:r w:rsidRPr="00032882">
              <w:rPr>
                <w:rFonts w:eastAsia="Calibri"/>
                <w:szCs w:val="20"/>
              </w:rPr>
              <w:t>2014)</w:t>
            </w:r>
          </w:p>
        </w:tc>
        <w:tc>
          <w:tcPr>
            <w:tcW w:w="1985" w:type="dxa"/>
            <w:shd w:val="clear" w:color="auto" w:fill="FFFFFF" w:themeFill="background1"/>
            <w:vAlign w:val="center"/>
          </w:tcPr>
          <w:p w14:paraId="7AE65EAC" w14:textId="77777777" w:rsidR="00800961" w:rsidRPr="00032882" w:rsidRDefault="00800961" w:rsidP="00EB76D9">
            <w:pPr>
              <w:pStyle w:val="TableText0"/>
              <w:keepLines/>
              <w:jc w:val="center"/>
              <w:rPr>
                <w:rFonts w:eastAsia="Calibri"/>
                <w:szCs w:val="20"/>
              </w:rPr>
            </w:pPr>
            <w:r w:rsidRPr="00032882">
              <w:rPr>
                <w:rFonts w:eastAsia="Calibri"/>
                <w:szCs w:val="20"/>
              </w:rPr>
              <w:t>93.52%</w:t>
            </w:r>
          </w:p>
          <w:p w14:paraId="72CAF2E7" w14:textId="77777777" w:rsidR="00800961" w:rsidRPr="00032882" w:rsidRDefault="00800961" w:rsidP="00EB76D9">
            <w:pPr>
              <w:pStyle w:val="TableText0"/>
              <w:keepLines/>
              <w:jc w:val="center"/>
              <w:rPr>
                <w:rFonts w:eastAsia="Calibri"/>
                <w:szCs w:val="20"/>
              </w:rPr>
            </w:pPr>
            <w:r w:rsidRPr="00032882">
              <w:rPr>
                <w:rFonts w:eastAsia="Calibri"/>
                <w:szCs w:val="20"/>
              </w:rPr>
              <w:t>(Linton, et al. 2014)</w:t>
            </w:r>
          </w:p>
        </w:tc>
        <w:tc>
          <w:tcPr>
            <w:tcW w:w="1417" w:type="dxa"/>
            <w:shd w:val="clear" w:color="auto" w:fill="FFFFFF" w:themeFill="background1"/>
            <w:vAlign w:val="center"/>
          </w:tcPr>
          <w:p w14:paraId="52D9B608" w14:textId="79FB050D" w:rsidR="00800961" w:rsidRPr="00032882" w:rsidRDefault="00800961" w:rsidP="00EB76D9">
            <w:pPr>
              <w:pStyle w:val="TableText0"/>
              <w:keepLines/>
              <w:jc w:val="center"/>
              <w:rPr>
                <w:rFonts w:eastAsia="Calibri"/>
                <w:szCs w:val="20"/>
              </w:rPr>
            </w:pPr>
            <w:r w:rsidRPr="00032882">
              <w:rPr>
                <w:rFonts w:eastAsia="Calibri"/>
                <w:iCs/>
                <w:szCs w:val="20"/>
              </w:rPr>
              <w:t>Unchanged</w:t>
            </w:r>
          </w:p>
        </w:tc>
      </w:tr>
      <w:tr w:rsidR="00EB76D9" w:rsidRPr="00032882" w14:paraId="3046FD51" w14:textId="0529371D" w:rsidTr="00EB76D9">
        <w:trPr>
          <w:trHeight w:val="20"/>
        </w:trPr>
        <w:tc>
          <w:tcPr>
            <w:tcW w:w="1558" w:type="dxa"/>
            <w:gridSpan w:val="2"/>
            <w:vMerge/>
            <w:vAlign w:val="center"/>
          </w:tcPr>
          <w:p w14:paraId="101067CE" w14:textId="77777777" w:rsidR="00800961" w:rsidRPr="00032882" w:rsidRDefault="00800961" w:rsidP="00EB76D9">
            <w:pPr>
              <w:pStyle w:val="TableText0"/>
              <w:keepLines/>
              <w:rPr>
                <w:rFonts w:eastAsia="Calibri"/>
                <w:szCs w:val="20"/>
              </w:rPr>
            </w:pPr>
          </w:p>
        </w:tc>
        <w:tc>
          <w:tcPr>
            <w:tcW w:w="2126" w:type="dxa"/>
            <w:shd w:val="clear" w:color="auto" w:fill="FFFFFF" w:themeFill="background1"/>
            <w:vAlign w:val="center"/>
          </w:tcPr>
          <w:p w14:paraId="606B0F98" w14:textId="77777777" w:rsidR="00800961" w:rsidRPr="00032882" w:rsidRDefault="00800961" w:rsidP="00EB76D9">
            <w:pPr>
              <w:pStyle w:val="TableText0"/>
              <w:keepLines/>
              <w:rPr>
                <w:rFonts w:eastAsia="Calibri"/>
                <w:szCs w:val="20"/>
              </w:rPr>
            </w:pPr>
            <w:r w:rsidRPr="00032882">
              <w:rPr>
                <w:rFonts w:eastAsia="Calibri"/>
                <w:szCs w:val="20"/>
              </w:rPr>
              <w:t xml:space="preserve">Proportion of all mesothelioma patients who are ECOG 0-1 </w:t>
            </w:r>
          </w:p>
        </w:tc>
        <w:tc>
          <w:tcPr>
            <w:tcW w:w="1984" w:type="dxa"/>
            <w:shd w:val="clear" w:color="auto" w:fill="FFFFFF" w:themeFill="background1"/>
            <w:vAlign w:val="center"/>
          </w:tcPr>
          <w:p w14:paraId="0642182F" w14:textId="77777777" w:rsidR="00800961" w:rsidRPr="00032882" w:rsidRDefault="00800961" w:rsidP="00EB76D9">
            <w:pPr>
              <w:pStyle w:val="TableText0"/>
              <w:keepLines/>
              <w:jc w:val="center"/>
              <w:rPr>
                <w:rFonts w:eastAsia="Calibri"/>
                <w:szCs w:val="20"/>
              </w:rPr>
            </w:pPr>
            <w:r w:rsidRPr="00032882">
              <w:rPr>
                <w:rFonts w:eastAsia="Calibri"/>
                <w:szCs w:val="20"/>
              </w:rPr>
              <w:t>79.39%</w:t>
            </w:r>
          </w:p>
          <w:p w14:paraId="30A66E02" w14:textId="77777777" w:rsidR="00800961" w:rsidRPr="00032882" w:rsidRDefault="00800961" w:rsidP="00EB76D9">
            <w:pPr>
              <w:pStyle w:val="TableText0"/>
              <w:keepLines/>
              <w:jc w:val="center"/>
              <w:rPr>
                <w:rFonts w:eastAsia="Calibri"/>
                <w:szCs w:val="20"/>
              </w:rPr>
            </w:pPr>
            <w:r w:rsidRPr="00032882">
              <w:rPr>
                <w:rFonts w:eastAsia="Calibri"/>
                <w:szCs w:val="20"/>
              </w:rPr>
              <w:t>(Lau, Boyer, Lee, &amp; Kao 2020)</w:t>
            </w:r>
          </w:p>
        </w:tc>
        <w:tc>
          <w:tcPr>
            <w:tcW w:w="1985" w:type="dxa"/>
            <w:shd w:val="clear" w:color="auto" w:fill="FFFFFF" w:themeFill="background1"/>
            <w:vAlign w:val="center"/>
          </w:tcPr>
          <w:p w14:paraId="7BD71FA2" w14:textId="77777777" w:rsidR="00800961" w:rsidRPr="00032882" w:rsidRDefault="00800961" w:rsidP="00EB76D9">
            <w:pPr>
              <w:pStyle w:val="TableText0"/>
              <w:keepLines/>
              <w:jc w:val="center"/>
              <w:rPr>
                <w:rFonts w:eastAsia="Calibri"/>
                <w:szCs w:val="20"/>
              </w:rPr>
            </w:pPr>
            <w:r w:rsidRPr="00032882">
              <w:rPr>
                <w:rFonts w:eastAsia="Calibri"/>
                <w:szCs w:val="20"/>
              </w:rPr>
              <w:t>79.39%</w:t>
            </w:r>
          </w:p>
          <w:p w14:paraId="06E5930D" w14:textId="77777777" w:rsidR="00800961" w:rsidRPr="00032882" w:rsidRDefault="00800961" w:rsidP="00EB76D9">
            <w:pPr>
              <w:pStyle w:val="TableText0"/>
              <w:keepLines/>
              <w:jc w:val="center"/>
              <w:rPr>
                <w:rFonts w:eastAsia="Calibri"/>
                <w:szCs w:val="20"/>
              </w:rPr>
            </w:pPr>
            <w:r w:rsidRPr="00032882">
              <w:rPr>
                <w:rFonts w:eastAsia="Calibri"/>
                <w:szCs w:val="20"/>
              </w:rPr>
              <w:t>(Lau, Boyer, Lee, &amp; Kao 2020)</w:t>
            </w:r>
          </w:p>
        </w:tc>
        <w:tc>
          <w:tcPr>
            <w:tcW w:w="1417" w:type="dxa"/>
            <w:shd w:val="clear" w:color="auto" w:fill="FFFFFF" w:themeFill="background1"/>
            <w:vAlign w:val="center"/>
          </w:tcPr>
          <w:p w14:paraId="1933FDB9" w14:textId="2DFDCCEB" w:rsidR="00800961" w:rsidRPr="00032882" w:rsidRDefault="00800961" w:rsidP="00EB76D9">
            <w:pPr>
              <w:pStyle w:val="TableText0"/>
              <w:keepLines/>
              <w:jc w:val="center"/>
              <w:rPr>
                <w:rFonts w:eastAsia="Calibri"/>
                <w:szCs w:val="20"/>
              </w:rPr>
            </w:pPr>
            <w:r w:rsidRPr="00032882">
              <w:rPr>
                <w:rFonts w:eastAsia="Calibri"/>
                <w:iCs/>
                <w:szCs w:val="20"/>
              </w:rPr>
              <w:t>Unchanged</w:t>
            </w:r>
          </w:p>
        </w:tc>
      </w:tr>
      <w:tr w:rsidR="00EB76D9" w:rsidRPr="00032882" w14:paraId="54A9CC5C" w14:textId="7A995FCB" w:rsidTr="00EB76D9">
        <w:trPr>
          <w:trHeight w:val="20"/>
        </w:trPr>
        <w:tc>
          <w:tcPr>
            <w:tcW w:w="1558" w:type="dxa"/>
            <w:gridSpan w:val="2"/>
            <w:vMerge/>
            <w:vAlign w:val="center"/>
          </w:tcPr>
          <w:p w14:paraId="2E70CA9E" w14:textId="77777777" w:rsidR="00800961" w:rsidRPr="00032882" w:rsidRDefault="00800961" w:rsidP="00EB76D9">
            <w:pPr>
              <w:pStyle w:val="TableText0"/>
              <w:keepLines/>
              <w:rPr>
                <w:rFonts w:eastAsia="Calibri"/>
                <w:szCs w:val="20"/>
              </w:rPr>
            </w:pPr>
          </w:p>
        </w:tc>
        <w:tc>
          <w:tcPr>
            <w:tcW w:w="2126" w:type="dxa"/>
            <w:shd w:val="clear" w:color="auto" w:fill="FFFFFF" w:themeFill="background1"/>
            <w:vAlign w:val="center"/>
          </w:tcPr>
          <w:p w14:paraId="3819E019" w14:textId="77777777" w:rsidR="00800961" w:rsidRPr="00032882" w:rsidRDefault="00800961" w:rsidP="00EB76D9">
            <w:pPr>
              <w:pStyle w:val="TableText0"/>
              <w:keepLines/>
              <w:rPr>
                <w:rFonts w:eastAsia="Calibri"/>
                <w:szCs w:val="20"/>
              </w:rPr>
            </w:pPr>
            <w:r w:rsidRPr="00032882">
              <w:rPr>
                <w:rFonts w:eastAsia="Calibri"/>
                <w:szCs w:val="20"/>
              </w:rPr>
              <w:t xml:space="preserve">Uptake rate </w:t>
            </w:r>
          </w:p>
          <w:p w14:paraId="53B6EA9C" w14:textId="77777777" w:rsidR="00800961" w:rsidRPr="00032882" w:rsidRDefault="00800961" w:rsidP="00EB76D9">
            <w:pPr>
              <w:pStyle w:val="TableText0"/>
              <w:keepLines/>
              <w:rPr>
                <w:rFonts w:eastAsia="Calibri"/>
                <w:szCs w:val="20"/>
              </w:rPr>
            </w:pPr>
            <w:r w:rsidRPr="00032882">
              <w:rPr>
                <w:rFonts w:eastAsia="Calibri"/>
                <w:szCs w:val="20"/>
              </w:rPr>
              <w:t xml:space="preserve">First-line (if NIVO+IPI available) </w:t>
            </w:r>
          </w:p>
        </w:tc>
        <w:tc>
          <w:tcPr>
            <w:tcW w:w="1984" w:type="dxa"/>
            <w:shd w:val="clear" w:color="auto" w:fill="FFFFFF" w:themeFill="background1"/>
            <w:vAlign w:val="center"/>
          </w:tcPr>
          <w:p w14:paraId="2B53401C" w14:textId="77777777" w:rsidR="00800961" w:rsidRPr="00032882" w:rsidRDefault="00800961" w:rsidP="00EB76D9">
            <w:pPr>
              <w:pStyle w:val="TableText0"/>
              <w:keepLines/>
              <w:jc w:val="center"/>
              <w:rPr>
                <w:rFonts w:eastAsia="Calibri"/>
                <w:szCs w:val="20"/>
              </w:rPr>
            </w:pPr>
            <w:r w:rsidRPr="00032882">
              <w:rPr>
                <w:rFonts w:eastAsia="Calibri"/>
                <w:szCs w:val="20"/>
              </w:rPr>
              <w:t>58.99%</w:t>
            </w:r>
          </w:p>
          <w:p w14:paraId="33CF390E" w14:textId="77777777" w:rsidR="00800961" w:rsidRPr="00032882" w:rsidRDefault="00800961" w:rsidP="00EB76D9">
            <w:pPr>
              <w:pStyle w:val="TableText0"/>
              <w:keepLines/>
              <w:jc w:val="center"/>
              <w:rPr>
                <w:rFonts w:eastAsia="Calibri"/>
                <w:szCs w:val="20"/>
              </w:rPr>
            </w:pPr>
            <w:r w:rsidRPr="00032882">
              <w:rPr>
                <w:rFonts w:eastAsia="Calibri"/>
                <w:szCs w:val="20"/>
              </w:rPr>
              <w:t>PBAC recommendation</w:t>
            </w:r>
          </w:p>
        </w:tc>
        <w:tc>
          <w:tcPr>
            <w:tcW w:w="1985" w:type="dxa"/>
            <w:shd w:val="clear" w:color="auto" w:fill="FFFFFF" w:themeFill="background1"/>
            <w:vAlign w:val="center"/>
          </w:tcPr>
          <w:p w14:paraId="2FCCA17C" w14:textId="6F981A70" w:rsidR="00800961" w:rsidRPr="00032882" w:rsidRDefault="00CA4FD9" w:rsidP="00EB76D9">
            <w:pPr>
              <w:pStyle w:val="TableText0"/>
              <w:keepLines/>
              <w:jc w:val="center"/>
              <w:rPr>
                <w:rFonts w:eastAsia="Calibri"/>
                <w:szCs w:val="20"/>
              </w:rPr>
            </w:pPr>
            <w:r w:rsidRPr="00CA4FD9">
              <w:rPr>
                <w:rFonts w:eastAsia="Calibri"/>
                <w:color w:val="000000"/>
                <w:szCs w:val="20"/>
                <w:shd w:val="solid" w:color="000000" w:fill="000000"/>
                <w14:textFill>
                  <w14:solidFill>
                    <w14:srgbClr w14:val="000000">
                      <w14:alpha w14:val="100000"/>
                    </w14:srgbClr>
                  </w14:solidFill>
                </w14:textFill>
              </w:rPr>
              <w:t>|</w:t>
            </w:r>
            <w:r w:rsidR="00800961" w:rsidRPr="00F80E1D">
              <w:rPr>
                <w:rFonts w:eastAsia="Calibri"/>
                <w:szCs w:val="20"/>
              </w:rPr>
              <w:t>%</w:t>
            </w:r>
          </w:p>
          <w:p w14:paraId="585BCBE4" w14:textId="4D5207AC" w:rsidR="00800961" w:rsidRPr="00032882" w:rsidRDefault="00800961" w:rsidP="00EB76D9">
            <w:pPr>
              <w:pStyle w:val="TableText0"/>
              <w:keepLines/>
              <w:jc w:val="center"/>
              <w:rPr>
                <w:rFonts w:eastAsia="Calibri"/>
                <w:szCs w:val="20"/>
              </w:rPr>
            </w:pPr>
            <w:r w:rsidRPr="00032882">
              <w:rPr>
                <w:rFonts w:eastAsia="Calibri"/>
                <w:szCs w:val="20"/>
              </w:rPr>
              <w:t xml:space="preserve">February 2024 Clinician Survey </w:t>
            </w:r>
            <w:r w:rsidRPr="00F80E1D">
              <w:rPr>
                <w:rFonts w:eastAsia="Calibri"/>
                <w:szCs w:val="20"/>
              </w:rPr>
              <w:t>(</w:t>
            </w:r>
            <w:r w:rsidRPr="00381443">
              <w:rPr>
                <w:rFonts w:eastAsia="Calibri"/>
                <w:szCs w:val="20"/>
              </w:rPr>
              <w:t>87</w:t>
            </w:r>
            <w:r w:rsidRPr="00F80E1D">
              <w:rPr>
                <w:rFonts w:eastAsia="Calibri"/>
                <w:szCs w:val="20"/>
              </w:rPr>
              <w:t xml:space="preserve">%) </w:t>
            </w:r>
            <w:r w:rsidRPr="00032882">
              <w:rPr>
                <w:rFonts w:eastAsia="Calibri"/>
                <w:szCs w:val="20"/>
              </w:rPr>
              <w:t xml:space="preserve">&amp; Sponsor reduction to account for expertise of survey </w:t>
            </w:r>
            <w:r w:rsidRPr="00381443">
              <w:rPr>
                <w:rFonts w:eastAsia="Calibri"/>
                <w:szCs w:val="20"/>
              </w:rPr>
              <w:t>respondents (</w:t>
            </w:r>
            <w:r w:rsidR="00CA4FD9" w:rsidRPr="00CA4FD9">
              <w:rPr>
                <w:rFonts w:eastAsia="Calibri"/>
                <w:color w:val="000000"/>
                <w:spacing w:val="94"/>
                <w:szCs w:val="20"/>
                <w:shd w:val="solid" w:color="000000" w:fill="000000"/>
                <w:fitText w:val="180" w:id="-893751799"/>
                <w14:textFill>
                  <w14:solidFill>
                    <w14:srgbClr w14:val="000000">
                      <w14:alpha w14:val="100000"/>
                    </w14:srgbClr>
                  </w14:solidFill>
                </w14:textFill>
              </w:rPr>
              <w:t>|</w:t>
            </w:r>
            <w:r w:rsidR="00CA4FD9" w:rsidRPr="00CA4FD9">
              <w:rPr>
                <w:rFonts w:eastAsia="Calibri"/>
                <w:color w:val="000000"/>
                <w:spacing w:val="1"/>
                <w:szCs w:val="20"/>
                <w:shd w:val="solid" w:color="000000" w:fill="000000"/>
                <w:fitText w:val="180" w:id="-893751799"/>
                <w14:textFill>
                  <w14:solidFill>
                    <w14:srgbClr w14:val="000000">
                      <w14:alpha w14:val="100000"/>
                    </w14:srgbClr>
                  </w14:solidFill>
                </w14:textFill>
              </w:rPr>
              <w:t>|</w:t>
            </w:r>
            <w:r w:rsidRPr="00381443">
              <w:rPr>
                <w:rFonts w:eastAsia="Calibri"/>
                <w:szCs w:val="20"/>
              </w:rPr>
              <w:t>%)</w:t>
            </w:r>
          </w:p>
        </w:tc>
        <w:tc>
          <w:tcPr>
            <w:tcW w:w="1417" w:type="dxa"/>
            <w:shd w:val="clear" w:color="auto" w:fill="FFFFFF" w:themeFill="background1"/>
            <w:vAlign w:val="center"/>
          </w:tcPr>
          <w:p w14:paraId="68FCFAC9" w14:textId="13592775" w:rsidR="00800961" w:rsidRPr="00032882" w:rsidRDefault="00800961" w:rsidP="00EB76D9">
            <w:pPr>
              <w:pStyle w:val="TableText0"/>
              <w:keepLines/>
              <w:jc w:val="center"/>
              <w:rPr>
                <w:rFonts w:eastAsia="Calibri"/>
                <w:szCs w:val="20"/>
              </w:rPr>
            </w:pPr>
            <w:r w:rsidRPr="00032882">
              <w:rPr>
                <w:rFonts w:eastAsia="Calibri"/>
                <w:szCs w:val="20"/>
              </w:rPr>
              <w:t>Changed</w:t>
            </w:r>
            <w:r w:rsidR="00EB76D9" w:rsidRPr="00032882">
              <w:rPr>
                <w:rFonts w:eastAsia="Calibri"/>
                <w:szCs w:val="20"/>
              </w:rPr>
              <w:t xml:space="preserve"> to reflect increased initiation with NIVO+IPI</w:t>
            </w:r>
          </w:p>
        </w:tc>
      </w:tr>
      <w:tr w:rsidR="00EB76D9" w:rsidRPr="00032882" w14:paraId="4C620E65" w14:textId="4C2DDD97" w:rsidTr="00EB76D9">
        <w:trPr>
          <w:trHeight w:val="20"/>
        </w:trPr>
        <w:tc>
          <w:tcPr>
            <w:tcW w:w="755" w:type="dxa"/>
            <w:vMerge w:val="restart"/>
            <w:shd w:val="clear" w:color="auto" w:fill="FFFFFF" w:themeFill="background1"/>
            <w:vAlign w:val="center"/>
          </w:tcPr>
          <w:p w14:paraId="1111B9CB" w14:textId="63848AC5" w:rsidR="00800961" w:rsidRPr="00032882" w:rsidRDefault="00800961" w:rsidP="00EB76D9">
            <w:pPr>
              <w:pStyle w:val="TableText0"/>
              <w:keepLines/>
              <w:rPr>
                <w:rFonts w:eastAsia="Calibri"/>
                <w:szCs w:val="20"/>
              </w:rPr>
            </w:pPr>
            <w:r w:rsidRPr="00032882">
              <w:rPr>
                <w:rFonts w:eastAsia="Calibri"/>
                <w:szCs w:val="20"/>
              </w:rPr>
              <w:t>PBS/ RPBS split</w:t>
            </w:r>
          </w:p>
        </w:tc>
        <w:tc>
          <w:tcPr>
            <w:tcW w:w="803" w:type="dxa"/>
            <w:shd w:val="clear" w:color="auto" w:fill="FFFFFF" w:themeFill="background1"/>
            <w:vAlign w:val="center"/>
          </w:tcPr>
          <w:p w14:paraId="70116873" w14:textId="77777777" w:rsidR="00800961" w:rsidRPr="00032882" w:rsidRDefault="00800961" w:rsidP="00EB76D9">
            <w:pPr>
              <w:pStyle w:val="TableText0"/>
              <w:keepLines/>
              <w:rPr>
                <w:rFonts w:eastAsia="Calibri"/>
                <w:szCs w:val="20"/>
              </w:rPr>
            </w:pPr>
            <w:r w:rsidRPr="00032882">
              <w:rPr>
                <w:rFonts w:eastAsia="Calibri"/>
                <w:szCs w:val="20"/>
              </w:rPr>
              <w:t>NIVO + IPI</w:t>
            </w:r>
          </w:p>
        </w:tc>
        <w:tc>
          <w:tcPr>
            <w:tcW w:w="2126" w:type="dxa"/>
            <w:vMerge w:val="restart"/>
            <w:shd w:val="clear" w:color="auto" w:fill="FFFFFF" w:themeFill="background1"/>
            <w:vAlign w:val="center"/>
          </w:tcPr>
          <w:p w14:paraId="6068711B" w14:textId="5EEE333B" w:rsidR="00800961" w:rsidRPr="00032882" w:rsidRDefault="00800961" w:rsidP="00EB76D9">
            <w:pPr>
              <w:pStyle w:val="TableText0"/>
              <w:keepLines/>
              <w:rPr>
                <w:rFonts w:eastAsia="Calibri"/>
                <w:szCs w:val="20"/>
              </w:rPr>
            </w:pPr>
            <w:r w:rsidRPr="00032882">
              <w:rPr>
                <w:rFonts w:eastAsia="Calibri"/>
                <w:szCs w:val="20"/>
              </w:rPr>
              <w:t>PBS Listing - Based on existing PBS Item Statistics for last 12 months (January 2023 – December 2023) for NIVO+IPI for the treatment of unresectable malignant mesothelioma and CHEMO</w:t>
            </w:r>
          </w:p>
        </w:tc>
        <w:tc>
          <w:tcPr>
            <w:tcW w:w="1984" w:type="dxa"/>
            <w:shd w:val="clear" w:color="auto" w:fill="FFFFFF" w:themeFill="background1"/>
            <w:vAlign w:val="center"/>
          </w:tcPr>
          <w:p w14:paraId="4A6F6A25" w14:textId="77777777" w:rsidR="00EB76D9" w:rsidRPr="00032882" w:rsidRDefault="00800961" w:rsidP="00EB76D9">
            <w:pPr>
              <w:pStyle w:val="TableText0"/>
              <w:keepLines/>
              <w:jc w:val="center"/>
              <w:rPr>
                <w:rFonts w:eastAsia="Calibri"/>
                <w:szCs w:val="20"/>
              </w:rPr>
            </w:pPr>
            <w:r w:rsidRPr="00032882">
              <w:rPr>
                <w:rFonts w:eastAsia="Calibri"/>
                <w:szCs w:val="20"/>
              </w:rPr>
              <w:t xml:space="preserve">97.00% PBS; </w:t>
            </w:r>
          </w:p>
          <w:p w14:paraId="10A025DD" w14:textId="31880688" w:rsidR="00800961" w:rsidRPr="00032882" w:rsidRDefault="00800961" w:rsidP="00EB76D9">
            <w:pPr>
              <w:pStyle w:val="TableText0"/>
              <w:keepLines/>
              <w:jc w:val="center"/>
              <w:rPr>
                <w:rFonts w:eastAsia="Calibri"/>
                <w:szCs w:val="20"/>
              </w:rPr>
            </w:pPr>
            <w:r w:rsidRPr="00032882">
              <w:rPr>
                <w:rFonts w:eastAsia="Calibri"/>
                <w:szCs w:val="20"/>
              </w:rPr>
              <w:t>3.00% RPBS</w:t>
            </w:r>
          </w:p>
        </w:tc>
        <w:tc>
          <w:tcPr>
            <w:tcW w:w="1985" w:type="dxa"/>
            <w:shd w:val="clear" w:color="auto" w:fill="FFFFFF" w:themeFill="background1"/>
            <w:vAlign w:val="center"/>
          </w:tcPr>
          <w:p w14:paraId="744FA906" w14:textId="77777777" w:rsidR="00EB76D9" w:rsidRPr="00032882" w:rsidRDefault="00800961" w:rsidP="00EB76D9">
            <w:pPr>
              <w:pStyle w:val="TableText0"/>
              <w:keepLines/>
              <w:jc w:val="center"/>
              <w:rPr>
                <w:rFonts w:eastAsia="Calibri"/>
                <w:szCs w:val="20"/>
              </w:rPr>
            </w:pPr>
            <w:r w:rsidRPr="00032882">
              <w:rPr>
                <w:rFonts w:eastAsia="Calibri"/>
                <w:szCs w:val="20"/>
              </w:rPr>
              <w:t xml:space="preserve">96.42% PBS; </w:t>
            </w:r>
          </w:p>
          <w:p w14:paraId="2F723B84" w14:textId="2F47E602" w:rsidR="00800961" w:rsidRPr="00032882" w:rsidRDefault="00800961" w:rsidP="00EB76D9">
            <w:pPr>
              <w:pStyle w:val="TableText0"/>
              <w:keepLines/>
              <w:jc w:val="center"/>
              <w:rPr>
                <w:rFonts w:eastAsia="Calibri"/>
                <w:szCs w:val="20"/>
              </w:rPr>
            </w:pPr>
            <w:r w:rsidRPr="00032882">
              <w:rPr>
                <w:rFonts w:eastAsia="Calibri"/>
                <w:szCs w:val="20"/>
              </w:rPr>
              <w:t>3.58% RPBS</w:t>
            </w:r>
          </w:p>
        </w:tc>
        <w:tc>
          <w:tcPr>
            <w:tcW w:w="1417" w:type="dxa"/>
            <w:shd w:val="clear" w:color="auto" w:fill="FFFFFF" w:themeFill="background1"/>
            <w:vAlign w:val="center"/>
          </w:tcPr>
          <w:p w14:paraId="169ACB44" w14:textId="6DDFAF14" w:rsidR="00800961" w:rsidRPr="00032882" w:rsidRDefault="00EB76D9" w:rsidP="00EB76D9">
            <w:pPr>
              <w:pStyle w:val="TableText0"/>
              <w:keepLines/>
              <w:jc w:val="center"/>
              <w:rPr>
                <w:rFonts w:eastAsia="Calibri"/>
                <w:iCs/>
                <w:szCs w:val="20"/>
              </w:rPr>
            </w:pPr>
            <w:r w:rsidRPr="00032882">
              <w:rPr>
                <w:rFonts w:eastAsia="Calibri"/>
                <w:iCs/>
                <w:szCs w:val="20"/>
              </w:rPr>
              <w:t>Changed to reflect current split.</w:t>
            </w:r>
          </w:p>
        </w:tc>
      </w:tr>
      <w:tr w:rsidR="00EB76D9" w:rsidRPr="00032882" w14:paraId="69EA9720" w14:textId="4B74A846" w:rsidTr="00EB76D9">
        <w:trPr>
          <w:trHeight w:val="20"/>
        </w:trPr>
        <w:tc>
          <w:tcPr>
            <w:tcW w:w="755" w:type="dxa"/>
            <w:vMerge/>
            <w:vAlign w:val="center"/>
          </w:tcPr>
          <w:p w14:paraId="68CF118E" w14:textId="77777777" w:rsidR="00800961" w:rsidRPr="00032882" w:rsidRDefault="00800961" w:rsidP="00EB76D9">
            <w:pPr>
              <w:pStyle w:val="TableText0"/>
              <w:keepLines/>
              <w:rPr>
                <w:rFonts w:eastAsia="Calibri"/>
                <w:szCs w:val="20"/>
              </w:rPr>
            </w:pPr>
          </w:p>
        </w:tc>
        <w:tc>
          <w:tcPr>
            <w:tcW w:w="803" w:type="dxa"/>
            <w:shd w:val="clear" w:color="auto" w:fill="FFFFFF" w:themeFill="background1"/>
            <w:vAlign w:val="center"/>
          </w:tcPr>
          <w:p w14:paraId="6AE15EC2" w14:textId="77777777" w:rsidR="00800961" w:rsidRPr="00032882" w:rsidRDefault="00800961" w:rsidP="00EB76D9">
            <w:pPr>
              <w:pStyle w:val="TableText0"/>
              <w:keepLines/>
              <w:rPr>
                <w:rFonts w:eastAsia="Calibri"/>
                <w:szCs w:val="20"/>
              </w:rPr>
            </w:pPr>
            <w:r w:rsidRPr="00032882">
              <w:rPr>
                <w:rFonts w:eastAsia="Calibri"/>
                <w:szCs w:val="20"/>
              </w:rPr>
              <w:t>CHEMO</w:t>
            </w:r>
          </w:p>
        </w:tc>
        <w:tc>
          <w:tcPr>
            <w:tcW w:w="2126" w:type="dxa"/>
            <w:vMerge/>
            <w:vAlign w:val="center"/>
          </w:tcPr>
          <w:p w14:paraId="62FD2113" w14:textId="77777777" w:rsidR="00800961" w:rsidRPr="00032882" w:rsidRDefault="00800961" w:rsidP="00EB76D9">
            <w:pPr>
              <w:pStyle w:val="TableText0"/>
              <w:keepLines/>
              <w:rPr>
                <w:rFonts w:eastAsia="Calibri"/>
                <w:szCs w:val="20"/>
              </w:rPr>
            </w:pPr>
          </w:p>
        </w:tc>
        <w:tc>
          <w:tcPr>
            <w:tcW w:w="1984" w:type="dxa"/>
            <w:shd w:val="clear" w:color="auto" w:fill="FFFFFF" w:themeFill="background1"/>
            <w:vAlign w:val="center"/>
          </w:tcPr>
          <w:p w14:paraId="020C6EC1" w14:textId="77777777" w:rsidR="00EB76D9" w:rsidRPr="00032882" w:rsidRDefault="00800961" w:rsidP="00EB76D9">
            <w:pPr>
              <w:pStyle w:val="TableText0"/>
              <w:keepLines/>
              <w:jc w:val="center"/>
              <w:rPr>
                <w:rFonts w:eastAsia="Calibri"/>
                <w:szCs w:val="20"/>
              </w:rPr>
            </w:pPr>
            <w:r w:rsidRPr="00032882">
              <w:rPr>
                <w:rFonts w:eastAsia="Calibri"/>
                <w:szCs w:val="20"/>
              </w:rPr>
              <w:t xml:space="preserve">98.14% PBS; </w:t>
            </w:r>
          </w:p>
          <w:p w14:paraId="23EAC59F" w14:textId="5744B624" w:rsidR="00800961" w:rsidRPr="00032882" w:rsidRDefault="00800961" w:rsidP="00EB76D9">
            <w:pPr>
              <w:pStyle w:val="TableText0"/>
              <w:keepLines/>
              <w:jc w:val="center"/>
              <w:rPr>
                <w:rFonts w:eastAsia="Calibri"/>
                <w:szCs w:val="20"/>
              </w:rPr>
            </w:pPr>
            <w:r w:rsidRPr="00032882">
              <w:rPr>
                <w:rFonts w:eastAsia="Calibri"/>
                <w:szCs w:val="20"/>
              </w:rPr>
              <w:t>1.86% RPBS</w:t>
            </w:r>
          </w:p>
        </w:tc>
        <w:tc>
          <w:tcPr>
            <w:tcW w:w="1985" w:type="dxa"/>
            <w:shd w:val="clear" w:color="auto" w:fill="FFFFFF" w:themeFill="background1"/>
            <w:vAlign w:val="center"/>
          </w:tcPr>
          <w:p w14:paraId="378BAC8F" w14:textId="77777777" w:rsidR="00EB76D9" w:rsidRPr="00032882" w:rsidRDefault="00800961" w:rsidP="00EB76D9">
            <w:pPr>
              <w:pStyle w:val="TableText0"/>
              <w:keepLines/>
              <w:jc w:val="center"/>
              <w:rPr>
                <w:rFonts w:eastAsia="Calibri"/>
                <w:szCs w:val="20"/>
              </w:rPr>
            </w:pPr>
            <w:r w:rsidRPr="00032882">
              <w:rPr>
                <w:rFonts w:eastAsia="Calibri"/>
                <w:szCs w:val="20"/>
              </w:rPr>
              <w:t xml:space="preserve">98.53% PBS; </w:t>
            </w:r>
          </w:p>
          <w:p w14:paraId="00AC37F0" w14:textId="2F144444" w:rsidR="00800961" w:rsidRPr="00032882" w:rsidRDefault="00800961" w:rsidP="00EB76D9">
            <w:pPr>
              <w:pStyle w:val="TableText0"/>
              <w:keepLines/>
              <w:jc w:val="center"/>
              <w:rPr>
                <w:rFonts w:eastAsia="Calibri"/>
                <w:szCs w:val="20"/>
              </w:rPr>
            </w:pPr>
            <w:r w:rsidRPr="00032882">
              <w:rPr>
                <w:rFonts w:eastAsia="Calibri"/>
                <w:szCs w:val="20"/>
              </w:rPr>
              <w:t>1.47% RPBS</w:t>
            </w:r>
          </w:p>
        </w:tc>
        <w:tc>
          <w:tcPr>
            <w:tcW w:w="1417" w:type="dxa"/>
            <w:shd w:val="clear" w:color="auto" w:fill="FFFFFF" w:themeFill="background1"/>
            <w:vAlign w:val="center"/>
          </w:tcPr>
          <w:p w14:paraId="55686496" w14:textId="465D1CCA" w:rsidR="00800961" w:rsidRPr="00032882" w:rsidRDefault="00EB76D9" w:rsidP="00EB76D9">
            <w:pPr>
              <w:pStyle w:val="TableText0"/>
              <w:keepLines/>
              <w:jc w:val="center"/>
              <w:rPr>
                <w:rFonts w:eastAsia="Calibri"/>
                <w:i/>
                <w:szCs w:val="20"/>
              </w:rPr>
            </w:pPr>
            <w:r w:rsidRPr="00032882">
              <w:rPr>
                <w:rFonts w:eastAsia="Calibri"/>
                <w:iCs/>
                <w:szCs w:val="20"/>
              </w:rPr>
              <w:t>Changed to reflect current split.</w:t>
            </w:r>
          </w:p>
        </w:tc>
      </w:tr>
      <w:tr w:rsidR="00EB76D9" w:rsidRPr="00032882" w14:paraId="64106F56" w14:textId="20E7C28F" w:rsidTr="00EB76D9">
        <w:trPr>
          <w:trHeight w:val="20"/>
        </w:trPr>
        <w:tc>
          <w:tcPr>
            <w:tcW w:w="755" w:type="dxa"/>
            <w:vMerge w:val="restart"/>
            <w:shd w:val="clear" w:color="auto" w:fill="FFFFFF" w:themeFill="background1"/>
            <w:vAlign w:val="center"/>
          </w:tcPr>
          <w:p w14:paraId="67B49585" w14:textId="785F6B56" w:rsidR="00800961" w:rsidRPr="00032882" w:rsidRDefault="00800961" w:rsidP="00EB76D9">
            <w:pPr>
              <w:pStyle w:val="TableText0"/>
              <w:keepLines/>
              <w:rPr>
                <w:rFonts w:eastAsia="Calibri"/>
                <w:szCs w:val="20"/>
              </w:rPr>
            </w:pPr>
            <w:bookmarkStart w:id="6" w:name="_Hlk160083802"/>
            <w:r w:rsidRPr="00032882">
              <w:rPr>
                <w:rFonts w:eastAsia="Calibri"/>
                <w:szCs w:val="20"/>
              </w:rPr>
              <w:t>Public/ Private split</w:t>
            </w:r>
          </w:p>
        </w:tc>
        <w:tc>
          <w:tcPr>
            <w:tcW w:w="803" w:type="dxa"/>
            <w:shd w:val="clear" w:color="auto" w:fill="FFFFFF" w:themeFill="background1"/>
            <w:vAlign w:val="center"/>
          </w:tcPr>
          <w:p w14:paraId="15D8EE07" w14:textId="77777777" w:rsidR="00800961" w:rsidRPr="00032882" w:rsidRDefault="00800961" w:rsidP="00EB76D9">
            <w:pPr>
              <w:pStyle w:val="TableText0"/>
              <w:keepLines/>
              <w:rPr>
                <w:rFonts w:eastAsia="Calibri"/>
                <w:szCs w:val="20"/>
              </w:rPr>
            </w:pPr>
            <w:r w:rsidRPr="00032882">
              <w:rPr>
                <w:rFonts w:eastAsia="Calibri"/>
                <w:szCs w:val="20"/>
              </w:rPr>
              <w:t>NIVO + IPI</w:t>
            </w:r>
          </w:p>
        </w:tc>
        <w:tc>
          <w:tcPr>
            <w:tcW w:w="2126" w:type="dxa"/>
            <w:vMerge/>
            <w:vAlign w:val="center"/>
          </w:tcPr>
          <w:p w14:paraId="3E304CCC" w14:textId="77777777" w:rsidR="00800961" w:rsidRPr="00032882" w:rsidRDefault="00800961" w:rsidP="00EB76D9">
            <w:pPr>
              <w:pStyle w:val="TableText0"/>
              <w:keepLines/>
              <w:rPr>
                <w:rFonts w:eastAsia="Calibri"/>
                <w:szCs w:val="20"/>
              </w:rPr>
            </w:pPr>
          </w:p>
        </w:tc>
        <w:tc>
          <w:tcPr>
            <w:tcW w:w="1984" w:type="dxa"/>
            <w:shd w:val="clear" w:color="auto" w:fill="FFFFFF" w:themeFill="background1"/>
            <w:vAlign w:val="center"/>
          </w:tcPr>
          <w:p w14:paraId="01EE725F" w14:textId="77777777" w:rsidR="00EB76D9" w:rsidRPr="00032882" w:rsidRDefault="00800961" w:rsidP="00EB76D9">
            <w:pPr>
              <w:pStyle w:val="TableText0"/>
              <w:keepLines/>
              <w:jc w:val="center"/>
              <w:rPr>
                <w:rFonts w:eastAsia="Calibri"/>
                <w:szCs w:val="20"/>
              </w:rPr>
            </w:pPr>
            <w:r w:rsidRPr="00032882">
              <w:rPr>
                <w:rFonts w:eastAsia="Calibri"/>
                <w:szCs w:val="20"/>
              </w:rPr>
              <w:t xml:space="preserve">34.35% public; </w:t>
            </w:r>
          </w:p>
          <w:p w14:paraId="5DFF082C" w14:textId="32019644" w:rsidR="00800961" w:rsidRPr="00032882" w:rsidRDefault="00800961" w:rsidP="00EB76D9">
            <w:pPr>
              <w:pStyle w:val="TableText0"/>
              <w:keepLines/>
              <w:jc w:val="center"/>
              <w:rPr>
                <w:rFonts w:eastAsia="Calibri"/>
                <w:szCs w:val="20"/>
              </w:rPr>
            </w:pPr>
            <w:r w:rsidRPr="00032882">
              <w:rPr>
                <w:rFonts w:eastAsia="Calibri"/>
                <w:szCs w:val="20"/>
              </w:rPr>
              <w:t>65.65% private</w:t>
            </w:r>
          </w:p>
        </w:tc>
        <w:tc>
          <w:tcPr>
            <w:tcW w:w="1985" w:type="dxa"/>
            <w:shd w:val="clear" w:color="auto" w:fill="FFFFFF" w:themeFill="background1"/>
            <w:vAlign w:val="center"/>
          </w:tcPr>
          <w:p w14:paraId="1CEB8141" w14:textId="77777777" w:rsidR="00EB76D9" w:rsidRPr="00032882" w:rsidRDefault="00800961" w:rsidP="00EB76D9">
            <w:pPr>
              <w:pStyle w:val="TableText0"/>
              <w:keepLines/>
              <w:jc w:val="center"/>
              <w:rPr>
                <w:rFonts w:eastAsia="Calibri"/>
                <w:szCs w:val="20"/>
              </w:rPr>
            </w:pPr>
            <w:r w:rsidRPr="00032882">
              <w:rPr>
                <w:rFonts w:eastAsia="Calibri"/>
                <w:szCs w:val="20"/>
              </w:rPr>
              <w:t xml:space="preserve">25.85% public; </w:t>
            </w:r>
          </w:p>
          <w:p w14:paraId="1BE96690" w14:textId="0467CB36" w:rsidR="00800961" w:rsidRPr="00032882" w:rsidRDefault="00800961" w:rsidP="00EB76D9">
            <w:pPr>
              <w:pStyle w:val="TableText0"/>
              <w:keepLines/>
              <w:jc w:val="center"/>
              <w:rPr>
                <w:rFonts w:eastAsia="Calibri"/>
                <w:szCs w:val="20"/>
              </w:rPr>
            </w:pPr>
            <w:r w:rsidRPr="00032882">
              <w:rPr>
                <w:rFonts w:eastAsia="Calibri"/>
                <w:szCs w:val="20"/>
              </w:rPr>
              <w:t>74.45% private</w:t>
            </w:r>
          </w:p>
        </w:tc>
        <w:tc>
          <w:tcPr>
            <w:tcW w:w="1417" w:type="dxa"/>
            <w:shd w:val="clear" w:color="auto" w:fill="FFFFFF" w:themeFill="background1"/>
            <w:vAlign w:val="center"/>
          </w:tcPr>
          <w:p w14:paraId="761FA949" w14:textId="7D265A6E" w:rsidR="00800961" w:rsidRPr="00032882" w:rsidRDefault="00EB76D9" w:rsidP="00EB76D9">
            <w:pPr>
              <w:pStyle w:val="TableText0"/>
              <w:keepLines/>
              <w:jc w:val="center"/>
              <w:rPr>
                <w:rFonts w:eastAsia="Calibri"/>
                <w:i/>
                <w:szCs w:val="20"/>
              </w:rPr>
            </w:pPr>
            <w:r w:rsidRPr="00032882">
              <w:rPr>
                <w:rFonts w:eastAsia="Calibri"/>
                <w:iCs/>
                <w:szCs w:val="20"/>
              </w:rPr>
              <w:t>Changed to reflect current split.</w:t>
            </w:r>
          </w:p>
        </w:tc>
      </w:tr>
      <w:bookmarkEnd w:id="6"/>
      <w:tr w:rsidR="00EB76D9" w:rsidRPr="00032882" w14:paraId="33B57DA5" w14:textId="37AE3E58" w:rsidTr="00EB76D9">
        <w:trPr>
          <w:trHeight w:val="20"/>
        </w:trPr>
        <w:tc>
          <w:tcPr>
            <w:tcW w:w="755" w:type="dxa"/>
            <w:vMerge/>
            <w:vAlign w:val="center"/>
          </w:tcPr>
          <w:p w14:paraId="658C2BF4" w14:textId="77777777" w:rsidR="00800961" w:rsidRPr="00032882" w:rsidRDefault="00800961" w:rsidP="00EB76D9">
            <w:pPr>
              <w:pStyle w:val="TableText0"/>
              <w:keepLines/>
              <w:rPr>
                <w:rFonts w:eastAsia="Calibri"/>
                <w:szCs w:val="20"/>
              </w:rPr>
            </w:pPr>
          </w:p>
        </w:tc>
        <w:tc>
          <w:tcPr>
            <w:tcW w:w="803" w:type="dxa"/>
            <w:shd w:val="clear" w:color="auto" w:fill="FFFFFF" w:themeFill="background1"/>
            <w:vAlign w:val="center"/>
          </w:tcPr>
          <w:p w14:paraId="4D7F1731" w14:textId="77777777" w:rsidR="00800961" w:rsidRPr="00032882" w:rsidRDefault="00800961" w:rsidP="00EB76D9">
            <w:pPr>
              <w:pStyle w:val="TableText0"/>
              <w:keepLines/>
              <w:rPr>
                <w:rFonts w:eastAsia="Calibri"/>
                <w:szCs w:val="20"/>
              </w:rPr>
            </w:pPr>
            <w:r w:rsidRPr="00032882">
              <w:rPr>
                <w:rFonts w:eastAsia="Calibri"/>
                <w:szCs w:val="20"/>
              </w:rPr>
              <w:t>CHEMO</w:t>
            </w:r>
          </w:p>
        </w:tc>
        <w:tc>
          <w:tcPr>
            <w:tcW w:w="2126" w:type="dxa"/>
            <w:vMerge/>
            <w:vAlign w:val="center"/>
          </w:tcPr>
          <w:p w14:paraId="1FA98DB1" w14:textId="77777777" w:rsidR="00800961" w:rsidRPr="00032882" w:rsidRDefault="00800961" w:rsidP="00EB76D9">
            <w:pPr>
              <w:pStyle w:val="TableText0"/>
              <w:keepLines/>
              <w:rPr>
                <w:rFonts w:eastAsia="Calibri"/>
                <w:szCs w:val="20"/>
              </w:rPr>
            </w:pPr>
          </w:p>
        </w:tc>
        <w:tc>
          <w:tcPr>
            <w:tcW w:w="1984" w:type="dxa"/>
            <w:shd w:val="clear" w:color="auto" w:fill="FFFFFF" w:themeFill="background1"/>
            <w:vAlign w:val="center"/>
          </w:tcPr>
          <w:p w14:paraId="0DA969AD" w14:textId="77777777" w:rsidR="00EB76D9" w:rsidRPr="00032882" w:rsidRDefault="00800961" w:rsidP="00EB76D9">
            <w:pPr>
              <w:pStyle w:val="TableText0"/>
              <w:keepLines/>
              <w:jc w:val="center"/>
              <w:rPr>
                <w:rFonts w:eastAsia="Calibri"/>
                <w:szCs w:val="20"/>
              </w:rPr>
            </w:pPr>
            <w:r w:rsidRPr="00032882">
              <w:rPr>
                <w:rFonts w:eastAsia="Calibri"/>
                <w:szCs w:val="20"/>
              </w:rPr>
              <w:t>39.04% public;</w:t>
            </w:r>
          </w:p>
          <w:p w14:paraId="46AD7F70" w14:textId="33A64B74" w:rsidR="00800961" w:rsidRPr="00032882" w:rsidRDefault="00800961" w:rsidP="00EB76D9">
            <w:pPr>
              <w:pStyle w:val="TableText0"/>
              <w:keepLines/>
              <w:jc w:val="center"/>
              <w:rPr>
                <w:rFonts w:eastAsia="Calibri"/>
                <w:szCs w:val="20"/>
              </w:rPr>
            </w:pPr>
            <w:r w:rsidRPr="00032882">
              <w:rPr>
                <w:rFonts w:eastAsia="Calibri"/>
                <w:szCs w:val="20"/>
              </w:rPr>
              <w:t xml:space="preserve"> 60.96% private</w:t>
            </w:r>
          </w:p>
        </w:tc>
        <w:tc>
          <w:tcPr>
            <w:tcW w:w="1985" w:type="dxa"/>
            <w:shd w:val="clear" w:color="auto" w:fill="FFFFFF" w:themeFill="background1"/>
            <w:vAlign w:val="center"/>
          </w:tcPr>
          <w:p w14:paraId="1B2AE29F" w14:textId="77777777" w:rsidR="00EB76D9" w:rsidRPr="00032882" w:rsidRDefault="00800961" w:rsidP="00EB76D9">
            <w:pPr>
              <w:pStyle w:val="TableText0"/>
              <w:keepLines/>
              <w:jc w:val="center"/>
              <w:rPr>
                <w:rFonts w:eastAsia="Calibri"/>
                <w:szCs w:val="20"/>
              </w:rPr>
            </w:pPr>
            <w:r w:rsidRPr="00032882">
              <w:rPr>
                <w:rFonts w:eastAsia="Calibri"/>
                <w:szCs w:val="20"/>
              </w:rPr>
              <w:t xml:space="preserve">40.82% public; </w:t>
            </w:r>
          </w:p>
          <w:p w14:paraId="08FED81D" w14:textId="11CA5BA7" w:rsidR="00800961" w:rsidRPr="00032882" w:rsidRDefault="00800961" w:rsidP="00EB76D9">
            <w:pPr>
              <w:pStyle w:val="TableText0"/>
              <w:keepLines/>
              <w:jc w:val="center"/>
              <w:rPr>
                <w:rFonts w:eastAsia="Calibri"/>
                <w:szCs w:val="20"/>
              </w:rPr>
            </w:pPr>
            <w:r w:rsidRPr="00032882">
              <w:rPr>
                <w:rFonts w:eastAsia="Calibri"/>
                <w:szCs w:val="20"/>
              </w:rPr>
              <w:t>59.18% private</w:t>
            </w:r>
          </w:p>
        </w:tc>
        <w:tc>
          <w:tcPr>
            <w:tcW w:w="1417" w:type="dxa"/>
            <w:shd w:val="clear" w:color="auto" w:fill="FFFFFF" w:themeFill="background1"/>
            <w:vAlign w:val="center"/>
          </w:tcPr>
          <w:p w14:paraId="329A944E" w14:textId="43682120" w:rsidR="00800961" w:rsidRPr="00032882" w:rsidRDefault="00EB76D9" w:rsidP="00EB76D9">
            <w:pPr>
              <w:pStyle w:val="TableText0"/>
              <w:keepLines/>
              <w:jc w:val="center"/>
              <w:rPr>
                <w:rFonts w:eastAsia="Calibri"/>
                <w:i/>
                <w:szCs w:val="20"/>
              </w:rPr>
            </w:pPr>
            <w:r w:rsidRPr="00032882">
              <w:rPr>
                <w:rFonts w:eastAsia="Calibri"/>
                <w:iCs/>
                <w:szCs w:val="20"/>
              </w:rPr>
              <w:t>Changed to reflect current split.</w:t>
            </w:r>
          </w:p>
        </w:tc>
      </w:tr>
      <w:tr w:rsidR="00EB76D9" w:rsidRPr="00032882" w14:paraId="574F5207" w14:textId="6F38421C" w:rsidTr="00EB76D9">
        <w:trPr>
          <w:trHeight w:val="20"/>
        </w:trPr>
        <w:tc>
          <w:tcPr>
            <w:tcW w:w="755" w:type="dxa"/>
            <w:vMerge w:val="restart"/>
            <w:vAlign w:val="center"/>
          </w:tcPr>
          <w:p w14:paraId="54A1E3C1" w14:textId="77777777" w:rsidR="00800961" w:rsidRPr="00032882" w:rsidRDefault="00800961" w:rsidP="00EB76D9">
            <w:pPr>
              <w:pStyle w:val="TableText0"/>
              <w:keepLines/>
              <w:rPr>
                <w:rFonts w:eastAsia="Calibri"/>
                <w:szCs w:val="20"/>
              </w:rPr>
            </w:pPr>
            <w:r w:rsidRPr="00032882">
              <w:rPr>
                <w:rFonts w:eastAsia="Calibri"/>
                <w:szCs w:val="20"/>
              </w:rPr>
              <w:t>NIVO+IPI Price</w:t>
            </w:r>
          </w:p>
        </w:tc>
        <w:tc>
          <w:tcPr>
            <w:tcW w:w="803" w:type="dxa"/>
            <w:shd w:val="clear" w:color="auto" w:fill="FFFFFF" w:themeFill="background1"/>
            <w:vAlign w:val="center"/>
          </w:tcPr>
          <w:p w14:paraId="61AB4185" w14:textId="77777777" w:rsidR="00800961" w:rsidRPr="00032882" w:rsidRDefault="00800961" w:rsidP="00EB76D9">
            <w:pPr>
              <w:pStyle w:val="TableText0"/>
              <w:keepLines/>
              <w:rPr>
                <w:rFonts w:eastAsia="Calibri"/>
                <w:szCs w:val="20"/>
              </w:rPr>
            </w:pPr>
            <w:r w:rsidRPr="00032882">
              <w:rPr>
                <w:rFonts w:eastAsia="Calibri"/>
                <w:szCs w:val="20"/>
              </w:rPr>
              <w:t>NIVO</w:t>
            </w:r>
          </w:p>
        </w:tc>
        <w:tc>
          <w:tcPr>
            <w:tcW w:w="2126" w:type="dxa"/>
            <w:vAlign w:val="center"/>
          </w:tcPr>
          <w:p w14:paraId="01FD866D" w14:textId="77777777" w:rsidR="00800961" w:rsidRPr="00032882" w:rsidRDefault="00800961" w:rsidP="00EB76D9">
            <w:pPr>
              <w:pStyle w:val="TableText0"/>
              <w:keepLines/>
              <w:rPr>
                <w:rFonts w:eastAsia="Calibri"/>
                <w:szCs w:val="20"/>
              </w:rPr>
            </w:pPr>
            <w:r w:rsidRPr="00032882">
              <w:rPr>
                <w:rFonts w:eastAsia="Calibri"/>
                <w:szCs w:val="20"/>
              </w:rPr>
              <w:t>In April 2022, NIVO incurred a 5% 5 Year Statutory Price Reduction</w:t>
            </w:r>
          </w:p>
        </w:tc>
        <w:tc>
          <w:tcPr>
            <w:tcW w:w="1984" w:type="dxa"/>
            <w:shd w:val="clear" w:color="auto" w:fill="FFFFFF" w:themeFill="background1"/>
            <w:vAlign w:val="center"/>
          </w:tcPr>
          <w:p w14:paraId="761AC7C8" w14:textId="65CAEACD" w:rsidR="00800961" w:rsidRPr="00032882" w:rsidRDefault="00800961" w:rsidP="00EB76D9">
            <w:pPr>
              <w:pStyle w:val="TableText0"/>
              <w:keepLines/>
              <w:jc w:val="center"/>
              <w:rPr>
                <w:rFonts w:eastAsia="Calibri"/>
                <w:szCs w:val="20"/>
                <w:u w:val="single"/>
              </w:rPr>
            </w:pPr>
            <w:r w:rsidRPr="00032882">
              <w:rPr>
                <w:rFonts w:eastAsia="Calibri"/>
                <w:szCs w:val="20"/>
                <w:u w:val="single"/>
              </w:rPr>
              <w:t>Published/Effective AEMP</w:t>
            </w:r>
          </w:p>
          <w:p w14:paraId="7C6F28BC" w14:textId="0D4E55FF" w:rsidR="00800961" w:rsidRPr="00032882" w:rsidRDefault="00800961" w:rsidP="00EB76D9">
            <w:pPr>
              <w:pStyle w:val="TableText0"/>
              <w:keepLines/>
              <w:jc w:val="center"/>
              <w:rPr>
                <w:rFonts w:eastAsia="Calibri"/>
                <w:szCs w:val="20"/>
              </w:rPr>
            </w:pPr>
            <w:r w:rsidRPr="00032882">
              <w:rPr>
                <w:rFonts w:eastAsia="Calibri"/>
                <w:szCs w:val="20"/>
              </w:rPr>
              <w:t>NIVO 40 mg: $830.70/$</w:t>
            </w:r>
            <w:r w:rsidR="00CA4FD9" w:rsidRPr="00CA4FD9">
              <w:rPr>
                <w:rFonts w:eastAsia="Calibri"/>
                <w:color w:val="000000"/>
                <w:szCs w:val="20"/>
                <w:shd w:val="solid" w:color="000000" w:fill="000000"/>
                <w14:textFill>
                  <w14:solidFill>
                    <w14:srgbClr w14:val="000000">
                      <w14:alpha w14:val="100000"/>
                    </w14:srgbClr>
                  </w14:solidFill>
                </w14:textFill>
              </w:rPr>
              <w:t>|</w:t>
            </w:r>
          </w:p>
          <w:p w14:paraId="4F7AA669" w14:textId="17F30407" w:rsidR="00800961" w:rsidRPr="00032882" w:rsidRDefault="00800961" w:rsidP="00EB76D9">
            <w:pPr>
              <w:pStyle w:val="TableText0"/>
              <w:keepLines/>
              <w:jc w:val="center"/>
              <w:rPr>
                <w:rFonts w:eastAsia="Calibri"/>
                <w:szCs w:val="20"/>
              </w:rPr>
            </w:pPr>
            <w:r w:rsidRPr="00032882">
              <w:rPr>
                <w:rFonts w:eastAsia="Calibri"/>
                <w:szCs w:val="20"/>
              </w:rPr>
              <w:t>NIVO 100 mg: $2,076.75/$</w:t>
            </w:r>
            <w:r w:rsidR="00CA4FD9" w:rsidRPr="00AE0CA7">
              <w:rPr>
                <w:rFonts w:eastAsia="Calibri" w:hint="eastAsia"/>
                <w:color w:val="000000"/>
                <w:w w:val="15"/>
                <w:szCs w:val="20"/>
                <w:shd w:val="solid" w:color="000000" w:fill="000000"/>
                <w:fitText w:val="15" w:id="-893751798"/>
                <w14:textFill>
                  <w14:solidFill>
                    <w14:srgbClr w14:val="000000">
                      <w14:alpha w14:val="100000"/>
                    </w14:srgbClr>
                  </w14:solidFill>
                </w14:textFill>
              </w:rPr>
              <w:t xml:space="preserve">　</w:t>
            </w:r>
            <w:r w:rsidR="00CA4FD9" w:rsidRPr="00AE0CA7">
              <w:rPr>
                <w:rFonts w:eastAsia="Calibri"/>
                <w:color w:val="000000"/>
                <w:w w:val="15"/>
                <w:szCs w:val="20"/>
                <w:shd w:val="solid" w:color="000000" w:fill="000000"/>
                <w:fitText w:val="15" w:id="-893751798"/>
                <w14:textFill>
                  <w14:solidFill>
                    <w14:srgbClr w14:val="000000">
                      <w14:alpha w14:val="100000"/>
                    </w14:srgbClr>
                  </w14:solidFill>
                </w14:textFill>
              </w:rPr>
              <w:t>|</w:t>
            </w:r>
            <w:r w:rsidR="00CA4FD9" w:rsidRPr="00AE0CA7">
              <w:rPr>
                <w:rFonts w:eastAsia="Calibri" w:hint="eastAsia"/>
                <w:color w:val="000000"/>
                <w:spacing w:val="-50"/>
                <w:w w:val="15"/>
                <w:szCs w:val="20"/>
                <w:shd w:val="solid" w:color="000000" w:fill="000000"/>
                <w:fitText w:val="15" w:id="-893751798"/>
                <w14:textFill>
                  <w14:solidFill>
                    <w14:srgbClr w14:val="000000">
                      <w14:alpha w14:val="100000"/>
                    </w14:srgbClr>
                  </w14:solidFill>
                </w14:textFill>
              </w:rPr>
              <w:t xml:space="preserve">　</w:t>
            </w:r>
          </w:p>
        </w:tc>
        <w:tc>
          <w:tcPr>
            <w:tcW w:w="1985" w:type="dxa"/>
            <w:shd w:val="clear" w:color="auto" w:fill="FFFFFF" w:themeFill="background1"/>
            <w:vAlign w:val="center"/>
          </w:tcPr>
          <w:p w14:paraId="2F4EFC90" w14:textId="6827234E" w:rsidR="00800961" w:rsidRPr="00032882" w:rsidRDefault="00800961" w:rsidP="00EB76D9">
            <w:pPr>
              <w:pStyle w:val="TableText0"/>
              <w:keepLines/>
              <w:jc w:val="center"/>
              <w:rPr>
                <w:rFonts w:eastAsia="Calibri"/>
                <w:szCs w:val="20"/>
                <w:u w:val="single"/>
              </w:rPr>
            </w:pPr>
            <w:r w:rsidRPr="00032882">
              <w:rPr>
                <w:rFonts w:eastAsia="Calibri"/>
                <w:szCs w:val="20"/>
                <w:u w:val="single"/>
              </w:rPr>
              <w:t>Published/Effective AEMP</w:t>
            </w:r>
          </w:p>
          <w:p w14:paraId="043BE1CE" w14:textId="56691201" w:rsidR="00800961" w:rsidRPr="00032882" w:rsidRDefault="00800961" w:rsidP="00EB76D9">
            <w:pPr>
              <w:pStyle w:val="TableText0"/>
              <w:keepLines/>
              <w:jc w:val="center"/>
              <w:rPr>
                <w:rFonts w:eastAsia="Calibri"/>
                <w:szCs w:val="20"/>
              </w:rPr>
            </w:pPr>
            <w:r w:rsidRPr="00032882">
              <w:rPr>
                <w:rFonts w:eastAsia="Calibri"/>
                <w:szCs w:val="20"/>
              </w:rPr>
              <w:t>NIVO 40 mg: $789.17/$</w:t>
            </w:r>
            <w:r w:rsidR="00CA4FD9" w:rsidRPr="00CA4FD9">
              <w:rPr>
                <w:rFonts w:eastAsia="Calibri"/>
                <w:color w:val="000000"/>
                <w:szCs w:val="20"/>
                <w:shd w:val="solid" w:color="000000" w:fill="000000"/>
                <w14:textFill>
                  <w14:solidFill>
                    <w14:srgbClr w14:val="000000">
                      <w14:alpha w14:val="100000"/>
                    </w14:srgbClr>
                  </w14:solidFill>
                </w14:textFill>
              </w:rPr>
              <w:t>|</w:t>
            </w:r>
          </w:p>
          <w:p w14:paraId="085245E0" w14:textId="0C4AE1AB" w:rsidR="00800961" w:rsidRPr="00032882" w:rsidRDefault="00800961" w:rsidP="00EB76D9">
            <w:pPr>
              <w:pStyle w:val="TableText0"/>
              <w:keepLines/>
              <w:jc w:val="center"/>
              <w:rPr>
                <w:rFonts w:eastAsia="Calibri"/>
                <w:szCs w:val="20"/>
              </w:rPr>
            </w:pPr>
            <w:r w:rsidRPr="00032882">
              <w:rPr>
                <w:rFonts w:eastAsia="Calibri"/>
                <w:szCs w:val="20"/>
              </w:rPr>
              <w:t>NIVO 100 mg:</w:t>
            </w:r>
            <w:r w:rsidR="00EB76D9" w:rsidRPr="00032882">
              <w:rPr>
                <w:rFonts w:eastAsia="Calibri"/>
                <w:szCs w:val="20"/>
              </w:rPr>
              <w:t xml:space="preserve"> </w:t>
            </w:r>
            <w:r w:rsidRPr="00032882">
              <w:rPr>
                <w:rFonts w:eastAsia="Calibri"/>
                <w:szCs w:val="20"/>
              </w:rPr>
              <w:t>$1,972.91/$</w:t>
            </w:r>
            <w:r w:rsidR="00CA4FD9" w:rsidRPr="00AE0CA7">
              <w:rPr>
                <w:rFonts w:eastAsia="Calibri" w:hint="eastAsia"/>
                <w:color w:val="000000"/>
                <w:w w:val="15"/>
                <w:szCs w:val="20"/>
                <w:shd w:val="solid" w:color="000000" w:fill="000000"/>
                <w:fitText w:val="15" w:id="-893751797"/>
                <w14:textFill>
                  <w14:solidFill>
                    <w14:srgbClr w14:val="000000">
                      <w14:alpha w14:val="100000"/>
                    </w14:srgbClr>
                  </w14:solidFill>
                </w14:textFill>
              </w:rPr>
              <w:t xml:space="preserve">　</w:t>
            </w:r>
            <w:r w:rsidR="00CA4FD9" w:rsidRPr="00AE0CA7">
              <w:rPr>
                <w:rFonts w:eastAsia="Calibri"/>
                <w:color w:val="000000"/>
                <w:w w:val="15"/>
                <w:szCs w:val="20"/>
                <w:shd w:val="solid" w:color="000000" w:fill="000000"/>
                <w:fitText w:val="15" w:id="-893751797"/>
                <w14:textFill>
                  <w14:solidFill>
                    <w14:srgbClr w14:val="000000">
                      <w14:alpha w14:val="100000"/>
                    </w14:srgbClr>
                  </w14:solidFill>
                </w14:textFill>
              </w:rPr>
              <w:t>|</w:t>
            </w:r>
            <w:r w:rsidR="00CA4FD9" w:rsidRPr="00AE0CA7">
              <w:rPr>
                <w:rFonts w:eastAsia="Calibri" w:hint="eastAsia"/>
                <w:color w:val="000000"/>
                <w:spacing w:val="-50"/>
                <w:w w:val="15"/>
                <w:szCs w:val="20"/>
                <w:shd w:val="solid" w:color="000000" w:fill="000000"/>
                <w:fitText w:val="15" w:id="-893751797"/>
                <w14:textFill>
                  <w14:solidFill>
                    <w14:srgbClr w14:val="000000">
                      <w14:alpha w14:val="100000"/>
                    </w14:srgbClr>
                  </w14:solidFill>
                </w14:textFill>
              </w:rPr>
              <w:t xml:space="preserve">　</w:t>
            </w:r>
          </w:p>
        </w:tc>
        <w:tc>
          <w:tcPr>
            <w:tcW w:w="1417" w:type="dxa"/>
            <w:shd w:val="clear" w:color="auto" w:fill="FFFFFF" w:themeFill="background1"/>
            <w:vAlign w:val="center"/>
          </w:tcPr>
          <w:p w14:paraId="5C4D1AD7" w14:textId="6E1AE494" w:rsidR="00800961" w:rsidRPr="00032882" w:rsidRDefault="00EB76D9" w:rsidP="00EB76D9">
            <w:pPr>
              <w:pStyle w:val="TableText0"/>
              <w:keepLines/>
              <w:jc w:val="center"/>
              <w:rPr>
                <w:rFonts w:eastAsia="Calibri"/>
                <w:iCs/>
                <w:szCs w:val="20"/>
              </w:rPr>
            </w:pPr>
            <w:r w:rsidRPr="00032882">
              <w:rPr>
                <w:rFonts w:eastAsia="Calibri"/>
                <w:iCs/>
                <w:szCs w:val="20"/>
              </w:rPr>
              <w:t>Changed to reflect current prices.</w:t>
            </w:r>
          </w:p>
        </w:tc>
      </w:tr>
      <w:tr w:rsidR="00EB76D9" w:rsidRPr="00032882" w14:paraId="757342A8" w14:textId="150B8EE3" w:rsidTr="00EB76D9">
        <w:trPr>
          <w:trHeight w:val="20"/>
        </w:trPr>
        <w:tc>
          <w:tcPr>
            <w:tcW w:w="755" w:type="dxa"/>
            <w:vMerge/>
            <w:vAlign w:val="center"/>
          </w:tcPr>
          <w:p w14:paraId="190AC477" w14:textId="77777777" w:rsidR="00800961" w:rsidRPr="00032882" w:rsidRDefault="00800961" w:rsidP="00EB76D9">
            <w:pPr>
              <w:pStyle w:val="TableText0"/>
              <w:keepLines/>
              <w:rPr>
                <w:rFonts w:eastAsia="Calibri"/>
                <w:szCs w:val="20"/>
              </w:rPr>
            </w:pPr>
          </w:p>
        </w:tc>
        <w:tc>
          <w:tcPr>
            <w:tcW w:w="803" w:type="dxa"/>
            <w:shd w:val="clear" w:color="auto" w:fill="FFFFFF" w:themeFill="background1"/>
            <w:vAlign w:val="center"/>
          </w:tcPr>
          <w:p w14:paraId="4D1FCE9D" w14:textId="77777777" w:rsidR="00800961" w:rsidRPr="00032882" w:rsidRDefault="00800961" w:rsidP="00EB76D9">
            <w:pPr>
              <w:pStyle w:val="TableText0"/>
              <w:keepLines/>
              <w:rPr>
                <w:rFonts w:eastAsia="Calibri"/>
                <w:szCs w:val="20"/>
              </w:rPr>
            </w:pPr>
            <w:r w:rsidRPr="00032882">
              <w:rPr>
                <w:rFonts w:eastAsia="Calibri"/>
                <w:szCs w:val="20"/>
              </w:rPr>
              <w:t>IPI</w:t>
            </w:r>
          </w:p>
        </w:tc>
        <w:tc>
          <w:tcPr>
            <w:tcW w:w="2126" w:type="dxa"/>
            <w:vAlign w:val="center"/>
          </w:tcPr>
          <w:p w14:paraId="58463E84" w14:textId="77777777" w:rsidR="00800961" w:rsidRPr="00032882" w:rsidRDefault="00800961" w:rsidP="00EB76D9">
            <w:pPr>
              <w:pStyle w:val="TableText0"/>
              <w:keepLines/>
              <w:rPr>
                <w:rFonts w:eastAsia="Calibri"/>
                <w:szCs w:val="20"/>
              </w:rPr>
            </w:pPr>
            <w:r w:rsidRPr="00032882">
              <w:rPr>
                <w:rFonts w:eastAsia="Calibri"/>
                <w:szCs w:val="20"/>
              </w:rPr>
              <w:t>In April 2024, IPI will incur a 5% 10 Year Statutory Price Reduction</w:t>
            </w:r>
          </w:p>
        </w:tc>
        <w:tc>
          <w:tcPr>
            <w:tcW w:w="1984" w:type="dxa"/>
            <w:shd w:val="clear" w:color="auto" w:fill="FFFFFF" w:themeFill="background1"/>
            <w:vAlign w:val="center"/>
          </w:tcPr>
          <w:p w14:paraId="43EB27C3" w14:textId="419641BA" w:rsidR="00800961" w:rsidRPr="00032882" w:rsidRDefault="00800961" w:rsidP="00EB76D9">
            <w:pPr>
              <w:pStyle w:val="TableText0"/>
              <w:keepLines/>
              <w:jc w:val="center"/>
              <w:rPr>
                <w:rFonts w:eastAsia="Calibri"/>
                <w:szCs w:val="20"/>
                <w:u w:val="single"/>
              </w:rPr>
            </w:pPr>
            <w:r w:rsidRPr="00032882">
              <w:rPr>
                <w:rFonts w:eastAsia="Calibri"/>
                <w:szCs w:val="20"/>
                <w:u w:val="single"/>
              </w:rPr>
              <w:t>Published/Effective AEMP</w:t>
            </w:r>
          </w:p>
          <w:p w14:paraId="19D933DC" w14:textId="1F318058" w:rsidR="00800961" w:rsidRPr="00032882" w:rsidRDefault="00800961" w:rsidP="00EB76D9">
            <w:pPr>
              <w:pStyle w:val="TableText0"/>
              <w:keepLines/>
              <w:jc w:val="center"/>
              <w:rPr>
                <w:rFonts w:eastAsia="Calibri"/>
                <w:szCs w:val="20"/>
              </w:rPr>
            </w:pPr>
            <w:r w:rsidRPr="00032882">
              <w:rPr>
                <w:rFonts w:eastAsia="Calibri"/>
                <w:szCs w:val="20"/>
              </w:rPr>
              <w:t>IPI 50 mg: $5,625.92/$</w:t>
            </w:r>
            <w:r w:rsidR="00CA4FD9" w:rsidRPr="00AE0CA7">
              <w:rPr>
                <w:rFonts w:eastAsia="Calibri" w:hint="eastAsia"/>
                <w:color w:val="000000"/>
                <w:w w:val="15"/>
                <w:szCs w:val="20"/>
                <w:shd w:val="solid" w:color="000000" w:fill="000000"/>
                <w:fitText w:val="15" w:id="-893751796"/>
                <w14:textFill>
                  <w14:solidFill>
                    <w14:srgbClr w14:val="000000">
                      <w14:alpha w14:val="100000"/>
                    </w14:srgbClr>
                  </w14:solidFill>
                </w14:textFill>
              </w:rPr>
              <w:t xml:space="preserve">　</w:t>
            </w:r>
            <w:r w:rsidR="00CA4FD9" w:rsidRPr="00AE0CA7">
              <w:rPr>
                <w:rFonts w:eastAsia="Calibri"/>
                <w:color w:val="000000"/>
                <w:w w:val="15"/>
                <w:szCs w:val="20"/>
                <w:shd w:val="solid" w:color="000000" w:fill="000000"/>
                <w:fitText w:val="15" w:id="-893751796"/>
                <w14:textFill>
                  <w14:solidFill>
                    <w14:srgbClr w14:val="000000">
                      <w14:alpha w14:val="100000"/>
                    </w14:srgbClr>
                  </w14:solidFill>
                </w14:textFill>
              </w:rPr>
              <w:t>|</w:t>
            </w:r>
            <w:r w:rsidR="00CA4FD9" w:rsidRPr="00AE0CA7">
              <w:rPr>
                <w:rFonts w:eastAsia="Calibri" w:hint="eastAsia"/>
                <w:color w:val="000000"/>
                <w:spacing w:val="-50"/>
                <w:w w:val="15"/>
                <w:szCs w:val="20"/>
                <w:shd w:val="solid" w:color="000000" w:fill="000000"/>
                <w:fitText w:val="15" w:id="-893751796"/>
                <w14:textFill>
                  <w14:solidFill>
                    <w14:srgbClr w14:val="000000">
                      <w14:alpha w14:val="100000"/>
                    </w14:srgbClr>
                  </w14:solidFill>
                </w14:textFill>
              </w:rPr>
              <w:t xml:space="preserve">　</w:t>
            </w:r>
          </w:p>
        </w:tc>
        <w:tc>
          <w:tcPr>
            <w:tcW w:w="1985" w:type="dxa"/>
            <w:shd w:val="clear" w:color="auto" w:fill="FFFFFF" w:themeFill="background1"/>
            <w:vAlign w:val="center"/>
          </w:tcPr>
          <w:p w14:paraId="6FB2D30E" w14:textId="537E685F" w:rsidR="00800961" w:rsidRPr="00032882" w:rsidRDefault="00800961" w:rsidP="00EB76D9">
            <w:pPr>
              <w:pStyle w:val="TableText0"/>
              <w:keepLines/>
              <w:jc w:val="center"/>
              <w:rPr>
                <w:rFonts w:eastAsia="Calibri"/>
                <w:szCs w:val="20"/>
                <w:u w:val="single"/>
              </w:rPr>
            </w:pPr>
            <w:r w:rsidRPr="00032882">
              <w:rPr>
                <w:rFonts w:eastAsia="Calibri"/>
                <w:szCs w:val="20"/>
                <w:u w:val="single"/>
              </w:rPr>
              <w:t>Published/Effective AEMP</w:t>
            </w:r>
          </w:p>
          <w:p w14:paraId="3CA73399" w14:textId="7F623461" w:rsidR="00800961" w:rsidRPr="00032882" w:rsidRDefault="00800961" w:rsidP="00EB76D9">
            <w:pPr>
              <w:pStyle w:val="TableText0"/>
              <w:keepLines/>
              <w:jc w:val="center"/>
              <w:rPr>
                <w:rFonts w:eastAsia="Calibri"/>
                <w:szCs w:val="20"/>
              </w:rPr>
            </w:pPr>
            <w:r w:rsidRPr="00032882">
              <w:rPr>
                <w:rFonts w:eastAsia="Calibri"/>
                <w:szCs w:val="20"/>
              </w:rPr>
              <w:t>IPI 50 mg: $5,344.62/</w:t>
            </w:r>
            <w:r w:rsidR="00DE20E1" w:rsidRPr="004341F4">
              <w:rPr>
                <w:rFonts w:eastAsia="Calibri"/>
                <w:szCs w:val="20"/>
              </w:rPr>
              <w:t>$</w:t>
            </w:r>
            <w:r w:rsidR="00CA4FD9" w:rsidRPr="00AE0CA7">
              <w:rPr>
                <w:rFonts w:eastAsia="Calibri" w:hint="eastAsia"/>
                <w:color w:val="000000"/>
                <w:w w:val="15"/>
                <w:szCs w:val="20"/>
                <w:shd w:val="solid" w:color="000000" w:fill="000000"/>
                <w:fitText w:val="15" w:id="-893751795"/>
                <w14:textFill>
                  <w14:solidFill>
                    <w14:srgbClr w14:val="000000">
                      <w14:alpha w14:val="100000"/>
                    </w14:srgbClr>
                  </w14:solidFill>
                </w14:textFill>
              </w:rPr>
              <w:t xml:space="preserve">　</w:t>
            </w:r>
            <w:r w:rsidR="00CA4FD9" w:rsidRPr="00AE0CA7">
              <w:rPr>
                <w:rFonts w:eastAsia="Calibri"/>
                <w:color w:val="000000"/>
                <w:w w:val="15"/>
                <w:szCs w:val="20"/>
                <w:shd w:val="solid" w:color="000000" w:fill="000000"/>
                <w:fitText w:val="15" w:id="-893751795"/>
                <w14:textFill>
                  <w14:solidFill>
                    <w14:srgbClr w14:val="000000">
                      <w14:alpha w14:val="100000"/>
                    </w14:srgbClr>
                  </w14:solidFill>
                </w14:textFill>
              </w:rPr>
              <w:t>|</w:t>
            </w:r>
            <w:r w:rsidR="00CA4FD9" w:rsidRPr="00AE0CA7">
              <w:rPr>
                <w:rFonts w:eastAsia="Calibri" w:hint="eastAsia"/>
                <w:color w:val="000000"/>
                <w:spacing w:val="-50"/>
                <w:w w:val="15"/>
                <w:szCs w:val="20"/>
                <w:shd w:val="solid" w:color="000000" w:fill="000000"/>
                <w:fitText w:val="15" w:id="-893751795"/>
                <w14:textFill>
                  <w14:solidFill>
                    <w14:srgbClr w14:val="000000">
                      <w14:alpha w14:val="100000"/>
                    </w14:srgbClr>
                  </w14:solidFill>
                </w14:textFill>
              </w:rPr>
              <w:t xml:space="preserve">　</w:t>
            </w:r>
          </w:p>
        </w:tc>
        <w:tc>
          <w:tcPr>
            <w:tcW w:w="1417" w:type="dxa"/>
            <w:shd w:val="clear" w:color="auto" w:fill="FFFFFF" w:themeFill="background1"/>
            <w:vAlign w:val="center"/>
          </w:tcPr>
          <w:p w14:paraId="777559B4" w14:textId="66231CDA" w:rsidR="00800961" w:rsidRPr="00032882" w:rsidRDefault="00EB76D9" w:rsidP="00EB76D9">
            <w:pPr>
              <w:pStyle w:val="TableText0"/>
              <w:keepLines/>
              <w:jc w:val="center"/>
              <w:rPr>
                <w:rFonts w:eastAsia="Calibri"/>
                <w:i/>
                <w:szCs w:val="20"/>
              </w:rPr>
            </w:pPr>
            <w:r w:rsidRPr="00032882">
              <w:rPr>
                <w:rFonts w:eastAsia="Calibri"/>
                <w:iCs/>
                <w:szCs w:val="20"/>
              </w:rPr>
              <w:t>Changed to reflect current prices.</w:t>
            </w:r>
          </w:p>
        </w:tc>
      </w:tr>
    </w:tbl>
    <w:p w14:paraId="73702646" w14:textId="67AD3E7D" w:rsidR="00EB76D9" w:rsidRPr="004D671D" w:rsidRDefault="00EB76D9" w:rsidP="00EB76D9">
      <w:pPr>
        <w:pStyle w:val="TableFooter"/>
      </w:pPr>
      <w:r w:rsidRPr="004D671D">
        <w:t>Source: Table 3 of the submission, with “Notes” column added by the secretar</w:t>
      </w:r>
      <w:r w:rsidR="00FB1440">
        <w:t>i</w:t>
      </w:r>
      <w:r w:rsidRPr="004D671D">
        <w:t>at.</w:t>
      </w:r>
    </w:p>
    <w:p w14:paraId="027D97DC" w14:textId="1E55A435" w:rsidR="00F00E71" w:rsidRPr="004D671D" w:rsidRDefault="00F00E71" w:rsidP="00F00E71">
      <w:pPr>
        <w:pStyle w:val="TableFooter"/>
        <w:spacing w:after="120"/>
      </w:pPr>
      <w:r w:rsidRPr="004D671D">
        <w:t>Abbreviations: 1L = first line; NIVO = nivolumab; IPI = ipilimumab; CHEMO = chemotherapy; ABS = Australian Bureau of Statistics; AIHW</w:t>
      </w:r>
      <w:r w:rsidR="005B3D69">
        <w:t> </w:t>
      </w:r>
      <w:r w:rsidRPr="004D671D">
        <w:t>=</w:t>
      </w:r>
      <w:r w:rsidR="005B3D69">
        <w:t> </w:t>
      </w:r>
      <w:r w:rsidRPr="004D671D">
        <w:t>Australian Institute of Health and Welfare; ECOG = Eastern Cooperative Oncology Group; PBS = Pharmaceutical Benefits Scheme; RPBS = Repatriation Pharmaceutical Benefits Scheme</w:t>
      </w:r>
    </w:p>
    <w:p w14:paraId="49A87E8B" w14:textId="7104C2C1" w:rsidR="00F4511D" w:rsidRPr="004D671D" w:rsidRDefault="00F4511D" w:rsidP="003741BF">
      <w:pPr>
        <w:pStyle w:val="3Bodytext"/>
      </w:pPr>
      <w:r w:rsidRPr="004D671D">
        <w:t xml:space="preserve">The submission presented a revised uptake rate for patients with 1L mesothelioma of </w:t>
      </w:r>
      <w:r w:rsidR="00CA4FD9" w:rsidRPr="00AE0CA7">
        <w:rPr>
          <w:color w:val="000000"/>
          <w:w w:val="15"/>
          <w:shd w:val="solid" w:color="000000" w:fill="000000"/>
          <w:fitText w:val="-20" w:id="-893751794"/>
          <w14:textFill>
            <w14:solidFill>
              <w14:srgbClr w14:val="000000">
                <w14:alpha w14:val="100000"/>
              </w14:srgbClr>
            </w14:solidFill>
          </w14:textFill>
        </w:rPr>
        <w:t xml:space="preserve">|  </w:t>
      </w:r>
      <w:r w:rsidR="00CA4FD9" w:rsidRPr="00AE0CA7">
        <w:rPr>
          <w:color w:val="000000"/>
          <w:spacing w:val="-69"/>
          <w:w w:val="15"/>
          <w:shd w:val="solid" w:color="000000" w:fill="000000"/>
          <w:fitText w:val="-20" w:id="-893751794"/>
          <w14:textFill>
            <w14:solidFill>
              <w14:srgbClr w14:val="000000">
                <w14:alpha w14:val="100000"/>
              </w14:srgbClr>
            </w14:solidFill>
          </w14:textFill>
        </w:rPr>
        <w:t>|</w:t>
      </w:r>
      <w:r w:rsidRPr="004341F4">
        <w:t>%</w:t>
      </w:r>
      <w:r w:rsidR="0017745F" w:rsidRPr="00F6504A">
        <w:t xml:space="preserve"> for the re-calculated estimate</w:t>
      </w:r>
      <w:r w:rsidR="008750AF" w:rsidRPr="00F6504A">
        <w:t>d</w:t>
      </w:r>
      <w:r w:rsidR="0017745F" w:rsidRPr="00F6504A">
        <w:t xml:space="preserve"> financial impact </w:t>
      </w:r>
      <w:r w:rsidR="008750AF" w:rsidRPr="00F6504A">
        <w:t>which correspond to</w:t>
      </w:r>
      <w:r w:rsidR="0017745F" w:rsidRPr="00F6504A">
        <w:t xml:space="preserve"> the remaining 3 years of the RSA deed</w:t>
      </w:r>
      <w:r w:rsidRPr="00F6504A">
        <w:t xml:space="preserve">. This was developed by considering the uptake rate recommended by the PBAC in March 2021 </w:t>
      </w:r>
      <w:r w:rsidR="005B3D69" w:rsidRPr="00F6504A">
        <w:t>(</w:t>
      </w:r>
      <w:r w:rsidRPr="00F6504A">
        <w:t>58.99%</w:t>
      </w:r>
      <w:r w:rsidR="005B3D69" w:rsidRPr="00F6504A">
        <w:t>)</w:t>
      </w:r>
      <w:r w:rsidRPr="00F6504A">
        <w:t xml:space="preserve"> and the results of the Clinician Survey (February 2024)</w:t>
      </w:r>
      <w:r w:rsidR="001D0CC1" w:rsidRPr="00F6504A">
        <w:t xml:space="preserve"> of</w:t>
      </w:r>
      <w:r w:rsidRPr="00F6504A">
        <w:t xml:space="preserve"> 12 clinicians </w:t>
      </w:r>
      <w:r w:rsidR="001D0CC1" w:rsidRPr="004341F4">
        <w:t>(</w:t>
      </w:r>
      <w:r w:rsidR="00CA4FD9" w:rsidRPr="00AE0CA7">
        <w:rPr>
          <w:color w:val="000000"/>
          <w:w w:val="15"/>
          <w:shd w:val="solid" w:color="000000" w:fill="000000"/>
          <w:fitText w:val="-20" w:id="-893751793"/>
          <w14:textFill>
            <w14:solidFill>
              <w14:srgbClr w14:val="000000">
                <w14:alpha w14:val="100000"/>
              </w14:srgbClr>
            </w14:solidFill>
          </w14:textFill>
        </w:rPr>
        <w:t xml:space="preserve">|  </w:t>
      </w:r>
      <w:r w:rsidR="00CA4FD9" w:rsidRPr="00AE0CA7">
        <w:rPr>
          <w:color w:val="000000"/>
          <w:spacing w:val="-69"/>
          <w:w w:val="15"/>
          <w:shd w:val="solid" w:color="000000" w:fill="000000"/>
          <w:fitText w:val="-20" w:id="-893751793"/>
          <w14:textFill>
            <w14:solidFill>
              <w14:srgbClr w14:val="000000">
                <w14:alpha w14:val="100000"/>
              </w14:srgbClr>
            </w14:solidFill>
          </w14:textFill>
        </w:rPr>
        <w:t>|</w:t>
      </w:r>
      <w:r w:rsidRPr="004341F4">
        <w:t>%</w:t>
      </w:r>
      <w:r w:rsidR="001D0CC1" w:rsidRPr="004341F4">
        <w:t>)</w:t>
      </w:r>
      <w:r w:rsidRPr="004341F4">
        <w:t>.</w:t>
      </w:r>
      <w:r w:rsidRPr="00F6504A">
        <w:t xml:space="preserve"> The </w:t>
      </w:r>
      <w:r w:rsidR="001D0CC1" w:rsidRPr="00F6504A">
        <w:t xml:space="preserve">applicant </w:t>
      </w:r>
      <w:r w:rsidRPr="00F6504A">
        <w:t>chose to reduce the uptake rate as measured in the survey</w:t>
      </w:r>
      <w:r w:rsidR="001D0CC1" w:rsidRPr="00F6504A">
        <w:t>,</w:t>
      </w:r>
      <w:r w:rsidRPr="00F6504A">
        <w:t xml:space="preserve"> as it considered that the 12 clinicians </w:t>
      </w:r>
      <w:r w:rsidR="00F00E71" w:rsidRPr="00F6504A">
        <w:t>may not be representative of all Australian clinicians.</w:t>
      </w:r>
      <w:r w:rsidR="00BC418D" w:rsidRPr="00F6504A">
        <w:t xml:space="preserve"> It is noted that the revised uptake rate </w:t>
      </w:r>
      <w:r w:rsidR="00E67A3D" w:rsidRPr="00F6504A">
        <w:t xml:space="preserve">of </w:t>
      </w:r>
      <w:r w:rsidR="00CA4FD9" w:rsidRPr="00AE0CA7">
        <w:rPr>
          <w:color w:val="000000"/>
          <w:w w:val="15"/>
          <w:shd w:val="solid" w:color="000000" w:fill="000000"/>
          <w:fitText w:val="-20" w:id="-893751792"/>
          <w14:textFill>
            <w14:solidFill>
              <w14:srgbClr w14:val="000000">
                <w14:alpha w14:val="100000"/>
              </w14:srgbClr>
            </w14:solidFill>
          </w14:textFill>
        </w:rPr>
        <w:t xml:space="preserve">|  </w:t>
      </w:r>
      <w:r w:rsidR="00CA4FD9" w:rsidRPr="00AE0CA7">
        <w:rPr>
          <w:color w:val="000000"/>
          <w:spacing w:val="-69"/>
          <w:w w:val="15"/>
          <w:shd w:val="solid" w:color="000000" w:fill="000000"/>
          <w:fitText w:val="-20" w:id="-893751792"/>
          <w14:textFill>
            <w14:solidFill>
              <w14:srgbClr w14:val="000000">
                <w14:alpha w14:val="100000"/>
              </w14:srgbClr>
            </w14:solidFill>
          </w14:textFill>
        </w:rPr>
        <w:t>|</w:t>
      </w:r>
      <w:r w:rsidR="00E67A3D" w:rsidRPr="004341F4">
        <w:t>%</w:t>
      </w:r>
      <w:r w:rsidR="00E67A3D" w:rsidRPr="00E24868">
        <w:t xml:space="preserve"> is arbitrary, having</w:t>
      </w:r>
      <w:r w:rsidR="00BC418D" w:rsidRPr="00E24868">
        <w:t xml:space="preserve"> been estimated without evidentiary basis</w:t>
      </w:r>
      <w:r w:rsidR="001D0CC1" w:rsidRPr="00E24868">
        <w:t>.</w:t>
      </w:r>
      <w:r w:rsidR="001D0CC1">
        <w:rPr>
          <w:i/>
          <w:iCs/>
        </w:rPr>
        <w:t xml:space="preserve"> </w:t>
      </w:r>
      <w:r w:rsidR="00BC418D">
        <w:rPr>
          <w:i/>
          <w:iCs/>
        </w:rPr>
        <w:t xml:space="preserve"> </w:t>
      </w:r>
    </w:p>
    <w:p w14:paraId="178DAFA5" w14:textId="58060984" w:rsidR="00877160" w:rsidRPr="004D671D" w:rsidRDefault="00877160" w:rsidP="003741BF">
      <w:pPr>
        <w:pStyle w:val="3Bodytext"/>
      </w:pPr>
      <w:r w:rsidRPr="004D671D">
        <w:t>The submission also included an estimate for first-line patients who have relapsed post-extrapleural pneumonectomy (EPP). The submission assumed an uptake rate of 33% for this patient group.</w:t>
      </w:r>
      <w:r w:rsidR="00384368">
        <w:t xml:space="preserve"> </w:t>
      </w:r>
      <w:r w:rsidR="00384368" w:rsidRPr="00E24868">
        <w:t xml:space="preserve">This population </w:t>
      </w:r>
      <w:r w:rsidR="00AA2A4E" w:rsidRPr="00E24868">
        <w:t>was recommended to be added to the model by the PBAC in the March 2021 submission</w:t>
      </w:r>
      <w:r w:rsidR="007F26A5" w:rsidRPr="00E24868">
        <w:t xml:space="preserve"> and was included by the sponsor when negotiating the initial RSA.</w:t>
      </w:r>
    </w:p>
    <w:p w14:paraId="1D62B99F" w14:textId="6F6111C5" w:rsidR="00877160" w:rsidRPr="004D671D" w:rsidRDefault="009B00FF" w:rsidP="003741BF">
      <w:pPr>
        <w:pStyle w:val="3Bodytext"/>
      </w:pPr>
      <w:r w:rsidRPr="004D671D">
        <w:lastRenderedPageBreak/>
        <w:t xml:space="preserve">For the </w:t>
      </w:r>
      <w:r w:rsidR="00877160" w:rsidRPr="004D671D">
        <w:t>estimated second line use of NIVO+IPI</w:t>
      </w:r>
      <w:r w:rsidRPr="004D671D">
        <w:t xml:space="preserve">, </w:t>
      </w:r>
      <w:r w:rsidR="00B46A92">
        <w:t>&lt;500</w:t>
      </w:r>
      <w:r w:rsidR="00B46A92" w:rsidRPr="00B46A92">
        <w:t xml:space="preserve"> </w:t>
      </w:r>
      <w:r w:rsidRPr="008076A3">
        <w:t xml:space="preserve">patients compared </w:t>
      </w:r>
      <w:r w:rsidRPr="00B46A92">
        <w:t xml:space="preserve">to </w:t>
      </w:r>
      <w:r w:rsidR="00B46A92">
        <w:t>&lt;</w:t>
      </w:r>
      <w:r w:rsidR="00D46EFF">
        <w:t>500</w:t>
      </w:r>
      <w:r w:rsidR="00B46A92" w:rsidRPr="004D671D">
        <w:t xml:space="preserve"> </w:t>
      </w:r>
      <w:r w:rsidRPr="004D671D">
        <w:t xml:space="preserve">in March 2021 were identified as eligible for treatment. This resulted in </w:t>
      </w:r>
      <w:r w:rsidR="00D46EFF">
        <w:t>&lt;500</w:t>
      </w:r>
      <w:r w:rsidR="00D46EFF" w:rsidRPr="00D46EFF">
        <w:t xml:space="preserve"> </w:t>
      </w:r>
      <w:r w:rsidR="00361481" w:rsidRPr="00D46EFF">
        <w:t>r</w:t>
      </w:r>
      <w:r w:rsidR="00361481" w:rsidRPr="008076A3">
        <w:t xml:space="preserve">ather than </w:t>
      </w:r>
      <w:r w:rsidR="00D46EFF">
        <w:t>&lt;500</w:t>
      </w:r>
      <w:r w:rsidR="00D46EFF" w:rsidRPr="00D46EFF">
        <w:t xml:space="preserve"> </w:t>
      </w:r>
      <w:r w:rsidR="00361481" w:rsidRPr="008076A3">
        <w:t>patients</w:t>
      </w:r>
      <w:r w:rsidR="00361481" w:rsidRPr="004D671D">
        <w:t xml:space="preserve"> in the second line treatment arm.</w:t>
      </w:r>
    </w:p>
    <w:p w14:paraId="4FA1F909" w14:textId="62BDC4D0" w:rsidR="00D70349" w:rsidRPr="004D671D" w:rsidRDefault="005E4C90" w:rsidP="00633DD6">
      <w:pPr>
        <w:pStyle w:val="3Bodytext"/>
      </w:pPr>
      <w:r>
        <w:t>T</w:t>
      </w:r>
      <w:r w:rsidR="00D70349" w:rsidRPr="004D671D">
        <w:t xml:space="preserve">he estimated extent of use, cost of </w:t>
      </w:r>
      <w:r w:rsidR="00C23F26" w:rsidRPr="004D671D">
        <w:t xml:space="preserve">NIVO+IPI </w:t>
      </w:r>
      <w:r w:rsidR="00D70349" w:rsidRPr="004D671D">
        <w:t>to the PBS/RPBS and the net financial implications to the PBS/RPBS</w:t>
      </w:r>
      <w:r w:rsidR="00AE3F67">
        <w:t xml:space="preserve"> are presented in</w:t>
      </w:r>
      <w:r>
        <w:t xml:space="preserve"> </w:t>
      </w:r>
      <w:r w:rsidRPr="004D671D">
        <w:rPr>
          <w:rFonts w:cstheme="minorHAnsi"/>
          <w:b/>
          <w:bCs/>
        </w:rPr>
        <w:fldChar w:fldCharType="begin"/>
      </w:r>
      <w:r w:rsidRPr="004D671D">
        <w:rPr>
          <w:rFonts w:cstheme="minorHAnsi"/>
          <w:b/>
          <w:bCs/>
        </w:rPr>
        <w:instrText xml:space="preserve"> REF _Ref168307185 \h  \* MERGEFORMAT </w:instrText>
      </w:r>
      <w:r w:rsidRPr="004D671D">
        <w:rPr>
          <w:rFonts w:cstheme="minorHAnsi"/>
          <w:b/>
          <w:bCs/>
        </w:rPr>
      </w:r>
      <w:r w:rsidRPr="004D671D">
        <w:rPr>
          <w:rFonts w:cstheme="minorHAnsi"/>
          <w:b/>
          <w:bCs/>
        </w:rPr>
        <w:fldChar w:fldCharType="separate"/>
      </w:r>
      <w:r w:rsidR="00AE0CA7" w:rsidRPr="00AE0CA7">
        <w:rPr>
          <w:rStyle w:val="TableFigureHeadingChar"/>
          <w:rFonts w:asciiTheme="minorHAnsi" w:hAnsiTheme="minorHAnsi" w:cstheme="minorHAnsi"/>
          <w:b w:val="0"/>
          <w:bCs w:val="0"/>
        </w:rPr>
        <w:t>Table 3</w:t>
      </w:r>
      <w:r w:rsidRPr="004D671D">
        <w:rPr>
          <w:rFonts w:cstheme="minorHAnsi"/>
          <w:b/>
          <w:bCs/>
        </w:rPr>
        <w:fldChar w:fldCharType="end"/>
      </w:r>
      <w:r w:rsidR="00C23F26" w:rsidRPr="004D671D">
        <w:t>.</w:t>
      </w:r>
      <w:r w:rsidR="00D70349" w:rsidRPr="004D671D">
        <w:t xml:space="preserve"> The financial impact to Services Australia will be determined by that agency as part of the post PBAC process.</w:t>
      </w:r>
    </w:p>
    <w:p w14:paraId="13DBAE09" w14:textId="1A40BDA5" w:rsidR="00D70349" w:rsidRPr="004D671D" w:rsidRDefault="00AE3F67" w:rsidP="00633DD6">
      <w:pPr>
        <w:pStyle w:val="3Bodytext"/>
      </w:pPr>
      <w:r>
        <w:t xml:space="preserve">With </w:t>
      </w:r>
      <w:r w:rsidR="003A2FB7">
        <w:t>the proposed revisions to the estimates, t</w:t>
      </w:r>
      <w:r w:rsidR="00D70349" w:rsidRPr="004D671D">
        <w:t xml:space="preserve">he submission estimated that </w:t>
      </w:r>
      <w:r w:rsidR="00954CBB" w:rsidRPr="00954CBB">
        <w:t>500 to &lt;</w:t>
      </w:r>
      <w:r w:rsidR="00AE2B31">
        <w:t> </w:t>
      </w:r>
      <w:r w:rsidR="00954CBB" w:rsidRPr="00954CBB">
        <w:t>5,000</w:t>
      </w:r>
      <w:r w:rsidR="00412B44">
        <w:t xml:space="preserve"> </w:t>
      </w:r>
      <w:r w:rsidR="00D70349" w:rsidRPr="004D671D">
        <w:t xml:space="preserve">patients would be supplied </w:t>
      </w:r>
      <w:r w:rsidR="00C23F26" w:rsidRPr="004D671D">
        <w:t>NIVO+IPI</w:t>
      </w:r>
      <w:r w:rsidR="00D70349" w:rsidRPr="004D671D">
        <w:t xml:space="preserve"> over the first six years of listing (</w:t>
      </w:r>
      <w:r w:rsidR="000C3362" w:rsidRPr="000C3362">
        <w:t>500 to &lt;</w:t>
      </w:r>
      <w:r w:rsidR="00AE2B31">
        <w:t> </w:t>
      </w:r>
      <w:r w:rsidR="000C3362" w:rsidRPr="000C3362">
        <w:t>5,000</w:t>
      </w:r>
      <w:r w:rsidR="00412B44">
        <w:t xml:space="preserve"> </w:t>
      </w:r>
      <w:r w:rsidR="00EE6203" w:rsidRPr="004D671D">
        <w:t>in Year 1</w:t>
      </w:r>
      <w:r w:rsidR="00D70349" w:rsidRPr="004D671D">
        <w:t xml:space="preserve"> to </w:t>
      </w:r>
      <w:bookmarkStart w:id="7" w:name="_Hlk177386989"/>
      <w:r w:rsidR="00EF22BB" w:rsidRPr="00EF22BB">
        <w:t>&lt; 500</w:t>
      </w:r>
      <w:bookmarkEnd w:id="7"/>
      <w:r w:rsidR="00EE6203" w:rsidRPr="004D671D">
        <w:t xml:space="preserve"> in Year 6</w:t>
      </w:r>
      <w:r w:rsidR="00D70349" w:rsidRPr="004D671D">
        <w:t xml:space="preserve">). </w:t>
      </w:r>
      <w:r w:rsidR="00F10351" w:rsidRPr="004D671D">
        <w:t xml:space="preserve">This is compared to a total of </w:t>
      </w:r>
      <w:r w:rsidR="00910C27" w:rsidRPr="00910C27">
        <w:t>500 to &lt;</w:t>
      </w:r>
      <w:r w:rsidR="00AE2B31">
        <w:t> </w:t>
      </w:r>
      <w:r w:rsidR="00910C27" w:rsidRPr="00910C27">
        <w:t>5,000</w:t>
      </w:r>
      <w:r w:rsidR="00412B44">
        <w:t xml:space="preserve"> </w:t>
      </w:r>
      <w:r w:rsidR="00F10351" w:rsidRPr="004D671D">
        <w:t>patients estimated to be treated with NIIVO+IPI in the March 2021 submission</w:t>
      </w:r>
      <w:r w:rsidR="000E1AFC">
        <w:t xml:space="preserve"> ranging from </w:t>
      </w:r>
      <w:r w:rsidR="00910C27" w:rsidRPr="00910C27">
        <w:t>&lt; 500</w:t>
      </w:r>
      <w:r w:rsidR="000E1AFC">
        <w:t xml:space="preserve"> patients in the first year excluding grandfathered patients to </w:t>
      </w:r>
      <w:r w:rsidR="00910C27" w:rsidRPr="00910C27">
        <w:t>&lt; 500</w:t>
      </w:r>
      <w:r w:rsidR="000E1AFC">
        <w:t xml:space="preserve"> in Year</w:t>
      </w:r>
      <w:r w:rsidR="00AE2B31">
        <w:t> </w:t>
      </w:r>
      <w:r w:rsidR="000E1AFC">
        <w:t>6</w:t>
      </w:r>
      <w:r w:rsidR="00F10351" w:rsidRPr="004D671D">
        <w:t>.</w:t>
      </w:r>
    </w:p>
    <w:p w14:paraId="74F1EFA3" w14:textId="6637DDB4" w:rsidR="00E21164" w:rsidRPr="004D671D" w:rsidRDefault="000A02F8" w:rsidP="00633DD6">
      <w:pPr>
        <w:pStyle w:val="3Bodytext"/>
      </w:pPr>
      <w:r w:rsidRPr="004D671D">
        <w:t>The submission stated that t</w:t>
      </w:r>
      <w:r w:rsidR="00D70349" w:rsidRPr="004D671D">
        <w:t xml:space="preserve">he estimated net financial impact to the PBS/RPBS for the listing of </w:t>
      </w:r>
      <w:r w:rsidR="00B005B7" w:rsidRPr="004D671D">
        <w:t>NIVO+IPI</w:t>
      </w:r>
      <w:r w:rsidR="00D70349" w:rsidRPr="004D671D">
        <w:t xml:space="preserve"> is $</w:t>
      </w:r>
      <w:r w:rsidR="00195EF3" w:rsidRPr="00195EF3">
        <w:t xml:space="preserve">100 million to &lt; $200 </w:t>
      </w:r>
      <w:r w:rsidR="00B675D1" w:rsidRPr="00195EF3">
        <w:t>million</w:t>
      </w:r>
      <w:r w:rsidR="00B675D1" w:rsidRPr="004D671D">
        <w:t xml:space="preserve"> over</w:t>
      </w:r>
      <w:r w:rsidR="00D70349" w:rsidRPr="004D671D">
        <w:t xml:space="preserve"> six years (Year 1 $</w:t>
      </w:r>
      <w:r w:rsidR="000A4580" w:rsidRPr="000A4580">
        <w:t>20</w:t>
      </w:r>
      <w:r w:rsidR="00AE2B31">
        <w:t> </w:t>
      </w:r>
      <w:r w:rsidR="000A4580" w:rsidRPr="000A4580">
        <w:t>million</w:t>
      </w:r>
      <w:r w:rsidR="00AE2B31">
        <w:t> </w:t>
      </w:r>
      <w:r w:rsidR="000A4580" w:rsidRPr="000A4580">
        <w:t>to &lt;</w:t>
      </w:r>
      <w:r w:rsidR="00AE2B31">
        <w:t> </w:t>
      </w:r>
      <w:r w:rsidR="000A4580" w:rsidRPr="000A4580">
        <w:t xml:space="preserve">$30 </w:t>
      </w:r>
      <w:r w:rsidR="00B675D1" w:rsidRPr="000A4580">
        <w:t>million</w:t>
      </w:r>
      <w:r w:rsidR="00B675D1" w:rsidRPr="004D671D">
        <w:t xml:space="preserve"> to</w:t>
      </w:r>
      <w:r w:rsidR="00D70349" w:rsidRPr="004D671D">
        <w:t xml:space="preserve"> Year 6 $</w:t>
      </w:r>
      <w:r w:rsidR="00C544D5" w:rsidRPr="00C544D5">
        <w:t>10 million to &lt; $20 million</w:t>
      </w:r>
      <w:r w:rsidR="00D70349" w:rsidRPr="004D671D">
        <w:t xml:space="preserve">). </w:t>
      </w:r>
      <w:r w:rsidR="00B005B7" w:rsidRPr="004D671D">
        <w:t>This is compared to the estimated costs in March 2021 submission of $</w:t>
      </w:r>
      <w:r w:rsidR="00502AFB" w:rsidRPr="00502AFB">
        <w:t>80 million to &lt; $90 million</w:t>
      </w:r>
      <w:r w:rsidR="00502AFB" w:rsidRPr="00502AFB" w:rsidDel="00502AFB">
        <w:t xml:space="preserve"> </w:t>
      </w:r>
      <w:r w:rsidR="00B005B7" w:rsidRPr="004D671D">
        <w:t>over six years (Year 1 $</w:t>
      </w:r>
      <w:r w:rsidR="00C544D5" w:rsidRPr="00C544D5">
        <w:t>10</w:t>
      </w:r>
      <w:r w:rsidR="00AE2B31">
        <w:t> </w:t>
      </w:r>
      <w:r w:rsidR="00C544D5" w:rsidRPr="00C544D5">
        <w:t>million to &lt; $20 million</w:t>
      </w:r>
      <w:r w:rsidR="00C544D5" w:rsidRPr="00C544D5" w:rsidDel="00C544D5">
        <w:t xml:space="preserve"> </w:t>
      </w:r>
      <w:r w:rsidR="00B005B7" w:rsidRPr="004D671D">
        <w:t>to Year 6 $</w:t>
      </w:r>
      <w:r w:rsidR="00C544D5" w:rsidRPr="00C544D5">
        <w:t>10 million to &lt; $20 million</w:t>
      </w:r>
      <w:r w:rsidR="00B005B7" w:rsidRPr="004D671D">
        <w:t>)</w:t>
      </w:r>
      <w:r w:rsidR="001C696E">
        <w:t>.</w:t>
      </w:r>
    </w:p>
    <w:p w14:paraId="5C1B0A88" w14:textId="50BFF4BC" w:rsidR="00D70349" w:rsidRPr="004D671D" w:rsidRDefault="00D70349" w:rsidP="00AE2B31">
      <w:pPr>
        <w:pStyle w:val="TableFigureHeading"/>
        <w:keepLines/>
      </w:pPr>
      <w:bookmarkStart w:id="8" w:name="_Ref168307185"/>
      <w:r w:rsidRPr="004D671D">
        <w:lastRenderedPageBreak/>
        <w:t xml:space="preserve">Table </w:t>
      </w:r>
      <w:bookmarkStart w:id="9" w:name="_Hlk121755068"/>
      <w:r w:rsidR="00EB76D9" w:rsidRPr="004D671D">
        <w:rPr>
          <w:rStyle w:val="TableFigureHeadingChar"/>
          <w:b/>
          <w:bCs/>
        </w:rPr>
        <w:fldChar w:fldCharType="begin"/>
      </w:r>
      <w:r w:rsidR="00EB76D9" w:rsidRPr="004D671D">
        <w:rPr>
          <w:rStyle w:val="TableFigureHeadingChar"/>
          <w:b/>
          <w:bCs/>
        </w:rPr>
        <w:instrText xml:space="preserve"> SEQ Table \* ARABIC </w:instrText>
      </w:r>
      <w:r w:rsidR="00EB76D9" w:rsidRPr="004D671D">
        <w:rPr>
          <w:rStyle w:val="TableFigureHeadingChar"/>
          <w:b/>
          <w:bCs/>
        </w:rPr>
        <w:fldChar w:fldCharType="separate"/>
      </w:r>
      <w:r w:rsidR="00AE0CA7">
        <w:rPr>
          <w:rStyle w:val="TableFigureHeadingChar"/>
          <w:b/>
          <w:bCs/>
          <w:noProof/>
        </w:rPr>
        <w:t>3</w:t>
      </w:r>
      <w:r w:rsidR="00EB76D9" w:rsidRPr="004D671D">
        <w:rPr>
          <w:rStyle w:val="TableFigureHeadingChar"/>
          <w:b/>
          <w:bCs/>
        </w:rPr>
        <w:fldChar w:fldCharType="end"/>
      </w:r>
      <w:bookmarkEnd w:id="8"/>
      <w:r w:rsidRPr="004D671D">
        <w:t>:</w:t>
      </w:r>
      <w:bookmarkEnd w:id="9"/>
      <w:r w:rsidRPr="004D671D">
        <w:t xml:space="preserve"> Estimated use and financial implications</w:t>
      </w:r>
      <w:r w:rsidRPr="004D671D">
        <w:rPr>
          <w:rStyle w:val="CommentReference"/>
          <w:sz w:val="20"/>
          <w:szCs w:val="24"/>
        </w:rPr>
        <w:t xml:space="preserve">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Estimated use and financial implications "/>
      </w:tblPr>
      <w:tblGrid>
        <w:gridCol w:w="2269"/>
        <w:gridCol w:w="1134"/>
        <w:gridCol w:w="1135"/>
        <w:gridCol w:w="1133"/>
        <w:gridCol w:w="1135"/>
        <w:gridCol w:w="1133"/>
        <w:gridCol w:w="999"/>
      </w:tblGrid>
      <w:tr w:rsidR="000E1AFC" w:rsidRPr="00032882" w14:paraId="50517F09" w14:textId="77777777" w:rsidTr="00AE2B31">
        <w:trPr>
          <w:cantSplit/>
          <w:tblHeader/>
          <w:jc w:val="center"/>
        </w:trPr>
        <w:tc>
          <w:tcPr>
            <w:tcW w:w="1269" w:type="pct"/>
            <w:shd w:val="clear" w:color="auto" w:fill="auto"/>
            <w:vAlign w:val="center"/>
          </w:tcPr>
          <w:p w14:paraId="146FDDC6" w14:textId="77777777" w:rsidR="00D70349" w:rsidRPr="00032882" w:rsidRDefault="00D70349" w:rsidP="00AE2B31">
            <w:pPr>
              <w:pStyle w:val="TableText0"/>
              <w:keepLines/>
              <w:rPr>
                <w:szCs w:val="20"/>
              </w:rPr>
            </w:pPr>
          </w:p>
        </w:tc>
        <w:tc>
          <w:tcPr>
            <w:tcW w:w="634" w:type="pct"/>
            <w:shd w:val="clear" w:color="auto" w:fill="auto"/>
            <w:vAlign w:val="center"/>
          </w:tcPr>
          <w:p w14:paraId="0094D249" w14:textId="77777777" w:rsidR="00D70349" w:rsidRPr="00032882" w:rsidRDefault="00D70349" w:rsidP="00AE2B31">
            <w:pPr>
              <w:pStyle w:val="TableText0"/>
              <w:keepLines/>
              <w:jc w:val="center"/>
              <w:rPr>
                <w:b/>
                <w:szCs w:val="20"/>
              </w:rPr>
            </w:pPr>
            <w:r w:rsidRPr="00032882">
              <w:rPr>
                <w:b/>
                <w:szCs w:val="20"/>
              </w:rPr>
              <w:t>Year 1</w:t>
            </w:r>
          </w:p>
          <w:p w14:paraId="229BAAA8" w14:textId="399D9748" w:rsidR="00877160" w:rsidRPr="00032882" w:rsidRDefault="00877160" w:rsidP="00AE2B31">
            <w:pPr>
              <w:pStyle w:val="TableText0"/>
              <w:keepLines/>
              <w:jc w:val="center"/>
              <w:rPr>
                <w:b/>
                <w:szCs w:val="20"/>
              </w:rPr>
            </w:pPr>
            <w:r w:rsidRPr="00032882">
              <w:rPr>
                <w:b/>
                <w:szCs w:val="20"/>
              </w:rPr>
              <w:t>2021</w:t>
            </w:r>
          </w:p>
        </w:tc>
        <w:tc>
          <w:tcPr>
            <w:tcW w:w="635" w:type="pct"/>
            <w:shd w:val="clear" w:color="auto" w:fill="auto"/>
            <w:vAlign w:val="center"/>
          </w:tcPr>
          <w:p w14:paraId="6E4330F3" w14:textId="77777777" w:rsidR="00D70349" w:rsidRPr="00032882" w:rsidRDefault="00D70349" w:rsidP="00AE2B31">
            <w:pPr>
              <w:pStyle w:val="TableText0"/>
              <w:keepLines/>
              <w:jc w:val="center"/>
              <w:rPr>
                <w:b/>
                <w:szCs w:val="20"/>
              </w:rPr>
            </w:pPr>
            <w:r w:rsidRPr="00032882">
              <w:rPr>
                <w:b/>
                <w:szCs w:val="20"/>
              </w:rPr>
              <w:t>Year 2</w:t>
            </w:r>
          </w:p>
          <w:p w14:paraId="48EEAB93" w14:textId="30DBE936" w:rsidR="00877160" w:rsidRPr="00032882" w:rsidRDefault="00877160" w:rsidP="00AE2B31">
            <w:pPr>
              <w:pStyle w:val="TableText0"/>
              <w:keepLines/>
              <w:jc w:val="center"/>
              <w:rPr>
                <w:b/>
                <w:szCs w:val="20"/>
              </w:rPr>
            </w:pPr>
            <w:r w:rsidRPr="00032882">
              <w:rPr>
                <w:b/>
                <w:szCs w:val="20"/>
              </w:rPr>
              <w:t>2022</w:t>
            </w:r>
          </w:p>
        </w:tc>
        <w:tc>
          <w:tcPr>
            <w:tcW w:w="634" w:type="pct"/>
            <w:shd w:val="clear" w:color="auto" w:fill="auto"/>
            <w:vAlign w:val="center"/>
          </w:tcPr>
          <w:p w14:paraId="5DB0B723" w14:textId="77777777" w:rsidR="00877160" w:rsidRPr="00032882" w:rsidRDefault="00D70349" w:rsidP="00AE2B31">
            <w:pPr>
              <w:pStyle w:val="TableText0"/>
              <w:keepLines/>
              <w:jc w:val="center"/>
              <w:rPr>
                <w:b/>
                <w:szCs w:val="20"/>
              </w:rPr>
            </w:pPr>
            <w:r w:rsidRPr="00032882">
              <w:rPr>
                <w:b/>
                <w:szCs w:val="20"/>
              </w:rPr>
              <w:t>Year 3</w:t>
            </w:r>
          </w:p>
          <w:p w14:paraId="0738F741" w14:textId="185D8426" w:rsidR="00877160" w:rsidRPr="00032882" w:rsidRDefault="00877160" w:rsidP="00AE2B31">
            <w:pPr>
              <w:pStyle w:val="TableText0"/>
              <w:keepLines/>
              <w:jc w:val="center"/>
              <w:rPr>
                <w:b/>
                <w:szCs w:val="20"/>
              </w:rPr>
            </w:pPr>
            <w:r w:rsidRPr="00032882">
              <w:rPr>
                <w:b/>
                <w:szCs w:val="20"/>
              </w:rPr>
              <w:t>2023</w:t>
            </w:r>
          </w:p>
        </w:tc>
        <w:tc>
          <w:tcPr>
            <w:tcW w:w="635" w:type="pct"/>
            <w:shd w:val="clear" w:color="auto" w:fill="auto"/>
            <w:vAlign w:val="center"/>
          </w:tcPr>
          <w:p w14:paraId="51961731" w14:textId="77777777" w:rsidR="00D70349" w:rsidRPr="00032882" w:rsidRDefault="00D70349" w:rsidP="00AE2B31">
            <w:pPr>
              <w:pStyle w:val="TableText0"/>
              <w:keepLines/>
              <w:jc w:val="center"/>
              <w:rPr>
                <w:b/>
                <w:szCs w:val="20"/>
              </w:rPr>
            </w:pPr>
            <w:r w:rsidRPr="00032882">
              <w:rPr>
                <w:b/>
                <w:szCs w:val="20"/>
              </w:rPr>
              <w:t>Year 4</w:t>
            </w:r>
          </w:p>
          <w:p w14:paraId="2F722BB7" w14:textId="569BCEAF" w:rsidR="00877160" w:rsidRPr="00032882" w:rsidRDefault="00877160" w:rsidP="00AE2B31">
            <w:pPr>
              <w:pStyle w:val="TableText0"/>
              <w:keepLines/>
              <w:jc w:val="center"/>
              <w:rPr>
                <w:b/>
                <w:szCs w:val="20"/>
              </w:rPr>
            </w:pPr>
            <w:r w:rsidRPr="00032882">
              <w:rPr>
                <w:b/>
                <w:szCs w:val="20"/>
              </w:rPr>
              <w:t>2024</w:t>
            </w:r>
          </w:p>
        </w:tc>
        <w:tc>
          <w:tcPr>
            <w:tcW w:w="634" w:type="pct"/>
            <w:shd w:val="clear" w:color="auto" w:fill="auto"/>
            <w:vAlign w:val="center"/>
          </w:tcPr>
          <w:p w14:paraId="2CFE1B75" w14:textId="77777777" w:rsidR="00D70349" w:rsidRPr="00032882" w:rsidRDefault="00D70349" w:rsidP="00AE2B31">
            <w:pPr>
              <w:pStyle w:val="TableText0"/>
              <w:keepLines/>
              <w:jc w:val="center"/>
              <w:rPr>
                <w:b/>
                <w:szCs w:val="20"/>
              </w:rPr>
            </w:pPr>
            <w:r w:rsidRPr="00032882">
              <w:rPr>
                <w:b/>
                <w:szCs w:val="20"/>
              </w:rPr>
              <w:t>Year 5</w:t>
            </w:r>
          </w:p>
          <w:p w14:paraId="4A03E0AC" w14:textId="0228EF8A" w:rsidR="00877160" w:rsidRPr="00032882" w:rsidRDefault="00877160" w:rsidP="00AE2B31">
            <w:pPr>
              <w:pStyle w:val="TableText0"/>
              <w:keepLines/>
              <w:jc w:val="center"/>
              <w:rPr>
                <w:b/>
                <w:szCs w:val="20"/>
              </w:rPr>
            </w:pPr>
            <w:r w:rsidRPr="00032882">
              <w:rPr>
                <w:b/>
                <w:szCs w:val="20"/>
              </w:rPr>
              <w:t>2025</w:t>
            </w:r>
          </w:p>
        </w:tc>
        <w:tc>
          <w:tcPr>
            <w:tcW w:w="559" w:type="pct"/>
            <w:vAlign w:val="center"/>
          </w:tcPr>
          <w:p w14:paraId="16726B47" w14:textId="77777777" w:rsidR="00D70349" w:rsidRPr="00032882" w:rsidRDefault="00D70349" w:rsidP="00AE2B31">
            <w:pPr>
              <w:pStyle w:val="TableText0"/>
              <w:keepLines/>
              <w:jc w:val="center"/>
              <w:rPr>
                <w:b/>
                <w:szCs w:val="20"/>
              </w:rPr>
            </w:pPr>
            <w:r w:rsidRPr="00032882">
              <w:rPr>
                <w:b/>
                <w:szCs w:val="20"/>
              </w:rPr>
              <w:t>Year 6</w:t>
            </w:r>
          </w:p>
          <w:p w14:paraId="11CF147B" w14:textId="288B7BF7" w:rsidR="00877160" w:rsidRPr="00032882" w:rsidRDefault="00877160" w:rsidP="00AE2B31">
            <w:pPr>
              <w:pStyle w:val="TableText0"/>
              <w:keepLines/>
              <w:jc w:val="center"/>
              <w:rPr>
                <w:b/>
                <w:szCs w:val="20"/>
              </w:rPr>
            </w:pPr>
            <w:r w:rsidRPr="00032882">
              <w:rPr>
                <w:b/>
                <w:szCs w:val="20"/>
              </w:rPr>
              <w:t>2026</w:t>
            </w:r>
          </w:p>
        </w:tc>
      </w:tr>
      <w:tr w:rsidR="00D70349" w:rsidRPr="00032882" w14:paraId="07125BC5" w14:textId="77777777" w:rsidTr="00762862">
        <w:trPr>
          <w:cantSplit/>
          <w:jc w:val="center"/>
        </w:trPr>
        <w:tc>
          <w:tcPr>
            <w:tcW w:w="5000" w:type="pct"/>
            <w:gridSpan w:val="7"/>
            <w:shd w:val="clear" w:color="auto" w:fill="auto"/>
            <w:vAlign w:val="center"/>
          </w:tcPr>
          <w:p w14:paraId="618359A1" w14:textId="77777777" w:rsidR="00D70349" w:rsidRPr="00032882" w:rsidRDefault="00D70349" w:rsidP="00AE2B31">
            <w:pPr>
              <w:pStyle w:val="TableText0"/>
              <w:keepLines/>
              <w:rPr>
                <w:b/>
                <w:color w:val="000000"/>
                <w:szCs w:val="20"/>
              </w:rPr>
            </w:pPr>
            <w:r w:rsidRPr="00032882">
              <w:rPr>
                <w:b/>
                <w:color w:val="000000"/>
                <w:szCs w:val="20"/>
              </w:rPr>
              <w:t>Estimated extent of use</w:t>
            </w:r>
          </w:p>
        </w:tc>
      </w:tr>
      <w:tr w:rsidR="000E1AFC" w:rsidRPr="00032882" w14:paraId="19248859" w14:textId="77777777" w:rsidTr="00AE2B31">
        <w:trPr>
          <w:cantSplit/>
          <w:jc w:val="center"/>
        </w:trPr>
        <w:tc>
          <w:tcPr>
            <w:tcW w:w="1269" w:type="pct"/>
            <w:shd w:val="clear" w:color="auto" w:fill="auto"/>
            <w:vAlign w:val="center"/>
          </w:tcPr>
          <w:p w14:paraId="08E21E48" w14:textId="4AEA1697" w:rsidR="00877160" w:rsidRPr="00032882" w:rsidRDefault="00877160" w:rsidP="00AE2B31">
            <w:pPr>
              <w:pStyle w:val="TableText0"/>
              <w:keepLines/>
              <w:rPr>
                <w:szCs w:val="20"/>
              </w:rPr>
            </w:pPr>
            <w:r w:rsidRPr="00032882">
              <w:rPr>
                <w:szCs w:val="20"/>
              </w:rPr>
              <w:t>1L MPM without EPP (A)</w:t>
            </w:r>
          </w:p>
        </w:tc>
        <w:tc>
          <w:tcPr>
            <w:tcW w:w="634" w:type="pct"/>
            <w:shd w:val="clear" w:color="auto" w:fill="auto"/>
          </w:tcPr>
          <w:p w14:paraId="65B056AB" w14:textId="71D39EBC" w:rsidR="0087716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808"/>
                <w14:textFill>
                  <w14:solidFill>
                    <w14:srgbClr w14:val="000000">
                      <w14:alpha w14:val="100000"/>
                    </w14:srgbClr>
                  </w14:solidFill>
                </w14:textFill>
              </w:rPr>
              <w:t xml:space="preserve">　</w:t>
            </w:r>
            <w:r w:rsidRPr="00CA4FD9">
              <w:rPr>
                <w:color w:val="000000"/>
                <w:w w:val="15"/>
                <w:szCs w:val="20"/>
                <w:shd w:val="solid" w:color="000000" w:fill="000000"/>
                <w:fitText w:val="45" w:id="-893751808"/>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808"/>
                <w14:textFill>
                  <w14:solidFill>
                    <w14:srgbClr w14:val="000000">
                      <w14:alpha w14:val="100000"/>
                    </w14:srgbClr>
                  </w14:solidFill>
                </w14:textFill>
              </w:rPr>
              <w:t xml:space="preserve">　</w:t>
            </w:r>
            <w:r w:rsidR="00F6288F" w:rsidRPr="00A366EE">
              <w:rPr>
                <w:szCs w:val="20"/>
                <w:vertAlign w:val="superscript"/>
              </w:rPr>
              <w:t>1</w:t>
            </w:r>
          </w:p>
        </w:tc>
        <w:tc>
          <w:tcPr>
            <w:tcW w:w="635" w:type="pct"/>
            <w:shd w:val="clear" w:color="auto" w:fill="auto"/>
          </w:tcPr>
          <w:p w14:paraId="38F9C5E6" w14:textId="50CFA05B" w:rsidR="0087716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807"/>
                <w14:textFill>
                  <w14:solidFill>
                    <w14:srgbClr w14:val="000000">
                      <w14:alpha w14:val="100000"/>
                    </w14:srgbClr>
                  </w14:solidFill>
                </w14:textFill>
              </w:rPr>
              <w:t xml:space="preserve">　</w:t>
            </w:r>
            <w:r w:rsidRPr="00CA4FD9">
              <w:rPr>
                <w:color w:val="000000"/>
                <w:w w:val="15"/>
                <w:szCs w:val="20"/>
                <w:shd w:val="solid" w:color="000000" w:fill="000000"/>
                <w:fitText w:val="45" w:id="-893751807"/>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807"/>
                <w14:textFill>
                  <w14:solidFill>
                    <w14:srgbClr w14:val="000000">
                      <w14:alpha w14:val="100000"/>
                    </w14:srgbClr>
                  </w14:solidFill>
                </w14:textFill>
              </w:rPr>
              <w:t xml:space="preserve">　</w:t>
            </w:r>
            <w:r w:rsidR="00B81E58" w:rsidRPr="007C6F1B">
              <w:rPr>
                <w:szCs w:val="20"/>
                <w:vertAlign w:val="superscript"/>
              </w:rPr>
              <w:t>1</w:t>
            </w:r>
          </w:p>
        </w:tc>
        <w:tc>
          <w:tcPr>
            <w:tcW w:w="634" w:type="pct"/>
            <w:shd w:val="clear" w:color="auto" w:fill="auto"/>
          </w:tcPr>
          <w:p w14:paraId="6129D1FC" w14:textId="11285526" w:rsidR="0087716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806"/>
                <w14:textFill>
                  <w14:solidFill>
                    <w14:srgbClr w14:val="000000">
                      <w14:alpha w14:val="100000"/>
                    </w14:srgbClr>
                  </w14:solidFill>
                </w14:textFill>
              </w:rPr>
              <w:t xml:space="preserve">　</w:t>
            </w:r>
            <w:r w:rsidRPr="00CA4FD9">
              <w:rPr>
                <w:color w:val="000000"/>
                <w:w w:val="15"/>
                <w:szCs w:val="20"/>
                <w:shd w:val="solid" w:color="000000" w:fill="000000"/>
                <w:fitText w:val="45" w:id="-893751806"/>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806"/>
                <w14:textFill>
                  <w14:solidFill>
                    <w14:srgbClr w14:val="000000">
                      <w14:alpha w14:val="100000"/>
                    </w14:srgbClr>
                  </w14:solidFill>
                </w14:textFill>
              </w:rPr>
              <w:t xml:space="preserve">　</w:t>
            </w:r>
            <w:r w:rsidR="00B81E58" w:rsidRPr="007C6F1B">
              <w:rPr>
                <w:szCs w:val="20"/>
                <w:vertAlign w:val="superscript"/>
              </w:rPr>
              <w:t>1</w:t>
            </w:r>
          </w:p>
        </w:tc>
        <w:tc>
          <w:tcPr>
            <w:tcW w:w="635" w:type="pct"/>
            <w:shd w:val="clear" w:color="auto" w:fill="auto"/>
          </w:tcPr>
          <w:p w14:paraId="1C698AB0" w14:textId="6F0841EE" w:rsidR="0087716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805"/>
                <w14:textFill>
                  <w14:solidFill>
                    <w14:srgbClr w14:val="000000">
                      <w14:alpha w14:val="100000"/>
                    </w14:srgbClr>
                  </w14:solidFill>
                </w14:textFill>
              </w:rPr>
              <w:t xml:space="preserve">　</w:t>
            </w:r>
            <w:r w:rsidRPr="00CA4FD9">
              <w:rPr>
                <w:color w:val="000000"/>
                <w:w w:val="15"/>
                <w:szCs w:val="20"/>
                <w:shd w:val="solid" w:color="000000" w:fill="000000"/>
                <w:fitText w:val="45" w:id="-893751805"/>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805"/>
                <w14:textFill>
                  <w14:solidFill>
                    <w14:srgbClr w14:val="000000">
                      <w14:alpha w14:val="100000"/>
                    </w14:srgbClr>
                  </w14:solidFill>
                </w14:textFill>
              </w:rPr>
              <w:t xml:space="preserve">　</w:t>
            </w:r>
            <w:r w:rsidR="00B81E58" w:rsidRPr="007C6F1B">
              <w:rPr>
                <w:szCs w:val="20"/>
                <w:vertAlign w:val="superscript"/>
              </w:rPr>
              <w:t>1</w:t>
            </w:r>
          </w:p>
        </w:tc>
        <w:tc>
          <w:tcPr>
            <w:tcW w:w="634" w:type="pct"/>
            <w:shd w:val="clear" w:color="auto" w:fill="auto"/>
          </w:tcPr>
          <w:p w14:paraId="17FA491F" w14:textId="3E1C4BDB" w:rsidR="0087716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804"/>
                <w14:textFill>
                  <w14:solidFill>
                    <w14:srgbClr w14:val="000000">
                      <w14:alpha w14:val="100000"/>
                    </w14:srgbClr>
                  </w14:solidFill>
                </w14:textFill>
              </w:rPr>
              <w:t xml:space="preserve">　</w:t>
            </w:r>
            <w:r w:rsidRPr="00CA4FD9">
              <w:rPr>
                <w:color w:val="000000"/>
                <w:w w:val="15"/>
                <w:szCs w:val="20"/>
                <w:shd w:val="solid" w:color="000000" w:fill="000000"/>
                <w:fitText w:val="45" w:id="-893751804"/>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804"/>
                <w14:textFill>
                  <w14:solidFill>
                    <w14:srgbClr w14:val="000000">
                      <w14:alpha w14:val="100000"/>
                    </w14:srgbClr>
                  </w14:solidFill>
                </w14:textFill>
              </w:rPr>
              <w:t xml:space="preserve">　</w:t>
            </w:r>
            <w:r w:rsidR="00B81E58" w:rsidRPr="007C6F1B">
              <w:rPr>
                <w:szCs w:val="20"/>
                <w:vertAlign w:val="superscript"/>
              </w:rPr>
              <w:t>1</w:t>
            </w:r>
          </w:p>
        </w:tc>
        <w:tc>
          <w:tcPr>
            <w:tcW w:w="559" w:type="pct"/>
          </w:tcPr>
          <w:p w14:paraId="77D3F32A" w14:textId="7A957146" w:rsidR="00877160" w:rsidRPr="00A366EE" w:rsidRDefault="00CA4FD9" w:rsidP="00AE2B31">
            <w:pPr>
              <w:pStyle w:val="TableText0"/>
              <w:keepLines/>
              <w:jc w:val="center"/>
              <w:rPr>
                <w:color w:val="000000"/>
                <w:szCs w:val="20"/>
                <w:highlight w:val="lightGray"/>
              </w:rPr>
            </w:pPr>
            <w:r w:rsidRPr="00CA4FD9">
              <w:rPr>
                <w:rFonts w:hint="eastAsia"/>
                <w:color w:val="000000"/>
                <w:w w:val="23"/>
                <w:szCs w:val="20"/>
                <w:shd w:val="solid" w:color="000000" w:fill="000000"/>
                <w:fitText w:val="105" w:id="-893751803"/>
                <w14:textFill>
                  <w14:solidFill>
                    <w14:srgbClr w14:val="000000">
                      <w14:alpha w14:val="100000"/>
                    </w14:srgbClr>
                  </w14:solidFill>
                </w14:textFill>
              </w:rPr>
              <w:t xml:space="preserve">　</w:t>
            </w:r>
            <w:r w:rsidRPr="00CA4FD9">
              <w:rPr>
                <w:color w:val="000000"/>
                <w:w w:val="23"/>
                <w:szCs w:val="20"/>
                <w:shd w:val="solid" w:color="000000" w:fill="000000"/>
                <w:fitText w:val="105" w:id="-893751803"/>
                <w14:textFill>
                  <w14:solidFill>
                    <w14:srgbClr w14:val="000000">
                      <w14:alpha w14:val="100000"/>
                    </w14:srgbClr>
                  </w14:solidFill>
                </w14:textFill>
              </w:rPr>
              <w:t>|</w:t>
            </w:r>
            <w:r w:rsidRPr="00CA4FD9">
              <w:rPr>
                <w:rFonts w:hint="eastAsia"/>
                <w:color w:val="000000"/>
                <w:spacing w:val="4"/>
                <w:w w:val="23"/>
                <w:szCs w:val="20"/>
                <w:shd w:val="solid" w:color="000000" w:fill="000000"/>
                <w:fitText w:val="105" w:id="-893751803"/>
                <w14:textFill>
                  <w14:solidFill>
                    <w14:srgbClr w14:val="000000">
                      <w14:alpha w14:val="100000"/>
                    </w14:srgbClr>
                  </w14:solidFill>
                </w14:textFill>
              </w:rPr>
              <w:t xml:space="preserve">　</w:t>
            </w:r>
            <w:r w:rsidR="00B81E58" w:rsidRPr="007C6F1B">
              <w:rPr>
                <w:szCs w:val="20"/>
                <w:vertAlign w:val="superscript"/>
              </w:rPr>
              <w:t>1</w:t>
            </w:r>
          </w:p>
        </w:tc>
      </w:tr>
      <w:tr w:rsidR="000E1AFC" w:rsidRPr="00032882" w14:paraId="5127424F" w14:textId="77777777" w:rsidTr="00AE2B31">
        <w:trPr>
          <w:cantSplit/>
          <w:jc w:val="center"/>
        </w:trPr>
        <w:tc>
          <w:tcPr>
            <w:tcW w:w="1269" w:type="pct"/>
            <w:shd w:val="clear" w:color="auto" w:fill="auto"/>
            <w:vAlign w:val="center"/>
          </w:tcPr>
          <w:p w14:paraId="2AD4AD7B" w14:textId="15E81611" w:rsidR="009B00FF" w:rsidRPr="00032882" w:rsidRDefault="009B00FF" w:rsidP="00AE2B31">
            <w:pPr>
              <w:pStyle w:val="TableText0"/>
              <w:keepLines/>
              <w:rPr>
                <w:szCs w:val="20"/>
              </w:rPr>
            </w:pPr>
            <w:r w:rsidRPr="00032882">
              <w:rPr>
                <w:szCs w:val="20"/>
              </w:rPr>
              <w:t>1L MPM with EPP (B)</w:t>
            </w:r>
          </w:p>
        </w:tc>
        <w:tc>
          <w:tcPr>
            <w:tcW w:w="634" w:type="pct"/>
            <w:shd w:val="clear" w:color="auto" w:fill="auto"/>
          </w:tcPr>
          <w:p w14:paraId="3C100C2B" w14:textId="23E6BFC6"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802"/>
                <w14:textFill>
                  <w14:solidFill>
                    <w14:srgbClr w14:val="000000">
                      <w14:alpha w14:val="100000"/>
                    </w14:srgbClr>
                  </w14:solidFill>
                </w14:textFill>
              </w:rPr>
              <w:t xml:space="preserve">　</w:t>
            </w:r>
            <w:r w:rsidRPr="00CA4FD9">
              <w:rPr>
                <w:color w:val="000000"/>
                <w:w w:val="15"/>
                <w:szCs w:val="20"/>
                <w:shd w:val="solid" w:color="000000" w:fill="000000"/>
                <w:fitText w:val="45" w:id="-893751802"/>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802"/>
                <w14:textFill>
                  <w14:solidFill>
                    <w14:srgbClr w14:val="000000">
                      <w14:alpha w14:val="100000"/>
                    </w14:srgbClr>
                  </w14:solidFill>
                </w14:textFill>
              </w:rPr>
              <w:t xml:space="preserve">　</w:t>
            </w:r>
            <w:r w:rsidR="00B81E58" w:rsidRPr="007C6F1B">
              <w:rPr>
                <w:szCs w:val="20"/>
                <w:vertAlign w:val="superscript"/>
              </w:rPr>
              <w:t>1</w:t>
            </w:r>
          </w:p>
        </w:tc>
        <w:tc>
          <w:tcPr>
            <w:tcW w:w="635" w:type="pct"/>
            <w:shd w:val="clear" w:color="auto" w:fill="auto"/>
          </w:tcPr>
          <w:p w14:paraId="4EAFA835" w14:textId="2E565307"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801"/>
                <w14:textFill>
                  <w14:solidFill>
                    <w14:srgbClr w14:val="000000">
                      <w14:alpha w14:val="100000"/>
                    </w14:srgbClr>
                  </w14:solidFill>
                </w14:textFill>
              </w:rPr>
              <w:t xml:space="preserve">　</w:t>
            </w:r>
            <w:r w:rsidRPr="00CA4FD9">
              <w:rPr>
                <w:color w:val="000000"/>
                <w:w w:val="15"/>
                <w:szCs w:val="20"/>
                <w:shd w:val="solid" w:color="000000" w:fill="000000"/>
                <w:fitText w:val="45" w:id="-893751801"/>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801"/>
                <w14:textFill>
                  <w14:solidFill>
                    <w14:srgbClr w14:val="000000">
                      <w14:alpha w14:val="100000"/>
                    </w14:srgbClr>
                  </w14:solidFill>
                </w14:textFill>
              </w:rPr>
              <w:t xml:space="preserve">　</w:t>
            </w:r>
            <w:r w:rsidR="00B81E58" w:rsidRPr="007C6F1B">
              <w:rPr>
                <w:szCs w:val="20"/>
                <w:vertAlign w:val="superscript"/>
              </w:rPr>
              <w:t>1</w:t>
            </w:r>
          </w:p>
        </w:tc>
        <w:tc>
          <w:tcPr>
            <w:tcW w:w="634" w:type="pct"/>
            <w:shd w:val="clear" w:color="auto" w:fill="auto"/>
          </w:tcPr>
          <w:p w14:paraId="43D4EA3F" w14:textId="00157D0F"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800"/>
                <w14:textFill>
                  <w14:solidFill>
                    <w14:srgbClr w14:val="000000">
                      <w14:alpha w14:val="100000"/>
                    </w14:srgbClr>
                  </w14:solidFill>
                </w14:textFill>
              </w:rPr>
              <w:t xml:space="preserve">　</w:t>
            </w:r>
            <w:r w:rsidRPr="00CA4FD9">
              <w:rPr>
                <w:color w:val="000000"/>
                <w:w w:val="15"/>
                <w:szCs w:val="20"/>
                <w:shd w:val="solid" w:color="000000" w:fill="000000"/>
                <w:fitText w:val="45" w:id="-893751800"/>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800"/>
                <w14:textFill>
                  <w14:solidFill>
                    <w14:srgbClr w14:val="000000">
                      <w14:alpha w14:val="100000"/>
                    </w14:srgbClr>
                  </w14:solidFill>
                </w14:textFill>
              </w:rPr>
              <w:t xml:space="preserve">　</w:t>
            </w:r>
            <w:r w:rsidR="00B81E58" w:rsidRPr="007C6F1B">
              <w:rPr>
                <w:szCs w:val="20"/>
                <w:vertAlign w:val="superscript"/>
              </w:rPr>
              <w:t>1</w:t>
            </w:r>
          </w:p>
        </w:tc>
        <w:tc>
          <w:tcPr>
            <w:tcW w:w="635" w:type="pct"/>
            <w:shd w:val="clear" w:color="auto" w:fill="auto"/>
          </w:tcPr>
          <w:p w14:paraId="5A2B496D" w14:textId="3F5006E5"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799"/>
                <w14:textFill>
                  <w14:solidFill>
                    <w14:srgbClr w14:val="000000">
                      <w14:alpha w14:val="100000"/>
                    </w14:srgbClr>
                  </w14:solidFill>
                </w14:textFill>
              </w:rPr>
              <w:t xml:space="preserve">　</w:t>
            </w:r>
            <w:r w:rsidRPr="00CA4FD9">
              <w:rPr>
                <w:color w:val="000000"/>
                <w:w w:val="15"/>
                <w:szCs w:val="20"/>
                <w:shd w:val="solid" w:color="000000" w:fill="000000"/>
                <w:fitText w:val="45" w:id="-893751799"/>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799"/>
                <w14:textFill>
                  <w14:solidFill>
                    <w14:srgbClr w14:val="000000">
                      <w14:alpha w14:val="100000"/>
                    </w14:srgbClr>
                  </w14:solidFill>
                </w14:textFill>
              </w:rPr>
              <w:t xml:space="preserve">　</w:t>
            </w:r>
            <w:r w:rsidR="00B81E58" w:rsidRPr="007C6F1B">
              <w:rPr>
                <w:szCs w:val="20"/>
                <w:vertAlign w:val="superscript"/>
              </w:rPr>
              <w:t>1</w:t>
            </w:r>
          </w:p>
        </w:tc>
        <w:tc>
          <w:tcPr>
            <w:tcW w:w="634" w:type="pct"/>
            <w:shd w:val="clear" w:color="auto" w:fill="auto"/>
          </w:tcPr>
          <w:p w14:paraId="49ACD2EF" w14:textId="5C5F1068"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798"/>
                <w14:textFill>
                  <w14:solidFill>
                    <w14:srgbClr w14:val="000000">
                      <w14:alpha w14:val="100000"/>
                    </w14:srgbClr>
                  </w14:solidFill>
                </w14:textFill>
              </w:rPr>
              <w:t xml:space="preserve">　</w:t>
            </w:r>
            <w:r w:rsidRPr="00CA4FD9">
              <w:rPr>
                <w:color w:val="000000"/>
                <w:w w:val="15"/>
                <w:szCs w:val="20"/>
                <w:shd w:val="solid" w:color="000000" w:fill="000000"/>
                <w:fitText w:val="45" w:id="-893751798"/>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798"/>
                <w14:textFill>
                  <w14:solidFill>
                    <w14:srgbClr w14:val="000000">
                      <w14:alpha w14:val="100000"/>
                    </w14:srgbClr>
                  </w14:solidFill>
                </w14:textFill>
              </w:rPr>
              <w:t xml:space="preserve">　</w:t>
            </w:r>
            <w:r w:rsidR="00B81E58" w:rsidRPr="007C6F1B">
              <w:rPr>
                <w:szCs w:val="20"/>
                <w:vertAlign w:val="superscript"/>
              </w:rPr>
              <w:t>1</w:t>
            </w:r>
          </w:p>
        </w:tc>
        <w:tc>
          <w:tcPr>
            <w:tcW w:w="559" w:type="pct"/>
          </w:tcPr>
          <w:p w14:paraId="0624E9BA" w14:textId="5D0DBD38" w:rsidR="009B00FF" w:rsidRPr="00A366EE" w:rsidRDefault="00CA4FD9" w:rsidP="00AE2B31">
            <w:pPr>
              <w:pStyle w:val="TableText0"/>
              <w:keepLines/>
              <w:jc w:val="center"/>
              <w:rPr>
                <w:color w:val="000000"/>
                <w:szCs w:val="20"/>
                <w:highlight w:val="lightGray"/>
              </w:rPr>
            </w:pPr>
            <w:r w:rsidRPr="00CA4FD9">
              <w:rPr>
                <w:rFonts w:hint="eastAsia"/>
                <w:color w:val="000000"/>
                <w:w w:val="23"/>
                <w:szCs w:val="20"/>
                <w:shd w:val="solid" w:color="000000" w:fill="000000"/>
                <w:fitText w:val="105" w:id="-893751797"/>
                <w14:textFill>
                  <w14:solidFill>
                    <w14:srgbClr w14:val="000000">
                      <w14:alpha w14:val="100000"/>
                    </w14:srgbClr>
                  </w14:solidFill>
                </w14:textFill>
              </w:rPr>
              <w:t xml:space="preserve">　</w:t>
            </w:r>
            <w:r w:rsidRPr="00CA4FD9">
              <w:rPr>
                <w:color w:val="000000"/>
                <w:w w:val="23"/>
                <w:szCs w:val="20"/>
                <w:shd w:val="solid" w:color="000000" w:fill="000000"/>
                <w:fitText w:val="105" w:id="-893751797"/>
                <w14:textFill>
                  <w14:solidFill>
                    <w14:srgbClr w14:val="000000">
                      <w14:alpha w14:val="100000"/>
                    </w14:srgbClr>
                  </w14:solidFill>
                </w14:textFill>
              </w:rPr>
              <w:t>|</w:t>
            </w:r>
            <w:r w:rsidRPr="00CA4FD9">
              <w:rPr>
                <w:rFonts w:hint="eastAsia"/>
                <w:color w:val="000000"/>
                <w:spacing w:val="4"/>
                <w:w w:val="23"/>
                <w:szCs w:val="20"/>
                <w:shd w:val="solid" w:color="000000" w:fill="000000"/>
                <w:fitText w:val="105" w:id="-893751797"/>
                <w14:textFill>
                  <w14:solidFill>
                    <w14:srgbClr w14:val="000000">
                      <w14:alpha w14:val="100000"/>
                    </w14:srgbClr>
                  </w14:solidFill>
                </w14:textFill>
              </w:rPr>
              <w:t xml:space="preserve">　</w:t>
            </w:r>
            <w:r w:rsidR="00B81E58" w:rsidRPr="007C6F1B">
              <w:rPr>
                <w:szCs w:val="20"/>
                <w:vertAlign w:val="superscript"/>
              </w:rPr>
              <w:t>1</w:t>
            </w:r>
          </w:p>
        </w:tc>
      </w:tr>
      <w:tr w:rsidR="000E1AFC" w:rsidRPr="00032882" w14:paraId="5A061BD1" w14:textId="77777777" w:rsidTr="00AE2B31">
        <w:trPr>
          <w:cantSplit/>
          <w:jc w:val="center"/>
        </w:trPr>
        <w:tc>
          <w:tcPr>
            <w:tcW w:w="1269" w:type="pct"/>
            <w:shd w:val="clear" w:color="auto" w:fill="auto"/>
            <w:vAlign w:val="center"/>
          </w:tcPr>
          <w:p w14:paraId="34302E28" w14:textId="5D6E04D0" w:rsidR="009B00FF" w:rsidRPr="00032882" w:rsidRDefault="009B00FF" w:rsidP="00AE2B31">
            <w:pPr>
              <w:pStyle w:val="TableText0"/>
              <w:keepLines/>
              <w:rPr>
                <w:szCs w:val="20"/>
              </w:rPr>
            </w:pPr>
            <w:r w:rsidRPr="00032882">
              <w:rPr>
                <w:szCs w:val="20"/>
              </w:rPr>
              <w:t>1L MPM Total (C)</w:t>
            </w:r>
          </w:p>
        </w:tc>
        <w:tc>
          <w:tcPr>
            <w:tcW w:w="634" w:type="pct"/>
            <w:shd w:val="clear" w:color="auto" w:fill="auto"/>
          </w:tcPr>
          <w:p w14:paraId="37678C93" w14:textId="0F2D99DB"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796"/>
                <w14:textFill>
                  <w14:solidFill>
                    <w14:srgbClr w14:val="000000">
                      <w14:alpha w14:val="100000"/>
                    </w14:srgbClr>
                  </w14:solidFill>
                </w14:textFill>
              </w:rPr>
              <w:t xml:space="preserve">　</w:t>
            </w:r>
            <w:r w:rsidRPr="00CA4FD9">
              <w:rPr>
                <w:color w:val="000000"/>
                <w:w w:val="15"/>
                <w:szCs w:val="20"/>
                <w:shd w:val="solid" w:color="000000" w:fill="000000"/>
                <w:fitText w:val="45" w:id="-893751796"/>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796"/>
                <w14:textFill>
                  <w14:solidFill>
                    <w14:srgbClr w14:val="000000">
                      <w14:alpha w14:val="100000"/>
                    </w14:srgbClr>
                  </w14:solidFill>
                </w14:textFill>
              </w:rPr>
              <w:t xml:space="preserve">　</w:t>
            </w:r>
            <w:r w:rsidR="00B81E58" w:rsidRPr="007C6F1B">
              <w:rPr>
                <w:szCs w:val="20"/>
                <w:vertAlign w:val="superscript"/>
              </w:rPr>
              <w:t>1</w:t>
            </w:r>
          </w:p>
        </w:tc>
        <w:tc>
          <w:tcPr>
            <w:tcW w:w="635" w:type="pct"/>
            <w:shd w:val="clear" w:color="auto" w:fill="auto"/>
          </w:tcPr>
          <w:p w14:paraId="1A88A74A" w14:textId="6D570137"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795"/>
                <w14:textFill>
                  <w14:solidFill>
                    <w14:srgbClr w14:val="000000">
                      <w14:alpha w14:val="100000"/>
                    </w14:srgbClr>
                  </w14:solidFill>
                </w14:textFill>
              </w:rPr>
              <w:t xml:space="preserve">　</w:t>
            </w:r>
            <w:r w:rsidRPr="00CA4FD9">
              <w:rPr>
                <w:color w:val="000000"/>
                <w:w w:val="15"/>
                <w:szCs w:val="20"/>
                <w:shd w:val="solid" w:color="000000" w:fill="000000"/>
                <w:fitText w:val="45" w:id="-893751795"/>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795"/>
                <w14:textFill>
                  <w14:solidFill>
                    <w14:srgbClr w14:val="000000">
                      <w14:alpha w14:val="100000"/>
                    </w14:srgbClr>
                  </w14:solidFill>
                </w14:textFill>
              </w:rPr>
              <w:t xml:space="preserve">　</w:t>
            </w:r>
            <w:r w:rsidR="00B81E58" w:rsidRPr="007C6F1B">
              <w:rPr>
                <w:szCs w:val="20"/>
                <w:vertAlign w:val="superscript"/>
              </w:rPr>
              <w:t>1</w:t>
            </w:r>
          </w:p>
        </w:tc>
        <w:tc>
          <w:tcPr>
            <w:tcW w:w="634" w:type="pct"/>
            <w:shd w:val="clear" w:color="auto" w:fill="auto"/>
          </w:tcPr>
          <w:p w14:paraId="07868B17" w14:textId="448CD5C2"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794"/>
                <w14:textFill>
                  <w14:solidFill>
                    <w14:srgbClr w14:val="000000">
                      <w14:alpha w14:val="100000"/>
                    </w14:srgbClr>
                  </w14:solidFill>
                </w14:textFill>
              </w:rPr>
              <w:t xml:space="preserve">　</w:t>
            </w:r>
            <w:r w:rsidRPr="00CA4FD9">
              <w:rPr>
                <w:color w:val="000000"/>
                <w:w w:val="15"/>
                <w:szCs w:val="20"/>
                <w:shd w:val="solid" w:color="000000" w:fill="000000"/>
                <w:fitText w:val="45" w:id="-893751794"/>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794"/>
                <w14:textFill>
                  <w14:solidFill>
                    <w14:srgbClr w14:val="000000">
                      <w14:alpha w14:val="100000"/>
                    </w14:srgbClr>
                  </w14:solidFill>
                </w14:textFill>
              </w:rPr>
              <w:t xml:space="preserve">　</w:t>
            </w:r>
            <w:r w:rsidR="00B81E58" w:rsidRPr="007C6F1B">
              <w:rPr>
                <w:szCs w:val="20"/>
                <w:vertAlign w:val="superscript"/>
              </w:rPr>
              <w:t>1</w:t>
            </w:r>
          </w:p>
        </w:tc>
        <w:tc>
          <w:tcPr>
            <w:tcW w:w="635" w:type="pct"/>
            <w:shd w:val="clear" w:color="auto" w:fill="auto"/>
          </w:tcPr>
          <w:p w14:paraId="4F92B697" w14:textId="33D18EB7"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793"/>
                <w14:textFill>
                  <w14:solidFill>
                    <w14:srgbClr w14:val="000000">
                      <w14:alpha w14:val="100000"/>
                    </w14:srgbClr>
                  </w14:solidFill>
                </w14:textFill>
              </w:rPr>
              <w:t xml:space="preserve">　</w:t>
            </w:r>
            <w:r w:rsidRPr="00CA4FD9">
              <w:rPr>
                <w:color w:val="000000"/>
                <w:w w:val="15"/>
                <w:szCs w:val="20"/>
                <w:shd w:val="solid" w:color="000000" w:fill="000000"/>
                <w:fitText w:val="45" w:id="-893751793"/>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793"/>
                <w14:textFill>
                  <w14:solidFill>
                    <w14:srgbClr w14:val="000000">
                      <w14:alpha w14:val="100000"/>
                    </w14:srgbClr>
                  </w14:solidFill>
                </w14:textFill>
              </w:rPr>
              <w:t xml:space="preserve">　</w:t>
            </w:r>
            <w:r w:rsidR="00B81E58" w:rsidRPr="007C6F1B">
              <w:rPr>
                <w:szCs w:val="20"/>
                <w:vertAlign w:val="superscript"/>
              </w:rPr>
              <w:t>1</w:t>
            </w:r>
          </w:p>
        </w:tc>
        <w:tc>
          <w:tcPr>
            <w:tcW w:w="634" w:type="pct"/>
            <w:shd w:val="clear" w:color="auto" w:fill="auto"/>
          </w:tcPr>
          <w:p w14:paraId="4A739266" w14:textId="13449C51" w:rsidR="009B00FF"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792"/>
                <w14:textFill>
                  <w14:solidFill>
                    <w14:srgbClr w14:val="000000">
                      <w14:alpha w14:val="100000"/>
                    </w14:srgbClr>
                  </w14:solidFill>
                </w14:textFill>
              </w:rPr>
              <w:t xml:space="preserve">　</w:t>
            </w:r>
            <w:r w:rsidRPr="00CA4FD9">
              <w:rPr>
                <w:color w:val="000000"/>
                <w:w w:val="15"/>
                <w:szCs w:val="20"/>
                <w:shd w:val="solid" w:color="000000" w:fill="000000"/>
                <w:fitText w:val="45" w:id="-893751792"/>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792"/>
                <w14:textFill>
                  <w14:solidFill>
                    <w14:srgbClr w14:val="000000">
                      <w14:alpha w14:val="100000"/>
                    </w14:srgbClr>
                  </w14:solidFill>
                </w14:textFill>
              </w:rPr>
              <w:t xml:space="preserve">　</w:t>
            </w:r>
            <w:r w:rsidR="00B81E58" w:rsidRPr="007C6F1B">
              <w:rPr>
                <w:szCs w:val="20"/>
                <w:vertAlign w:val="superscript"/>
              </w:rPr>
              <w:t>1</w:t>
            </w:r>
          </w:p>
        </w:tc>
        <w:tc>
          <w:tcPr>
            <w:tcW w:w="559" w:type="pct"/>
          </w:tcPr>
          <w:p w14:paraId="4EC44133" w14:textId="26771934" w:rsidR="009B00FF" w:rsidRPr="00A366EE" w:rsidRDefault="00CA4FD9" w:rsidP="00AE2B31">
            <w:pPr>
              <w:pStyle w:val="TableText0"/>
              <w:keepLines/>
              <w:jc w:val="center"/>
              <w:rPr>
                <w:color w:val="000000"/>
                <w:szCs w:val="20"/>
                <w:highlight w:val="lightGray"/>
              </w:rPr>
            </w:pPr>
            <w:r w:rsidRPr="00CA4FD9">
              <w:rPr>
                <w:rFonts w:hint="eastAsia"/>
                <w:color w:val="000000"/>
                <w:w w:val="23"/>
                <w:szCs w:val="20"/>
                <w:shd w:val="solid" w:color="000000" w:fill="000000"/>
                <w:fitText w:val="105" w:id="-893751808"/>
                <w14:textFill>
                  <w14:solidFill>
                    <w14:srgbClr w14:val="000000">
                      <w14:alpha w14:val="100000"/>
                    </w14:srgbClr>
                  </w14:solidFill>
                </w14:textFill>
              </w:rPr>
              <w:t xml:space="preserve">　</w:t>
            </w:r>
            <w:r w:rsidRPr="00CA4FD9">
              <w:rPr>
                <w:color w:val="000000"/>
                <w:w w:val="23"/>
                <w:szCs w:val="20"/>
                <w:shd w:val="solid" w:color="000000" w:fill="000000"/>
                <w:fitText w:val="105" w:id="-893751808"/>
                <w14:textFill>
                  <w14:solidFill>
                    <w14:srgbClr w14:val="000000">
                      <w14:alpha w14:val="100000"/>
                    </w14:srgbClr>
                  </w14:solidFill>
                </w14:textFill>
              </w:rPr>
              <w:t>|</w:t>
            </w:r>
            <w:r w:rsidRPr="00CA4FD9">
              <w:rPr>
                <w:rFonts w:hint="eastAsia"/>
                <w:color w:val="000000"/>
                <w:spacing w:val="4"/>
                <w:w w:val="23"/>
                <w:szCs w:val="20"/>
                <w:shd w:val="solid" w:color="000000" w:fill="000000"/>
                <w:fitText w:val="105" w:id="-893751808"/>
                <w14:textFill>
                  <w14:solidFill>
                    <w14:srgbClr w14:val="000000">
                      <w14:alpha w14:val="100000"/>
                    </w14:srgbClr>
                  </w14:solidFill>
                </w14:textFill>
              </w:rPr>
              <w:t xml:space="preserve">　</w:t>
            </w:r>
            <w:r w:rsidR="00B81E58" w:rsidRPr="007C6F1B">
              <w:rPr>
                <w:szCs w:val="20"/>
                <w:vertAlign w:val="superscript"/>
              </w:rPr>
              <w:t>1</w:t>
            </w:r>
          </w:p>
        </w:tc>
      </w:tr>
      <w:tr w:rsidR="000E1AFC" w:rsidRPr="00032882" w14:paraId="5D4B879C" w14:textId="77777777" w:rsidTr="00AE2B31">
        <w:trPr>
          <w:cantSplit/>
          <w:jc w:val="center"/>
        </w:trPr>
        <w:tc>
          <w:tcPr>
            <w:tcW w:w="1269" w:type="pct"/>
            <w:shd w:val="clear" w:color="auto" w:fill="auto"/>
            <w:vAlign w:val="center"/>
          </w:tcPr>
          <w:p w14:paraId="3D1A83AD" w14:textId="09362191" w:rsidR="00361481" w:rsidRPr="00032882" w:rsidRDefault="00361481" w:rsidP="00AE2B31">
            <w:pPr>
              <w:pStyle w:val="TableText0"/>
              <w:keepLines/>
              <w:rPr>
                <w:szCs w:val="20"/>
              </w:rPr>
            </w:pPr>
            <w:r w:rsidRPr="00032882">
              <w:rPr>
                <w:szCs w:val="20"/>
              </w:rPr>
              <w:t>2L MPM (D)</w:t>
            </w:r>
          </w:p>
        </w:tc>
        <w:tc>
          <w:tcPr>
            <w:tcW w:w="634" w:type="pct"/>
            <w:shd w:val="clear" w:color="auto" w:fill="auto"/>
            <w:vAlign w:val="center"/>
          </w:tcPr>
          <w:p w14:paraId="3D3A69E7" w14:textId="1B9C91D1" w:rsidR="00361481" w:rsidRPr="00A366EE" w:rsidRDefault="00CA4FD9"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807"/>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807"/>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807"/>
                <w14:textFill>
                  <w14:solidFill>
                    <w14:srgbClr w14:val="000000">
                      <w14:alpha w14:val="100000"/>
                    </w14:srgbClr>
                  </w14:solidFill>
                </w14:textFill>
              </w:rPr>
              <w:t xml:space="preserve">　</w:t>
            </w:r>
            <w:r w:rsidR="00B81E58" w:rsidRPr="007C6F1B">
              <w:rPr>
                <w:szCs w:val="20"/>
                <w:vertAlign w:val="superscript"/>
              </w:rPr>
              <w:t>1</w:t>
            </w:r>
          </w:p>
        </w:tc>
        <w:tc>
          <w:tcPr>
            <w:tcW w:w="635" w:type="pct"/>
            <w:shd w:val="clear" w:color="auto" w:fill="auto"/>
            <w:vAlign w:val="center"/>
          </w:tcPr>
          <w:p w14:paraId="04FD8588" w14:textId="43E90225" w:rsidR="00361481" w:rsidRPr="00032882" w:rsidRDefault="00361481" w:rsidP="00AE2B31">
            <w:pPr>
              <w:pStyle w:val="TableText0"/>
              <w:keepLines/>
              <w:jc w:val="center"/>
              <w:rPr>
                <w:color w:val="000000"/>
                <w:szCs w:val="20"/>
              </w:rPr>
            </w:pPr>
            <w:r w:rsidRPr="00032882">
              <w:rPr>
                <w:color w:val="000000"/>
                <w:szCs w:val="20"/>
              </w:rPr>
              <w:t>-</w:t>
            </w:r>
          </w:p>
        </w:tc>
        <w:tc>
          <w:tcPr>
            <w:tcW w:w="634" w:type="pct"/>
            <w:shd w:val="clear" w:color="auto" w:fill="auto"/>
            <w:vAlign w:val="center"/>
          </w:tcPr>
          <w:p w14:paraId="0CF8783E" w14:textId="10E2A5AA" w:rsidR="00361481" w:rsidRPr="00032882" w:rsidRDefault="00361481" w:rsidP="00AE2B31">
            <w:pPr>
              <w:pStyle w:val="TableText0"/>
              <w:keepLines/>
              <w:jc w:val="center"/>
              <w:rPr>
                <w:color w:val="000000"/>
                <w:szCs w:val="20"/>
              </w:rPr>
            </w:pPr>
            <w:r w:rsidRPr="00032882">
              <w:rPr>
                <w:color w:val="000000"/>
                <w:szCs w:val="20"/>
              </w:rPr>
              <w:t>-</w:t>
            </w:r>
          </w:p>
        </w:tc>
        <w:tc>
          <w:tcPr>
            <w:tcW w:w="635" w:type="pct"/>
            <w:shd w:val="clear" w:color="auto" w:fill="auto"/>
            <w:vAlign w:val="center"/>
          </w:tcPr>
          <w:p w14:paraId="3329A117" w14:textId="61FA2D5E" w:rsidR="00361481" w:rsidRPr="00032882" w:rsidRDefault="00361481" w:rsidP="00AE2B31">
            <w:pPr>
              <w:pStyle w:val="TableText0"/>
              <w:keepLines/>
              <w:jc w:val="center"/>
              <w:rPr>
                <w:color w:val="000000"/>
                <w:szCs w:val="20"/>
              </w:rPr>
            </w:pPr>
            <w:r w:rsidRPr="00032882">
              <w:rPr>
                <w:color w:val="000000"/>
                <w:szCs w:val="20"/>
              </w:rPr>
              <w:t>-</w:t>
            </w:r>
          </w:p>
        </w:tc>
        <w:tc>
          <w:tcPr>
            <w:tcW w:w="634" w:type="pct"/>
            <w:shd w:val="clear" w:color="auto" w:fill="auto"/>
            <w:vAlign w:val="center"/>
          </w:tcPr>
          <w:p w14:paraId="5F15BC88" w14:textId="55AB5B58" w:rsidR="00361481" w:rsidRPr="00032882" w:rsidRDefault="00361481" w:rsidP="00AE2B31">
            <w:pPr>
              <w:pStyle w:val="TableText0"/>
              <w:keepLines/>
              <w:jc w:val="center"/>
              <w:rPr>
                <w:color w:val="000000"/>
                <w:szCs w:val="20"/>
              </w:rPr>
            </w:pPr>
            <w:r w:rsidRPr="00032882">
              <w:rPr>
                <w:color w:val="000000"/>
                <w:szCs w:val="20"/>
              </w:rPr>
              <w:t>-</w:t>
            </w:r>
          </w:p>
        </w:tc>
        <w:tc>
          <w:tcPr>
            <w:tcW w:w="559" w:type="pct"/>
            <w:vAlign w:val="center"/>
          </w:tcPr>
          <w:p w14:paraId="5FEE8AB1" w14:textId="29DC23E6" w:rsidR="00361481" w:rsidRPr="00032882" w:rsidRDefault="00361481" w:rsidP="00AE2B31">
            <w:pPr>
              <w:pStyle w:val="TableText0"/>
              <w:keepLines/>
              <w:jc w:val="center"/>
              <w:rPr>
                <w:color w:val="000000"/>
                <w:szCs w:val="20"/>
              </w:rPr>
            </w:pPr>
            <w:r w:rsidRPr="00032882">
              <w:rPr>
                <w:color w:val="000000"/>
                <w:szCs w:val="20"/>
              </w:rPr>
              <w:t>-</w:t>
            </w:r>
          </w:p>
        </w:tc>
      </w:tr>
      <w:tr w:rsidR="000E1AFC" w:rsidRPr="00032882" w14:paraId="242E781D" w14:textId="77777777" w:rsidTr="00AE2B31">
        <w:trPr>
          <w:cantSplit/>
          <w:jc w:val="center"/>
        </w:trPr>
        <w:tc>
          <w:tcPr>
            <w:tcW w:w="1269" w:type="pct"/>
            <w:shd w:val="clear" w:color="auto" w:fill="auto"/>
            <w:vAlign w:val="center"/>
          </w:tcPr>
          <w:p w14:paraId="65C46F45" w14:textId="28A62BB2" w:rsidR="00C23F26" w:rsidRPr="00032882" w:rsidRDefault="00C23F26" w:rsidP="00AE2B31">
            <w:pPr>
              <w:pStyle w:val="TableText0"/>
              <w:keepLines/>
              <w:rPr>
                <w:b/>
                <w:bCs w:val="0"/>
                <w:szCs w:val="20"/>
              </w:rPr>
            </w:pPr>
            <w:r w:rsidRPr="00032882">
              <w:rPr>
                <w:b/>
                <w:bCs w:val="0"/>
                <w:szCs w:val="20"/>
              </w:rPr>
              <w:t>Total patients 1L+2L (C+D)</w:t>
            </w:r>
          </w:p>
        </w:tc>
        <w:tc>
          <w:tcPr>
            <w:tcW w:w="634" w:type="pct"/>
            <w:shd w:val="clear" w:color="auto" w:fill="auto"/>
            <w:vAlign w:val="center"/>
          </w:tcPr>
          <w:p w14:paraId="3BED8ACD" w14:textId="7BB62D69" w:rsidR="00C23F26" w:rsidRPr="00A366EE" w:rsidRDefault="00CA4FD9" w:rsidP="00AE2B31">
            <w:pPr>
              <w:pStyle w:val="TableText0"/>
              <w:keepLines/>
              <w:jc w:val="center"/>
              <w:rPr>
                <w:b/>
                <w:bCs w:val="0"/>
                <w:color w:val="000000"/>
                <w:szCs w:val="20"/>
                <w:highlight w:val="lightGray"/>
              </w:rPr>
            </w:pPr>
            <w:r w:rsidRPr="00CA4FD9">
              <w:rPr>
                <w:rFonts w:hint="eastAsia"/>
                <w:b/>
                <w:bCs w:val="0"/>
                <w:color w:val="000000"/>
                <w:w w:val="20"/>
                <w:szCs w:val="20"/>
                <w:shd w:val="solid" w:color="000000" w:fill="000000"/>
                <w:fitText w:val="90" w:id="-893751806"/>
                <w14:textFill>
                  <w14:solidFill>
                    <w14:srgbClr w14:val="000000">
                      <w14:alpha w14:val="100000"/>
                    </w14:srgbClr>
                  </w14:solidFill>
                </w14:textFill>
              </w:rPr>
              <w:t xml:space="preserve">　</w:t>
            </w:r>
            <w:r w:rsidRPr="00CA4FD9">
              <w:rPr>
                <w:b/>
                <w:bCs w:val="0"/>
                <w:color w:val="000000"/>
                <w:w w:val="20"/>
                <w:szCs w:val="20"/>
                <w:shd w:val="solid" w:color="000000" w:fill="000000"/>
                <w:fitText w:val="90" w:id="-893751806"/>
                <w14:textFill>
                  <w14:solidFill>
                    <w14:srgbClr w14:val="000000">
                      <w14:alpha w14:val="100000"/>
                    </w14:srgbClr>
                  </w14:solidFill>
                </w14:textFill>
              </w:rPr>
              <w:t>|</w:t>
            </w:r>
            <w:r w:rsidRPr="00CA4FD9">
              <w:rPr>
                <w:rFonts w:hint="eastAsia"/>
                <w:b/>
                <w:bCs w:val="0"/>
                <w:color w:val="000000"/>
                <w:spacing w:val="2"/>
                <w:w w:val="20"/>
                <w:szCs w:val="20"/>
                <w:shd w:val="solid" w:color="000000" w:fill="000000"/>
                <w:fitText w:val="90" w:id="-893751806"/>
                <w14:textFill>
                  <w14:solidFill>
                    <w14:srgbClr w14:val="000000">
                      <w14:alpha w14:val="100000"/>
                    </w14:srgbClr>
                  </w14:solidFill>
                </w14:textFill>
              </w:rPr>
              <w:t xml:space="preserve">　</w:t>
            </w:r>
            <w:r w:rsidR="00B81E58" w:rsidRPr="00A366EE">
              <w:rPr>
                <w:b/>
                <w:bCs w:val="0"/>
                <w:color w:val="000000"/>
                <w:szCs w:val="20"/>
                <w:vertAlign w:val="superscript"/>
              </w:rPr>
              <w:t>2</w:t>
            </w:r>
          </w:p>
        </w:tc>
        <w:tc>
          <w:tcPr>
            <w:tcW w:w="635" w:type="pct"/>
            <w:shd w:val="clear" w:color="auto" w:fill="auto"/>
          </w:tcPr>
          <w:p w14:paraId="22F2A10F" w14:textId="266F82DB" w:rsidR="00C23F26" w:rsidRPr="00A366EE" w:rsidRDefault="00CA4FD9" w:rsidP="00AE2B31">
            <w:pPr>
              <w:pStyle w:val="TableText0"/>
              <w:keepLines/>
              <w:jc w:val="center"/>
              <w:rPr>
                <w:b/>
                <w:bCs w:val="0"/>
                <w:color w:val="000000"/>
                <w:szCs w:val="20"/>
                <w:highlight w:val="lightGray"/>
              </w:rPr>
            </w:pPr>
            <w:r w:rsidRPr="00CA4FD9">
              <w:rPr>
                <w:rFonts w:hint="eastAsia"/>
                <w:b/>
                <w:bCs w:val="0"/>
                <w:color w:val="000000"/>
                <w:w w:val="20"/>
                <w:szCs w:val="20"/>
                <w:shd w:val="solid" w:color="000000" w:fill="000000"/>
                <w:fitText w:val="90" w:id="-893751805"/>
                <w14:textFill>
                  <w14:solidFill>
                    <w14:srgbClr w14:val="000000">
                      <w14:alpha w14:val="100000"/>
                    </w14:srgbClr>
                  </w14:solidFill>
                </w14:textFill>
              </w:rPr>
              <w:t xml:space="preserve">　</w:t>
            </w:r>
            <w:r w:rsidRPr="00CA4FD9">
              <w:rPr>
                <w:b/>
                <w:bCs w:val="0"/>
                <w:color w:val="000000"/>
                <w:w w:val="20"/>
                <w:szCs w:val="20"/>
                <w:shd w:val="solid" w:color="000000" w:fill="000000"/>
                <w:fitText w:val="90" w:id="-893751805"/>
                <w14:textFill>
                  <w14:solidFill>
                    <w14:srgbClr w14:val="000000">
                      <w14:alpha w14:val="100000"/>
                    </w14:srgbClr>
                  </w14:solidFill>
                </w14:textFill>
              </w:rPr>
              <w:t>|</w:t>
            </w:r>
            <w:r w:rsidRPr="00CA4FD9">
              <w:rPr>
                <w:rFonts w:hint="eastAsia"/>
                <w:b/>
                <w:bCs w:val="0"/>
                <w:color w:val="000000"/>
                <w:spacing w:val="2"/>
                <w:w w:val="20"/>
                <w:szCs w:val="20"/>
                <w:shd w:val="solid" w:color="000000" w:fill="000000"/>
                <w:fitText w:val="90" w:id="-893751805"/>
                <w14:textFill>
                  <w14:solidFill>
                    <w14:srgbClr w14:val="000000">
                      <w14:alpha w14:val="100000"/>
                    </w14:srgbClr>
                  </w14:solidFill>
                </w14:textFill>
              </w:rPr>
              <w:t xml:space="preserve">　</w:t>
            </w:r>
            <w:r w:rsidR="00B81E58" w:rsidRPr="007C6F1B">
              <w:rPr>
                <w:szCs w:val="20"/>
                <w:vertAlign w:val="superscript"/>
              </w:rPr>
              <w:t>1</w:t>
            </w:r>
          </w:p>
        </w:tc>
        <w:tc>
          <w:tcPr>
            <w:tcW w:w="634" w:type="pct"/>
            <w:shd w:val="clear" w:color="auto" w:fill="auto"/>
          </w:tcPr>
          <w:p w14:paraId="511973F8" w14:textId="28A2A4B4" w:rsidR="00C23F26" w:rsidRPr="00A366EE" w:rsidRDefault="00CA4FD9" w:rsidP="00AE2B31">
            <w:pPr>
              <w:pStyle w:val="TableText0"/>
              <w:keepLines/>
              <w:jc w:val="center"/>
              <w:rPr>
                <w:b/>
                <w:bCs w:val="0"/>
                <w:color w:val="000000"/>
                <w:szCs w:val="20"/>
                <w:highlight w:val="lightGray"/>
              </w:rPr>
            </w:pPr>
            <w:r w:rsidRPr="00CA4FD9">
              <w:rPr>
                <w:rFonts w:hint="eastAsia"/>
                <w:b/>
                <w:bCs w:val="0"/>
                <w:color w:val="000000"/>
                <w:w w:val="20"/>
                <w:szCs w:val="20"/>
                <w:shd w:val="solid" w:color="000000" w:fill="000000"/>
                <w:fitText w:val="90" w:id="-893751552"/>
                <w14:textFill>
                  <w14:solidFill>
                    <w14:srgbClr w14:val="000000">
                      <w14:alpha w14:val="100000"/>
                    </w14:srgbClr>
                  </w14:solidFill>
                </w14:textFill>
              </w:rPr>
              <w:t xml:space="preserve">　</w:t>
            </w:r>
            <w:r w:rsidRPr="00CA4FD9">
              <w:rPr>
                <w:b/>
                <w:bCs w:val="0"/>
                <w:color w:val="000000"/>
                <w:w w:val="20"/>
                <w:szCs w:val="20"/>
                <w:shd w:val="solid" w:color="000000" w:fill="000000"/>
                <w:fitText w:val="90" w:id="-893751552"/>
                <w14:textFill>
                  <w14:solidFill>
                    <w14:srgbClr w14:val="000000">
                      <w14:alpha w14:val="100000"/>
                    </w14:srgbClr>
                  </w14:solidFill>
                </w14:textFill>
              </w:rPr>
              <w:t>|</w:t>
            </w:r>
            <w:r w:rsidRPr="00CA4FD9">
              <w:rPr>
                <w:rFonts w:hint="eastAsia"/>
                <w:b/>
                <w:bCs w:val="0"/>
                <w:color w:val="000000"/>
                <w:spacing w:val="2"/>
                <w:w w:val="20"/>
                <w:szCs w:val="20"/>
                <w:shd w:val="solid" w:color="000000" w:fill="000000"/>
                <w:fitText w:val="90" w:id="-893751552"/>
                <w14:textFill>
                  <w14:solidFill>
                    <w14:srgbClr w14:val="000000">
                      <w14:alpha w14:val="100000"/>
                    </w14:srgbClr>
                  </w14:solidFill>
                </w14:textFill>
              </w:rPr>
              <w:t xml:space="preserve">　</w:t>
            </w:r>
            <w:r w:rsidR="00B81E58" w:rsidRPr="007C6F1B">
              <w:rPr>
                <w:szCs w:val="20"/>
                <w:vertAlign w:val="superscript"/>
              </w:rPr>
              <w:t>1</w:t>
            </w:r>
          </w:p>
        </w:tc>
        <w:tc>
          <w:tcPr>
            <w:tcW w:w="635" w:type="pct"/>
            <w:shd w:val="clear" w:color="auto" w:fill="auto"/>
          </w:tcPr>
          <w:p w14:paraId="5882E1C9" w14:textId="34F62084" w:rsidR="00C23F26" w:rsidRPr="00A366EE" w:rsidRDefault="00CA4FD9" w:rsidP="00AE2B31">
            <w:pPr>
              <w:pStyle w:val="TableText0"/>
              <w:keepLines/>
              <w:jc w:val="center"/>
              <w:rPr>
                <w:b/>
                <w:bCs w:val="0"/>
                <w:color w:val="000000"/>
                <w:szCs w:val="20"/>
                <w:highlight w:val="lightGray"/>
              </w:rPr>
            </w:pPr>
            <w:r w:rsidRPr="00CA4FD9">
              <w:rPr>
                <w:rFonts w:hint="eastAsia"/>
                <w:b/>
                <w:bCs w:val="0"/>
                <w:color w:val="000000"/>
                <w:w w:val="20"/>
                <w:szCs w:val="20"/>
                <w:shd w:val="solid" w:color="000000" w:fill="000000"/>
                <w:fitText w:val="90" w:id="-893751551"/>
                <w14:textFill>
                  <w14:solidFill>
                    <w14:srgbClr w14:val="000000">
                      <w14:alpha w14:val="100000"/>
                    </w14:srgbClr>
                  </w14:solidFill>
                </w14:textFill>
              </w:rPr>
              <w:t xml:space="preserve">　</w:t>
            </w:r>
            <w:r w:rsidRPr="00CA4FD9">
              <w:rPr>
                <w:b/>
                <w:bCs w:val="0"/>
                <w:color w:val="000000"/>
                <w:w w:val="20"/>
                <w:szCs w:val="20"/>
                <w:shd w:val="solid" w:color="000000" w:fill="000000"/>
                <w:fitText w:val="90" w:id="-893751551"/>
                <w14:textFill>
                  <w14:solidFill>
                    <w14:srgbClr w14:val="000000">
                      <w14:alpha w14:val="100000"/>
                    </w14:srgbClr>
                  </w14:solidFill>
                </w14:textFill>
              </w:rPr>
              <w:t>|</w:t>
            </w:r>
            <w:r w:rsidRPr="00CA4FD9">
              <w:rPr>
                <w:rFonts w:hint="eastAsia"/>
                <w:b/>
                <w:bCs w:val="0"/>
                <w:color w:val="000000"/>
                <w:spacing w:val="2"/>
                <w:w w:val="20"/>
                <w:szCs w:val="20"/>
                <w:shd w:val="solid" w:color="000000" w:fill="000000"/>
                <w:fitText w:val="90" w:id="-893751551"/>
                <w14:textFill>
                  <w14:solidFill>
                    <w14:srgbClr w14:val="000000">
                      <w14:alpha w14:val="100000"/>
                    </w14:srgbClr>
                  </w14:solidFill>
                </w14:textFill>
              </w:rPr>
              <w:t xml:space="preserve">　</w:t>
            </w:r>
            <w:r w:rsidR="00B81E58" w:rsidRPr="007C6F1B">
              <w:rPr>
                <w:szCs w:val="20"/>
                <w:vertAlign w:val="superscript"/>
              </w:rPr>
              <w:t>1</w:t>
            </w:r>
          </w:p>
        </w:tc>
        <w:tc>
          <w:tcPr>
            <w:tcW w:w="634" w:type="pct"/>
            <w:shd w:val="clear" w:color="auto" w:fill="auto"/>
          </w:tcPr>
          <w:p w14:paraId="301CBD0E" w14:textId="02A663C2" w:rsidR="00C23F26" w:rsidRPr="00A366EE" w:rsidRDefault="00CA4FD9" w:rsidP="00AE2B31">
            <w:pPr>
              <w:pStyle w:val="TableText0"/>
              <w:keepLines/>
              <w:jc w:val="center"/>
              <w:rPr>
                <w:b/>
                <w:bCs w:val="0"/>
                <w:color w:val="000000"/>
                <w:szCs w:val="20"/>
                <w:highlight w:val="lightGray"/>
              </w:rPr>
            </w:pPr>
            <w:r w:rsidRPr="00CA4FD9">
              <w:rPr>
                <w:rFonts w:hint="eastAsia"/>
                <w:b/>
                <w:bCs w:val="0"/>
                <w:color w:val="000000"/>
                <w:w w:val="20"/>
                <w:szCs w:val="20"/>
                <w:shd w:val="solid" w:color="000000" w:fill="000000"/>
                <w:fitText w:val="90" w:id="-893751550"/>
                <w14:textFill>
                  <w14:solidFill>
                    <w14:srgbClr w14:val="000000">
                      <w14:alpha w14:val="100000"/>
                    </w14:srgbClr>
                  </w14:solidFill>
                </w14:textFill>
              </w:rPr>
              <w:t xml:space="preserve">　</w:t>
            </w:r>
            <w:r w:rsidRPr="00CA4FD9">
              <w:rPr>
                <w:b/>
                <w:bCs w:val="0"/>
                <w:color w:val="000000"/>
                <w:w w:val="20"/>
                <w:szCs w:val="20"/>
                <w:shd w:val="solid" w:color="000000" w:fill="000000"/>
                <w:fitText w:val="90" w:id="-893751550"/>
                <w14:textFill>
                  <w14:solidFill>
                    <w14:srgbClr w14:val="000000">
                      <w14:alpha w14:val="100000"/>
                    </w14:srgbClr>
                  </w14:solidFill>
                </w14:textFill>
              </w:rPr>
              <w:t>|</w:t>
            </w:r>
            <w:r w:rsidRPr="00CA4FD9">
              <w:rPr>
                <w:rFonts w:hint="eastAsia"/>
                <w:b/>
                <w:bCs w:val="0"/>
                <w:color w:val="000000"/>
                <w:spacing w:val="2"/>
                <w:w w:val="20"/>
                <w:szCs w:val="20"/>
                <w:shd w:val="solid" w:color="000000" w:fill="000000"/>
                <w:fitText w:val="90" w:id="-893751550"/>
                <w14:textFill>
                  <w14:solidFill>
                    <w14:srgbClr w14:val="000000">
                      <w14:alpha w14:val="100000"/>
                    </w14:srgbClr>
                  </w14:solidFill>
                </w14:textFill>
              </w:rPr>
              <w:t xml:space="preserve">　</w:t>
            </w:r>
            <w:r w:rsidR="00B81E58" w:rsidRPr="007C6F1B">
              <w:rPr>
                <w:szCs w:val="20"/>
                <w:vertAlign w:val="superscript"/>
              </w:rPr>
              <w:t>1</w:t>
            </w:r>
          </w:p>
        </w:tc>
        <w:tc>
          <w:tcPr>
            <w:tcW w:w="559" w:type="pct"/>
          </w:tcPr>
          <w:p w14:paraId="598D7E2D" w14:textId="61C6A193" w:rsidR="00C23F26" w:rsidRPr="00A366EE" w:rsidRDefault="00CA4FD9" w:rsidP="00AE2B31">
            <w:pPr>
              <w:pStyle w:val="TableText0"/>
              <w:keepLines/>
              <w:jc w:val="center"/>
              <w:rPr>
                <w:b/>
                <w:bCs w:val="0"/>
                <w:color w:val="000000"/>
                <w:szCs w:val="20"/>
                <w:highlight w:val="lightGray"/>
              </w:rPr>
            </w:pPr>
            <w:r w:rsidRPr="00CA4FD9">
              <w:rPr>
                <w:rFonts w:hint="eastAsia"/>
                <w:b/>
                <w:bCs w:val="0"/>
                <w:color w:val="000000"/>
                <w:w w:val="30"/>
                <w:szCs w:val="20"/>
                <w:shd w:val="solid" w:color="000000" w:fill="000000"/>
                <w:fitText w:val="135" w:id="-893751549"/>
                <w14:textFill>
                  <w14:solidFill>
                    <w14:srgbClr w14:val="000000">
                      <w14:alpha w14:val="100000"/>
                    </w14:srgbClr>
                  </w14:solidFill>
                </w14:textFill>
              </w:rPr>
              <w:t xml:space="preserve">　</w:t>
            </w:r>
            <w:r w:rsidRPr="00CA4FD9">
              <w:rPr>
                <w:b/>
                <w:bCs w:val="0"/>
                <w:color w:val="000000"/>
                <w:w w:val="30"/>
                <w:szCs w:val="20"/>
                <w:shd w:val="solid" w:color="000000" w:fill="000000"/>
                <w:fitText w:val="135" w:id="-893751549"/>
                <w14:textFill>
                  <w14:solidFill>
                    <w14:srgbClr w14:val="000000">
                      <w14:alpha w14:val="100000"/>
                    </w14:srgbClr>
                  </w14:solidFill>
                </w14:textFill>
              </w:rPr>
              <w:t>|</w:t>
            </w:r>
            <w:r w:rsidRPr="00CA4FD9">
              <w:rPr>
                <w:rFonts w:hint="eastAsia"/>
                <w:b/>
                <w:bCs w:val="0"/>
                <w:color w:val="000000"/>
                <w:spacing w:val="2"/>
                <w:w w:val="30"/>
                <w:szCs w:val="20"/>
                <w:shd w:val="solid" w:color="000000" w:fill="000000"/>
                <w:fitText w:val="135" w:id="-893751549"/>
                <w14:textFill>
                  <w14:solidFill>
                    <w14:srgbClr w14:val="000000">
                      <w14:alpha w14:val="100000"/>
                    </w14:srgbClr>
                  </w14:solidFill>
                </w14:textFill>
              </w:rPr>
              <w:t xml:space="preserve">　</w:t>
            </w:r>
            <w:r w:rsidR="00B81E58" w:rsidRPr="007C6F1B">
              <w:rPr>
                <w:szCs w:val="20"/>
                <w:vertAlign w:val="superscript"/>
              </w:rPr>
              <w:t>1</w:t>
            </w:r>
          </w:p>
        </w:tc>
      </w:tr>
      <w:tr w:rsidR="000E1AFC" w:rsidRPr="00032882" w14:paraId="1892EBFE" w14:textId="77777777" w:rsidTr="00AE2B31">
        <w:trPr>
          <w:cantSplit/>
          <w:jc w:val="center"/>
        </w:trPr>
        <w:tc>
          <w:tcPr>
            <w:tcW w:w="1269" w:type="pct"/>
            <w:shd w:val="clear" w:color="auto" w:fill="auto"/>
            <w:vAlign w:val="center"/>
          </w:tcPr>
          <w:p w14:paraId="55FD6C52" w14:textId="7D466E16" w:rsidR="00361481" w:rsidRPr="00032882" w:rsidRDefault="00361481" w:rsidP="00AE2B31">
            <w:pPr>
              <w:pStyle w:val="TableText0"/>
              <w:keepLines/>
              <w:rPr>
                <w:b/>
                <w:bCs w:val="0"/>
                <w:szCs w:val="20"/>
              </w:rPr>
            </w:pPr>
            <w:r w:rsidRPr="00032882">
              <w:rPr>
                <w:b/>
                <w:bCs w:val="0"/>
                <w:szCs w:val="20"/>
              </w:rPr>
              <w:t>Total patients 1L+2L March 2021</w:t>
            </w:r>
          </w:p>
        </w:tc>
        <w:tc>
          <w:tcPr>
            <w:tcW w:w="634" w:type="pct"/>
            <w:shd w:val="clear" w:color="auto" w:fill="auto"/>
            <w:vAlign w:val="center"/>
          </w:tcPr>
          <w:p w14:paraId="7631761B" w14:textId="71704A91" w:rsidR="00361481" w:rsidRPr="00A366EE" w:rsidRDefault="00CA4FD9"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548"/>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548"/>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548"/>
                <w14:textFill>
                  <w14:solidFill>
                    <w14:srgbClr w14:val="000000">
                      <w14:alpha w14:val="100000"/>
                    </w14:srgbClr>
                  </w14:solidFill>
                </w14:textFill>
              </w:rPr>
              <w:t xml:space="preserve">　</w:t>
            </w:r>
            <w:r w:rsidR="00B81E58" w:rsidRPr="007C6F1B">
              <w:rPr>
                <w:szCs w:val="20"/>
                <w:vertAlign w:val="superscript"/>
              </w:rPr>
              <w:t>1</w:t>
            </w:r>
          </w:p>
        </w:tc>
        <w:tc>
          <w:tcPr>
            <w:tcW w:w="635" w:type="pct"/>
            <w:shd w:val="clear" w:color="auto" w:fill="auto"/>
            <w:vAlign w:val="center"/>
          </w:tcPr>
          <w:p w14:paraId="628CCE5C" w14:textId="5A2E7A9E" w:rsidR="00361481" w:rsidRPr="00A366EE" w:rsidRDefault="00CA4FD9"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547"/>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547"/>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547"/>
                <w14:textFill>
                  <w14:solidFill>
                    <w14:srgbClr w14:val="000000">
                      <w14:alpha w14:val="100000"/>
                    </w14:srgbClr>
                  </w14:solidFill>
                </w14:textFill>
              </w:rPr>
              <w:t xml:space="preserve">　</w:t>
            </w:r>
            <w:r w:rsidR="00B81E58" w:rsidRPr="007C6F1B">
              <w:rPr>
                <w:szCs w:val="20"/>
                <w:vertAlign w:val="superscript"/>
              </w:rPr>
              <w:t>1</w:t>
            </w:r>
          </w:p>
        </w:tc>
        <w:tc>
          <w:tcPr>
            <w:tcW w:w="634" w:type="pct"/>
            <w:shd w:val="clear" w:color="auto" w:fill="auto"/>
            <w:vAlign w:val="center"/>
          </w:tcPr>
          <w:p w14:paraId="4ED596A2" w14:textId="03C96EBB" w:rsidR="00361481" w:rsidRPr="00A366EE" w:rsidRDefault="00CA4FD9"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546"/>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546"/>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546"/>
                <w14:textFill>
                  <w14:solidFill>
                    <w14:srgbClr w14:val="000000">
                      <w14:alpha w14:val="100000"/>
                    </w14:srgbClr>
                  </w14:solidFill>
                </w14:textFill>
              </w:rPr>
              <w:t xml:space="preserve">　</w:t>
            </w:r>
            <w:r w:rsidR="00B81E58" w:rsidRPr="007C6F1B">
              <w:rPr>
                <w:szCs w:val="20"/>
                <w:vertAlign w:val="superscript"/>
              </w:rPr>
              <w:t>1</w:t>
            </w:r>
          </w:p>
        </w:tc>
        <w:tc>
          <w:tcPr>
            <w:tcW w:w="635" w:type="pct"/>
            <w:shd w:val="clear" w:color="auto" w:fill="auto"/>
            <w:vAlign w:val="center"/>
          </w:tcPr>
          <w:p w14:paraId="73009E50" w14:textId="0841A59E" w:rsidR="00361481" w:rsidRPr="00A366EE" w:rsidRDefault="00CA4FD9" w:rsidP="00AE2B31">
            <w:pPr>
              <w:pStyle w:val="TableText0"/>
              <w:keepLines/>
              <w:jc w:val="center"/>
              <w:rPr>
                <w:color w:val="000000"/>
                <w:szCs w:val="20"/>
                <w:highlight w:val="lightGray"/>
              </w:rPr>
            </w:pPr>
            <w:r w:rsidRPr="00CA4FD9">
              <w:rPr>
                <w:rFonts w:eastAsia="Times New Roman"/>
                <w:color w:val="000000"/>
                <w:spacing w:val="169"/>
                <w:szCs w:val="20"/>
                <w:shd w:val="solid" w:color="000000" w:fill="000000"/>
                <w:fitText w:val="255" w:id="-893751545"/>
                <w14:textFill>
                  <w14:solidFill>
                    <w14:srgbClr w14:val="000000">
                      <w14:alpha w14:val="100000"/>
                    </w14:srgbClr>
                  </w14:solidFill>
                </w14:textFill>
              </w:rPr>
              <w:t>|</w:t>
            </w:r>
            <w:r w:rsidRPr="00CA4FD9">
              <w:rPr>
                <w:rFonts w:eastAsia="Times New Roman"/>
                <w:color w:val="000000"/>
                <w:spacing w:val="1"/>
                <w:szCs w:val="20"/>
                <w:shd w:val="solid" w:color="000000" w:fill="000000"/>
                <w:fitText w:val="255" w:id="-893751545"/>
                <w14:textFill>
                  <w14:solidFill>
                    <w14:srgbClr w14:val="000000">
                      <w14:alpha w14:val="100000"/>
                    </w14:srgbClr>
                  </w14:solidFill>
                </w14:textFill>
              </w:rPr>
              <w:t>|</w:t>
            </w:r>
            <w:r w:rsidR="00B81E58" w:rsidRPr="007C6F1B">
              <w:rPr>
                <w:szCs w:val="20"/>
                <w:vertAlign w:val="superscript"/>
              </w:rPr>
              <w:t>1</w:t>
            </w:r>
          </w:p>
        </w:tc>
        <w:tc>
          <w:tcPr>
            <w:tcW w:w="634" w:type="pct"/>
            <w:shd w:val="clear" w:color="auto" w:fill="auto"/>
            <w:vAlign w:val="center"/>
          </w:tcPr>
          <w:p w14:paraId="79C65E9E" w14:textId="18675D49" w:rsidR="00361481" w:rsidRPr="00A366EE" w:rsidRDefault="00CA4FD9"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543"/>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543"/>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543"/>
                <w14:textFill>
                  <w14:solidFill>
                    <w14:srgbClr w14:val="000000">
                      <w14:alpha w14:val="100000"/>
                    </w14:srgbClr>
                  </w14:solidFill>
                </w14:textFill>
              </w:rPr>
              <w:t xml:space="preserve">　</w:t>
            </w:r>
            <w:r w:rsidR="00B81E58" w:rsidRPr="007C6F1B">
              <w:rPr>
                <w:szCs w:val="20"/>
                <w:vertAlign w:val="superscript"/>
              </w:rPr>
              <w:t>1</w:t>
            </w:r>
          </w:p>
        </w:tc>
        <w:tc>
          <w:tcPr>
            <w:tcW w:w="559" w:type="pct"/>
            <w:shd w:val="clear" w:color="auto" w:fill="auto"/>
            <w:vAlign w:val="center"/>
          </w:tcPr>
          <w:p w14:paraId="4A28C178" w14:textId="4D904ECE" w:rsidR="00361481" w:rsidRPr="00A366EE" w:rsidRDefault="00CA4FD9" w:rsidP="00AE2B31">
            <w:pPr>
              <w:pStyle w:val="TableText0"/>
              <w:keepLines/>
              <w:jc w:val="center"/>
              <w:rPr>
                <w:color w:val="000000"/>
                <w:szCs w:val="20"/>
                <w:highlight w:val="lightGray"/>
              </w:rPr>
            </w:pPr>
            <w:r w:rsidRPr="00CA4FD9">
              <w:rPr>
                <w:rFonts w:eastAsia="Times New Roman" w:hint="eastAsia"/>
                <w:color w:val="000000"/>
                <w:w w:val="23"/>
                <w:szCs w:val="20"/>
                <w:shd w:val="solid" w:color="000000" w:fill="000000"/>
                <w:fitText w:val="105" w:id="-893751542"/>
                <w14:textFill>
                  <w14:solidFill>
                    <w14:srgbClr w14:val="000000">
                      <w14:alpha w14:val="100000"/>
                    </w14:srgbClr>
                  </w14:solidFill>
                </w14:textFill>
              </w:rPr>
              <w:t xml:space="preserve">　</w:t>
            </w:r>
            <w:r w:rsidRPr="00CA4FD9">
              <w:rPr>
                <w:rFonts w:eastAsia="Times New Roman"/>
                <w:color w:val="000000"/>
                <w:w w:val="23"/>
                <w:szCs w:val="20"/>
                <w:shd w:val="solid" w:color="000000" w:fill="000000"/>
                <w:fitText w:val="105" w:id="-893751542"/>
                <w14:textFill>
                  <w14:solidFill>
                    <w14:srgbClr w14:val="000000">
                      <w14:alpha w14:val="100000"/>
                    </w14:srgbClr>
                  </w14:solidFill>
                </w14:textFill>
              </w:rPr>
              <w:t>|</w:t>
            </w:r>
            <w:r w:rsidRPr="00CA4FD9">
              <w:rPr>
                <w:rFonts w:eastAsia="Times New Roman" w:hint="eastAsia"/>
                <w:color w:val="000000"/>
                <w:spacing w:val="4"/>
                <w:w w:val="23"/>
                <w:szCs w:val="20"/>
                <w:shd w:val="solid" w:color="000000" w:fill="000000"/>
                <w:fitText w:val="105" w:id="-893751542"/>
                <w14:textFill>
                  <w14:solidFill>
                    <w14:srgbClr w14:val="000000">
                      <w14:alpha w14:val="100000"/>
                    </w14:srgbClr>
                  </w14:solidFill>
                </w14:textFill>
              </w:rPr>
              <w:t xml:space="preserve">　</w:t>
            </w:r>
            <w:r w:rsidR="00B81E58" w:rsidRPr="007C6F1B">
              <w:rPr>
                <w:szCs w:val="20"/>
                <w:vertAlign w:val="superscript"/>
              </w:rPr>
              <w:t>1</w:t>
            </w:r>
          </w:p>
        </w:tc>
      </w:tr>
      <w:tr w:rsidR="000E1AFC" w:rsidRPr="00032882" w14:paraId="5D5D440C" w14:textId="77777777" w:rsidTr="00AE2B31">
        <w:trPr>
          <w:cantSplit/>
          <w:jc w:val="center"/>
        </w:trPr>
        <w:tc>
          <w:tcPr>
            <w:tcW w:w="1269" w:type="pct"/>
            <w:shd w:val="clear" w:color="auto" w:fill="auto"/>
            <w:vAlign w:val="center"/>
          </w:tcPr>
          <w:p w14:paraId="359E474F" w14:textId="6171C796" w:rsidR="000E0070" w:rsidRPr="00032882" w:rsidRDefault="000E0070" w:rsidP="00AE2B31">
            <w:pPr>
              <w:pStyle w:val="TableText0"/>
              <w:keepLines/>
              <w:rPr>
                <w:szCs w:val="20"/>
                <w:vertAlign w:val="superscript"/>
              </w:rPr>
            </w:pPr>
            <w:r w:rsidRPr="00032882">
              <w:rPr>
                <w:szCs w:val="20"/>
              </w:rPr>
              <w:t>Number of scripts dispensed</w:t>
            </w:r>
          </w:p>
        </w:tc>
        <w:tc>
          <w:tcPr>
            <w:tcW w:w="634" w:type="pct"/>
            <w:shd w:val="clear" w:color="auto" w:fill="auto"/>
            <w:vAlign w:val="center"/>
          </w:tcPr>
          <w:p w14:paraId="14228129" w14:textId="4C84C22D" w:rsidR="000E0070" w:rsidRPr="00A366EE" w:rsidRDefault="00CA4FD9" w:rsidP="00AE2B31">
            <w:pPr>
              <w:pStyle w:val="TableText0"/>
              <w:keepLines/>
              <w:jc w:val="center"/>
              <w:rPr>
                <w:color w:val="000000"/>
                <w:szCs w:val="20"/>
                <w:highlight w:val="lightGray"/>
              </w:rPr>
            </w:pPr>
            <w:r w:rsidRPr="00CA4FD9">
              <w:rPr>
                <w:rFonts w:cs="Arial" w:hint="eastAsia"/>
                <w:color w:val="000000"/>
                <w:w w:val="15"/>
                <w:szCs w:val="20"/>
                <w:shd w:val="solid" w:color="000000" w:fill="000000"/>
                <w:fitText w:val="45" w:id="-893751541"/>
                <w14:textFill>
                  <w14:solidFill>
                    <w14:srgbClr w14:val="000000">
                      <w14:alpha w14:val="100000"/>
                    </w14:srgbClr>
                  </w14:solidFill>
                </w14:textFill>
              </w:rPr>
              <w:t xml:space="preserve">　</w:t>
            </w:r>
            <w:r w:rsidRPr="00CA4FD9">
              <w:rPr>
                <w:rFonts w:cs="Arial"/>
                <w:color w:val="000000"/>
                <w:w w:val="15"/>
                <w:szCs w:val="20"/>
                <w:shd w:val="solid" w:color="000000" w:fill="000000"/>
                <w:fitText w:val="45" w:id="-893751541"/>
                <w14:textFill>
                  <w14:solidFill>
                    <w14:srgbClr w14:val="000000">
                      <w14:alpha w14:val="100000"/>
                    </w14:srgbClr>
                  </w14:solidFill>
                </w14:textFill>
              </w:rPr>
              <w:t>|</w:t>
            </w:r>
            <w:r w:rsidRPr="00CA4FD9">
              <w:rPr>
                <w:rFonts w:cs="Arial" w:hint="eastAsia"/>
                <w:color w:val="000000"/>
                <w:spacing w:val="-20"/>
                <w:w w:val="15"/>
                <w:szCs w:val="20"/>
                <w:shd w:val="solid" w:color="000000" w:fill="000000"/>
                <w:fitText w:val="45" w:id="-893751541"/>
                <w14:textFill>
                  <w14:solidFill>
                    <w14:srgbClr w14:val="000000">
                      <w14:alpha w14:val="100000"/>
                    </w14:srgbClr>
                  </w14:solidFill>
                </w14:textFill>
              </w:rPr>
              <w:t xml:space="preserve">　</w:t>
            </w:r>
            <w:r w:rsidR="00B81E58" w:rsidRPr="00A366EE">
              <w:rPr>
                <w:rFonts w:cs="Arial"/>
                <w:color w:val="000000"/>
                <w:szCs w:val="20"/>
                <w:vertAlign w:val="superscript"/>
              </w:rPr>
              <w:t>3</w:t>
            </w:r>
          </w:p>
        </w:tc>
        <w:tc>
          <w:tcPr>
            <w:tcW w:w="635" w:type="pct"/>
            <w:shd w:val="clear" w:color="auto" w:fill="auto"/>
            <w:vAlign w:val="center"/>
          </w:tcPr>
          <w:p w14:paraId="0AC1C51C" w14:textId="233313F6" w:rsidR="000E0070" w:rsidRPr="00A366EE" w:rsidRDefault="00CA4FD9" w:rsidP="00AE2B31">
            <w:pPr>
              <w:pStyle w:val="TableText0"/>
              <w:keepLines/>
              <w:jc w:val="center"/>
              <w:rPr>
                <w:color w:val="000000"/>
                <w:szCs w:val="20"/>
                <w:highlight w:val="lightGray"/>
              </w:rPr>
            </w:pPr>
            <w:r w:rsidRPr="00CA4FD9">
              <w:rPr>
                <w:rFonts w:cs="Arial" w:hint="eastAsia"/>
                <w:color w:val="000000"/>
                <w:w w:val="15"/>
                <w:szCs w:val="20"/>
                <w:shd w:val="solid" w:color="000000" w:fill="000000"/>
                <w:fitText w:val="45" w:id="-893751540"/>
                <w14:textFill>
                  <w14:solidFill>
                    <w14:srgbClr w14:val="000000">
                      <w14:alpha w14:val="100000"/>
                    </w14:srgbClr>
                  </w14:solidFill>
                </w14:textFill>
              </w:rPr>
              <w:t xml:space="preserve">　</w:t>
            </w:r>
            <w:r w:rsidRPr="00CA4FD9">
              <w:rPr>
                <w:rFonts w:cs="Arial"/>
                <w:color w:val="000000"/>
                <w:w w:val="15"/>
                <w:szCs w:val="20"/>
                <w:shd w:val="solid" w:color="000000" w:fill="000000"/>
                <w:fitText w:val="45" w:id="-893751540"/>
                <w14:textFill>
                  <w14:solidFill>
                    <w14:srgbClr w14:val="000000">
                      <w14:alpha w14:val="100000"/>
                    </w14:srgbClr>
                  </w14:solidFill>
                </w14:textFill>
              </w:rPr>
              <w:t>|</w:t>
            </w:r>
            <w:r w:rsidRPr="00CA4FD9">
              <w:rPr>
                <w:rFonts w:cs="Arial" w:hint="eastAsia"/>
                <w:color w:val="000000"/>
                <w:spacing w:val="-20"/>
                <w:w w:val="15"/>
                <w:szCs w:val="20"/>
                <w:shd w:val="solid" w:color="000000" w:fill="000000"/>
                <w:fitText w:val="45" w:id="-893751540"/>
                <w14:textFill>
                  <w14:solidFill>
                    <w14:srgbClr w14:val="000000">
                      <w14:alpha w14:val="100000"/>
                    </w14:srgbClr>
                  </w14:solidFill>
                </w14:textFill>
              </w:rPr>
              <w:t xml:space="preserve">　</w:t>
            </w:r>
            <w:r w:rsidR="000F02D0" w:rsidRPr="007C6F1B">
              <w:rPr>
                <w:rFonts w:cs="Arial"/>
                <w:color w:val="000000"/>
                <w:szCs w:val="20"/>
                <w:vertAlign w:val="superscript"/>
              </w:rPr>
              <w:t>3</w:t>
            </w:r>
          </w:p>
        </w:tc>
        <w:tc>
          <w:tcPr>
            <w:tcW w:w="634" w:type="pct"/>
            <w:shd w:val="clear" w:color="auto" w:fill="auto"/>
            <w:vAlign w:val="center"/>
          </w:tcPr>
          <w:p w14:paraId="46B37406" w14:textId="1768E12D" w:rsidR="000E0070" w:rsidRPr="00A366EE" w:rsidRDefault="00CA4FD9" w:rsidP="00AE2B31">
            <w:pPr>
              <w:pStyle w:val="TableText0"/>
              <w:keepLines/>
              <w:jc w:val="center"/>
              <w:rPr>
                <w:color w:val="000000"/>
                <w:szCs w:val="20"/>
                <w:highlight w:val="lightGray"/>
              </w:rPr>
            </w:pPr>
            <w:r w:rsidRPr="00CA4FD9">
              <w:rPr>
                <w:rFonts w:cs="Arial" w:hint="eastAsia"/>
                <w:color w:val="000000"/>
                <w:w w:val="15"/>
                <w:szCs w:val="20"/>
                <w:shd w:val="solid" w:color="000000" w:fill="000000"/>
                <w:fitText w:val="45" w:id="-893751539"/>
                <w14:textFill>
                  <w14:solidFill>
                    <w14:srgbClr w14:val="000000">
                      <w14:alpha w14:val="100000"/>
                    </w14:srgbClr>
                  </w14:solidFill>
                </w14:textFill>
              </w:rPr>
              <w:t xml:space="preserve">　</w:t>
            </w:r>
            <w:r w:rsidRPr="00CA4FD9">
              <w:rPr>
                <w:rFonts w:cs="Arial"/>
                <w:color w:val="000000"/>
                <w:w w:val="15"/>
                <w:szCs w:val="20"/>
                <w:shd w:val="solid" w:color="000000" w:fill="000000"/>
                <w:fitText w:val="45" w:id="-893751539"/>
                <w14:textFill>
                  <w14:solidFill>
                    <w14:srgbClr w14:val="000000">
                      <w14:alpha w14:val="100000"/>
                    </w14:srgbClr>
                  </w14:solidFill>
                </w14:textFill>
              </w:rPr>
              <w:t>|</w:t>
            </w:r>
            <w:r w:rsidRPr="00CA4FD9">
              <w:rPr>
                <w:rFonts w:cs="Arial" w:hint="eastAsia"/>
                <w:color w:val="000000"/>
                <w:spacing w:val="-20"/>
                <w:w w:val="15"/>
                <w:szCs w:val="20"/>
                <w:shd w:val="solid" w:color="000000" w:fill="000000"/>
                <w:fitText w:val="45" w:id="-893751539"/>
                <w14:textFill>
                  <w14:solidFill>
                    <w14:srgbClr w14:val="000000">
                      <w14:alpha w14:val="100000"/>
                    </w14:srgbClr>
                  </w14:solidFill>
                </w14:textFill>
              </w:rPr>
              <w:t xml:space="preserve">　</w:t>
            </w:r>
            <w:r w:rsidR="000F02D0" w:rsidRPr="007C6F1B">
              <w:rPr>
                <w:rFonts w:cs="Arial"/>
                <w:color w:val="000000"/>
                <w:szCs w:val="20"/>
                <w:vertAlign w:val="superscript"/>
              </w:rPr>
              <w:t>3</w:t>
            </w:r>
          </w:p>
        </w:tc>
        <w:tc>
          <w:tcPr>
            <w:tcW w:w="635" w:type="pct"/>
            <w:shd w:val="clear" w:color="auto" w:fill="auto"/>
            <w:vAlign w:val="center"/>
          </w:tcPr>
          <w:p w14:paraId="6D76F480" w14:textId="567EDF00" w:rsidR="000E0070" w:rsidRPr="00A366EE" w:rsidRDefault="00CA4FD9" w:rsidP="00AE2B31">
            <w:pPr>
              <w:pStyle w:val="TableText0"/>
              <w:keepLines/>
              <w:jc w:val="center"/>
              <w:rPr>
                <w:color w:val="000000"/>
                <w:szCs w:val="20"/>
                <w:highlight w:val="lightGray"/>
              </w:rPr>
            </w:pPr>
            <w:r w:rsidRPr="00CA4FD9">
              <w:rPr>
                <w:rFonts w:cs="Arial" w:hint="eastAsia"/>
                <w:color w:val="000000"/>
                <w:w w:val="15"/>
                <w:szCs w:val="20"/>
                <w:shd w:val="solid" w:color="000000" w:fill="000000"/>
                <w:fitText w:val="45" w:id="-893751538"/>
                <w14:textFill>
                  <w14:solidFill>
                    <w14:srgbClr w14:val="000000">
                      <w14:alpha w14:val="100000"/>
                    </w14:srgbClr>
                  </w14:solidFill>
                </w14:textFill>
              </w:rPr>
              <w:t xml:space="preserve">　</w:t>
            </w:r>
            <w:r w:rsidRPr="00CA4FD9">
              <w:rPr>
                <w:rFonts w:cs="Arial"/>
                <w:color w:val="000000"/>
                <w:w w:val="15"/>
                <w:szCs w:val="20"/>
                <w:shd w:val="solid" w:color="000000" w:fill="000000"/>
                <w:fitText w:val="45" w:id="-893751538"/>
                <w14:textFill>
                  <w14:solidFill>
                    <w14:srgbClr w14:val="000000">
                      <w14:alpha w14:val="100000"/>
                    </w14:srgbClr>
                  </w14:solidFill>
                </w14:textFill>
              </w:rPr>
              <w:t>|</w:t>
            </w:r>
            <w:r w:rsidRPr="00CA4FD9">
              <w:rPr>
                <w:rFonts w:cs="Arial" w:hint="eastAsia"/>
                <w:color w:val="000000"/>
                <w:spacing w:val="-20"/>
                <w:w w:val="15"/>
                <w:szCs w:val="20"/>
                <w:shd w:val="solid" w:color="000000" w:fill="000000"/>
                <w:fitText w:val="45" w:id="-893751538"/>
                <w14:textFill>
                  <w14:solidFill>
                    <w14:srgbClr w14:val="000000">
                      <w14:alpha w14:val="100000"/>
                    </w14:srgbClr>
                  </w14:solidFill>
                </w14:textFill>
              </w:rPr>
              <w:t xml:space="preserve">　</w:t>
            </w:r>
            <w:r w:rsidR="000F02D0" w:rsidRPr="007C6F1B">
              <w:rPr>
                <w:rFonts w:cs="Arial"/>
                <w:color w:val="000000"/>
                <w:szCs w:val="20"/>
                <w:vertAlign w:val="superscript"/>
              </w:rPr>
              <w:t>3</w:t>
            </w:r>
          </w:p>
        </w:tc>
        <w:tc>
          <w:tcPr>
            <w:tcW w:w="634" w:type="pct"/>
            <w:shd w:val="clear" w:color="auto" w:fill="auto"/>
            <w:vAlign w:val="center"/>
          </w:tcPr>
          <w:p w14:paraId="078EC90A" w14:textId="482C0A32" w:rsidR="000E0070" w:rsidRPr="00A366EE" w:rsidRDefault="00CA4FD9" w:rsidP="00AE2B31">
            <w:pPr>
              <w:pStyle w:val="TableText0"/>
              <w:keepLines/>
              <w:jc w:val="center"/>
              <w:rPr>
                <w:color w:val="000000"/>
                <w:szCs w:val="20"/>
                <w:highlight w:val="lightGray"/>
              </w:rPr>
            </w:pPr>
            <w:r w:rsidRPr="00CA4FD9">
              <w:rPr>
                <w:rFonts w:cs="Arial" w:hint="eastAsia"/>
                <w:color w:val="000000"/>
                <w:w w:val="15"/>
                <w:szCs w:val="20"/>
                <w:shd w:val="solid" w:color="000000" w:fill="000000"/>
                <w:fitText w:val="45" w:id="-893751537"/>
                <w14:textFill>
                  <w14:solidFill>
                    <w14:srgbClr w14:val="000000">
                      <w14:alpha w14:val="100000"/>
                    </w14:srgbClr>
                  </w14:solidFill>
                </w14:textFill>
              </w:rPr>
              <w:t xml:space="preserve">　</w:t>
            </w:r>
            <w:r w:rsidRPr="00CA4FD9">
              <w:rPr>
                <w:rFonts w:cs="Arial"/>
                <w:color w:val="000000"/>
                <w:w w:val="15"/>
                <w:szCs w:val="20"/>
                <w:shd w:val="solid" w:color="000000" w:fill="000000"/>
                <w:fitText w:val="45" w:id="-893751537"/>
                <w14:textFill>
                  <w14:solidFill>
                    <w14:srgbClr w14:val="000000">
                      <w14:alpha w14:val="100000"/>
                    </w14:srgbClr>
                  </w14:solidFill>
                </w14:textFill>
              </w:rPr>
              <w:t>|</w:t>
            </w:r>
            <w:r w:rsidRPr="00CA4FD9">
              <w:rPr>
                <w:rFonts w:cs="Arial" w:hint="eastAsia"/>
                <w:color w:val="000000"/>
                <w:spacing w:val="-20"/>
                <w:w w:val="15"/>
                <w:szCs w:val="20"/>
                <w:shd w:val="solid" w:color="000000" w:fill="000000"/>
                <w:fitText w:val="45" w:id="-893751537"/>
                <w14:textFill>
                  <w14:solidFill>
                    <w14:srgbClr w14:val="000000">
                      <w14:alpha w14:val="100000"/>
                    </w14:srgbClr>
                  </w14:solidFill>
                </w14:textFill>
              </w:rPr>
              <w:t xml:space="preserve">　</w:t>
            </w:r>
            <w:r w:rsidR="00AA67BE" w:rsidRPr="007C6F1B">
              <w:rPr>
                <w:rFonts w:cs="Arial"/>
                <w:color w:val="000000"/>
                <w:szCs w:val="20"/>
                <w:vertAlign w:val="superscript"/>
              </w:rPr>
              <w:t>3</w:t>
            </w:r>
          </w:p>
        </w:tc>
        <w:tc>
          <w:tcPr>
            <w:tcW w:w="559" w:type="pct"/>
            <w:vAlign w:val="center"/>
          </w:tcPr>
          <w:p w14:paraId="0BC345E6" w14:textId="2B9E9DF8" w:rsidR="000E0070" w:rsidRPr="00A366EE" w:rsidRDefault="00CA4FD9" w:rsidP="00AE2B31">
            <w:pPr>
              <w:pStyle w:val="TableText0"/>
              <w:keepLines/>
              <w:jc w:val="center"/>
              <w:rPr>
                <w:color w:val="000000"/>
                <w:szCs w:val="20"/>
                <w:highlight w:val="lightGray"/>
              </w:rPr>
            </w:pPr>
            <w:r w:rsidRPr="00CA4FD9">
              <w:rPr>
                <w:rFonts w:cs="Arial" w:hint="eastAsia"/>
                <w:color w:val="000000"/>
                <w:w w:val="23"/>
                <w:szCs w:val="20"/>
                <w:shd w:val="solid" w:color="000000" w:fill="000000"/>
                <w:fitText w:val="105" w:id="-893751536"/>
                <w14:textFill>
                  <w14:solidFill>
                    <w14:srgbClr w14:val="000000">
                      <w14:alpha w14:val="100000"/>
                    </w14:srgbClr>
                  </w14:solidFill>
                </w14:textFill>
              </w:rPr>
              <w:t xml:space="preserve">　</w:t>
            </w:r>
            <w:r w:rsidRPr="00CA4FD9">
              <w:rPr>
                <w:rFonts w:cs="Arial"/>
                <w:color w:val="000000"/>
                <w:w w:val="23"/>
                <w:szCs w:val="20"/>
                <w:shd w:val="solid" w:color="000000" w:fill="000000"/>
                <w:fitText w:val="105" w:id="-893751536"/>
                <w14:textFill>
                  <w14:solidFill>
                    <w14:srgbClr w14:val="000000">
                      <w14:alpha w14:val="100000"/>
                    </w14:srgbClr>
                  </w14:solidFill>
                </w14:textFill>
              </w:rPr>
              <w:t>|</w:t>
            </w:r>
            <w:r w:rsidRPr="00CA4FD9">
              <w:rPr>
                <w:rFonts w:cs="Arial" w:hint="eastAsia"/>
                <w:color w:val="000000"/>
                <w:spacing w:val="4"/>
                <w:w w:val="23"/>
                <w:szCs w:val="20"/>
                <w:shd w:val="solid" w:color="000000" w:fill="000000"/>
                <w:fitText w:val="105" w:id="-893751536"/>
                <w14:textFill>
                  <w14:solidFill>
                    <w14:srgbClr w14:val="000000">
                      <w14:alpha w14:val="100000"/>
                    </w14:srgbClr>
                  </w14:solidFill>
                </w14:textFill>
              </w:rPr>
              <w:t xml:space="preserve">　</w:t>
            </w:r>
            <w:r w:rsidR="00AA67BE" w:rsidRPr="007C6F1B">
              <w:rPr>
                <w:rFonts w:cs="Arial"/>
                <w:color w:val="000000"/>
                <w:szCs w:val="20"/>
                <w:vertAlign w:val="superscript"/>
              </w:rPr>
              <w:t>3</w:t>
            </w:r>
          </w:p>
        </w:tc>
      </w:tr>
      <w:tr w:rsidR="009B00FF" w:rsidRPr="00032882" w14:paraId="046AEB1E" w14:textId="77777777" w:rsidTr="001C20E1">
        <w:trPr>
          <w:cantSplit/>
          <w:jc w:val="center"/>
        </w:trPr>
        <w:tc>
          <w:tcPr>
            <w:tcW w:w="5000" w:type="pct"/>
            <w:gridSpan w:val="7"/>
            <w:shd w:val="clear" w:color="auto" w:fill="auto"/>
            <w:vAlign w:val="center"/>
          </w:tcPr>
          <w:p w14:paraId="750CBAE5" w14:textId="22B7B4DE" w:rsidR="009B00FF" w:rsidRPr="00032882" w:rsidRDefault="009B00FF" w:rsidP="00AE2B31">
            <w:pPr>
              <w:pStyle w:val="TableText0"/>
              <w:keepLines/>
              <w:rPr>
                <w:b/>
                <w:color w:val="000000"/>
                <w:szCs w:val="20"/>
              </w:rPr>
            </w:pPr>
            <w:r w:rsidRPr="00032882">
              <w:rPr>
                <w:b/>
                <w:color w:val="000000"/>
                <w:szCs w:val="20"/>
              </w:rPr>
              <w:t xml:space="preserve">Estimated financial implications </w:t>
            </w:r>
            <w:r w:rsidR="005F44C9" w:rsidRPr="00032882">
              <w:rPr>
                <w:b/>
                <w:color w:val="000000"/>
                <w:szCs w:val="20"/>
              </w:rPr>
              <w:t>of NIVO+IPI</w:t>
            </w:r>
          </w:p>
        </w:tc>
      </w:tr>
      <w:tr w:rsidR="000E1AFC" w:rsidRPr="00032882" w14:paraId="3993658E" w14:textId="77777777" w:rsidTr="00AE2B31">
        <w:trPr>
          <w:cantSplit/>
          <w:jc w:val="center"/>
        </w:trPr>
        <w:tc>
          <w:tcPr>
            <w:tcW w:w="1269" w:type="pct"/>
            <w:shd w:val="clear" w:color="auto" w:fill="auto"/>
            <w:vAlign w:val="center"/>
          </w:tcPr>
          <w:p w14:paraId="375802A8" w14:textId="6319626B" w:rsidR="000E0070" w:rsidRPr="00032882" w:rsidRDefault="000E0070" w:rsidP="00AE2B31">
            <w:pPr>
              <w:pStyle w:val="TableText0"/>
              <w:keepLines/>
              <w:rPr>
                <w:szCs w:val="20"/>
              </w:rPr>
            </w:pPr>
            <w:r w:rsidRPr="00032882">
              <w:rPr>
                <w:szCs w:val="20"/>
              </w:rPr>
              <w:t>Cost to PBS/RPBS less co-payment</w:t>
            </w:r>
          </w:p>
        </w:tc>
        <w:tc>
          <w:tcPr>
            <w:tcW w:w="634" w:type="pct"/>
            <w:shd w:val="clear" w:color="auto" w:fill="auto"/>
            <w:vAlign w:val="center"/>
          </w:tcPr>
          <w:p w14:paraId="466AAD3D" w14:textId="19BC93D1" w:rsidR="000E007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52"/>
                <w14:textFill>
                  <w14:solidFill>
                    <w14:srgbClr w14:val="000000">
                      <w14:alpha w14:val="100000"/>
                    </w14:srgbClr>
                  </w14:solidFill>
                </w14:textFill>
              </w:rPr>
              <w:t xml:space="preserve">　</w:t>
            </w:r>
            <w:r w:rsidRPr="00CA4FD9">
              <w:rPr>
                <w:color w:val="000000"/>
                <w:w w:val="15"/>
                <w:szCs w:val="20"/>
                <w:shd w:val="solid" w:color="000000" w:fill="000000"/>
                <w:fitText w:val="45" w:id="-893751552"/>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52"/>
                <w14:textFill>
                  <w14:solidFill>
                    <w14:srgbClr w14:val="000000">
                      <w14:alpha w14:val="100000"/>
                    </w14:srgbClr>
                  </w14:solidFill>
                </w14:textFill>
              </w:rPr>
              <w:t xml:space="preserve">　</w:t>
            </w:r>
            <w:r w:rsidR="00AA67BE" w:rsidRPr="00A366EE">
              <w:rPr>
                <w:szCs w:val="20"/>
                <w:vertAlign w:val="superscript"/>
              </w:rPr>
              <w:t>4</w:t>
            </w:r>
          </w:p>
        </w:tc>
        <w:tc>
          <w:tcPr>
            <w:tcW w:w="635" w:type="pct"/>
            <w:shd w:val="clear" w:color="auto" w:fill="auto"/>
            <w:vAlign w:val="center"/>
          </w:tcPr>
          <w:p w14:paraId="0584DE92" w14:textId="132A5BC2" w:rsidR="000E007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51"/>
                <w14:textFill>
                  <w14:solidFill>
                    <w14:srgbClr w14:val="000000">
                      <w14:alpha w14:val="100000"/>
                    </w14:srgbClr>
                  </w14:solidFill>
                </w14:textFill>
              </w:rPr>
              <w:t xml:space="preserve">　</w:t>
            </w:r>
            <w:r w:rsidRPr="00CA4FD9">
              <w:rPr>
                <w:color w:val="000000"/>
                <w:w w:val="15"/>
                <w:szCs w:val="20"/>
                <w:shd w:val="solid" w:color="000000" w:fill="000000"/>
                <w:fitText w:val="45" w:id="-893751551"/>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51"/>
                <w14:textFill>
                  <w14:solidFill>
                    <w14:srgbClr w14:val="000000">
                      <w14:alpha w14:val="100000"/>
                    </w14:srgbClr>
                  </w14:solidFill>
                </w14:textFill>
              </w:rPr>
              <w:t xml:space="preserve">　</w:t>
            </w:r>
            <w:r w:rsidR="00CD7954" w:rsidRPr="00A366EE">
              <w:rPr>
                <w:szCs w:val="20"/>
                <w:vertAlign w:val="superscript"/>
              </w:rPr>
              <w:t>5</w:t>
            </w:r>
          </w:p>
        </w:tc>
        <w:tc>
          <w:tcPr>
            <w:tcW w:w="634" w:type="pct"/>
            <w:shd w:val="clear" w:color="auto" w:fill="auto"/>
            <w:vAlign w:val="center"/>
          </w:tcPr>
          <w:p w14:paraId="555B3F9C" w14:textId="60D9F2BA" w:rsidR="000E007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50"/>
                <w14:textFill>
                  <w14:solidFill>
                    <w14:srgbClr w14:val="000000">
                      <w14:alpha w14:val="100000"/>
                    </w14:srgbClr>
                  </w14:solidFill>
                </w14:textFill>
              </w:rPr>
              <w:t xml:space="preserve">　</w:t>
            </w:r>
            <w:r w:rsidRPr="00CA4FD9">
              <w:rPr>
                <w:color w:val="000000"/>
                <w:w w:val="15"/>
                <w:szCs w:val="20"/>
                <w:shd w:val="solid" w:color="000000" w:fill="000000"/>
                <w:fitText w:val="45" w:id="-893751550"/>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50"/>
                <w14:textFill>
                  <w14:solidFill>
                    <w14:srgbClr w14:val="000000">
                      <w14:alpha w14:val="100000"/>
                    </w14:srgbClr>
                  </w14:solidFill>
                </w14:textFill>
              </w:rPr>
              <w:t xml:space="preserve">　</w:t>
            </w:r>
            <w:r w:rsidR="00CD7954" w:rsidRPr="007C6F1B">
              <w:rPr>
                <w:szCs w:val="20"/>
                <w:vertAlign w:val="superscript"/>
              </w:rPr>
              <w:t>5</w:t>
            </w:r>
          </w:p>
        </w:tc>
        <w:tc>
          <w:tcPr>
            <w:tcW w:w="635" w:type="pct"/>
            <w:shd w:val="clear" w:color="auto" w:fill="auto"/>
            <w:vAlign w:val="center"/>
          </w:tcPr>
          <w:p w14:paraId="28A422D5" w14:textId="7F26CFB8" w:rsidR="000E007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49"/>
                <w14:textFill>
                  <w14:solidFill>
                    <w14:srgbClr w14:val="000000">
                      <w14:alpha w14:val="100000"/>
                    </w14:srgbClr>
                  </w14:solidFill>
                </w14:textFill>
              </w:rPr>
              <w:t xml:space="preserve">　</w:t>
            </w:r>
            <w:r w:rsidRPr="00CA4FD9">
              <w:rPr>
                <w:color w:val="000000"/>
                <w:w w:val="15"/>
                <w:szCs w:val="20"/>
                <w:shd w:val="solid" w:color="000000" w:fill="000000"/>
                <w:fitText w:val="45" w:id="-893751549"/>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49"/>
                <w14:textFill>
                  <w14:solidFill>
                    <w14:srgbClr w14:val="000000">
                      <w14:alpha w14:val="100000"/>
                    </w14:srgbClr>
                  </w14:solidFill>
                </w14:textFill>
              </w:rPr>
              <w:t xml:space="preserve">　</w:t>
            </w:r>
            <w:r w:rsidR="00CD7954" w:rsidRPr="007C6F1B">
              <w:rPr>
                <w:szCs w:val="20"/>
                <w:vertAlign w:val="superscript"/>
              </w:rPr>
              <w:t>5</w:t>
            </w:r>
          </w:p>
        </w:tc>
        <w:tc>
          <w:tcPr>
            <w:tcW w:w="634" w:type="pct"/>
            <w:shd w:val="clear" w:color="auto" w:fill="auto"/>
            <w:vAlign w:val="center"/>
          </w:tcPr>
          <w:p w14:paraId="3BD91315" w14:textId="2AD7A2FB" w:rsidR="000E0070"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48"/>
                <w14:textFill>
                  <w14:solidFill>
                    <w14:srgbClr w14:val="000000">
                      <w14:alpha w14:val="100000"/>
                    </w14:srgbClr>
                  </w14:solidFill>
                </w14:textFill>
              </w:rPr>
              <w:t xml:space="preserve">　</w:t>
            </w:r>
            <w:r w:rsidRPr="00CA4FD9">
              <w:rPr>
                <w:color w:val="000000"/>
                <w:w w:val="15"/>
                <w:szCs w:val="20"/>
                <w:shd w:val="solid" w:color="000000" w:fill="000000"/>
                <w:fitText w:val="45" w:id="-893751548"/>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48"/>
                <w14:textFill>
                  <w14:solidFill>
                    <w14:srgbClr w14:val="000000">
                      <w14:alpha w14:val="100000"/>
                    </w14:srgbClr>
                  </w14:solidFill>
                </w14:textFill>
              </w:rPr>
              <w:t xml:space="preserve">　</w:t>
            </w:r>
            <w:r w:rsidR="00CD7954" w:rsidRPr="007C6F1B">
              <w:rPr>
                <w:szCs w:val="20"/>
                <w:vertAlign w:val="superscript"/>
              </w:rPr>
              <w:t>4</w:t>
            </w:r>
          </w:p>
        </w:tc>
        <w:tc>
          <w:tcPr>
            <w:tcW w:w="559" w:type="pct"/>
            <w:vAlign w:val="center"/>
          </w:tcPr>
          <w:p w14:paraId="11BDCDF8" w14:textId="244F58AD" w:rsidR="000E0070" w:rsidRPr="00A366EE" w:rsidRDefault="00CA4FD9" w:rsidP="00AE2B31">
            <w:pPr>
              <w:pStyle w:val="TableText0"/>
              <w:keepLines/>
              <w:jc w:val="center"/>
              <w:rPr>
                <w:color w:val="000000"/>
                <w:szCs w:val="20"/>
                <w:highlight w:val="lightGray"/>
              </w:rPr>
            </w:pPr>
            <w:r w:rsidRPr="00CA4FD9">
              <w:rPr>
                <w:rFonts w:hint="eastAsia"/>
                <w:color w:val="000000"/>
                <w:w w:val="23"/>
                <w:szCs w:val="20"/>
                <w:shd w:val="solid" w:color="000000" w:fill="000000"/>
                <w:fitText w:val="105" w:id="-893751547"/>
                <w14:textFill>
                  <w14:solidFill>
                    <w14:srgbClr w14:val="000000">
                      <w14:alpha w14:val="100000"/>
                    </w14:srgbClr>
                  </w14:solidFill>
                </w14:textFill>
              </w:rPr>
              <w:t xml:space="preserve">　</w:t>
            </w:r>
            <w:r w:rsidRPr="00CA4FD9">
              <w:rPr>
                <w:color w:val="000000"/>
                <w:w w:val="23"/>
                <w:szCs w:val="20"/>
                <w:shd w:val="solid" w:color="000000" w:fill="000000"/>
                <w:fitText w:val="105" w:id="-893751547"/>
                <w14:textFill>
                  <w14:solidFill>
                    <w14:srgbClr w14:val="000000">
                      <w14:alpha w14:val="100000"/>
                    </w14:srgbClr>
                  </w14:solidFill>
                </w14:textFill>
              </w:rPr>
              <w:t>|</w:t>
            </w:r>
            <w:r w:rsidRPr="00CA4FD9">
              <w:rPr>
                <w:rFonts w:hint="eastAsia"/>
                <w:color w:val="000000"/>
                <w:spacing w:val="4"/>
                <w:w w:val="23"/>
                <w:szCs w:val="20"/>
                <w:shd w:val="solid" w:color="000000" w:fill="000000"/>
                <w:fitText w:val="105" w:id="-893751547"/>
                <w14:textFill>
                  <w14:solidFill>
                    <w14:srgbClr w14:val="000000">
                      <w14:alpha w14:val="100000"/>
                    </w14:srgbClr>
                  </w14:solidFill>
                </w14:textFill>
              </w:rPr>
              <w:t xml:space="preserve">　</w:t>
            </w:r>
            <w:r w:rsidR="00CD7954" w:rsidRPr="007C6F1B">
              <w:rPr>
                <w:szCs w:val="20"/>
                <w:vertAlign w:val="superscript"/>
              </w:rPr>
              <w:t>4</w:t>
            </w:r>
          </w:p>
        </w:tc>
      </w:tr>
      <w:tr w:rsidR="009B00FF" w:rsidRPr="00032882" w14:paraId="39B4F20E" w14:textId="77777777" w:rsidTr="00762862">
        <w:trPr>
          <w:cantSplit/>
          <w:jc w:val="center"/>
        </w:trPr>
        <w:tc>
          <w:tcPr>
            <w:tcW w:w="5000" w:type="pct"/>
            <w:gridSpan w:val="7"/>
            <w:shd w:val="clear" w:color="auto" w:fill="auto"/>
            <w:vAlign w:val="center"/>
          </w:tcPr>
          <w:p w14:paraId="726221BB" w14:textId="22D50EB2" w:rsidR="009B00FF" w:rsidRPr="00032882" w:rsidRDefault="009B00FF" w:rsidP="00AE2B31">
            <w:pPr>
              <w:pStyle w:val="TableText0"/>
              <w:keepLines/>
              <w:rPr>
                <w:b/>
                <w:color w:val="000000"/>
                <w:szCs w:val="20"/>
              </w:rPr>
            </w:pPr>
            <w:bookmarkStart w:id="10" w:name="_Hlk88815214"/>
            <w:r w:rsidRPr="00032882">
              <w:rPr>
                <w:b/>
                <w:color w:val="000000"/>
                <w:szCs w:val="20"/>
              </w:rPr>
              <w:t>Estimated financial implications of comparator</w:t>
            </w:r>
            <w:r w:rsidR="005F44C9" w:rsidRPr="00032882">
              <w:rPr>
                <w:b/>
                <w:color w:val="000000"/>
                <w:szCs w:val="20"/>
              </w:rPr>
              <w:t>s</w:t>
            </w:r>
            <w:r w:rsidRPr="00032882">
              <w:rPr>
                <w:b/>
                <w:color w:val="000000"/>
                <w:szCs w:val="20"/>
              </w:rPr>
              <w:t xml:space="preserve"> </w:t>
            </w:r>
          </w:p>
        </w:tc>
      </w:tr>
      <w:tr w:rsidR="000E1AFC" w:rsidRPr="00032882" w14:paraId="5F183828" w14:textId="77777777" w:rsidTr="00AE2B31">
        <w:trPr>
          <w:cantSplit/>
          <w:jc w:val="center"/>
        </w:trPr>
        <w:tc>
          <w:tcPr>
            <w:tcW w:w="1269" w:type="pct"/>
            <w:shd w:val="clear" w:color="auto" w:fill="auto"/>
            <w:vAlign w:val="center"/>
          </w:tcPr>
          <w:p w14:paraId="6DB6C4F2" w14:textId="5FE18972" w:rsidR="005F44C9" w:rsidRPr="00032882" w:rsidRDefault="005F44C9" w:rsidP="00AE2B31">
            <w:pPr>
              <w:pStyle w:val="TableText0"/>
              <w:keepLines/>
              <w:rPr>
                <w:szCs w:val="20"/>
              </w:rPr>
            </w:pPr>
            <w:r w:rsidRPr="00032882">
              <w:rPr>
                <w:szCs w:val="20"/>
              </w:rPr>
              <w:t>Cost to PBS/RPBS less co-payment</w:t>
            </w:r>
          </w:p>
        </w:tc>
        <w:tc>
          <w:tcPr>
            <w:tcW w:w="634" w:type="pct"/>
            <w:shd w:val="clear" w:color="auto" w:fill="auto"/>
            <w:vAlign w:val="center"/>
          </w:tcPr>
          <w:p w14:paraId="17AE6B28" w14:textId="1FD9BEF0" w:rsidR="005F44C9"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46"/>
                <w14:textFill>
                  <w14:solidFill>
                    <w14:srgbClr w14:val="000000">
                      <w14:alpha w14:val="100000"/>
                    </w14:srgbClr>
                  </w14:solidFill>
                </w14:textFill>
              </w:rPr>
              <w:t xml:space="preserve">　</w:t>
            </w:r>
            <w:r w:rsidRPr="00CA4FD9">
              <w:rPr>
                <w:color w:val="000000"/>
                <w:w w:val="15"/>
                <w:szCs w:val="20"/>
                <w:shd w:val="solid" w:color="000000" w:fill="000000"/>
                <w:fitText w:val="45" w:id="-893751546"/>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46"/>
                <w14:textFill>
                  <w14:solidFill>
                    <w14:srgbClr w14:val="000000">
                      <w14:alpha w14:val="100000"/>
                    </w14:srgbClr>
                  </w14:solidFill>
                </w14:textFill>
              </w:rPr>
              <w:t xml:space="preserve">　</w:t>
            </w:r>
            <w:r w:rsidR="00CD7954" w:rsidRPr="00A366EE">
              <w:rPr>
                <w:szCs w:val="20"/>
                <w:vertAlign w:val="superscript"/>
              </w:rPr>
              <w:t>6</w:t>
            </w:r>
          </w:p>
        </w:tc>
        <w:tc>
          <w:tcPr>
            <w:tcW w:w="635" w:type="pct"/>
            <w:shd w:val="clear" w:color="auto" w:fill="auto"/>
            <w:vAlign w:val="center"/>
          </w:tcPr>
          <w:p w14:paraId="19519F19" w14:textId="16B4F36D" w:rsidR="005F44C9"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45"/>
                <w14:textFill>
                  <w14:solidFill>
                    <w14:srgbClr w14:val="000000">
                      <w14:alpha w14:val="100000"/>
                    </w14:srgbClr>
                  </w14:solidFill>
                </w14:textFill>
              </w:rPr>
              <w:t xml:space="preserve">　</w:t>
            </w:r>
            <w:r w:rsidRPr="00CA4FD9">
              <w:rPr>
                <w:color w:val="000000"/>
                <w:w w:val="15"/>
                <w:szCs w:val="20"/>
                <w:shd w:val="solid" w:color="000000" w:fill="000000"/>
                <w:fitText w:val="45" w:id="-893751545"/>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45"/>
                <w14:textFill>
                  <w14:solidFill>
                    <w14:srgbClr w14:val="000000">
                      <w14:alpha w14:val="100000"/>
                    </w14:srgbClr>
                  </w14:solidFill>
                </w14:textFill>
              </w:rPr>
              <w:t xml:space="preserve">　</w:t>
            </w:r>
            <w:r w:rsidR="00CD7954" w:rsidRPr="007C6F1B">
              <w:rPr>
                <w:szCs w:val="20"/>
                <w:vertAlign w:val="superscript"/>
              </w:rPr>
              <w:t>6</w:t>
            </w:r>
          </w:p>
        </w:tc>
        <w:tc>
          <w:tcPr>
            <w:tcW w:w="634" w:type="pct"/>
            <w:shd w:val="clear" w:color="auto" w:fill="auto"/>
            <w:vAlign w:val="center"/>
          </w:tcPr>
          <w:p w14:paraId="6B513315" w14:textId="3A09DE69" w:rsidR="005F44C9"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44"/>
                <w14:textFill>
                  <w14:solidFill>
                    <w14:srgbClr w14:val="000000">
                      <w14:alpha w14:val="100000"/>
                    </w14:srgbClr>
                  </w14:solidFill>
                </w14:textFill>
              </w:rPr>
              <w:t xml:space="preserve">　</w:t>
            </w:r>
            <w:r w:rsidRPr="00CA4FD9">
              <w:rPr>
                <w:color w:val="000000"/>
                <w:w w:val="15"/>
                <w:szCs w:val="20"/>
                <w:shd w:val="solid" w:color="000000" w:fill="000000"/>
                <w:fitText w:val="45" w:id="-893751544"/>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44"/>
                <w14:textFill>
                  <w14:solidFill>
                    <w14:srgbClr w14:val="000000">
                      <w14:alpha w14:val="100000"/>
                    </w14:srgbClr>
                  </w14:solidFill>
                </w14:textFill>
              </w:rPr>
              <w:t xml:space="preserve">　</w:t>
            </w:r>
            <w:r w:rsidR="00CD7954" w:rsidRPr="007C6F1B">
              <w:rPr>
                <w:szCs w:val="20"/>
                <w:vertAlign w:val="superscript"/>
              </w:rPr>
              <w:t>6</w:t>
            </w:r>
          </w:p>
        </w:tc>
        <w:tc>
          <w:tcPr>
            <w:tcW w:w="635" w:type="pct"/>
            <w:shd w:val="clear" w:color="auto" w:fill="auto"/>
            <w:vAlign w:val="center"/>
          </w:tcPr>
          <w:p w14:paraId="2521A4E4" w14:textId="258863D8" w:rsidR="005F44C9"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43"/>
                <w14:textFill>
                  <w14:solidFill>
                    <w14:srgbClr w14:val="000000">
                      <w14:alpha w14:val="100000"/>
                    </w14:srgbClr>
                  </w14:solidFill>
                </w14:textFill>
              </w:rPr>
              <w:t xml:space="preserve">　</w:t>
            </w:r>
            <w:r w:rsidRPr="00CA4FD9">
              <w:rPr>
                <w:color w:val="000000"/>
                <w:w w:val="15"/>
                <w:szCs w:val="20"/>
                <w:shd w:val="solid" w:color="000000" w:fill="000000"/>
                <w:fitText w:val="45" w:id="-893751543"/>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43"/>
                <w14:textFill>
                  <w14:solidFill>
                    <w14:srgbClr w14:val="000000">
                      <w14:alpha w14:val="100000"/>
                    </w14:srgbClr>
                  </w14:solidFill>
                </w14:textFill>
              </w:rPr>
              <w:t xml:space="preserve">　</w:t>
            </w:r>
            <w:r w:rsidR="00CD7954" w:rsidRPr="007C6F1B">
              <w:rPr>
                <w:szCs w:val="20"/>
                <w:vertAlign w:val="superscript"/>
              </w:rPr>
              <w:t>6</w:t>
            </w:r>
          </w:p>
        </w:tc>
        <w:tc>
          <w:tcPr>
            <w:tcW w:w="634" w:type="pct"/>
            <w:shd w:val="clear" w:color="auto" w:fill="auto"/>
            <w:vAlign w:val="center"/>
          </w:tcPr>
          <w:p w14:paraId="16BF86D6" w14:textId="3E903237" w:rsidR="005F44C9" w:rsidRPr="00A366EE" w:rsidRDefault="00CA4FD9" w:rsidP="00AE2B31">
            <w:pPr>
              <w:pStyle w:val="TableText0"/>
              <w:keepLines/>
              <w:jc w:val="center"/>
              <w:rPr>
                <w:color w:val="000000"/>
                <w:szCs w:val="20"/>
                <w:highlight w:val="lightGray"/>
              </w:rPr>
            </w:pPr>
            <w:r w:rsidRPr="00CA4FD9">
              <w:rPr>
                <w:rFonts w:hint="eastAsia"/>
                <w:color w:val="000000"/>
                <w:w w:val="15"/>
                <w:szCs w:val="20"/>
                <w:shd w:val="solid" w:color="000000" w:fill="000000"/>
                <w:fitText w:val="45" w:id="-893751542"/>
                <w14:textFill>
                  <w14:solidFill>
                    <w14:srgbClr w14:val="000000">
                      <w14:alpha w14:val="100000"/>
                    </w14:srgbClr>
                  </w14:solidFill>
                </w14:textFill>
              </w:rPr>
              <w:t xml:space="preserve">　</w:t>
            </w:r>
            <w:r w:rsidRPr="00CA4FD9">
              <w:rPr>
                <w:color w:val="000000"/>
                <w:w w:val="15"/>
                <w:szCs w:val="20"/>
                <w:shd w:val="solid" w:color="000000" w:fill="000000"/>
                <w:fitText w:val="45" w:id="-893751542"/>
                <w14:textFill>
                  <w14:solidFill>
                    <w14:srgbClr w14:val="000000">
                      <w14:alpha w14:val="100000"/>
                    </w14:srgbClr>
                  </w14:solidFill>
                </w14:textFill>
              </w:rPr>
              <w:t>|</w:t>
            </w:r>
            <w:r w:rsidRPr="00CA4FD9">
              <w:rPr>
                <w:rFonts w:hint="eastAsia"/>
                <w:color w:val="000000"/>
                <w:spacing w:val="-20"/>
                <w:w w:val="15"/>
                <w:szCs w:val="20"/>
                <w:shd w:val="solid" w:color="000000" w:fill="000000"/>
                <w:fitText w:val="45" w:id="-893751542"/>
                <w14:textFill>
                  <w14:solidFill>
                    <w14:srgbClr w14:val="000000">
                      <w14:alpha w14:val="100000"/>
                    </w14:srgbClr>
                  </w14:solidFill>
                </w14:textFill>
              </w:rPr>
              <w:t xml:space="preserve">　</w:t>
            </w:r>
            <w:r w:rsidR="00CD7954" w:rsidRPr="007C6F1B">
              <w:rPr>
                <w:szCs w:val="20"/>
                <w:vertAlign w:val="superscript"/>
              </w:rPr>
              <w:t>6</w:t>
            </w:r>
          </w:p>
        </w:tc>
        <w:tc>
          <w:tcPr>
            <w:tcW w:w="559" w:type="pct"/>
            <w:vAlign w:val="center"/>
          </w:tcPr>
          <w:p w14:paraId="4CA48892" w14:textId="13E1B876" w:rsidR="005F44C9" w:rsidRPr="00A366EE" w:rsidRDefault="00CA4FD9" w:rsidP="00AE2B31">
            <w:pPr>
              <w:pStyle w:val="TableText0"/>
              <w:keepLines/>
              <w:jc w:val="center"/>
              <w:rPr>
                <w:color w:val="000000"/>
                <w:szCs w:val="20"/>
                <w:highlight w:val="lightGray"/>
              </w:rPr>
            </w:pPr>
            <w:r w:rsidRPr="00CA4FD9">
              <w:rPr>
                <w:rFonts w:hint="eastAsia"/>
                <w:color w:val="000000"/>
                <w:w w:val="23"/>
                <w:szCs w:val="20"/>
                <w:shd w:val="solid" w:color="000000" w:fill="000000"/>
                <w:fitText w:val="105" w:id="-893751541"/>
                <w14:textFill>
                  <w14:solidFill>
                    <w14:srgbClr w14:val="000000">
                      <w14:alpha w14:val="100000"/>
                    </w14:srgbClr>
                  </w14:solidFill>
                </w14:textFill>
              </w:rPr>
              <w:t xml:space="preserve">　</w:t>
            </w:r>
            <w:r w:rsidRPr="00CA4FD9">
              <w:rPr>
                <w:color w:val="000000"/>
                <w:w w:val="23"/>
                <w:szCs w:val="20"/>
                <w:shd w:val="solid" w:color="000000" w:fill="000000"/>
                <w:fitText w:val="105" w:id="-893751541"/>
                <w14:textFill>
                  <w14:solidFill>
                    <w14:srgbClr w14:val="000000">
                      <w14:alpha w14:val="100000"/>
                    </w14:srgbClr>
                  </w14:solidFill>
                </w14:textFill>
              </w:rPr>
              <w:t>|</w:t>
            </w:r>
            <w:r w:rsidRPr="00CA4FD9">
              <w:rPr>
                <w:rFonts w:hint="eastAsia"/>
                <w:color w:val="000000"/>
                <w:spacing w:val="4"/>
                <w:w w:val="23"/>
                <w:szCs w:val="20"/>
                <w:shd w:val="solid" w:color="000000" w:fill="000000"/>
                <w:fitText w:val="105" w:id="-893751541"/>
                <w14:textFill>
                  <w14:solidFill>
                    <w14:srgbClr w14:val="000000">
                      <w14:alpha w14:val="100000"/>
                    </w14:srgbClr>
                  </w14:solidFill>
                </w14:textFill>
              </w:rPr>
              <w:t xml:space="preserve">　</w:t>
            </w:r>
            <w:r w:rsidR="00CD7954" w:rsidRPr="007C6F1B">
              <w:rPr>
                <w:szCs w:val="20"/>
                <w:vertAlign w:val="superscript"/>
              </w:rPr>
              <w:t>6</w:t>
            </w:r>
          </w:p>
        </w:tc>
      </w:tr>
      <w:bookmarkEnd w:id="10"/>
      <w:tr w:rsidR="009B00FF" w:rsidRPr="00032882" w14:paraId="3CD835A0" w14:textId="77777777" w:rsidTr="000C1AFF">
        <w:trPr>
          <w:cantSplit/>
          <w:jc w:val="center"/>
        </w:trPr>
        <w:tc>
          <w:tcPr>
            <w:tcW w:w="5000" w:type="pct"/>
            <w:gridSpan w:val="7"/>
            <w:shd w:val="clear" w:color="auto" w:fill="auto"/>
            <w:vAlign w:val="center"/>
          </w:tcPr>
          <w:p w14:paraId="0717F32A" w14:textId="599CB1D7" w:rsidR="009B00FF" w:rsidRPr="00032882" w:rsidRDefault="009B00FF" w:rsidP="00AE2B31">
            <w:pPr>
              <w:pStyle w:val="TableText0"/>
              <w:keepLines/>
              <w:rPr>
                <w:b/>
                <w:bCs w:val="0"/>
                <w:color w:val="000000"/>
                <w:szCs w:val="20"/>
              </w:rPr>
            </w:pPr>
            <w:r w:rsidRPr="00032882">
              <w:rPr>
                <w:b/>
                <w:bCs w:val="0"/>
                <w:color w:val="000000"/>
                <w:szCs w:val="20"/>
              </w:rPr>
              <w:t>Net financial implications</w:t>
            </w:r>
          </w:p>
        </w:tc>
      </w:tr>
      <w:tr w:rsidR="00F5334C" w:rsidRPr="00032882" w14:paraId="5B851387" w14:textId="77777777" w:rsidTr="00AE2B31">
        <w:trPr>
          <w:cantSplit/>
          <w:jc w:val="center"/>
        </w:trPr>
        <w:tc>
          <w:tcPr>
            <w:tcW w:w="1269" w:type="pct"/>
            <w:shd w:val="clear" w:color="auto" w:fill="auto"/>
            <w:vAlign w:val="center"/>
          </w:tcPr>
          <w:p w14:paraId="3DD34783" w14:textId="200ED98F" w:rsidR="00F5334C" w:rsidRPr="00032882" w:rsidRDefault="00F5334C" w:rsidP="00AE2B31">
            <w:pPr>
              <w:pStyle w:val="TableText0"/>
              <w:keepLines/>
              <w:rPr>
                <w:szCs w:val="20"/>
              </w:rPr>
            </w:pPr>
            <w:r w:rsidRPr="00032882">
              <w:rPr>
                <w:b/>
                <w:bCs w:val="0"/>
                <w:szCs w:val="20"/>
              </w:rPr>
              <w:t>Net cost to PBS/RPBS</w:t>
            </w:r>
          </w:p>
        </w:tc>
        <w:tc>
          <w:tcPr>
            <w:tcW w:w="634" w:type="pct"/>
            <w:shd w:val="clear" w:color="auto" w:fill="auto"/>
            <w:vAlign w:val="center"/>
          </w:tcPr>
          <w:p w14:paraId="6D6B53EA" w14:textId="74BD1765" w:rsidR="00F5334C" w:rsidRPr="00CA4FD9" w:rsidRDefault="00F5334C" w:rsidP="00AE2B31">
            <w:pPr>
              <w:pStyle w:val="TableText0"/>
              <w:keepLines/>
              <w:jc w:val="center"/>
              <w:rPr>
                <w:rFonts w:eastAsia="Times New Roman"/>
                <w:color w:val="000000"/>
                <w:szCs w:val="20"/>
                <w:shd w:val="solid" w:color="000000" w:fill="000000"/>
                <w14:textFill>
                  <w14:solidFill>
                    <w14:srgbClr w14:val="000000">
                      <w14:alpha w14:val="100000"/>
                    </w14:srgbClr>
                  </w14:solidFill>
                </w14:textFill>
              </w:rPr>
            </w:pPr>
            <w:r w:rsidRPr="0008347D">
              <w:rPr>
                <w:rFonts w:hint="eastAsia"/>
                <w:b/>
                <w:bCs w:val="0"/>
                <w:color w:val="000000"/>
                <w:w w:val="20"/>
                <w:szCs w:val="20"/>
                <w:shd w:val="solid" w:color="000000" w:fill="000000"/>
                <w:fitText w:val="90" w:id="-893751540"/>
                <w14:textFill>
                  <w14:solidFill>
                    <w14:srgbClr w14:val="000000">
                      <w14:alpha w14:val="100000"/>
                    </w14:srgbClr>
                  </w14:solidFill>
                </w14:textFill>
              </w:rPr>
              <w:t xml:space="preserve">　</w:t>
            </w:r>
            <w:r w:rsidRPr="0008347D">
              <w:rPr>
                <w:b/>
                <w:bCs w:val="0"/>
                <w:color w:val="000000"/>
                <w:w w:val="20"/>
                <w:szCs w:val="20"/>
                <w:shd w:val="solid" w:color="000000" w:fill="000000"/>
                <w:fitText w:val="90" w:id="-893751540"/>
                <w14:textFill>
                  <w14:solidFill>
                    <w14:srgbClr w14:val="000000">
                      <w14:alpha w14:val="100000"/>
                    </w14:srgbClr>
                  </w14:solidFill>
                </w14:textFill>
              </w:rPr>
              <w:t>|</w:t>
            </w:r>
            <w:r w:rsidRPr="0008347D">
              <w:rPr>
                <w:rFonts w:hint="eastAsia"/>
                <w:b/>
                <w:bCs w:val="0"/>
                <w:color w:val="000000"/>
                <w:spacing w:val="1"/>
                <w:w w:val="20"/>
                <w:szCs w:val="20"/>
                <w:shd w:val="solid" w:color="000000" w:fill="000000"/>
                <w:fitText w:val="90" w:id="-893751540"/>
                <w14:textFill>
                  <w14:solidFill>
                    <w14:srgbClr w14:val="000000">
                      <w14:alpha w14:val="100000"/>
                    </w14:srgbClr>
                  </w14:solidFill>
                </w14:textFill>
              </w:rPr>
              <w:t xml:space="preserve">　</w:t>
            </w:r>
            <w:r w:rsidRPr="007C6F1B">
              <w:rPr>
                <w:szCs w:val="20"/>
                <w:vertAlign w:val="superscript"/>
              </w:rPr>
              <w:t>4</w:t>
            </w:r>
          </w:p>
        </w:tc>
        <w:tc>
          <w:tcPr>
            <w:tcW w:w="635" w:type="pct"/>
            <w:shd w:val="clear" w:color="auto" w:fill="auto"/>
            <w:vAlign w:val="center"/>
          </w:tcPr>
          <w:p w14:paraId="497F245B" w14:textId="1537635F" w:rsidR="00F5334C" w:rsidRPr="00CA4FD9" w:rsidRDefault="00F5334C" w:rsidP="00AE2B31">
            <w:pPr>
              <w:pStyle w:val="TableText0"/>
              <w:keepLines/>
              <w:jc w:val="center"/>
              <w:rPr>
                <w:rFonts w:eastAsia="Times New Roman"/>
                <w:color w:val="000000"/>
                <w:szCs w:val="20"/>
                <w:shd w:val="solid" w:color="000000" w:fill="000000"/>
                <w14:textFill>
                  <w14:solidFill>
                    <w14:srgbClr w14:val="000000">
                      <w14:alpha w14:val="100000"/>
                    </w14:srgbClr>
                  </w14:solidFill>
                </w14:textFill>
              </w:rPr>
            </w:pPr>
            <w:r w:rsidRPr="0008347D">
              <w:rPr>
                <w:rFonts w:hint="eastAsia"/>
                <w:b/>
                <w:bCs w:val="0"/>
                <w:color w:val="000000"/>
                <w:w w:val="20"/>
                <w:szCs w:val="20"/>
                <w:shd w:val="solid" w:color="000000" w:fill="000000"/>
                <w:fitText w:val="90" w:id="-893751539"/>
                <w14:textFill>
                  <w14:solidFill>
                    <w14:srgbClr w14:val="000000">
                      <w14:alpha w14:val="100000"/>
                    </w14:srgbClr>
                  </w14:solidFill>
                </w14:textFill>
              </w:rPr>
              <w:t xml:space="preserve">　</w:t>
            </w:r>
            <w:r w:rsidRPr="0008347D">
              <w:rPr>
                <w:b/>
                <w:bCs w:val="0"/>
                <w:color w:val="000000"/>
                <w:w w:val="20"/>
                <w:szCs w:val="20"/>
                <w:shd w:val="solid" w:color="000000" w:fill="000000"/>
                <w:fitText w:val="90" w:id="-893751539"/>
                <w14:textFill>
                  <w14:solidFill>
                    <w14:srgbClr w14:val="000000">
                      <w14:alpha w14:val="100000"/>
                    </w14:srgbClr>
                  </w14:solidFill>
                </w14:textFill>
              </w:rPr>
              <w:t>|</w:t>
            </w:r>
            <w:r w:rsidRPr="0008347D">
              <w:rPr>
                <w:rFonts w:hint="eastAsia"/>
                <w:b/>
                <w:bCs w:val="0"/>
                <w:color w:val="000000"/>
                <w:spacing w:val="1"/>
                <w:w w:val="20"/>
                <w:szCs w:val="20"/>
                <w:shd w:val="solid" w:color="000000" w:fill="000000"/>
                <w:fitText w:val="90" w:id="-893751539"/>
                <w14:textFill>
                  <w14:solidFill>
                    <w14:srgbClr w14:val="000000">
                      <w14:alpha w14:val="100000"/>
                    </w14:srgbClr>
                  </w14:solidFill>
                </w14:textFill>
              </w:rPr>
              <w:t xml:space="preserve">　</w:t>
            </w:r>
            <w:r w:rsidRPr="007C6F1B">
              <w:rPr>
                <w:szCs w:val="20"/>
                <w:vertAlign w:val="superscript"/>
              </w:rPr>
              <w:t>5</w:t>
            </w:r>
          </w:p>
        </w:tc>
        <w:tc>
          <w:tcPr>
            <w:tcW w:w="634" w:type="pct"/>
            <w:shd w:val="clear" w:color="auto" w:fill="auto"/>
            <w:vAlign w:val="center"/>
          </w:tcPr>
          <w:p w14:paraId="2DA283B6" w14:textId="08EBF9B9" w:rsidR="00F5334C" w:rsidRPr="00CA4FD9" w:rsidRDefault="00F5334C" w:rsidP="00AE2B31">
            <w:pPr>
              <w:pStyle w:val="TableText0"/>
              <w:keepLines/>
              <w:jc w:val="center"/>
              <w:rPr>
                <w:rFonts w:eastAsia="Times New Roman"/>
                <w:color w:val="000000"/>
                <w:szCs w:val="20"/>
                <w:shd w:val="solid" w:color="000000" w:fill="000000"/>
                <w14:textFill>
                  <w14:solidFill>
                    <w14:srgbClr w14:val="000000">
                      <w14:alpha w14:val="100000"/>
                    </w14:srgbClr>
                  </w14:solidFill>
                </w14:textFill>
              </w:rPr>
            </w:pPr>
            <w:r w:rsidRPr="0008347D">
              <w:rPr>
                <w:rFonts w:hint="eastAsia"/>
                <w:b/>
                <w:bCs w:val="0"/>
                <w:color w:val="000000"/>
                <w:w w:val="20"/>
                <w:szCs w:val="20"/>
                <w:shd w:val="solid" w:color="000000" w:fill="000000"/>
                <w:fitText w:val="90" w:id="-893751538"/>
                <w14:textFill>
                  <w14:solidFill>
                    <w14:srgbClr w14:val="000000">
                      <w14:alpha w14:val="100000"/>
                    </w14:srgbClr>
                  </w14:solidFill>
                </w14:textFill>
              </w:rPr>
              <w:t xml:space="preserve">　</w:t>
            </w:r>
            <w:r w:rsidRPr="0008347D">
              <w:rPr>
                <w:b/>
                <w:bCs w:val="0"/>
                <w:color w:val="000000"/>
                <w:w w:val="20"/>
                <w:szCs w:val="20"/>
                <w:shd w:val="solid" w:color="000000" w:fill="000000"/>
                <w:fitText w:val="90" w:id="-893751538"/>
                <w14:textFill>
                  <w14:solidFill>
                    <w14:srgbClr w14:val="000000">
                      <w14:alpha w14:val="100000"/>
                    </w14:srgbClr>
                  </w14:solidFill>
                </w14:textFill>
              </w:rPr>
              <w:t>|</w:t>
            </w:r>
            <w:r w:rsidRPr="0008347D">
              <w:rPr>
                <w:rFonts w:hint="eastAsia"/>
                <w:b/>
                <w:bCs w:val="0"/>
                <w:color w:val="000000"/>
                <w:spacing w:val="1"/>
                <w:w w:val="20"/>
                <w:szCs w:val="20"/>
                <w:shd w:val="solid" w:color="000000" w:fill="000000"/>
                <w:fitText w:val="90" w:id="-893751538"/>
                <w14:textFill>
                  <w14:solidFill>
                    <w14:srgbClr w14:val="000000">
                      <w14:alpha w14:val="100000"/>
                    </w14:srgbClr>
                  </w14:solidFill>
                </w14:textFill>
              </w:rPr>
              <w:t xml:space="preserve">　</w:t>
            </w:r>
            <w:r w:rsidRPr="007C6F1B">
              <w:rPr>
                <w:szCs w:val="20"/>
                <w:vertAlign w:val="superscript"/>
              </w:rPr>
              <w:t>5</w:t>
            </w:r>
          </w:p>
        </w:tc>
        <w:tc>
          <w:tcPr>
            <w:tcW w:w="635" w:type="pct"/>
            <w:shd w:val="clear" w:color="auto" w:fill="auto"/>
            <w:vAlign w:val="center"/>
          </w:tcPr>
          <w:p w14:paraId="4EA3AFFD" w14:textId="5FD7E940" w:rsidR="00F5334C" w:rsidRPr="00CA4FD9" w:rsidRDefault="00F5334C" w:rsidP="00AE2B31">
            <w:pPr>
              <w:pStyle w:val="TableText0"/>
              <w:keepLines/>
              <w:jc w:val="center"/>
              <w:rPr>
                <w:rFonts w:eastAsia="Times New Roman"/>
                <w:color w:val="000000"/>
                <w:szCs w:val="20"/>
                <w:shd w:val="solid" w:color="000000" w:fill="000000"/>
                <w14:textFill>
                  <w14:solidFill>
                    <w14:srgbClr w14:val="000000">
                      <w14:alpha w14:val="100000"/>
                    </w14:srgbClr>
                  </w14:solidFill>
                </w14:textFill>
              </w:rPr>
            </w:pPr>
            <w:r w:rsidRPr="0008347D">
              <w:rPr>
                <w:rFonts w:hint="eastAsia"/>
                <w:b/>
                <w:bCs w:val="0"/>
                <w:color w:val="000000"/>
                <w:w w:val="20"/>
                <w:szCs w:val="20"/>
                <w:shd w:val="solid" w:color="000000" w:fill="000000"/>
                <w:fitText w:val="90" w:id="-893751537"/>
                <w14:textFill>
                  <w14:solidFill>
                    <w14:srgbClr w14:val="000000">
                      <w14:alpha w14:val="100000"/>
                    </w14:srgbClr>
                  </w14:solidFill>
                </w14:textFill>
              </w:rPr>
              <w:t xml:space="preserve">　</w:t>
            </w:r>
            <w:r w:rsidRPr="0008347D">
              <w:rPr>
                <w:b/>
                <w:bCs w:val="0"/>
                <w:color w:val="000000"/>
                <w:w w:val="20"/>
                <w:szCs w:val="20"/>
                <w:shd w:val="solid" w:color="000000" w:fill="000000"/>
                <w:fitText w:val="90" w:id="-893751537"/>
                <w14:textFill>
                  <w14:solidFill>
                    <w14:srgbClr w14:val="000000">
                      <w14:alpha w14:val="100000"/>
                    </w14:srgbClr>
                  </w14:solidFill>
                </w14:textFill>
              </w:rPr>
              <w:t>|</w:t>
            </w:r>
            <w:r w:rsidRPr="0008347D">
              <w:rPr>
                <w:rFonts w:hint="eastAsia"/>
                <w:b/>
                <w:bCs w:val="0"/>
                <w:color w:val="000000"/>
                <w:spacing w:val="1"/>
                <w:w w:val="20"/>
                <w:szCs w:val="20"/>
                <w:shd w:val="solid" w:color="000000" w:fill="000000"/>
                <w:fitText w:val="90" w:id="-893751537"/>
                <w14:textFill>
                  <w14:solidFill>
                    <w14:srgbClr w14:val="000000">
                      <w14:alpha w14:val="100000"/>
                    </w14:srgbClr>
                  </w14:solidFill>
                </w14:textFill>
              </w:rPr>
              <w:t xml:space="preserve">　</w:t>
            </w:r>
            <w:r w:rsidRPr="007C6F1B">
              <w:rPr>
                <w:szCs w:val="20"/>
                <w:vertAlign w:val="superscript"/>
              </w:rPr>
              <w:t>5</w:t>
            </w:r>
          </w:p>
        </w:tc>
        <w:tc>
          <w:tcPr>
            <w:tcW w:w="634" w:type="pct"/>
            <w:shd w:val="clear" w:color="auto" w:fill="auto"/>
            <w:vAlign w:val="center"/>
          </w:tcPr>
          <w:p w14:paraId="78A352B3" w14:textId="791C1B2E" w:rsidR="00F5334C" w:rsidRPr="00CA4FD9" w:rsidRDefault="00F5334C" w:rsidP="00AE2B31">
            <w:pPr>
              <w:pStyle w:val="TableText0"/>
              <w:keepLines/>
              <w:jc w:val="center"/>
              <w:rPr>
                <w:rFonts w:eastAsia="Times New Roman"/>
                <w:color w:val="000000"/>
                <w:szCs w:val="20"/>
                <w:shd w:val="solid" w:color="000000" w:fill="000000"/>
                <w14:textFill>
                  <w14:solidFill>
                    <w14:srgbClr w14:val="000000">
                      <w14:alpha w14:val="100000"/>
                    </w14:srgbClr>
                  </w14:solidFill>
                </w14:textFill>
              </w:rPr>
            </w:pPr>
            <w:r w:rsidRPr="0008347D">
              <w:rPr>
                <w:rFonts w:hint="eastAsia"/>
                <w:b/>
                <w:bCs w:val="0"/>
                <w:color w:val="000000"/>
                <w:w w:val="26"/>
                <w:szCs w:val="20"/>
                <w:shd w:val="solid" w:color="000000" w:fill="000000"/>
                <w:fitText w:val="120" w:id="-893751536"/>
                <w14:textFill>
                  <w14:solidFill>
                    <w14:srgbClr w14:val="000000">
                      <w14:alpha w14:val="100000"/>
                    </w14:srgbClr>
                  </w14:solidFill>
                </w14:textFill>
              </w:rPr>
              <w:t xml:space="preserve">　</w:t>
            </w:r>
            <w:r w:rsidRPr="0008347D">
              <w:rPr>
                <w:b/>
                <w:bCs w:val="0"/>
                <w:color w:val="000000"/>
                <w:w w:val="26"/>
                <w:szCs w:val="20"/>
                <w:shd w:val="solid" w:color="000000" w:fill="000000"/>
                <w:fitText w:val="120" w:id="-893751536"/>
                <w14:textFill>
                  <w14:solidFill>
                    <w14:srgbClr w14:val="000000">
                      <w14:alpha w14:val="100000"/>
                    </w14:srgbClr>
                  </w14:solidFill>
                </w14:textFill>
              </w:rPr>
              <w:t>|</w:t>
            </w:r>
            <w:r w:rsidRPr="0008347D">
              <w:rPr>
                <w:rFonts w:hint="eastAsia"/>
                <w:b/>
                <w:bCs w:val="0"/>
                <w:color w:val="000000"/>
                <w:spacing w:val="4"/>
                <w:w w:val="26"/>
                <w:szCs w:val="20"/>
                <w:shd w:val="solid" w:color="000000" w:fill="000000"/>
                <w:fitText w:val="120" w:id="-893751536"/>
                <w14:textFill>
                  <w14:solidFill>
                    <w14:srgbClr w14:val="000000">
                      <w14:alpha w14:val="100000"/>
                    </w14:srgbClr>
                  </w14:solidFill>
                </w14:textFill>
              </w:rPr>
              <w:t xml:space="preserve">　</w:t>
            </w:r>
            <w:r w:rsidRPr="007C6F1B">
              <w:rPr>
                <w:szCs w:val="20"/>
                <w:vertAlign w:val="superscript"/>
              </w:rPr>
              <w:t>5</w:t>
            </w:r>
          </w:p>
        </w:tc>
        <w:tc>
          <w:tcPr>
            <w:tcW w:w="559" w:type="pct"/>
            <w:shd w:val="clear" w:color="auto" w:fill="auto"/>
            <w:vAlign w:val="center"/>
          </w:tcPr>
          <w:p w14:paraId="2CA89C68" w14:textId="24B50AAA" w:rsidR="00F5334C" w:rsidRPr="00F5334C" w:rsidRDefault="00F5334C" w:rsidP="00AE2B31">
            <w:pPr>
              <w:pStyle w:val="TableText0"/>
              <w:keepLines/>
              <w:jc w:val="center"/>
              <w:rPr>
                <w:rFonts w:eastAsia="Times New Roman"/>
                <w:color w:val="000000"/>
                <w:szCs w:val="20"/>
                <w:shd w:val="solid" w:color="000000" w:fill="000000"/>
                <w14:textFill>
                  <w14:solidFill>
                    <w14:srgbClr w14:val="000000">
                      <w14:alpha w14:val="100000"/>
                    </w14:srgbClr>
                  </w14:solidFill>
                </w14:textFill>
              </w:rPr>
            </w:pPr>
            <w:r w:rsidRPr="00B675D1">
              <w:rPr>
                <w:rFonts w:hint="eastAsia"/>
                <w:b/>
                <w:bCs w:val="0"/>
                <w:color w:val="000000"/>
                <w:w w:val="26"/>
                <w:szCs w:val="20"/>
                <w:shd w:val="solid" w:color="000000" w:fill="000000"/>
                <w:fitText w:val="120" w:id="-893751536"/>
                <w14:textFill>
                  <w14:solidFill>
                    <w14:srgbClr w14:val="000000">
                      <w14:alpha w14:val="100000"/>
                    </w14:srgbClr>
                  </w14:solidFill>
                </w14:textFill>
              </w:rPr>
              <w:t xml:space="preserve">　</w:t>
            </w:r>
            <w:r w:rsidRPr="00B675D1">
              <w:rPr>
                <w:b/>
                <w:bCs w:val="0"/>
                <w:color w:val="000000"/>
                <w:w w:val="26"/>
                <w:szCs w:val="20"/>
                <w:shd w:val="solid" w:color="000000" w:fill="000000"/>
                <w:fitText w:val="120" w:id="-893751536"/>
                <w14:textFill>
                  <w14:solidFill>
                    <w14:srgbClr w14:val="000000">
                      <w14:alpha w14:val="100000"/>
                    </w14:srgbClr>
                  </w14:solidFill>
                </w14:textFill>
              </w:rPr>
              <w:t>|</w:t>
            </w:r>
            <w:r w:rsidRPr="00B675D1">
              <w:rPr>
                <w:rFonts w:hint="eastAsia"/>
                <w:b/>
                <w:bCs w:val="0"/>
                <w:color w:val="000000"/>
                <w:spacing w:val="4"/>
                <w:w w:val="26"/>
                <w:szCs w:val="20"/>
                <w:shd w:val="solid" w:color="000000" w:fill="000000"/>
                <w:fitText w:val="120" w:id="-893751536"/>
                <w14:textFill>
                  <w14:solidFill>
                    <w14:srgbClr w14:val="000000">
                      <w14:alpha w14:val="100000"/>
                    </w14:srgbClr>
                  </w14:solidFill>
                </w14:textFill>
              </w:rPr>
              <w:t xml:space="preserve">　</w:t>
            </w:r>
            <w:r w:rsidRPr="007C6F1B">
              <w:rPr>
                <w:szCs w:val="20"/>
                <w:vertAlign w:val="superscript"/>
              </w:rPr>
              <w:t>5</w:t>
            </w:r>
          </w:p>
        </w:tc>
      </w:tr>
      <w:tr w:rsidR="00F5334C" w:rsidRPr="00032882" w14:paraId="0FFD6550" w14:textId="77777777" w:rsidTr="00AE2B31">
        <w:trPr>
          <w:cantSplit/>
          <w:jc w:val="center"/>
        </w:trPr>
        <w:tc>
          <w:tcPr>
            <w:tcW w:w="1269" w:type="pct"/>
            <w:shd w:val="clear" w:color="auto" w:fill="auto"/>
            <w:vAlign w:val="center"/>
          </w:tcPr>
          <w:p w14:paraId="3562ECA8" w14:textId="7BC109CE" w:rsidR="00F5334C" w:rsidRPr="00032882" w:rsidRDefault="00F5334C" w:rsidP="00AE2B31">
            <w:pPr>
              <w:pStyle w:val="TableText0"/>
              <w:keepLines/>
              <w:rPr>
                <w:szCs w:val="20"/>
              </w:rPr>
            </w:pPr>
            <w:r w:rsidRPr="00032882">
              <w:rPr>
                <w:szCs w:val="20"/>
              </w:rPr>
              <w:t>March 2021 Net cost to PBS/RPBS</w:t>
            </w:r>
          </w:p>
        </w:tc>
        <w:tc>
          <w:tcPr>
            <w:tcW w:w="634" w:type="pct"/>
            <w:shd w:val="clear" w:color="auto" w:fill="auto"/>
            <w:vAlign w:val="center"/>
          </w:tcPr>
          <w:p w14:paraId="2F1DAC3E" w14:textId="0C2DB78E" w:rsidR="00F5334C" w:rsidRPr="00A366EE" w:rsidRDefault="00F5334C"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551"/>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551"/>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551"/>
                <w14:textFill>
                  <w14:solidFill>
                    <w14:srgbClr w14:val="000000">
                      <w14:alpha w14:val="100000"/>
                    </w14:srgbClr>
                  </w14:solidFill>
                </w14:textFill>
              </w:rPr>
              <w:t xml:space="preserve">　</w:t>
            </w:r>
            <w:r w:rsidRPr="007C6F1B">
              <w:rPr>
                <w:szCs w:val="20"/>
                <w:vertAlign w:val="superscript"/>
              </w:rPr>
              <w:t>4</w:t>
            </w:r>
          </w:p>
        </w:tc>
        <w:tc>
          <w:tcPr>
            <w:tcW w:w="635" w:type="pct"/>
            <w:shd w:val="clear" w:color="auto" w:fill="auto"/>
            <w:vAlign w:val="center"/>
          </w:tcPr>
          <w:p w14:paraId="20659DBE" w14:textId="71AA9242" w:rsidR="00F5334C" w:rsidRPr="00A366EE" w:rsidRDefault="00F5334C"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550"/>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550"/>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550"/>
                <w14:textFill>
                  <w14:solidFill>
                    <w14:srgbClr w14:val="000000">
                      <w14:alpha w14:val="100000"/>
                    </w14:srgbClr>
                  </w14:solidFill>
                </w14:textFill>
              </w:rPr>
              <w:t xml:space="preserve">　</w:t>
            </w:r>
            <w:r w:rsidRPr="007C6F1B">
              <w:rPr>
                <w:szCs w:val="20"/>
                <w:vertAlign w:val="superscript"/>
              </w:rPr>
              <w:t>5</w:t>
            </w:r>
          </w:p>
        </w:tc>
        <w:tc>
          <w:tcPr>
            <w:tcW w:w="634" w:type="pct"/>
            <w:shd w:val="clear" w:color="auto" w:fill="auto"/>
            <w:vAlign w:val="center"/>
          </w:tcPr>
          <w:p w14:paraId="756145FB" w14:textId="2CF2B127" w:rsidR="00F5334C" w:rsidRPr="00A366EE" w:rsidRDefault="00F5334C"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549"/>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549"/>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549"/>
                <w14:textFill>
                  <w14:solidFill>
                    <w14:srgbClr w14:val="000000">
                      <w14:alpha w14:val="100000"/>
                    </w14:srgbClr>
                  </w14:solidFill>
                </w14:textFill>
              </w:rPr>
              <w:t xml:space="preserve">　</w:t>
            </w:r>
            <w:r w:rsidRPr="007C6F1B">
              <w:rPr>
                <w:szCs w:val="20"/>
                <w:vertAlign w:val="superscript"/>
              </w:rPr>
              <w:t>5</w:t>
            </w:r>
          </w:p>
        </w:tc>
        <w:tc>
          <w:tcPr>
            <w:tcW w:w="635" w:type="pct"/>
            <w:shd w:val="clear" w:color="auto" w:fill="auto"/>
            <w:vAlign w:val="center"/>
          </w:tcPr>
          <w:p w14:paraId="2FC6A4B9" w14:textId="1E7D8ED3" w:rsidR="00F5334C" w:rsidRPr="00A366EE" w:rsidRDefault="00F5334C"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548"/>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548"/>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548"/>
                <w14:textFill>
                  <w14:solidFill>
                    <w14:srgbClr w14:val="000000">
                      <w14:alpha w14:val="100000"/>
                    </w14:srgbClr>
                  </w14:solidFill>
                </w14:textFill>
              </w:rPr>
              <w:t xml:space="preserve">　</w:t>
            </w:r>
            <w:r w:rsidRPr="007C6F1B">
              <w:rPr>
                <w:szCs w:val="20"/>
                <w:vertAlign w:val="superscript"/>
              </w:rPr>
              <w:t>5</w:t>
            </w:r>
          </w:p>
        </w:tc>
        <w:tc>
          <w:tcPr>
            <w:tcW w:w="634" w:type="pct"/>
            <w:shd w:val="clear" w:color="auto" w:fill="auto"/>
            <w:vAlign w:val="center"/>
          </w:tcPr>
          <w:p w14:paraId="72AA0E78" w14:textId="5958EB5E" w:rsidR="00F5334C" w:rsidRPr="00A366EE" w:rsidRDefault="00F5334C" w:rsidP="00AE2B31">
            <w:pPr>
              <w:pStyle w:val="TableText0"/>
              <w:keepLines/>
              <w:jc w:val="center"/>
              <w:rPr>
                <w:color w:val="000000"/>
                <w:szCs w:val="20"/>
                <w:highlight w:val="lightGray"/>
              </w:rPr>
            </w:pPr>
            <w:r w:rsidRPr="00CA4FD9">
              <w:rPr>
                <w:rFonts w:eastAsia="Times New Roman" w:hint="eastAsia"/>
                <w:color w:val="000000"/>
                <w:w w:val="15"/>
                <w:szCs w:val="20"/>
                <w:shd w:val="solid" w:color="000000" w:fill="000000"/>
                <w:fitText w:val="45" w:id="-893751547"/>
                <w14:textFill>
                  <w14:solidFill>
                    <w14:srgbClr w14:val="000000">
                      <w14:alpha w14:val="100000"/>
                    </w14:srgbClr>
                  </w14:solidFill>
                </w14:textFill>
              </w:rPr>
              <w:t xml:space="preserve">　</w:t>
            </w:r>
            <w:r w:rsidRPr="00CA4FD9">
              <w:rPr>
                <w:rFonts w:eastAsia="Times New Roman"/>
                <w:color w:val="000000"/>
                <w:w w:val="15"/>
                <w:szCs w:val="20"/>
                <w:shd w:val="solid" w:color="000000" w:fill="000000"/>
                <w:fitText w:val="45" w:id="-893751547"/>
                <w14:textFill>
                  <w14:solidFill>
                    <w14:srgbClr w14:val="000000">
                      <w14:alpha w14:val="100000"/>
                    </w14:srgbClr>
                  </w14:solidFill>
                </w14:textFill>
              </w:rPr>
              <w:t>|</w:t>
            </w:r>
            <w:r w:rsidRPr="00CA4FD9">
              <w:rPr>
                <w:rFonts w:eastAsia="Times New Roman" w:hint="eastAsia"/>
                <w:color w:val="000000"/>
                <w:spacing w:val="-20"/>
                <w:w w:val="15"/>
                <w:szCs w:val="20"/>
                <w:shd w:val="solid" w:color="000000" w:fill="000000"/>
                <w:fitText w:val="45" w:id="-893751547"/>
                <w14:textFill>
                  <w14:solidFill>
                    <w14:srgbClr w14:val="000000">
                      <w14:alpha w14:val="100000"/>
                    </w14:srgbClr>
                  </w14:solidFill>
                </w14:textFill>
              </w:rPr>
              <w:t xml:space="preserve">　</w:t>
            </w:r>
            <w:r w:rsidRPr="007C6F1B">
              <w:rPr>
                <w:szCs w:val="20"/>
                <w:vertAlign w:val="superscript"/>
              </w:rPr>
              <w:t>5</w:t>
            </w:r>
          </w:p>
        </w:tc>
        <w:tc>
          <w:tcPr>
            <w:tcW w:w="559" w:type="pct"/>
            <w:shd w:val="clear" w:color="auto" w:fill="auto"/>
            <w:vAlign w:val="center"/>
          </w:tcPr>
          <w:p w14:paraId="00F9F374" w14:textId="5C905368" w:rsidR="00F5334C" w:rsidRPr="00A366EE" w:rsidRDefault="00F5334C" w:rsidP="00AE2B31">
            <w:pPr>
              <w:pStyle w:val="TableText0"/>
              <w:keepLines/>
              <w:jc w:val="center"/>
              <w:rPr>
                <w:color w:val="000000"/>
                <w:szCs w:val="20"/>
                <w:highlight w:val="lightGray"/>
              </w:rPr>
            </w:pPr>
            <w:r w:rsidRPr="00F5334C">
              <w:rPr>
                <w:rFonts w:eastAsia="Times New Roman" w:hint="eastAsia"/>
                <w:color w:val="000000"/>
                <w:w w:val="23"/>
                <w:szCs w:val="20"/>
                <w:shd w:val="solid" w:color="000000" w:fill="000000"/>
                <w:fitText w:val="105" w:id="-893751546"/>
                <w14:textFill>
                  <w14:solidFill>
                    <w14:srgbClr w14:val="000000">
                      <w14:alpha w14:val="100000"/>
                    </w14:srgbClr>
                  </w14:solidFill>
                </w14:textFill>
              </w:rPr>
              <w:t xml:space="preserve">　</w:t>
            </w:r>
            <w:r w:rsidRPr="00F5334C">
              <w:rPr>
                <w:rFonts w:eastAsia="Times New Roman"/>
                <w:color w:val="000000"/>
                <w:w w:val="23"/>
                <w:szCs w:val="20"/>
                <w:shd w:val="solid" w:color="000000" w:fill="000000"/>
                <w:fitText w:val="105" w:id="-893751546"/>
                <w14:textFill>
                  <w14:solidFill>
                    <w14:srgbClr w14:val="000000">
                      <w14:alpha w14:val="100000"/>
                    </w14:srgbClr>
                  </w14:solidFill>
                </w14:textFill>
              </w:rPr>
              <w:t>|</w:t>
            </w:r>
            <w:r w:rsidRPr="00F5334C">
              <w:rPr>
                <w:rFonts w:eastAsia="Times New Roman" w:hint="eastAsia"/>
                <w:color w:val="000000"/>
                <w:w w:val="23"/>
                <w:szCs w:val="20"/>
                <w:shd w:val="solid" w:color="000000" w:fill="000000"/>
                <w:fitText w:val="105" w:id="-893751546"/>
                <w14:textFill>
                  <w14:solidFill>
                    <w14:srgbClr w14:val="000000">
                      <w14:alpha w14:val="100000"/>
                    </w14:srgbClr>
                  </w14:solidFill>
                </w14:textFill>
              </w:rPr>
              <w:t xml:space="preserve">　</w:t>
            </w:r>
            <w:r w:rsidRPr="007C6F1B">
              <w:rPr>
                <w:szCs w:val="20"/>
                <w:vertAlign w:val="superscript"/>
              </w:rPr>
              <w:t>5</w:t>
            </w:r>
          </w:p>
        </w:tc>
      </w:tr>
    </w:tbl>
    <w:p w14:paraId="5FD6A22D" w14:textId="77777777" w:rsidR="003437F8" w:rsidRDefault="00AB4684" w:rsidP="00AE2B31">
      <w:pPr>
        <w:pStyle w:val="TableFigureFooter"/>
        <w:keepNext/>
        <w:keepLines/>
        <w:rPr>
          <w:szCs w:val="18"/>
        </w:rPr>
      </w:pPr>
      <w:r w:rsidRPr="004D671D">
        <w:rPr>
          <w:szCs w:val="18"/>
        </w:rPr>
        <w:t xml:space="preserve">Abbreviations: </w:t>
      </w:r>
      <w:r w:rsidR="005F44C9" w:rsidRPr="004D671D">
        <w:rPr>
          <w:szCs w:val="18"/>
        </w:rPr>
        <w:t xml:space="preserve">1L, first-line treatment; 2L, second-line treatment; EPP = post-extrapleural pneumonectomy; IPI, ipilimumab; </w:t>
      </w:r>
      <w:r w:rsidRPr="004D671D">
        <w:rPr>
          <w:szCs w:val="18"/>
        </w:rPr>
        <w:t>MBS = Medical Benefits Scheme;</w:t>
      </w:r>
      <w:r w:rsidR="005F44C9" w:rsidRPr="004D671D">
        <w:rPr>
          <w:szCs w:val="18"/>
        </w:rPr>
        <w:t xml:space="preserve"> MPM = malignant pleural mesothelioma; NIVO, nivolumab;</w:t>
      </w:r>
      <w:r w:rsidRPr="004D671D">
        <w:rPr>
          <w:szCs w:val="18"/>
        </w:rPr>
        <w:t xml:space="preserve"> PBS = Pharmaceutical Benefits Scheme; RPBS = Repatriation Pharmaceutical Benefits Scheme.</w:t>
      </w:r>
    </w:p>
    <w:p w14:paraId="6D21A960" w14:textId="680171B7" w:rsidR="00D70349" w:rsidRDefault="00D70349" w:rsidP="00AE2B31">
      <w:pPr>
        <w:pStyle w:val="TableFigureFooter"/>
        <w:keepNext/>
        <w:keepLines/>
        <w:rPr>
          <w:szCs w:val="18"/>
        </w:rPr>
      </w:pPr>
      <w:r w:rsidRPr="004D671D">
        <w:rPr>
          <w:szCs w:val="18"/>
        </w:rPr>
        <w:t xml:space="preserve">Source: </w:t>
      </w:r>
      <w:r w:rsidR="0016446C">
        <w:rPr>
          <w:szCs w:val="18"/>
        </w:rPr>
        <w:t>PBS Nivolumab + Ipilimumab MPM vB 20210607 Financial workbook</w:t>
      </w:r>
      <w:r w:rsidR="00AA7D15" w:rsidRPr="004D671D">
        <w:rPr>
          <w:szCs w:val="18"/>
        </w:rPr>
        <w:t>; Nivolumab plus Ipilimumab unresectable malignant mesothelioma Utilisation and Cost Model_March2024</w:t>
      </w:r>
    </w:p>
    <w:p w14:paraId="611551F8" w14:textId="77777777" w:rsidR="00D146AD" w:rsidRPr="00AE2B31" w:rsidRDefault="00D146AD" w:rsidP="00AE2B31">
      <w:pPr>
        <w:pStyle w:val="TableFigureFooter"/>
        <w:keepNext/>
        <w:keepLines/>
        <w:rPr>
          <w:i/>
          <w:iCs/>
          <w:szCs w:val="18"/>
        </w:rPr>
      </w:pPr>
      <w:bookmarkStart w:id="11" w:name="_Hlk177390103"/>
      <w:bookmarkStart w:id="12" w:name="_Hlk177392253"/>
      <w:r w:rsidRPr="00AE2B31">
        <w:rPr>
          <w:i/>
          <w:iCs/>
          <w:szCs w:val="18"/>
        </w:rPr>
        <w:t>The redacted values correspond to the following ranges:</w:t>
      </w:r>
    </w:p>
    <w:p w14:paraId="09F66F96" w14:textId="0E509795" w:rsidR="00D146AD" w:rsidRPr="00AE2B31" w:rsidRDefault="00D146AD" w:rsidP="00AE2B31">
      <w:pPr>
        <w:pStyle w:val="TableFigureFooter"/>
        <w:keepNext/>
        <w:keepLines/>
        <w:rPr>
          <w:i/>
          <w:iCs/>
          <w:szCs w:val="18"/>
        </w:rPr>
      </w:pPr>
      <w:r w:rsidRPr="00AE2B31">
        <w:rPr>
          <w:i/>
          <w:iCs/>
          <w:szCs w:val="18"/>
        </w:rPr>
        <w:t>1 &lt; 50</w:t>
      </w:r>
      <w:r w:rsidR="00F6288F" w:rsidRPr="00AE2B31">
        <w:rPr>
          <w:i/>
          <w:iCs/>
          <w:szCs w:val="18"/>
        </w:rPr>
        <w:t>0</w:t>
      </w:r>
    </w:p>
    <w:p w14:paraId="4E2394D3" w14:textId="77777777" w:rsidR="00D146AD" w:rsidRPr="00AE2B31" w:rsidRDefault="00D146AD" w:rsidP="00AE2B31">
      <w:pPr>
        <w:pStyle w:val="TableFigureFooter"/>
        <w:keepNext/>
        <w:keepLines/>
        <w:rPr>
          <w:i/>
          <w:iCs/>
          <w:szCs w:val="18"/>
        </w:rPr>
      </w:pPr>
      <w:r w:rsidRPr="00AE2B31">
        <w:rPr>
          <w:i/>
          <w:iCs/>
          <w:szCs w:val="18"/>
        </w:rPr>
        <w:t xml:space="preserve">2 500 to &lt; 5,0000 </w:t>
      </w:r>
    </w:p>
    <w:p w14:paraId="016AEDF5" w14:textId="2CD441FF" w:rsidR="000F02D0" w:rsidRPr="00AE2B31" w:rsidRDefault="000F02D0" w:rsidP="00AE2B31">
      <w:pPr>
        <w:pStyle w:val="TableFigureFooter"/>
        <w:keepNext/>
        <w:keepLines/>
        <w:rPr>
          <w:i/>
          <w:iCs/>
          <w:szCs w:val="18"/>
        </w:rPr>
      </w:pPr>
      <w:r w:rsidRPr="00AE2B31">
        <w:rPr>
          <w:i/>
          <w:iCs/>
          <w:szCs w:val="18"/>
        </w:rPr>
        <w:t>3 10,000 to &lt; 20,000</w:t>
      </w:r>
    </w:p>
    <w:p w14:paraId="1DD7849F" w14:textId="77777777" w:rsidR="00D146AD" w:rsidRPr="00AE2B31" w:rsidRDefault="00D146AD" w:rsidP="00AE2B31">
      <w:pPr>
        <w:pStyle w:val="TableFigureFooter"/>
        <w:keepNext/>
        <w:keepLines/>
        <w:rPr>
          <w:i/>
          <w:iCs/>
          <w:szCs w:val="18"/>
        </w:rPr>
      </w:pPr>
      <w:r w:rsidRPr="00AE2B31">
        <w:rPr>
          <w:i/>
          <w:iCs/>
          <w:szCs w:val="18"/>
        </w:rPr>
        <w:t>4 $20 million to &lt; $30 million</w:t>
      </w:r>
    </w:p>
    <w:p w14:paraId="682E1CF1" w14:textId="2E6A37F5" w:rsidR="00AA2D15" w:rsidRPr="00AE2B31" w:rsidRDefault="00AA2D15" w:rsidP="00AE2B31">
      <w:pPr>
        <w:pStyle w:val="TableFigureFooter"/>
        <w:keepNext/>
        <w:keepLines/>
        <w:rPr>
          <w:i/>
          <w:iCs/>
          <w:szCs w:val="18"/>
        </w:rPr>
      </w:pPr>
      <w:r w:rsidRPr="00AE2B31">
        <w:rPr>
          <w:i/>
          <w:iCs/>
          <w:szCs w:val="18"/>
        </w:rPr>
        <w:t>5 $10 million to &lt; $20 million</w:t>
      </w:r>
    </w:p>
    <w:bookmarkEnd w:id="11"/>
    <w:p w14:paraId="7007862D" w14:textId="3755E61E" w:rsidR="00D146AD" w:rsidRPr="00AE2B31" w:rsidRDefault="00AA2D15" w:rsidP="00D146AD">
      <w:pPr>
        <w:pStyle w:val="TableFigureFooter"/>
        <w:rPr>
          <w:i/>
          <w:iCs/>
          <w:szCs w:val="18"/>
        </w:rPr>
      </w:pPr>
      <w:r w:rsidRPr="00AE2B31">
        <w:rPr>
          <w:i/>
          <w:iCs/>
          <w:szCs w:val="18"/>
        </w:rPr>
        <w:t>6</w:t>
      </w:r>
      <w:r w:rsidR="00D146AD" w:rsidRPr="00AE2B31">
        <w:rPr>
          <w:i/>
          <w:iCs/>
          <w:szCs w:val="18"/>
        </w:rPr>
        <w:t xml:space="preserve"> net cost saving</w:t>
      </w:r>
      <w:bookmarkEnd w:id="12"/>
    </w:p>
    <w:p w14:paraId="36875348" w14:textId="0C7169EF" w:rsidR="00831B88" w:rsidRPr="004D671D" w:rsidRDefault="00831B88" w:rsidP="00831B88">
      <w:pPr>
        <w:pStyle w:val="4-SubsectionHeading"/>
        <w:rPr>
          <w:lang w:eastAsia="en-US"/>
        </w:rPr>
      </w:pPr>
      <w:r w:rsidRPr="004D671D">
        <w:rPr>
          <w:lang w:eastAsia="en-US"/>
        </w:rPr>
        <w:t xml:space="preserve">Risk-sharing arrangements </w:t>
      </w:r>
    </w:p>
    <w:p w14:paraId="519976B9" w14:textId="38093DF0" w:rsidR="00831B88" w:rsidRDefault="00B005B7" w:rsidP="00633DD6">
      <w:pPr>
        <w:pStyle w:val="3Bodytext"/>
        <w:rPr>
          <w:lang w:eastAsia="en-US"/>
        </w:rPr>
      </w:pPr>
      <w:r w:rsidRPr="004D671D">
        <w:rPr>
          <w:lang w:eastAsia="en-US"/>
        </w:rPr>
        <w:t>The submission requested a change to the existing RSA caps based upon these new estimates. The requested changes are in</w:t>
      </w:r>
      <w:r w:rsidR="00E41190" w:rsidRPr="004D671D">
        <w:rPr>
          <w:lang w:eastAsia="en-US"/>
        </w:rPr>
        <w:t xml:space="preserve"> </w:t>
      </w:r>
      <w:r w:rsidR="00E41190" w:rsidRPr="004D671D">
        <w:rPr>
          <w:lang w:eastAsia="en-US"/>
        </w:rPr>
        <w:fldChar w:fldCharType="begin"/>
      </w:r>
      <w:r w:rsidR="00E41190" w:rsidRPr="004D671D">
        <w:rPr>
          <w:lang w:eastAsia="en-US"/>
        </w:rPr>
        <w:instrText xml:space="preserve"> REF _Ref168308770 \h </w:instrText>
      </w:r>
      <w:r w:rsidR="00E41190" w:rsidRPr="004D671D">
        <w:rPr>
          <w:lang w:eastAsia="en-US"/>
        </w:rPr>
      </w:r>
      <w:r w:rsidR="00E41190" w:rsidRPr="004D671D">
        <w:rPr>
          <w:lang w:eastAsia="en-US"/>
        </w:rPr>
        <w:fldChar w:fldCharType="separate"/>
      </w:r>
      <w:r w:rsidR="00AE0CA7" w:rsidRPr="004D671D">
        <w:rPr>
          <w:lang w:eastAsia="en-US"/>
        </w:rPr>
        <w:t xml:space="preserve">Table </w:t>
      </w:r>
      <w:r w:rsidR="00AE0CA7">
        <w:rPr>
          <w:noProof/>
          <w:lang w:eastAsia="en-US"/>
        </w:rPr>
        <w:t>4</w:t>
      </w:r>
      <w:r w:rsidR="00E41190" w:rsidRPr="004D671D">
        <w:rPr>
          <w:lang w:eastAsia="en-US"/>
        </w:rPr>
        <w:fldChar w:fldCharType="end"/>
      </w:r>
      <w:r w:rsidRPr="004D671D">
        <w:rPr>
          <w:lang w:eastAsia="en-US"/>
        </w:rPr>
        <w:t>.</w:t>
      </w:r>
      <w:r w:rsidR="00E41190" w:rsidRPr="004D671D">
        <w:rPr>
          <w:lang w:eastAsia="en-US"/>
        </w:rPr>
        <w:t xml:space="preserve"> The new caps would result in extra cost to the PBS/RPBS of $</w:t>
      </w:r>
      <w:r w:rsidR="00943289" w:rsidRPr="00943289">
        <w:rPr>
          <w:lang w:eastAsia="en-US"/>
        </w:rPr>
        <w:t xml:space="preserve">10 million to &lt; $20 </w:t>
      </w:r>
      <w:r w:rsidR="001C696E" w:rsidRPr="00943289">
        <w:rPr>
          <w:lang w:eastAsia="en-US"/>
        </w:rPr>
        <w:t>million</w:t>
      </w:r>
      <w:r w:rsidR="001C696E" w:rsidRPr="004D671D">
        <w:rPr>
          <w:lang w:eastAsia="en-US"/>
        </w:rPr>
        <w:t xml:space="preserve"> dollars</w:t>
      </w:r>
      <w:r w:rsidR="00E41190" w:rsidRPr="004D671D">
        <w:rPr>
          <w:lang w:eastAsia="en-US"/>
        </w:rPr>
        <w:t xml:space="preserve"> over the remaining 3 years of the </w:t>
      </w:r>
      <w:r w:rsidR="007F6916">
        <w:rPr>
          <w:lang w:eastAsia="en-US"/>
        </w:rPr>
        <w:t>RSA</w:t>
      </w:r>
      <w:r w:rsidR="00E41190" w:rsidRPr="004D671D">
        <w:rPr>
          <w:lang w:eastAsia="en-US"/>
        </w:rPr>
        <w:t xml:space="preserve">. </w:t>
      </w:r>
    </w:p>
    <w:p w14:paraId="15D1A0AB" w14:textId="7E873284" w:rsidR="00E90E56" w:rsidRDefault="001C696E" w:rsidP="00633DD6">
      <w:pPr>
        <w:pStyle w:val="3Bodytext"/>
        <w:rPr>
          <w:lang w:eastAsia="en-US"/>
        </w:rPr>
      </w:pPr>
      <w:r>
        <w:rPr>
          <w:lang w:eastAsia="en-US"/>
        </w:rPr>
        <w:t>The Year</w:t>
      </w:r>
      <w:r w:rsidR="002A0F12">
        <w:rPr>
          <w:lang w:eastAsia="en-US"/>
        </w:rPr>
        <w:t xml:space="preserve"> 3 expenditure </w:t>
      </w:r>
      <w:r w:rsidR="007C7E42">
        <w:rPr>
          <w:lang w:eastAsia="en-US"/>
        </w:rPr>
        <w:t>as presented by the sponsor w</w:t>
      </w:r>
      <w:r w:rsidR="002A0F12">
        <w:rPr>
          <w:lang w:eastAsia="en-US"/>
        </w:rPr>
        <w:t>as updated</w:t>
      </w:r>
      <w:r w:rsidR="007C7E42">
        <w:rPr>
          <w:lang w:eastAsia="en-US"/>
        </w:rPr>
        <w:t xml:space="preserve"> during the </w:t>
      </w:r>
      <w:r w:rsidR="0017745F">
        <w:rPr>
          <w:lang w:eastAsia="en-US"/>
        </w:rPr>
        <w:t>evaluation</w:t>
      </w:r>
      <w:r w:rsidR="002A0F12">
        <w:rPr>
          <w:lang w:eastAsia="en-US"/>
        </w:rPr>
        <w:t xml:space="preserve"> to</w:t>
      </w:r>
      <w:r w:rsidR="007C7E42">
        <w:rPr>
          <w:lang w:eastAsia="en-US"/>
        </w:rPr>
        <w:t xml:space="preserve"> include</w:t>
      </w:r>
      <w:r w:rsidR="00EC71D1">
        <w:rPr>
          <w:lang w:eastAsia="en-US"/>
        </w:rPr>
        <w:t xml:space="preserve"> data up to</w:t>
      </w:r>
      <w:r w:rsidR="002A0F12">
        <w:rPr>
          <w:lang w:eastAsia="en-US"/>
        </w:rPr>
        <w:t xml:space="preserve"> May 2024</w:t>
      </w:r>
      <w:r w:rsidR="00CC01B2">
        <w:rPr>
          <w:lang w:eastAsia="en-US"/>
        </w:rPr>
        <w:t>.</w:t>
      </w:r>
      <w:r w:rsidR="00CC01B2" w:rsidRPr="00CC01B2">
        <w:t xml:space="preserve"> </w:t>
      </w:r>
      <w:r w:rsidR="00CC01B2" w:rsidRPr="00D32758">
        <w:t>The Secretariat noted</w:t>
      </w:r>
      <w:r w:rsidR="00CC01B2">
        <w:t xml:space="preserve"> that this entire Year 3 period would have </w:t>
      </w:r>
      <w:r w:rsidR="00CC01B2" w:rsidRPr="00D32758">
        <w:t>elapsed</w:t>
      </w:r>
      <w:r w:rsidR="00CC01B2">
        <w:t xml:space="preserve"> and accrued upon consideration by the PBAC</w:t>
      </w:r>
      <w:r w:rsidR="00CC01B2" w:rsidRPr="00D32758">
        <w:t xml:space="preserve"> and</w:t>
      </w:r>
      <w:r w:rsidR="00CC01B2">
        <w:t xml:space="preserve"> that the current cap</w:t>
      </w:r>
      <w:r w:rsidR="00CC01B2" w:rsidRPr="00D32758">
        <w:t xml:space="preserve"> reflect</w:t>
      </w:r>
      <w:r w:rsidR="00CC01B2">
        <w:t>s</w:t>
      </w:r>
      <w:r w:rsidR="00CC01B2" w:rsidRPr="00D32758">
        <w:t xml:space="preserve"> the </w:t>
      </w:r>
      <w:r w:rsidR="00CC01B2">
        <w:t xml:space="preserve">contractual </w:t>
      </w:r>
      <w:r w:rsidR="00CC01B2" w:rsidRPr="00D32758">
        <w:t>arrangements under the current Deed of Agreement between the Commonwealth and the sponsor</w:t>
      </w:r>
      <w:r w:rsidR="00CC01B2">
        <w:t>.</w:t>
      </w:r>
      <w:r w:rsidR="002A0F12">
        <w:rPr>
          <w:lang w:eastAsia="en-US"/>
        </w:rPr>
        <w:t xml:space="preserve"> </w:t>
      </w:r>
      <w:r w:rsidR="00CC01B2">
        <w:rPr>
          <w:lang w:eastAsia="en-US"/>
        </w:rPr>
        <w:t>The PBAC note</w:t>
      </w:r>
      <w:r w:rsidR="00A90F17">
        <w:rPr>
          <w:lang w:eastAsia="en-US"/>
        </w:rPr>
        <w:t>d</w:t>
      </w:r>
      <w:r w:rsidR="00CC01B2">
        <w:rPr>
          <w:lang w:eastAsia="en-US"/>
        </w:rPr>
        <w:t xml:space="preserve"> </w:t>
      </w:r>
      <w:r w:rsidR="002A0F12">
        <w:rPr>
          <w:lang w:eastAsia="en-US"/>
        </w:rPr>
        <w:t xml:space="preserve">that the </w:t>
      </w:r>
      <w:r w:rsidR="00936ACB">
        <w:rPr>
          <w:lang w:eastAsia="en-US"/>
        </w:rPr>
        <w:t>s</w:t>
      </w:r>
      <w:r w:rsidR="002A0F12">
        <w:rPr>
          <w:lang w:eastAsia="en-US"/>
        </w:rPr>
        <w:t xml:space="preserve">ponsor calculated the proposed RSA caps based on calendar years which may be different when converted to </w:t>
      </w:r>
      <w:r w:rsidR="000766CC">
        <w:rPr>
          <w:lang w:eastAsia="en-US"/>
        </w:rPr>
        <w:t>financial</w:t>
      </w:r>
      <w:r w:rsidR="002A0F12">
        <w:rPr>
          <w:lang w:eastAsia="en-US"/>
        </w:rPr>
        <w:t xml:space="preserve"> years. </w:t>
      </w:r>
    </w:p>
    <w:p w14:paraId="2C24AE62" w14:textId="02D394A3" w:rsidR="007E67A2" w:rsidRPr="004D671D" w:rsidRDefault="007E67A2" w:rsidP="00633DD6">
      <w:pPr>
        <w:pStyle w:val="3Bodytext"/>
        <w:rPr>
          <w:lang w:eastAsia="en-US"/>
        </w:rPr>
      </w:pPr>
      <w:r>
        <w:rPr>
          <w:lang w:eastAsia="en-US"/>
        </w:rPr>
        <w:t xml:space="preserve">The </w:t>
      </w:r>
      <w:r w:rsidR="00221621">
        <w:rPr>
          <w:lang w:eastAsia="en-US"/>
        </w:rPr>
        <w:t>pre-PBAC response</w:t>
      </w:r>
      <w:r>
        <w:rPr>
          <w:lang w:eastAsia="en-US"/>
        </w:rPr>
        <w:t xml:space="preserve"> requested that the agreed </w:t>
      </w:r>
      <w:r w:rsidR="006B7CA1">
        <w:rPr>
          <w:lang w:eastAsia="en-US"/>
        </w:rPr>
        <w:t xml:space="preserve">reimbursement for expenditure above the caps </w:t>
      </w:r>
      <w:r>
        <w:rPr>
          <w:lang w:eastAsia="en-US"/>
        </w:rPr>
        <w:t xml:space="preserve">be </w:t>
      </w:r>
      <w:r w:rsidR="0078607A">
        <w:rPr>
          <w:lang w:eastAsia="en-US"/>
        </w:rPr>
        <w:t xml:space="preserve">reduced </w:t>
      </w:r>
      <w:r>
        <w:rPr>
          <w:lang w:eastAsia="en-US"/>
        </w:rPr>
        <w:t>to account for</w:t>
      </w:r>
      <w:r w:rsidR="00AF4679">
        <w:rPr>
          <w:lang w:eastAsia="en-US"/>
        </w:rPr>
        <w:t xml:space="preserve"> the</w:t>
      </w:r>
      <w:r>
        <w:rPr>
          <w:lang w:eastAsia="en-US"/>
        </w:rPr>
        <w:t xml:space="preserve"> increase in utilisation</w:t>
      </w:r>
      <w:r w:rsidR="00AF4679" w:rsidRPr="00AF4679">
        <w:rPr>
          <w:lang w:eastAsia="en-US"/>
        </w:rPr>
        <w:t xml:space="preserve"> </w:t>
      </w:r>
      <w:r w:rsidR="00AF4679">
        <w:rPr>
          <w:lang w:eastAsia="en-US"/>
        </w:rPr>
        <w:t xml:space="preserve">if the proposal to </w:t>
      </w:r>
      <w:r w:rsidR="006B7CA1">
        <w:rPr>
          <w:lang w:eastAsia="en-US"/>
        </w:rPr>
        <w:lastRenderedPageBreak/>
        <w:t>increase the caps</w:t>
      </w:r>
      <w:r w:rsidR="00AF4679">
        <w:rPr>
          <w:lang w:eastAsia="en-US"/>
        </w:rPr>
        <w:t xml:space="preserve"> is not the preferred way to amend the deed</w:t>
      </w:r>
      <w:r>
        <w:rPr>
          <w:lang w:eastAsia="en-US"/>
        </w:rPr>
        <w:t xml:space="preserve">. </w:t>
      </w:r>
      <w:r w:rsidR="0078607A">
        <w:rPr>
          <w:lang w:eastAsia="en-US"/>
        </w:rPr>
        <w:t xml:space="preserve">The proposed new rebate from the pre-PBAC response is </w:t>
      </w:r>
      <w:r w:rsidR="00CA4FD9" w:rsidRPr="00AE0CA7">
        <w:rPr>
          <w:color w:val="000000"/>
          <w:w w:val="15"/>
          <w:shd w:val="solid" w:color="000000" w:fill="000000"/>
          <w:fitText w:val="-20" w:id="-893751545"/>
          <w:lang w:eastAsia="en-US"/>
          <w14:textFill>
            <w14:solidFill>
              <w14:srgbClr w14:val="000000">
                <w14:alpha w14:val="100000"/>
              </w14:srgbClr>
            </w14:solidFill>
          </w14:textFill>
        </w:rPr>
        <w:t xml:space="preserve">|  </w:t>
      </w:r>
      <w:r w:rsidR="00CA4FD9" w:rsidRPr="00AE0CA7">
        <w:rPr>
          <w:color w:val="000000"/>
          <w:spacing w:val="-69"/>
          <w:w w:val="15"/>
          <w:shd w:val="solid" w:color="000000" w:fill="000000"/>
          <w:fitText w:val="-20" w:id="-893751545"/>
          <w:lang w:eastAsia="en-US"/>
          <w14:textFill>
            <w14:solidFill>
              <w14:srgbClr w14:val="000000">
                <w14:alpha w14:val="100000"/>
              </w14:srgbClr>
            </w14:solidFill>
          </w14:textFill>
        </w:rPr>
        <w:t>|</w:t>
      </w:r>
      <w:r w:rsidR="0078607A">
        <w:rPr>
          <w:lang w:eastAsia="en-US"/>
        </w:rPr>
        <w:t xml:space="preserve">% compared to the current rebate of </w:t>
      </w:r>
      <w:r w:rsidR="00CA4FD9" w:rsidRPr="00AE0CA7">
        <w:rPr>
          <w:color w:val="000000"/>
          <w:w w:val="15"/>
          <w:shd w:val="solid" w:color="000000" w:fill="000000"/>
          <w:fitText w:val="-20" w:id="-893751544"/>
          <w:lang w:eastAsia="en-US"/>
          <w14:textFill>
            <w14:solidFill>
              <w14:srgbClr w14:val="000000">
                <w14:alpha w14:val="100000"/>
              </w14:srgbClr>
            </w14:solidFill>
          </w14:textFill>
        </w:rPr>
        <w:t xml:space="preserve">|  </w:t>
      </w:r>
      <w:r w:rsidR="00CA4FD9" w:rsidRPr="00AE0CA7">
        <w:rPr>
          <w:color w:val="000000"/>
          <w:spacing w:val="-69"/>
          <w:w w:val="15"/>
          <w:shd w:val="solid" w:color="000000" w:fill="000000"/>
          <w:fitText w:val="-20" w:id="-893751544"/>
          <w:lang w:eastAsia="en-US"/>
          <w14:textFill>
            <w14:solidFill>
              <w14:srgbClr w14:val="000000">
                <w14:alpha w14:val="100000"/>
              </w14:srgbClr>
            </w14:solidFill>
          </w14:textFill>
        </w:rPr>
        <w:t>|</w:t>
      </w:r>
      <w:r w:rsidR="0078607A">
        <w:rPr>
          <w:lang w:eastAsia="en-US"/>
        </w:rPr>
        <w:t>%</w:t>
      </w:r>
      <w:r w:rsidR="00221621">
        <w:rPr>
          <w:lang w:eastAsia="en-US"/>
        </w:rPr>
        <w:t>.</w:t>
      </w:r>
    </w:p>
    <w:p w14:paraId="0E0F77C0" w14:textId="4FE2CA29" w:rsidR="00B005B7" w:rsidRPr="004D671D" w:rsidRDefault="00B005B7" w:rsidP="00E41190">
      <w:pPr>
        <w:pStyle w:val="TableFigureHeading"/>
        <w:rPr>
          <w:lang w:eastAsia="en-US"/>
        </w:rPr>
      </w:pPr>
      <w:bookmarkStart w:id="13" w:name="_Ref168308770"/>
      <w:r w:rsidRPr="004D671D">
        <w:rPr>
          <w:lang w:eastAsia="en-US"/>
        </w:rPr>
        <w:t xml:space="preserve">Table </w:t>
      </w:r>
      <w:r w:rsidR="00E41190" w:rsidRPr="004D671D">
        <w:rPr>
          <w:lang w:eastAsia="en-US"/>
        </w:rPr>
        <w:fldChar w:fldCharType="begin"/>
      </w:r>
      <w:r w:rsidR="00E41190" w:rsidRPr="004D671D">
        <w:rPr>
          <w:lang w:eastAsia="en-US"/>
        </w:rPr>
        <w:instrText xml:space="preserve"> SEQ Table \* ARABIC </w:instrText>
      </w:r>
      <w:r w:rsidR="00E41190" w:rsidRPr="004D671D">
        <w:rPr>
          <w:lang w:eastAsia="en-US"/>
        </w:rPr>
        <w:fldChar w:fldCharType="separate"/>
      </w:r>
      <w:r w:rsidR="00AE0CA7">
        <w:rPr>
          <w:noProof/>
          <w:lang w:eastAsia="en-US"/>
        </w:rPr>
        <w:t>4</w:t>
      </w:r>
      <w:r w:rsidR="00E41190" w:rsidRPr="004D671D">
        <w:rPr>
          <w:lang w:eastAsia="en-US"/>
        </w:rPr>
        <w:fldChar w:fldCharType="end"/>
      </w:r>
      <w:bookmarkEnd w:id="13"/>
      <w:r w:rsidRPr="004D671D">
        <w:rPr>
          <w:lang w:eastAsia="en-US"/>
        </w:rPr>
        <w:t xml:space="preserve">: </w:t>
      </w:r>
      <w:r w:rsidRPr="004D671D">
        <w:t>Current versus proposed RSA expenditure caps for NIVO+IPI in unresectable malignant mesothelioma</w:t>
      </w:r>
    </w:p>
    <w:tbl>
      <w:tblPr>
        <w:tblStyle w:val="ASDTable2"/>
        <w:tblW w:w="8731" w:type="dxa"/>
        <w:tblLayout w:type="fixed"/>
        <w:tblCellMar>
          <w:left w:w="28" w:type="dxa"/>
          <w:right w:w="28" w:type="dxa"/>
        </w:tblCellMar>
        <w:tblLook w:val="04A0" w:firstRow="1" w:lastRow="0" w:firstColumn="1" w:lastColumn="0" w:noHBand="0" w:noVBand="1"/>
        <w:tblCaption w:val="Table 4: Current versus proposed RSA expenditure caps for NIVO+IPI in unresectable malignant mesothelioma"/>
      </w:tblPr>
      <w:tblGrid>
        <w:gridCol w:w="2211"/>
        <w:gridCol w:w="1304"/>
        <w:gridCol w:w="1304"/>
        <w:gridCol w:w="1304"/>
        <w:gridCol w:w="1304"/>
        <w:gridCol w:w="1304"/>
      </w:tblGrid>
      <w:tr w:rsidR="00E41190" w:rsidRPr="004D671D" w14:paraId="564729AD" w14:textId="77777777" w:rsidTr="00E41190">
        <w:trPr>
          <w:trHeight w:val="20"/>
        </w:trPr>
        <w:tc>
          <w:tcPr>
            <w:tcW w:w="2211" w:type="dxa"/>
            <w:shd w:val="clear" w:color="auto" w:fill="BFBFBF" w:themeFill="background1" w:themeFillShade="BF"/>
            <w:vAlign w:val="center"/>
          </w:tcPr>
          <w:p w14:paraId="2801BACB" w14:textId="77777777" w:rsidR="00B005B7" w:rsidRPr="004D671D" w:rsidRDefault="00B005B7" w:rsidP="00E41190">
            <w:pPr>
              <w:pStyle w:val="TableText0"/>
              <w:rPr>
                <w:rFonts w:eastAsia="Calibri"/>
              </w:rPr>
            </w:pPr>
            <w:bookmarkStart w:id="14" w:name="_Hlk160520542"/>
          </w:p>
        </w:tc>
        <w:tc>
          <w:tcPr>
            <w:tcW w:w="1304" w:type="dxa"/>
            <w:shd w:val="clear" w:color="auto" w:fill="BFBFBF" w:themeFill="background1" w:themeFillShade="BF"/>
            <w:vAlign w:val="center"/>
          </w:tcPr>
          <w:p w14:paraId="6567B6D7" w14:textId="77777777" w:rsidR="00B005B7" w:rsidRPr="004D671D" w:rsidRDefault="00B005B7" w:rsidP="00E41190">
            <w:pPr>
              <w:pStyle w:val="TableText0"/>
              <w:jc w:val="center"/>
              <w:rPr>
                <w:rFonts w:eastAsia="Calibri"/>
                <w:b/>
                <w:bCs w:val="0"/>
              </w:rPr>
            </w:pPr>
            <w:r w:rsidRPr="004D671D">
              <w:rPr>
                <w:rFonts w:eastAsia="Calibri"/>
                <w:b/>
                <w:bCs w:val="0"/>
              </w:rPr>
              <w:t>Year 1</w:t>
            </w:r>
          </w:p>
          <w:p w14:paraId="56DE3FAE" w14:textId="77777777" w:rsidR="00B005B7" w:rsidRPr="004D671D" w:rsidRDefault="00B005B7" w:rsidP="00E41190">
            <w:pPr>
              <w:pStyle w:val="TableText0"/>
              <w:jc w:val="center"/>
              <w:rPr>
                <w:rFonts w:eastAsia="Calibri"/>
                <w:b/>
                <w:bCs w:val="0"/>
              </w:rPr>
            </w:pPr>
            <w:r w:rsidRPr="004D671D">
              <w:rPr>
                <w:rFonts w:eastAsia="Calibri"/>
                <w:b/>
                <w:bCs w:val="0"/>
              </w:rPr>
              <w:t>1st July 2021 to 30th June 2022</w:t>
            </w:r>
          </w:p>
        </w:tc>
        <w:tc>
          <w:tcPr>
            <w:tcW w:w="1304" w:type="dxa"/>
            <w:shd w:val="clear" w:color="auto" w:fill="BFBFBF" w:themeFill="background1" w:themeFillShade="BF"/>
            <w:vAlign w:val="center"/>
          </w:tcPr>
          <w:p w14:paraId="273DCD6E" w14:textId="77777777" w:rsidR="00B005B7" w:rsidRPr="004D671D" w:rsidRDefault="00B005B7" w:rsidP="00E41190">
            <w:pPr>
              <w:pStyle w:val="TableText0"/>
              <w:jc w:val="center"/>
              <w:rPr>
                <w:rFonts w:eastAsia="Calibri"/>
                <w:b/>
                <w:bCs w:val="0"/>
              </w:rPr>
            </w:pPr>
            <w:r w:rsidRPr="004D671D">
              <w:rPr>
                <w:rFonts w:eastAsia="Calibri"/>
                <w:b/>
                <w:bCs w:val="0"/>
              </w:rPr>
              <w:t>Year2</w:t>
            </w:r>
          </w:p>
          <w:p w14:paraId="08FEB8ED" w14:textId="77777777" w:rsidR="00B005B7" w:rsidRPr="004D671D" w:rsidRDefault="00B005B7" w:rsidP="00E41190">
            <w:pPr>
              <w:pStyle w:val="TableText0"/>
              <w:jc w:val="center"/>
              <w:rPr>
                <w:rFonts w:eastAsia="Calibri"/>
                <w:b/>
                <w:bCs w:val="0"/>
              </w:rPr>
            </w:pPr>
            <w:r w:rsidRPr="004D671D">
              <w:rPr>
                <w:rFonts w:eastAsia="Calibri"/>
                <w:b/>
                <w:bCs w:val="0"/>
              </w:rPr>
              <w:t>1st July 2022 to 30th June 2023</w:t>
            </w:r>
          </w:p>
        </w:tc>
        <w:tc>
          <w:tcPr>
            <w:tcW w:w="1304" w:type="dxa"/>
            <w:shd w:val="clear" w:color="auto" w:fill="BFBFBF" w:themeFill="background1" w:themeFillShade="BF"/>
            <w:vAlign w:val="center"/>
          </w:tcPr>
          <w:p w14:paraId="2F0905E9" w14:textId="77777777" w:rsidR="00B005B7" w:rsidRPr="004D671D" w:rsidRDefault="00B005B7" w:rsidP="00E41190">
            <w:pPr>
              <w:pStyle w:val="TableText0"/>
              <w:jc w:val="center"/>
              <w:rPr>
                <w:rFonts w:eastAsia="Calibri"/>
                <w:b/>
                <w:bCs w:val="0"/>
              </w:rPr>
            </w:pPr>
            <w:r w:rsidRPr="004D671D">
              <w:rPr>
                <w:rFonts w:eastAsia="Calibri"/>
                <w:b/>
                <w:bCs w:val="0"/>
              </w:rPr>
              <w:t>Year 3</w:t>
            </w:r>
          </w:p>
          <w:p w14:paraId="08347CC3" w14:textId="77777777" w:rsidR="00B005B7" w:rsidRPr="004D671D" w:rsidRDefault="00B005B7" w:rsidP="00E41190">
            <w:pPr>
              <w:pStyle w:val="TableText0"/>
              <w:jc w:val="center"/>
              <w:rPr>
                <w:rFonts w:eastAsia="Calibri"/>
                <w:b/>
                <w:bCs w:val="0"/>
              </w:rPr>
            </w:pPr>
            <w:r w:rsidRPr="004D671D">
              <w:rPr>
                <w:rFonts w:eastAsia="Calibri"/>
                <w:b/>
                <w:bCs w:val="0"/>
              </w:rPr>
              <w:t>1st July 2023 to 30th June 2024*</w:t>
            </w:r>
          </w:p>
        </w:tc>
        <w:tc>
          <w:tcPr>
            <w:tcW w:w="1304" w:type="dxa"/>
            <w:shd w:val="clear" w:color="auto" w:fill="BFBFBF" w:themeFill="background1" w:themeFillShade="BF"/>
            <w:vAlign w:val="center"/>
          </w:tcPr>
          <w:p w14:paraId="60A2F265" w14:textId="77777777" w:rsidR="00B005B7" w:rsidRPr="004D671D" w:rsidRDefault="00B005B7" w:rsidP="00E41190">
            <w:pPr>
              <w:pStyle w:val="TableText0"/>
              <w:jc w:val="center"/>
              <w:rPr>
                <w:rFonts w:eastAsia="Calibri"/>
                <w:b/>
                <w:bCs w:val="0"/>
              </w:rPr>
            </w:pPr>
            <w:r w:rsidRPr="004D671D">
              <w:rPr>
                <w:rFonts w:eastAsia="Calibri"/>
                <w:b/>
                <w:bCs w:val="0"/>
              </w:rPr>
              <w:t>Year 4</w:t>
            </w:r>
          </w:p>
          <w:p w14:paraId="6639F750" w14:textId="77777777" w:rsidR="00B005B7" w:rsidRPr="004D671D" w:rsidRDefault="00B005B7" w:rsidP="00E41190">
            <w:pPr>
              <w:pStyle w:val="TableText0"/>
              <w:jc w:val="center"/>
              <w:rPr>
                <w:rFonts w:eastAsia="Calibri"/>
                <w:b/>
                <w:bCs w:val="0"/>
              </w:rPr>
            </w:pPr>
            <w:r w:rsidRPr="004D671D">
              <w:rPr>
                <w:rFonts w:eastAsia="Calibri"/>
                <w:b/>
                <w:bCs w:val="0"/>
              </w:rPr>
              <w:t>1st July 2024 to 30th June 2025</w:t>
            </w:r>
          </w:p>
        </w:tc>
        <w:tc>
          <w:tcPr>
            <w:tcW w:w="1304" w:type="dxa"/>
            <w:shd w:val="clear" w:color="auto" w:fill="BFBFBF" w:themeFill="background1" w:themeFillShade="BF"/>
            <w:vAlign w:val="center"/>
          </w:tcPr>
          <w:p w14:paraId="58D1A41C" w14:textId="77777777" w:rsidR="00B005B7" w:rsidRPr="004D671D" w:rsidRDefault="00B005B7" w:rsidP="00E41190">
            <w:pPr>
              <w:pStyle w:val="TableText0"/>
              <w:jc w:val="center"/>
              <w:rPr>
                <w:rFonts w:eastAsia="Calibri"/>
                <w:b/>
                <w:bCs w:val="0"/>
              </w:rPr>
            </w:pPr>
            <w:r w:rsidRPr="004D671D">
              <w:rPr>
                <w:rFonts w:eastAsia="Calibri"/>
                <w:b/>
                <w:bCs w:val="0"/>
              </w:rPr>
              <w:t>Year 5</w:t>
            </w:r>
          </w:p>
          <w:p w14:paraId="7D919D29" w14:textId="77777777" w:rsidR="00B005B7" w:rsidRPr="004D671D" w:rsidRDefault="00B005B7" w:rsidP="00E41190">
            <w:pPr>
              <w:pStyle w:val="TableText0"/>
              <w:jc w:val="center"/>
              <w:rPr>
                <w:rFonts w:eastAsia="Calibri"/>
                <w:b/>
                <w:bCs w:val="0"/>
              </w:rPr>
            </w:pPr>
            <w:r w:rsidRPr="004D671D">
              <w:rPr>
                <w:rFonts w:eastAsia="Calibri"/>
                <w:b/>
                <w:bCs w:val="0"/>
              </w:rPr>
              <w:t>1st July 2025 to 30th June 2026</w:t>
            </w:r>
          </w:p>
        </w:tc>
      </w:tr>
      <w:tr w:rsidR="00E41190" w:rsidRPr="004D671D" w14:paraId="1A68003F" w14:textId="77777777" w:rsidTr="00E41190">
        <w:trPr>
          <w:trHeight w:val="20"/>
        </w:trPr>
        <w:tc>
          <w:tcPr>
            <w:tcW w:w="2211" w:type="dxa"/>
            <w:shd w:val="clear" w:color="000000" w:fill="FFFFFF"/>
            <w:vAlign w:val="center"/>
          </w:tcPr>
          <w:p w14:paraId="0316AE63" w14:textId="77777777" w:rsidR="00B005B7" w:rsidRPr="004D671D" w:rsidRDefault="00B005B7" w:rsidP="00E41190">
            <w:pPr>
              <w:pStyle w:val="TableText0"/>
              <w:rPr>
                <w:rFonts w:eastAsia="Calibri"/>
                <w:b/>
                <w:bCs w:val="0"/>
              </w:rPr>
            </w:pPr>
            <w:r w:rsidRPr="004D671D">
              <w:rPr>
                <w:rFonts w:eastAsia="Calibri"/>
                <w:b/>
                <w:bCs w:val="0"/>
              </w:rPr>
              <w:t>Current RSA Cap Threshold</w:t>
            </w:r>
          </w:p>
        </w:tc>
        <w:tc>
          <w:tcPr>
            <w:tcW w:w="1304" w:type="dxa"/>
            <w:vAlign w:val="center"/>
          </w:tcPr>
          <w:p w14:paraId="182CCBF5" w14:textId="03FFBFAA" w:rsidR="00B005B7" w:rsidRPr="00A366EE" w:rsidRDefault="00CA4FD9" w:rsidP="00E41190">
            <w:pPr>
              <w:pStyle w:val="TableText0"/>
              <w:jc w:val="center"/>
              <w:rPr>
                <w:rFonts w:eastAsia="Calibri"/>
                <w:highlight w:val="lightGray"/>
              </w:rPr>
            </w:pPr>
            <w:r w:rsidRPr="00CA4FD9">
              <w:rPr>
                <w:color w:val="000000"/>
                <w:shd w:val="solid" w:color="000000" w:fill="000000"/>
                <w14:textFill>
                  <w14:solidFill>
                    <w14:srgbClr w14:val="000000">
                      <w14:alpha w14:val="100000"/>
                    </w14:srgbClr>
                  </w14:solidFill>
                </w14:textFill>
              </w:rPr>
              <w:t>|</w:t>
            </w:r>
          </w:p>
        </w:tc>
        <w:tc>
          <w:tcPr>
            <w:tcW w:w="1304" w:type="dxa"/>
            <w:vAlign w:val="center"/>
          </w:tcPr>
          <w:p w14:paraId="09992E22" w14:textId="05688154" w:rsidR="00B005B7" w:rsidRPr="00A366EE" w:rsidRDefault="00CA4FD9" w:rsidP="00E41190">
            <w:pPr>
              <w:pStyle w:val="TableText0"/>
              <w:jc w:val="center"/>
              <w:rPr>
                <w:rFonts w:eastAsia="Calibri"/>
                <w:highlight w:val="lightGray"/>
              </w:rPr>
            </w:pPr>
            <w:r w:rsidRPr="00CA4FD9">
              <w:rPr>
                <w:color w:val="000000"/>
                <w:shd w:val="solid" w:color="000000" w:fill="000000"/>
                <w14:textFill>
                  <w14:solidFill>
                    <w14:srgbClr w14:val="000000">
                      <w14:alpha w14:val="100000"/>
                    </w14:srgbClr>
                  </w14:solidFill>
                </w14:textFill>
              </w:rPr>
              <w:t>|</w:t>
            </w:r>
          </w:p>
        </w:tc>
        <w:tc>
          <w:tcPr>
            <w:tcW w:w="1304" w:type="dxa"/>
            <w:vAlign w:val="center"/>
          </w:tcPr>
          <w:p w14:paraId="548B7457" w14:textId="15361935" w:rsidR="00B005B7" w:rsidRPr="00A366EE" w:rsidRDefault="00CA4FD9" w:rsidP="00E41190">
            <w:pPr>
              <w:pStyle w:val="TableText0"/>
              <w:jc w:val="center"/>
              <w:rPr>
                <w:highlight w:val="lightGray"/>
              </w:rPr>
            </w:pPr>
            <w:r w:rsidRPr="00CA4FD9">
              <w:rPr>
                <w:color w:val="000000"/>
                <w:shd w:val="solid" w:color="000000" w:fill="000000"/>
                <w14:textFill>
                  <w14:solidFill>
                    <w14:srgbClr w14:val="000000">
                      <w14:alpha w14:val="100000"/>
                    </w14:srgbClr>
                  </w14:solidFill>
                </w14:textFill>
              </w:rPr>
              <w:t>|</w:t>
            </w:r>
          </w:p>
        </w:tc>
        <w:tc>
          <w:tcPr>
            <w:tcW w:w="1304" w:type="dxa"/>
            <w:shd w:val="clear" w:color="auto" w:fill="auto"/>
            <w:vAlign w:val="center"/>
          </w:tcPr>
          <w:p w14:paraId="04FB0AF8" w14:textId="5771C7BD" w:rsidR="00B005B7" w:rsidRPr="00A366EE" w:rsidRDefault="00CA4FD9" w:rsidP="00E41190">
            <w:pPr>
              <w:pStyle w:val="TableText0"/>
              <w:jc w:val="center"/>
              <w:rPr>
                <w:highlight w:val="lightGray"/>
              </w:rPr>
            </w:pPr>
            <w:r w:rsidRPr="00CA4FD9">
              <w:rPr>
                <w:color w:val="000000"/>
                <w:shd w:val="solid" w:color="000000" w:fill="000000"/>
                <w14:textFill>
                  <w14:solidFill>
                    <w14:srgbClr w14:val="000000">
                      <w14:alpha w14:val="100000"/>
                    </w14:srgbClr>
                  </w14:solidFill>
                </w14:textFill>
              </w:rPr>
              <w:t>|</w:t>
            </w:r>
          </w:p>
        </w:tc>
        <w:tc>
          <w:tcPr>
            <w:tcW w:w="1304" w:type="dxa"/>
            <w:shd w:val="clear" w:color="auto" w:fill="auto"/>
            <w:vAlign w:val="center"/>
          </w:tcPr>
          <w:p w14:paraId="2DE08C02" w14:textId="4308946C" w:rsidR="00B005B7" w:rsidRPr="00A366EE" w:rsidRDefault="00CA4FD9" w:rsidP="00E41190">
            <w:pPr>
              <w:pStyle w:val="TableText0"/>
              <w:jc w:val="center"/>
              <w:rPr>
                <w:highlight w:val="lightGray"/>
              </w:rPr>
            </w:pPr>
            <w:r w:rsidRPr="00CA4FD9">
              <w:rPr>
                <w:color w:val="000000"/>
                <w:shd w:val="solid" w:color="000000" w:fill="000000"/>
                <w14:textFill>
                  <w14:solidFill>
                    <w14:srgbClr w14:val="000000">
                      <w14:alpha w14:val="100000"/>
                    </w14:srgbClr>
                  </w14:solidFill>
                </w14:textFill>
              </w:rPr>
              <w:t>|</w:t>
            </w:r>
          </w:p>
        </w:tc>
      </w:tr>
      <w:tr w:rsidR="00E41190" w:rsidRPr="004D671D" w14:paraId="07E011A2" w14:textId="77777777" w:rsidTr="00E41190">
        <w:trPr>
          <w:trHeight w:val="20"/>
        </w:trPr>
        <w:tc>
          <w:tcPr>
            <w:tcW w:w="2211" w:type="dxa"/>
            <w:shd w:val="clear" w:color="000000" w:fill="FFFFFF"/>
            <w:vAlign w:val="center"/>
          </w:tcPr>
          <w:p w14:paraId="22DE2A5C" w14:textId="77777777" w:rsidR="00B005B7" w:rsidRPr="004D671D" w:rsidRDefault="00B005B7" w:rsidP="00E41190">
            <w:pPr>
              <w:pStyle w:val="TableText0"/>
              <w:rPr>
                <w:rFonts w:eastAsia="Calibri"/>
                <w:b/>
                <w:bCs w:val="0"/>
              </w:rPr>
            </w:pPr>
            <w:bookmarkStart w:id="15" w:name="_Hlk160711916"/>
            <w:r w:rsidRPr="004D671D">
              <w:rPr>
                <w:rFonts w:eastAsia="Calibri"/>
                <w:b/>
                <w:bCs w:val="0"/>
              </w:rPr>
              <w:t>Proposed RSA Cap Threshold</w:t>
            </w:r>
          </w:p>
        </w:tc>
        <w:tc>
          <w:tcPr>
            <w:tcW w:w="1304" w:type="dxa"/>
            <w:shd w:val="clear" w:color="auto" w:fill="auto"/>
            <w:vAlign w:val="center"/>
          </w:tcPr>
          <w:p w14:paraId="400BCB1C" w14:textId="77777777" w:rsidR="00B005B7" w:rsidRPr="004D671D" w:rsidRDefault="00B005B7" w:rsidP="00E41190">
            <w:pPr>
              <w:pStyle w:val="TableText0"/>
              <w:jc w:val="center"/>
              <w:rPr>
                <w:rFonts w:eastAsia="Calibri"/>
              </w:rPr>
            </w:pPr>
            <w:r w:rsidRPr="004D671D">
              <w:rPr>
                <w:rFonts w:eastAsia="Calibri"/>
              </w:rPr>
              <w:t>N/A</w:t>
            </w:r>
          </w:p>
        </w:tc>
        <w:tc>
          <w:tcPr>
            <w:tcW w:w="1304" w:type="dxa"/>
            <w:shd w:val="clear" w:color="auto" w:fill="auto"/>
            <w:vAlign w:val="center"/>
          </w:tcPr>
          <w:p w14:paraId="1F7BDA26" w14:textId="77777777" w:rsidR="00B005B7" w:rsidRPr="004D671D" w:rsidRDefault="00B005B7" w:rsidP="00E41190">
            <w:pPr>
              <w:pStyle w:val="TableText0"/>
              <w:jc w:val="center"/>
              <w:rPr>
                <w:rFonts w:eastAsia="Calibri"/>
              </w:rPr>
            </w:pPr>
            <w:r w:rsidRPr="004D671D">
              <w:rPr>
                <w:rFonts w:eastAsia="Calibri"/>
              </w:rPr>
              <w:t>N/A</w:t>
            </w:r>
          </w:p>
        </w:tc>
        <w:tc>
          <w:tcPr>
            <w:tcW w:w="1304" w:type="dxa"/>
            <w:shd w:val="clear" w:color="auto" w:fill="auto"/>
            <w:vAlign w:val="center"/>
          </w:tcPr>
          <w:p w14:paraId="6D6CA9A3" w14:textId="52BE354A" w:rsidR="00B005B7" w:rsidRPr="00A366EE" w:rsidRDefault="00CA4FD9" w:rsidP="00E41190">
            <w:pPr>
              <w:pStyle w:val="TableText0"/>
              <w:jc w:val="center"/>
              <w:rPr>
                <w:highlight w:val="lightGray"/>
              </w:rPr>
            </w:pPr>
            <w:r w:rsidRPr="00CA4FD9">
              <w:rPr>
                <w:color w:val="000000"/>
                <w:shd w:val="solid" w:color="000000" w:fill="000000"/>
                <w14:textFill>
                  <w14:solidFill>
                    <w14:srgbClr w14:val="000000">
                      <w14:alpha w14:val="100000"/>
                    </w14:srgbClr>
                  </w14:solidFill>
                </w14:textFill>
              </w:rPr>
              <w:t>|</w:t>
            </w:r>
            <w:r w:rsidR="00AE2B31">
              <w:rPr>
                <w:vertAlign w:val="superscript"/>
              </w:rPr>
              <w:t>1</w:t>
            </w:r>
          </w:p>
        </w:tc>
        <w:tc>
          <w:tcPr>
            <w:tcW w:w="1304" w:type="dxa"/>
            <w:shd w:val="clear" w:color="auto" w:fill="auto"/>
            <w:vAlign w:val="center"/>
          </w:tcPr>
          <w:p w14:paraId="7CB4B724" w14:textId="660F2701" w:rsidR="00B005B7" w:rsidRPr="00A366EE" w:rsidRDefault="00CA4FD9" w:rsidP="00E41190">
            <w:pPr>
              <w:pStyle w:val="TableText0"/>
              <w:jc w:val="center"/>
              <w:rPr>
                <w:highlight w:val="lightGray"/>
              </w:rPr>
            </w:pPr>
            <w:r w:rsidRPr="00CA4FD9">
              <w:rPr>
                <w:color w:val="000000"/>
                <w:shd w:val="solid" w:color="000000" w:fill="000000"/>
                <w14:textFill>
                  <w14:solidFill>
                    <w14:srgbClr w14:val="000000">
                      <w14:alpha w14:val="100000"/>
                    </w14:srgbClr>
                  </w14:solidFill>
                </w14:textFill>
              </w:rPr>
              <w:t>|</w:t>
            </w:r>
            <w:r w:rsidR="00AE2B31">
              <w:rPr>
                <w:vertAlign w:val="superscript"/>
              </w:rPr>
              <w:t>1</w:t>
            </w:r>
          </w:p>
        </w:tc>
        <w:tc>
          <w:tcPr>
            <w:tcW w:w="1304" w:type="dxa"/>
            <w:shd w:val="clear" w:color="auto" w:fill="auto"/>
            <w:vAlign w:val="center"/>
          </w:tcPr>
          <w:p w14:paraId="3BE2D3B1" w14:textId="6E584A5F" w:rsidR="00B005B7" w:rsidRPr="00A366EE" w:rsidRDefault="00CA4FD9" w:rsidP="00E41190">
            <w:pPr>
              <w:pStyle w:val="TableText0"/>
              <w:jc w:val="center"/>
              <w:rPr>
                <w:highlight w:val="lightGray"/>
              </w:rPr>
            </w:pPr>
            <w:r w:rsidRPr="00CA4FD9">
              <w:rPr>
                <w:color w:val="000000"/>
                <w:shd w:val="solid" w:color="000000" w:fill="000000"/>
                <w14:textFill>
                  <w14:solidFill>
                    <w14:srgbClr w14:val="000000">
                      <w14:alpha w14:val="100000"/>
                    </w14:srgbClr>
                  </w14:solidFill>
                </w14:textFill>
              </w:rPr>
              <w:t>|</w:t>
            </w:r>
            <w:r w:rsidR="00AE2B31">
              <w:rPr>
                <w:vertAlign w:val="superscript"/>
              </w:rPr>
              <w:t>1</w:t>
            </w:r>
          </w:p>
        </w:tc>
      </w:tr>
      <w:bookmarkEnd w:id="15"/>
      <w:tr w:rsidR="00E41190" w:rsidRPr="004D671D" w14:paraId="04177099" w14:textId="77777777" w:rsidTr="00A366EE">
        <w:trPr>
          <w:trHeight w:val="20"/>
        </w:trPr>
        <w:tc>
          <w:tcPr>
            <w:tcW w:w="2211" w:type="dxa"/>
            <w:shd w:val="clear" w:color="auto" w:fill="auto"/>
            <w:vAlign w:val="center"/>
          </w:tcPr>
          <w:p w14:paraId="3A112FA5" w14:textId="77777777" w:rsidR="00B005B7" w:rsidRPr="004D671D" w:rsidRDefault="00B005B7" w:rsidP="00E41190">
            <w:pPr>
              <w:pStyle w:val="TableText0"/>
              <w:rPr>
                <w:rFonts w:eastAsia="Calibri"/>
                <w:b/>
                <w:bCs w:val="0"/>
              </w:rPr>
            </w:pPr>
            <w:r w:rsidRPr="004D671D">
              <w:rPr>
                <w:rFonts w:eastAsia="Calibri"/>
                <w:b/>
                <w:bCs w:val="0"/>
              </w:rPr>
              <w:t>Variance between current and proposed RSA</w:t>
            </w:r>
          </w:p>
        </w:tc>
        <w:tc>
          <w:tcPr>
            <w:tcW w:w="1304" w:type="dxa"/>
            <w:shd w:val="clear" w:color="auto" w:fill="auto"/>
            <w:vAlign w:val="center"/>
          </w:tcPr>
          <w:p w14:paraId="405DA4D5" w14:textId="77777777" w:rsidR="00B005B7" w:rsidRPr="004D671D" w:rsidRDefault="00B005B7" w:rsidP="00E41190">
            <w:pPr>
              <w:pStyle w:val="TableText0"/>
              <w:jc w:val="center"/>
              <w:rPr>
                <w:rFonts w:eastAsia="Calibri"/>
              </w:rPr>
            </w:pPr>
            <w:r w:rsidRPr="004D671D">
              <w:rPr>
                <w:rFonts w:eastAsia="Calibri"/>
              </w:rPr>
              <w:t>N/A</w:t>
            </w:r>
          </w:p>
        </w:tc>
        <w:tc>
          <w:tcPr>
            <w:tcW w:w="1304" w:type="dxa"/>
            <w:shd w:val="clear" w:color="auto" w:fill="auto"/>
            <w:vAlign w:val="center"/>
          </w:tcPr>
          <w:p w14:paraId="63895BB0" w14:textId="77777777" w:rsidR="00B005B7" w:rsidRPr="004D671D" w:rsidRDefault="00B005B7" w:rsidP="00E41190">
            <w:pPr>
              <w:pStyle w:val="TableText0"/>
              <w:jc w:val="center"/>
              <w:rPr>
                <w:rFonts w:eastAsia="Calibri"/>
              </w:rPr>
            </w:pPr>
            <w:r w:rsidRPr="004D671D">
              <w:rPr>
                <w:rFonts w:eastAsia="Calibri"/>
              </w:rPr>
              <w:t>N/A</w:t>
            </w:r>
          </w:p>
        </w:tc>
        <w:tc>
          <w:tcPr>
            <w:tcW w:w="1304" w:type="dxa"/>
            <w:shd w:val="clear" w:color="auto" w:fill="auto"/>
            <w:vAlign w:val="center"/>
          </w:tcPr>
          <w:p w14:paraId="278F66C0" w14:textId="3A447F5E" w:rsidR="00B005B7" w:rsidRPr="00A366EE" w:rsidRDefault="00CA4FD9" w:rsidP="00E41190">
            <w:pPr>
              <w:pStyle w:val="TableText0"/>
              <w:jc w:val="center"/>
              <w:rPr>
                <w:highlight w:val="lightGray"/>
              </w:rPr>
            </w:pPr>
            <w:r w:rsidRPr="00CA4FD9">
              <w:rPr>
                <w:color w:val="000000"/>
                <w:shd w:val="solid" w:color="000000" w:fill="000000"/>
                <w14:textFill>
                  <w14:solidFill>
                    <w14:srgbClr w14:val="000000">
                      <w14:alpha w14:val="100000"/>
                    </w14:srgbClr>
                  </w14:solidFill>
                </w14:textFill>
              </w:rPr>
              <w:t>|</w:t>
            </w:r>
          </w:p>
        </w:tc>
        <w:tc>
          <w:tcPr>
            <w:tcW w:w="1304" w:type="dxa"/>
            <w:shd w:val="clear" w:color="auto" w:fill="auto"/>
            <w:vAlign w:val="center"/>
          </w:tcPr>
          <w:p w14:paraId="4365983C" w14:textId="265F8A2C" w:rsidR="00B005B7" w:rsidRPr="00A366EE" w:rsidRDefault="00CA4FD9" w:rsidP="00E41190">
            <w:pPr>
              <w:pStyle w:val="TableText0"/>
              <w:jc w:val="center"/>
              <w:rPr>
                <w:highlight w:val="lightGray"/>
              </w:rPr>
            </w:pPr>
            <w:r w:rsidRPr="00CA4FD9">
              <w:rPr>
                <w:color w:val="000000"/>
                <w:shd w:val="solid" w:color="000000" w:fill="000000"/>
                <w14:textFill>
                  <w14:solidFill>
                    <w14:srgbClr w14:val="000000">
                      <w14:alpha w14:val="100000"/>
                    </w14:srgbClr>
                  </w14:solidFill>
                </w14:textFill>
              </w:rPr>
              <w:t>|</w:t>
            </w:r>
          </w:p>
        </w:tc>
        <w:tc>
          <w:tcPr>
            <w:tcW w:w="1304" w:type="dxa"/>
            <w:shd w:val="clear" w:color="auto" w:fill="auto"/>
            <w:vAlign w:val="center"/>
          </w:tcPr>
          <w:p w14:paraId="2B8E1063" w14:textId="3B32C941" w:rsidR="00B005B7" w:rsidRPr="00A366EE" w:rsidRDefault="00CA4FD9" w:rsidP="00E41190">
            <w:pPr>
              <w:pStyle w:val="TableText0"/>
              <w:jc w:val="center"/>
              <w:rPr>
                <w:highlight w:val="lightGray"/>
              </w:rPr>
            </w:pPr>
            <w:r w:rsidRPr="00CA4FD9">
              <w:rPr>
                <w:color w:val="000000"/>
                <w:shd w:val="solid" w:color="000000" w:fill="000000"/>
                <w14:textFill>
                  <w14:solidFill>
                    <w14:srgbClr w14:val="000000">
                      <w14:alpha w14:val="100000"/>
                    </w14:srgbClr>
                  </w14:solidFill>
                </w14:textFill>
              </w:rPr>
              <w:t>|</w:t>
            </w:r>
          </w:p>
        </w:tc>
      </w:tr>
      <w:tr w:rsidR="00E41190" w:rsidRPr="004D671D" w14:paraId="4FE01BEA" w14:textId="77777777" w:rsidTr="00CA4FD9">
        <w:trPr>
          <w:trHeight w:val="20"/>
        </w:trPr>
        <w:tc>
          <w:tcPr>
            <w:tcW w:w="2211" w:type="dxa"/>
            <w:shd w:val="clear" w:color="000000" w:fill="FFFFFF"/>
            <w:vAlign w:val="center"/>
          </w:tcPr>
          <w:p w14:paraId="12474DC4" w14:textId="77777777" w:rsidR="00B005B7" w:rsidRPr="004D671D" w:rsidRDefault="00B005B7" w:rsidP="00E41190">
            <w:pPr>
              <w:pStyle w:val="TableText0"/>
              <w:rPr>
                <w:rFonts w:eastAsia="Calibri"/>
                <w:b/>
                <w:bCs w:val="0"/>
              </w:rPr>
            </w:pPr>
            <w:r w:rsidRPr="004D671D">
              <w:rPr>
                <w:rFonts w:eastAsia="Calibri"/>
                <w:b/>
                <w:bCs w:val="0"/>
              </w:rPr>
              <w:t>Total Commonwealth Expenditure (Actual)</w:t>
            </w:r>
          </w:p>
        </w:tc>
        <w:tc>
          <w:tcPr>
            <w:tcW w:w="1304" w:type="dxa"/>
            <w:tcBorders>
              <w:bottom w:val="single" w:sz="4" w:space="0" w:color="auto"/>
            </w:tcBorders>
            <w:vAlign w:val="center"/>
          </w:tcPr>
          <w:p w14:paraId="547F03CF" w14:textId="4C2A05C3" w:rsidR="00B005B7" w:rsidRPr="00A366EE" w:rsidRDefault="00CA4FD9" w:rsidP="00E41190">
            <w:pPr>
              <w:pStyle w:val="TableText0"/>
              <w:jc w:val="center"/>
              <w:rPr>
                <w:rFonts w:eastAsia="Calibri"/>
                <w:highlight w:val="lightGray"/>
              </w:rPr>
            </w:pPr>
            <w:r w:rsidRPr="00CA4FD9">
              <w:rPr>
                <w:color w:val="000000"/>
                <w:shd w:val="solid" w:color="000000" w:fill="000000"/>
                <w14:textFill>
                  <w14:solidFill>
                    <w14:srgbClr w14:val="000000">
                      <w14:alpha w14:val="100000"/>
                    </w14:srgbClr>
                  </w14:solidFill>
                </w14:textFill>
              </w:rPr>
              <w:t>|</w:t>
            </w:r>
            <w:r w:rsidR="00AE2B31">
              <w:rPr>
                <w:vertAlign w:val="superscript"/>
              </w:rPr>
              <w:t>1</w:t>
            </w:r>
          </w:p>
        </w:tc>
        <w:tc>
          <w:tcPr>
            <w:tcW w:w="1304" w:type="dxa"/>
            <w:tcBorders>
              <w:bottom w:val="single" w:sz="4" w:space="0" w:color="auto"/>
            </w:tcBorders>
            <w:vAlign w:val="center"/>
          </w:tcPr>
          <w:p w14:paraId="27C21177" w14:textId="032BEF5F" w:rsidR="00B005B7" w:rsidRPr="00A366EE" w:rsidRDefault="00CA4FD9" w:rsidP="00E41190">
            <w:pPr>
              <w:pStyle w:val="TableText0"/>
              <w:jc w:val="center"/>
              <w:rPr>
                <w:rFonts w:eastAsia="Calibri"/>
                <w:highlight w:val="lightGray"/>
              </w:rPr>
            </w:pPr>
            <w:r w:rsidRPr="00CA4FD9">
              <w:rPr>
                <w:color w:val="000000"/>
                <w:shd w:val="solid" w:color="000000" w:fill="000000"/>
                <w14:textFill>
                  <w14:solidFill>
                    <w14:srgbClr w14:val="000000">
                      <w14:alpha w14:val="100000"/>
                    </w14:srgbClr>
                  </w14:solidFill>
                </w14:textFill>
              </w:rPr>
              <w:t>|</w:t>
            </w:r>
            <w:r w:rsidR="00AE2B31">
              <w:rPr>
                <w:vertAlign w:val="superscript"/>
              </w:rPr>
              <w:t>1</w:t>
            </w:r>
          </w:p>
        </w:tc>
        <w:tc>
          <w:tcPr>
            <w:tcW w:w="1304" w:type="dxa"/>
            <w:vAlign w:val="center"/>
          </w:tcPr>
          <w:p w14:paraId="5B24BFF8" w14:textId="478AC7B5" w:rsidR="00B005B7" w:rsidRPr="004D671D" w:rsidRDefault="00CA4FD9" w:rsidP="00E41190">
            <w:pPr>
              <w:pStyle w:val="TableText0"/>
              <w:jc w:val="center"/>
              <w:rPr>
                <w:rFonts w:eastAsia="Calibri"/>
              </w:rPr>
            </w:pPr>
            <w:r w:rsidRPr="00CA4FD9">
              <w:rPr>
                <w:color w:val="000000"/>
                <w:shd w:val="solid" w:color="000000" w:fill="000000"/>
                <w14:textFill>
                  <w14:solidFill>
                    <w14:srgbClr w14:val="000000">
                      <w14:alpha w14:val="100000"/>
                    </w14:srgbClr>
                  </w14:solidFill>
                </w14:textFill>
              </w:rPr>
              <w:t>|</w:t>
            </w:r>
            <w:r w:rsidR="00AE2B31">
              <w:rPr>
                <w:vertAlign w:val="superscript"/>
              </w:rPr>
              <w:t>1</w:t>
            </w:r>
            <w:r w:rsidR="00B005B7" w:rsidRPr="004D671D">
              <w:t>*</w:t>
            </w:r>
          </w:p>
        </w:tc>
        <w:tc>
          <w:tcPr>
            <w:tcW w:w="1304" w:type="dxa"/>
            <w:shd w:val="clear" w:color="auto" w:fill="auto"/>
            <w:vAlign w:val="center"/>
          </w:tcPr>
          <w:p w14:paraId="2BE580B6" w14:textId="77777777" w:rsidR="00B005B7" w:rsidRPr="004D671D" w:rsidRDefault="00B005B7" w:rsidP="00E41190">
            <w:pPr>
              <w:pStyle w:val="TableText0"/>
              <w:jc w:val="center"/>
              <w:rPr>
                <w:rFonts w:eastAsia="Calibri"/>
                <w:highlight w:val="green"/>
              </w:rPr>
            </w:pPr>
          </w:p>
        </w:tc>
        <w:tc>
          <w:tcPr>
            <w:tcW w:w="1304" w:type="dxa"/>
            <w:shd w:val="clear" w:color="auto" w:fill="auto"/>
            <w:vAlign w:val="center"/>
          </w:tcPr>
          <w:p w14:paraId="1E878403" w14:textId="77777777" w:rsidR="00B005B7" w:rsidRPr="004D671D" w:rsidRDefault="00B005B7" w:rsidP="00E41190">
            <w:pPr>
              <w:pStyle w:val="TableText0"/>
              <w:jc w:val="center"/>
              <w:rPr>
                <w:rFonts w:eastAsia="Calibri"/>
                <w:highlight w:val="green"/>
              </w:rPr>
            </w:pPr>
          </w:p>
        </w:tc>
      </w:tr>
      <w:tr w:rsidR="00E41190" w:rsidRPr="004D671D" w14:paraId="581F42EA" w14:textId="77777777" w:rsidTr="00CA4FD9">
        <w:trPr>
          <w:trHeight w:val="20"/>
        </w:trPr>
        <w:tc>
          <w:tcPr>
            <w:tcW w:w="2211" w:type="dxa"/>
            <w:shd w:val="clear" w:color="000000" w:fill="FFFFFF"/>
            <w:vAlign w:val="center"/>
          </w:tcPr>
          <w:p w14:paraId="639BBC05" w14:textId="77777777" w:rsidR="00B005B7" w:rsidRPr="004D671D" w:rsidRDefault="00B005B7" w:rsidP="00E41190">
            <w:pPr>
              <w:pStyle w:val="TableText0"/>
              <w:rPr>
                <w:rFonts w:eastAsia="Calibri"/>
                <w:b/>
                <w:bCs w:val="0"/>
              </w:rPr>
            </w:pPr>
            <w:r w:rsidRPr="004D671D">
              <w:rPr>
                <w:rFonts w:eastAsia="Calibri"/>
                <w:b/>
                <w:bCs w:val="0"/>
              </w:rPr>
              <w:t>Total % of Cap Reached</w:t>
            </w:r>
          </w:p>
        </w:tc>
        <w:tc>
          <w:tcPr>
            <w:tcW w:w="1304" w:type="dxa"/>
            <w:shd w:val="solid" w:color="000000" w:fill="000000"/>
            <w:vAlign w:val="center"/>
          </w:tcPr>
          <w:p w14:paraId="6888E7C0" w14:textId="0E81E2DF" w:rsidR="00B005B7" w:rsidRPr="00A366EE" w:rsidRDefault="00CA4FD9" w:rsidP="00E41190">
            <w:pPr>
              <w:pStyle w:val="TableText0"/>
              <w:jc w:val="center"/>
              <w:rPr>
                <w:rFonts w:eastAsia="Calibri"/>
                <w:highlight w:val="lightGray"/>
              </w:rPr>
            </w:pPr>
            <w:r w:rsidRPr="00CA4FD9">
              <w:rPr>
                <w:rFonts w:eastAsia="Calibri"/>
                <w:color w:val="000000"/>
                <w14:textFill>
                  <w14:solidFill>
                    <w14:srgbClr w14:val="000000">
                      <w14:alpha w14:val="100000"/>
                    </w14:srgbClr>
                  </w14:solidFill>
                </w14:textFill>
              </w:rPr>
              <w:t>|</w:t>
            </w:r>
          </w:p>
        </w:tc>
        <w:tc>
          <w:tcPr>
            <w:tcW w:w="1304" w:type="dxa"/>
            <w:shd w:val="solid" w:color="000000" w:fill="000000"/>
            <w:vAlign w:val="center"/>
          </w:tcPr>
          <w:p w14:paraId="672FAC14" w14:textId="447F69BC" w:rsidR="00B005B7" w:rsidRPr="00A366EE" w:rsidRDefault="00CA4FD9" w:rsidP="00E41190">
            <w:pPr>
              <w:pStyle w:val="TableText0"/>
              <w:jc w:val="center"/>
              <w:rPr>
                <w:rFonts w:eastAsia="Calibri"/>
                <w:highlight w:val="lightGray"/>
              </w:rPr>
            </w:pPr>
            <w:r w:rsidRPr="00CA4FD9">
              <w:rPr>
                <w:rFonts w:eastAsia="Calibri"/>
                <w:color w:val="000000"/>
                <w14:textFill>
                  <w14:solidFill>
                    <w14:srgbClr w14:val="000000">
                      <w14:alpha w14:val="100000"/>
                    </w14:srgbClr>
                  </w14:solidFill>
                </w14:textFill>
              </w:rPr>
              <w:t>|</w:t>
            </w:r>
          </w:p>
        </w:tc>
        <w:tc>
          <w:tcPr>
            <w:tcW w:w="1304" w:type="dxa"/>
            <w:shd w:val="clear" w:color="auto" w:fill="auto"/>
            <w:vAlign w:val="center"/>
          </w:tcPr>
          <w:p w14:paraId="2AE97AB8" w14:textId="77777777" w:rsidR="00B005B7" w:rsidRPr="004D671D" w:rsidRDefault="00B005B7" w:rsidP="00E41190">
            <w:pPr>
              <w:pStyle w:val="TableText0"/>
              <w:jc w:val="center"/>
              <w:rPr>
                <w:rFonts w:eastAsia="Calibri"/>
              </w:rPr>
            </w:pPr>
          </w:p>
        </w:tc>
        <w:tc>
          <w:tcPr>
            <w:tcW w:w="1304" w:type="dxa"/>
            <w:shd w:val="clear" w:color="auto" w:fill="auto"/>
            <w:vAlign w:val="center"/>
          </w:tcPr>
          <w:p w14:paraId="5A15BD8F" w14:textId="77777777" w:rsidR="00B005B7" w:rsidRPr="004D671D" w:rsidRDefault="00B005B7" w:rsidP="00E41190">
            <w:pPr>
              <w:pStyle w:val="TableText0"/>
              <w:jc w:val="center"/>
              <w:rPr>
                <w:rFonts w:eastAsia="Calibri"/>
                <w:highlight w:val="green"/>
              </w:rPr>
            </w:pPr>
          </w:p>
        </w:tc>
        <w:tc>
          <w:tcPr>
            <w:tcW w:w="1304" w:type="dxa"/>
            <w:shd w:val="clear" w:color="auto" w:fill="auto"/>
            <w:vAlign w:val="center"/>
          </w:tcPr>
          <w:p w14:paraId="0F15F330" w14:textId="77777777" w:rsidR="00B005B7" w:rsidRPr="004D671D" w:rsidRDefault="00B005B7" w:rsidP="00E41190">
            <w:pPr>
              <w:pStyle w:val="TableText0"/>
              <w:jc w:val="center"/>
              <w:rPr>
                <w:rFonts w:eastAsia="Calibri"/>
                <w:highlight w:val="green"/>
              </w:rPr>
            </w:pPr>
          </w:p>
        </w:tc>
      </w:tr>
    </w:tbl>
    <w:bookmarkEnd w:id="14"/>
    <w:p w14:paraId="47BFBB87" w14:textId="5B0A654E" w:rsidR="00B005B7" w:rsidRPr="004D671D" w:rsidRDefault="00B005B7" w:rsidP="00E41190">
      <w:pPr>
        <w:pStyle w:val="TableFooter"/>
        <w:rPr>
          <w:szCs w:val="18"/>
        </w:rPr>
      </w:pPr>
      <w:r w:rsidRPr="004D671D">
        <w:rPr>
          <w:szCs w:val="18"/>
        </w:rPr>
        <w:t>Source: Table 6 of the submission</w:t>
      </w:r>
      <w:r w:rsidR="00E41190" w:rsidRPr="004D671D">
        <w:rPr>
          <w:szCs w:val="18"/>
        </w:rPr>
        <w:t>;</w:t>
      </w:r>
      <w:r w:rsidRPr="004D671D">
        <w:rPr>
          <w:szCs w:val="18"/>
        </w:rPr>
        <w:t xml:space="preserve"> DUSC Report, February 2024 &amp; Worksheet 5. Impact - net; Nivolumab plus Ipilimumab unresectable malignant mesothelioma Utilisation and Cost Model_March2024.</w:t>
      </w:r>
    </w:p>
    <w:p w14:paraId="7C18093F" w14:textId="30A64075" w:rsidR="00B005B7" w:rsidRDefault="00E41190" w:rsidP="00AE2B31">
      <w:pPr>
        <w:pStyle w:val="TableFooter"/>
        <w:rPr>
          <w:szCs w:val="18"/>
        </w:rPr>
      </w:pPr>
      <w:r w:rsidRPr="004D671D">
        <w:rPr>
          <w:szCs w:val="18"/>
        </w:rPr>
        <w:t xml:space="preserve">* Year 3 contains data up to </w:t>
      </w:r>
      <w:r w:rsidR="00E90E56">
        <w:rPr>
          <w:szCs w:val="18"/>
        </w:rPr>
        <w:t>May</w:t>
      </w:r>
      <w:r w:rsidRPr="004D671D">
        <w:rPr>
          <w:szCs w:val="18"/>
        </w:rPr>
        <w:t xml:space="preserve"> 202</w:t>
      </w:r>
      <w:r w:rsidR="00E90E56">
        <w:rPr>
          <w:szCs w:val="18"/>
        </w:rPr>
        <w:t>4</w:t>
      </w:r>
      <w:r w:rsidRPr="004D671D">
        <w:rPr>
          <w:szCs w:val="18"/>
        </w:rPr>
        <w:t xml:space="preserve"> (</w:t>
      </w:r>
      <w:r w:rsidR="00E90E56">
        <w:rPr>
          <w:szCs w:val="18"/>
        </w:rPr>
        <w:t>11</w:t>
      </w:r>
      <w:r w:rsidRPr="004D671D">
        <w:rPr>
          <w:szCs w:val="18"/>
        </w:rPr>
        <w:t xml:space="preserve"> months through the deed year) and is not representative of a full listing year. </w:t>
      </w:r>
    </w:p>
    <w:p w14:paraId="0B32E785" w14:textId="77777777" w:rsidR="00C55388" w:rsidRPr="00AE2B31" w:rsidRDefault="00C55388" w:rsidP="00C55388">
      <w:pPr>
        <w:pStyle w:val="TableFigureFooter"/>
        <w:rPr>
          <w:i/>
          <w:iCs/>
          <w:szCs w:val="18"/>
        </w:rPr>
      </w:pPr>
      <w:r w:rsidRPr="00AE2B31">
        <w:rPr>
          <w:i/>
          <w:iCs/>
          <w:szCs w:val="18"/>
        </w:rPr>
        <w:t>The redacted values correspond to the following ranges:</w:t>
      </w:r>
    </w:p>
    <w:p w14:paraId="7196C40E" w14:textId="662FCC51" w:rsidR="00C55388" w:rsidRPr="00AE2B31" w:rsidRDefault="00AE2B31" w:rsidP="00C55388">
      <w:pPr>
        <w:pStyle w:val="TableFigureFooter"/>
        <w:rPr>
          <w:i/>
          <w:iCs/>
          <w:szCs w:val="18"/>
        </w:rPr>
      </w:pPr>
      <w:r>
        <w:rPr>
          <w:i/>
          <w:iCs/>
          <w:szCs w:val="18"/>
        </w:rPr>
        <w:t>1</w:t>
      </w:r>
      <w:r w:rsidR="00C55388" w:rsidRPr="00AE2B31">
        <w:rPr>
          <w:i/>
          <w:iCs/>
          <w:szCs w:val="18"/>
        </w:rPr>
        <w:t xml:space="preserve"> $10 million to &lt; $20 million</w:t>
      </w:r>
    </w:p>
    <w:p w14:paraId="3ABB75BC" w14:textId="77777777" w:rsidR="00AB636C" w:rsidRPr="00D71742" w:rsidRDefault="00AB636C" w:rsidP="00AB636C">
      <w:pPr>
        <w:pStyle w:val="2-SectionHeading"/>
      </w:pPr>
      <w:r w:rsidRPr="00D71742">
        <w:t>PBAC Outcome</w:t>
      </w:r>
    </w:p>
    <w:p w14:paraId="6F6CC481" w14:textId="2F326AC0" w:rsidR="00AB636C" w:rsidRDefault="00560D7F" w:rsidP="00560D7F">
      <w:pPr>
        <w:pStyle w:val="3Bodytext"/>
        <w:rPr>
          <w:lang w:eastAsia="en-US"/>
        </w:rPr>
      </w:pPr>
      <w:bookmarkStart w:id="16" w:name="_Hlk173915619"/>
      <w:r>
        <w:rPr>
          <w:lang w:eastAsia="en-US"/>
        </w:rPr>
        <w:t xml:space="preserve">The PBAC did not </w:t>
      </w:r>
      <w:r w:rsidR="006B7CA1">
        <w:rPr>
          <w:lang w:eastAsia="en-US"/>
        </w:rPr>
        <w:t xml:space="preserve">advise making </w:t>
      </w:r>
      <w:r>
        <w:rPr>
          <w:lang w:eastAsia="en-US"/>
        </w:rPr>
        <w:t>amend</w:t>
      </w:r>
      <w:r w:rsidR="006B7CA1">
        <w:rPr>
          <w:lang w:eastAsia="en-US"/>
        </w:rPr>
        <w:t xml:space="preserve">ments </w:t>
      </w:r>
      <w:r w:rsidR="006B7CA1">
        <w:rPr>
          <w:rFonts w:cs="Arial"/>
          <w:snapToGrid w:val="0"/>
          <w:lang w:val="en-GB"/>
        </w:rPr>
        <w:t xml:space="preserve">to </w:t>
      </w:r>
      <w:r w:rsidR="00261D8E">
        <w:rPr>
          <w:rFonts w:cs="Arial"/>
          <w:snapToGrid w:val="0"/>
          <w:lang w:val="en-GB"/>
        </w:rPr>
        <w:t xml:space="preserve">the current Risk </w:t>
      </w:r>
      <w:r w:rsidR="006B7CA1">
        <w:rPr>
          <w:rFonts w:cs="Arial"/>
          <w:snapToGrid w:val="0"/>
          <w:lang w:val="en-GB"/>
        </w:rPr>
        <w:t xml:space="preserve">Sharing </w:t>
      </w:r>
      <w:r w:rsidR="00261D8E">
        <w:rPr>
          <w:rFonts w:cs="Arial"/>
          <w:snapToGrid w:val="0"/>
          <w:lang w:val="en-GB"/>
        </w:rPr>
        <w:t>Arrangement (RSA)</w:t>
      </w:r>
      <w:r>
        <w:rPr>
          <w:lang w:eastAsia="en-US"/>
        </w:rPr>
        <w:t xml:space="preserve"> </w:t>
      </w:r>
      <w:r w:rsidR="006B7CA1">
        <w:rPr>
          <w:lang w:eastAsia="en-US"/>
        </w:rPr>
        <w:t xml:space="preserve">for </w:t>
      </w:r>
      <w:r w:rsidR="00261D8E" w:rsidRPr="004D671D">
        <w:t>nivolumab (Opdivo®) and ipilimumab (Yervoy®)</w:t>
      </w:r>
      <w:r w:rsidR="00261D8E">
        <w:t xml:space="preserve"> </w:t>
      </w:r>
      <w:r w:rsidR="00261D8E">
        <w:rPr>
          <w:lang w:eastAsia="en-US"/>
        </w:rPr>
        <w:t xml:space="preserve">for </w:t>
      </w:r>
      <w:r w:rsidR="00261D8E" w:rsidRPr="004D671D">
        <w:t>unresectable malignant mesothelioma</w:t>
      </w:r>
      <w:r w:rsidR="00261D8E">
        <w:t>.</w:t>
      </w:r>
      <w:r w:rsidR="00623CAC">
        <w:t xml:space="preserve"> The PBAC </w:t>
      </w:r>
      <w:r w:rsidR="00F95F7B">
        <w:t>advised</w:t>
      </w:r>
      <w:r w:rsidR="00623CAC">
        <w:t xml:space="preserve"> that the evidence provided</w:t>
      </w:r>
      <w:r w:rsidR="006B7CA1">
        <w:t xml:space="preserve"> by the submission</w:t>
      </w:r>
      <w:r w:rsidR="0078607A">
        <w:t xml:space="preserve"> </w:t>
      </w:r>
      <w:r w:rsidR="007F6916">
        <w:t xml:space="preserve">did </w:t>
      </w:r>
      <w:r w:rsidR="0078607A">
        <w:t>not sufficient</w:t>
      </w:r>
      <w:r w:rsidR="007F6916">
        <w:t>ly</w:t>
      </w:r>
      <w:r w:rsidR="00623CAC">
        <w:t xml:space="preserve"> justify the </w:t>
      </w:r>
      <w:r w:rsidR="006B7CA1">
        <w:t xml:space="preserve">requested </w:t>
      </w:r>
      <w:r w:rsidR="00623CAC">
        <w:t xml:space="preserve">changes to the </w:t>
      </w:r>
      <w:r w:rsidR="006B7CA1">
        <w:t xml:space="preserve">subsidisation caps or rebate for expenditure above the caps. The PBAC considered </w:t>
      </w:r>
      <w:r w:rsidR="00623CAC">
        <w:t xml:space="preserve">that the current RSA is working as intended to manage the uncertainty around the original </w:t>
      </w:r>
      <w:r w:rsidR="006B7CA1">
        <w:t xml:space="preserve">financial </w:t>
      </w:r>
      <w:r w:rsidR="00623CAC">
        <w:t>estimat</w:t>
      </w:r>
      <w:r w:rsidR="0078607A">
        <w:t>es</w:t>
      </w:r>
      <w:r w:rsidR="00623CAC">
        <w:t xml:space="preserve">. </w:t>
      </w:r>
    </w:p>
    <w:bookmarkEnd w:id="16"/>
    <w:p w14:paraId="6749F61D" w14:textId="221E8672" w:rsidR="004B6FB5" w:rsidRDefault="004B6FB5" w:rsidP="004B6FB5">
      <w:pPr>
        <w:pStyle w:val="3Bodytext"/>
        <w:rPr>
          <w:lang w:eastAsia="en-US"/>
        </w:rPr>
      </w:pPr>
      <w:r>
        <w:rPr>
          <w:lang w:eastAsia="en-US"/>
        </w:rPr>
        <w:t xml:space="preserve">The </w:t>
      </w:r>
      <w:r w:rsidR="007160DA">
        <w:rPr>
          <w:lang w:eastAsia="en-US"/>
        </w:rPr>
        <w:t xml:space="preserve">submission presented </w:t>
      </w:r>
      <w:r w:rsidR="00564F7E">
        <w:rPr>
          <w:lang w:eastAsia="en-US"/>
        </w:rPr>
        <w:t>potential</w:t>
      </w:r>
      <w:r w:rsidR="007160DA">
        <w:rPr>
          <w:lang w:eastAsia="en-US"/>
        </w:rPr>
        <w:t xml:space="preserve"> causes of</w:t>
      </w:r>
      <w:r w:rsidR="00564F7E">
        <w:rPr>
          <w:lang w:eastAsia="en-US"/>
        </w:rPr>
        <w:t xml:space="preserve"> an</w:t>
      </w:r>
      <w:r w:rsidR="007160DA">
        <w:rPr>
          <w:lang w:eastAsia="en-US"/>
        </w:rPr>
        <w:t xml:space="preserve"> increase in uptake</w:t>
      </w:r>
      <w:r w:rsidR="00564F7E">
        <w:rPr>
          <w:lang w:eastAsia="en-US"/>
        </w:rPr>
        <w:t xml:space="preserve"> rates</w:t>
      </w:r>
      <w:r w:rsidR="007160DA">
        <w:rPr>
          <w:lang w:eastAsia="en-US"/>
        </w:rPr>
        <w:t xml:space="preserve"> and thus expenditure. These included increased initiation with NIVO+IPI </w:t>
      </w:r>
      <w:proofErr w:type="gramStart"/>
      <w:r w:rsidR="007160DA">
        <w:rPr>
          <w:lang w:eastAsia="en-US"/>
        </w:rPr>
        <w:t>as a result of</w:t>
      </w:r>
      <w:proofErr w:type="gramEnd"/>
      <w:r w:rsidR="007160DA">
        <w:rPr>
          <w:lang w:eastAsia="en-US"/>
        </w:rPr>
        <w:t xml:space="preserve"> changes to international treatment guidelines and an absence of competitor clinical trials. The </w:t>
      </w:r>
      <w:r>
        <w:rPr>
          <w:lang w:eastAsia="en-US"/>
        </w:rPr>
        <w:t xml:space="preserve">PBAC </w:t>
      </w:r>
      <w:r w:rsidR="00A7670B">
        <w:rPr>
          <w:lang w:eastAsia="en-US"/>
        </w:rPr>
        <w:t xml:space="preserve">considered </w:t>
      </w:r>
      <w:r>
        <w:rPr>
          <w:lang w:eastAsia="en-US"/>
        </w:rPr>
        <w:t xml:space="preserve">that </w:t>
      </w:r>
      <w:r w:rsidR="00D84285">
        <w:rPr>
          <w:lang w:eastAsia="en-US"/>
        </w:rPr>
        <w:t>no evidence</w:t>
      </w:r>
      <w:r w:rsidR="0078607A">
        <w:rPr>
          <w:lang w:eastAsia="en-US"/>
        </w:rPr>
        <w:t xml:space="preserve"> was</w:t>
      </w:r>
      <w:r w:rsidR="00D84285">
        <w:rPr>
          <w:lang w:eastAsia="en-US"/>
        </w:rPr>
        <w:t xml:space="preserve"> provided to </w:t>
      </w:r>
      <w:r w:rsidR="0078607A">
        <w:rPr>
          <w:lang w:eastAsia="en-US"/>
        </w:rPr>
        <w:t xml:space="preserve">support </w:t>
      </w:r>
      <w:r w:rsidR="00D84285">
        <w:rPr>
          <w:lang w:eastAsia="en-US"/>
        </w:rPr>
        <w:t>that changes to guidelines had increase</w:t>
      </w:r>
      <w:r w:rsidR="00EB289B">
        <w:rPr>
          <w:lang w:eastAsia="en-US"/>
        </w:rPr>
        <w:t>d</w:t>
      </w:r>
      <w:r w:rsidR="00D84285">
        <w:rPr>
          <w:lang w:eastAsia="en-US"/>
        </w:rPr>
        <w:t xml:space="preserve"> uptake of NIVO+IPI. The submission did not provide an explanation of how the original uptake rate accounted for clinical trials of competing treatments at the time of the March 2021 submission</w:t>
      </w:r>
      <w:r w:rsidR="007672D0">
        <w:rPr>
          <w:lang w:eastAsia="en-US"/>
        </w:rPr>
        <w:t>.</w:t>
      </w:r>
      <w:r w:rsidR="007160DA">
        <w:rPr>
          <w:lang w:eastAsia="en-US"/>
        </w:rPr>
        <w:t xml:space="preserve"> </w:t>
      </w:r>
      <w:r w:rsidR="007672D0">
        <w:rPr>
          <w:lang w:eastAsia="en-US"/>
        </w:rPr>
        <w:t xml:space="preserve">The PBAC </w:t>
      </w:r>
      <w:r w:rsidR="00564F7E">
        <w:rPr>
          <w:lang w:eastAsia="en-US"/>
        </w:rPr>
        <w:t xml:space="preserve">concluded that </w:t>
      </w:r>
      <w:r w:rsidR="007672D0">
        <w:rPr>
          <w:lang w:eastAsia="en-US"/>
        </w:rPr>
        <w:t>it was</w:t>
      </w:r>
      <w:r w:rsidR="00D84285">
        <w:rPr>
          <w:lang w:eastAsia="en-US"/>
        </w:rPr>
        <w:t xml:space="preserve"> unclear how the absence of competitor clinical trials</w:t>
      </w:r>
      <w:r w:rsidR="00564F7E">
        <w:rPr>
          <w:lang w:eastAsia="en-US"/>
        </w:rPr>
        <w:t xml:space="preserve"> and a change in guidelines</w:t>
      </w:r>
      <w:r w:rsidR="00D84285">
        <w:rPr>
          <w:lang w:eastAsia="en-US"/>
        </w:rPr>
        <w:t xml:space="preserve"> would impact the current uptake rate of NIVO+IPI.</w:t>
      </w:r>
    </w:p>
    <w:p w14:paraId="11003150" w14:textId="30759E92" w:rsidR="00E25B0A" w:rsidRDefault="00E25B0A" w:rsidP="004B6FB5">
      <w:pPr>
        <w:pStyle w:val="3Bodytext"/>
        <w:rPr>
          <w:lang w:eastAsia="en-US"/>
        </w:rPr>
      </w:pPr>
      <w:r>
        <w:rPr>
          <w:lang w:eastAsia="en-US"/>
        </w:rPr>
        <w:t xml:space="preserve">The PBAC noted that the uptake rate for the March 2021 submission would presumably have accounted for the superior efficacy of treatment with NIVO+IPI. It also noted that the proposed uptake rate in this submission was not literature-based </w:t>
      </w:r>
      <w:r w:rsidR="00E56176">
        <w:rPr>
          <w:lang w:eastAsia="en-US"/>
        </w:rPr>
        <w:t>whereas</w:t>
      </w:r>
      <w:r>
        <w:rPr>
          <w:lang w:eastAsia="en-US"/>
        </w:rPr>
        <w:t xml:space="preserve"> the March 2021 uptake rate</w:t>
      </w:r>
      <w:r w:rsidR="00E56176">
        <w:rPr>
          <w:lang w:eastAsia="en-US"/>
        </w:rPr>
        <w:t xml:space="preserve"> was</w:t>
      </w:r>
      <w:r>
        <w:rPr>
          <w:lang w:eastAsia="en-US"/>
        </w:rPr>
        <w:t xml:space="preserve">, and that </w:t>
      </w:r>
      <w:r w:rsidR="006E6E09">
        <w:rPr>
          <w:lang w:eastAsia="en-US"/>
        </w:rPr>
        <w:t xml:space="preserve">there was no way to confirm that the clinician survey was representative. Thus, the PBAC considered there was insufficient evidence to change the uptake rate to </w:t>
      </w:r>
      <w:r w:rsidR="00CA4FD9" w:rsidRPr="00AE0CA7">
        <w:rPr>
          <w:color w:val="000000"/>
          <w:w w:val="15"/>
          <w:shd w:val="solid" w:color="000000" w:fill="000000"/>
          <w:fitText w:val="-20" w:id="-893751543"/>
          <w:lang w:eastAsia="en-US"/>
          <w14:textFill>
            <w14:solidFill>
              <w14:srgbClr w14:val="000000">
                <w14:alpha w14:val="100000"/>
              </w14:srgbClr>
            </w14:solidFill>
          </w14:textFill>
        </w:rPr>
        <w:t xml:space="preserve">|  </w:t>
      </w:r>
      <w:r w:rsidR="00CA4FD9" w:rsidRPr="00AE0CA7">
        <w:rPr>
          <w:color w:val="000000"/>
          <w:spacing w:val="-69"/>
          <w:w w:val="15"/>
          <w:shd w:val="solid" w:color="000000" w:fill="000000"/>
          <w:fitText w:val="-20" w:id="-893751543"/>
          <w:lang w:eastAsia="en-US"/>
          <w14:textFill>
            <w14:solidFill>
              <w14:srgbClr w14:val="000000">
                <w14:alpha w14:val="100000"/>
              </w14:srgbClr>
            </w14:solidFill>
          </w14:textFill>
        </w:rPr>
        <w:t>|</w:t>
      </w:r>
      <w:r w:rsidR="006E6E09" w:rsidRPr="00D46EFF">
        <w:rPr>
          <w:lang w:eastAsia="en-US"/>
        </w:rPr>
        <w:t>%</w:t>
      </w:r>
      <w:r w:rsidR="00FC73E8">
        <w:rPr>
          <w:lang w:eastAsia="en-US"/>
        </w:rPr>
        <w:t xml:space="preserve"> </w:t>
      </w:r>
      <w:r w:rsidR="00541503">
        <w:rPr>
          <w:lang w:eastAsia="en-US"/>
        </w:rPr>
        <w:t>in each year</w:t>
      </w:r>
      <w:r w:rsidR="0017745F">
        <w:rPr>
          <w:lang w:eastAsia="en-US"/>
        </w:rPr>
        <w:t xml:space="preserve"> of listing</w:t>
      </w:r>
      <w:r w:rsidR="006E6E09">
        <w:rPr>
          <w:lang w:eastAsia="en-US"/>
        </w:rPr>
        <w:t>.</w:t>
      </w:r>
    </w:p>
    <w:p w14:paraId="3C8C9E54" w14:textId="47310B80" w:rsidR="006C238B" w:rsidRDefault="006C238B" w:rsidP="004B6FB5">
      <w:pPr>
        <w:pStyle w:val="3Bodytext"/>
        <w:rPr>
          <w:lang w:eastAsia="en-US"/>
        </w:rPr>
      </w:pPr>
      <w:r>
        <w:rPr>
          <w:lang w:eastAsia="en-US"/>
        </w:rPr>
        <w:lastRenderedPageBreak/>
        <w:t>The PBAC advised</w:t>
      </w:r>
      <w:r w:rsidR="007672D0">
        <w:rPr>
          <w:lang w:eastAsia="en-US"/>
        </w:rPr>
        <w:t>,</w:t>
      </w:r>
      <w:r>
        <w:rPr>
          <w:lang w:eastAsia="en-US"/>
        </w:rPr>
        <w:t xml:space="preserve"> </w:t>
      </w:r>
      <w:r w:rsidR="007672D0">
        <w:rPr>
          <w:lang w:eastAsia="en-US"/>
        </w:rPr>
        <w:t xml:space="preserve">in agreement with </w:t>
      </w:r>
      <w:r>
        <w:rPr>
          <w:lang w:eastAsia="en-US"/>
        </w:rPr>
        <w:t xml:space="preserve">the DUSC, that the use of flat-dosing </w:t>
      </w:r>
      <w:r w:rsidR="000D467E">
        <w:rPr>
          <w:lang w:eastAsia="en-US"/>
        </w:rPr>
        <w:t>and</w:t>
      </w:r>
      <w:r w:rsidR="007672D0">
        <w:rPr>
          <w:lang w:eastAsia="en-US"/>
        </w:rPr>
        <w:t xml:space="preserve"> an</w:t>
      </w:r>
      <w:r w:rsidR="000D467E">
        <w:rPr>
          <w:lang w:eastAsia="en-US"/>
        </w:rPr>
        <w:t xml:space="preserve"> increase in incidence of </w:t>
      </w:r>
      <w:r w:rsidR="000D467E" w:rsidRPr="004D671D">
        <w:t>unresectable malignant mesothelioma</w:t>
      </w:r>
      <w:r w:rsidR="000D467E">
        <w:rPr>
          <w:lang w:eastAsia="en-US"/>
        </w:rPr>
        <w:t xml:space="preserve"> </w:t>
      </w:r>
      <w:r>
        <w:rPr>
          <w:lang w:eastAsia="en-US"/>
        </w:rPr>
        <w:t>w</w:t>
      </w:r>
      <w:r w:rsidR="000D467E">
        <w:rPr>
          <w:lang w:eastAsia="en-US"/>
        </w:rPr>
        <w:t>ere</w:t>
      </w:r>
      <w:r>
        <w:rPr>
          <w:lang w:eastAsia="en-US"/>
        </w:rPr>
        <w:t xml:space="preserve"> the biggest driver</w:t>
      </w:r>
      <w:r w:rsidR="000D467E">
        <w:rPr>
          <w:lang w:eastAsia="en-US"/>
        </w:rPr>
        <w:t>s</w:t>
      </w:r>
      <w:r>
        <w:rPr>
          <w:lang w:eastAsia="en-US"/>
        </w:rPr>
        <w:t xml:space="preserve"> of expenditure. </w:t>
      </w:r>
    </w:p>
    <w:p w14:paraId="691BDE78" w14:textId="0A3AAEB5" w:rsidR="006C238B" w:rsidRDefault="006C238B" w:rsidP="004B6FB5">
      <w:pPr>
        <w:pStyle w:val="3Bodytext"/>
        <w:rPr>
          <w:lang w:eastAsia="en-US"/>
        </w:rPr>
      </w:pPr>
      <w:r>
        <w:rPr>
          <w:lang w:eastAsia="en-US"/>
        </w:rPr>
        <w:t xml:space="preserve">The PBAC recalled that in </w:t>
      </w:r>
      <w:r w:rsidR="00541503">
        <w:rPr>
          <w:lang w:eastAsia="en-US"/>
        </w:rPr>
        <w:t xml:space="preserve">its </w:t>
      </w:r>
      <w:r>
        <w:rPr>
          <w:lang w:eastAsia="en-US"/>
        </w:rPr>
        <w:t xml:space="preserve">March 2021 </w:t>
      </w:r>
      <w:r w:rsidR="00541503">
        <w:rPr>
          <w:lang w:eastAsia="en-US"/>
        </w:rPr>
        <w:t xml:space="preserve">recommendation for listing, </w:t>
      </w:r>
      <w:r>
        <w:rPr>
          <w:lang w:eastAsia="en-US"/>
        </w:rPr>
        <w:t xml:space="preserve">the </w:t>
      </w:r>
      <w:r w:rsidR="00541503">
        <w:rPr>
          <w:lang w:eastAsia="en-US"/>
        </w:rPr>
        <w:t xml:space="preserve">Committee </w:t>
      </w:r>
      <w:r w:rsidRPr="00B24C99">
        <w:t>advised that a risk sharing arrangement would be required</w:t>
      </w:r>
      <w:r w:rsidR="008750AF">
        <w:t xml:space="preserve"> </w:t>
      </w:r>
      <w:r w:rsidR="00541503">
        <w:t xml:space="preserve">to address </w:t>
      </w:r>
      <w:proofErr w:type="gramStart"/>
      <w:r w:rsidR="00541503">
        <w:t>a number of</w:t>
      </w:r>
      <w:proofErr w:type="gramEnd"/>
      <w:r w:rsidR="00541503">
        <w:t xml:space="preserve"> uncertainties informing the financial costs, including </w:t>
      </w:r>
      <w:r w:rsidRPr="00CC65C7">
        <w:t>the number of second line patients who would access treatment, and the associated cost-effectiveness, as well as the impact of flat dosing</w:t>
      </w:r>
      <w:r>
        <w:t xml:space="preserve"> (paragraph 7.12, NIVO+IPI minutes, March 2021 PBAC meeting). The PBAC maintained that the RSA in its current form was addressing these uncertainties</w:t>
      </w:r>
      <w:r w:rsidR="00557AE7">
        <w:t xml:space="preserve">, particularly as the DUSC analysis </w:t>
      </w:r>
      <w:r w:rsidR="008750AF">
        <w:t>indicated that flat dosing had a large impact to expenditure.</w:t>
      </w:r>
    </w:p>
    <w:p w14:paraId="61939F96" w14:textId="3926474F" w:rsidR="00C12934" w:rsidRDefault="006E6E09" w:rsidP="00C12934">
      <w:pPr>
        <w:pStyle w:val="3Bodytext"/>
        <w:rPr>
          <w:lang w:eastAsia="en-US"/>
        </w:rPr>
      </w:pPr>
      <w:r>
        <w:rPr>
          <w:lang w:eastAsia="en-US"/>
        </w:rPr>
        <w:t>The PBAC noted that it is uncertain if the caps will continue to be exceeded for the remainder of the deed.</w:t>
      </w:r>
    </w:p>
    <w:p w14:paraId="64FC9416" w14:textId="0DE8FD7E" w:rsidR="006E6E09" w:rsidRPr="00FE15CF" w:rsidRDefault="006E6E09" w:rsidP="006E6E09">
      <w:pPr>
        <w:pStyle w:val="3Bodytext"/>
        <w:rPr>
          <w:snapToGrid w:val="0"/>
          <w:lang w:val="en-GB"/>
        </w:rPr>
      </w:pPr>
      <w:r w:rsidRPr="00FE15CF">
        <w:rPr>
          <w:snapToGrid w:val="0"/>
          <w:lang w:val="en-GB"/>
        </w:rPr>
        <w:t xml:space="preserve">The PBAC noted that this submission </w:t>
      </w:r>
      <w:r>
        <w:rPr>
          <w:snapToGrid w:val="0"/>
          <w:lang w:val="en-GB"/>
        </w:rPr>
        <w:t>wa</w:t>
      </w:r>
      <w:r w:rsidRPr="00FE15CF">
        <w:rPr>
          <w:snapToGrid w:val="0"/>
          <w:lang w:val="en-GB"/>
        </w:rPr>
        <w:t>s not eligible for an Independent Review</w:t>
      </w:r>
      <w:r w:rsidR="00057055">
        <w:rPr>
          <w:snapToGrid w:val="0"/>
          <w:lang w:val="en-GB"/>
        </w:rPr>
        <w:t>. Independent Review is only available to submissions</w:t>
      </w:r>
      <w:r w:rsidRPr="00FE15CF">
        <w:rPr>
          <w:snapToGrid w:val="0"/>
          <w:lang w:val="en-GB"/>
        </w:rPr>
        <w:t xml:space="preserve"> seeking a change to the listing </w:t>
      </w:r>
      <w:r w:rsidR="00057055">
        <w:rPr>
          <w:snapToGrid w:val="0"/>
          <w:lang w:val="en-GB"/>
        </w:rPr>
        <w:t xml:space="preserve">criteria (such as a request for a </w:t>
      </w:r>
      <w:r w:rsidRPr="00FE15CF">
        <w:rPr>
          <w:snapToGrid w:val="0"/>
          <w:lang w:val="en-GB"/>
        </w:rPr>
        <w:t xml:space="preserve">new indication, </w:t>
      </w:r>
      <w:r w:rsidR="00057055">
        <w:rPr>
          <w:snapToGrid w:val="0"/>
          <w:lang w:val="en-GB"/>
        </w:rPr>
        <w:t xml:space="preserve">an </w:t>
      </w:r>
      <w:r w:rsidRPr="00FE15CF">
        <w:rPr>
          <w:snapToGrid w:val="0"/>
          <w:lang w:val="en-GB"/>
        </w:rPr>
        <w:t xml:space="preserve">objectively different subtype of disease or </w:t>
      </w:r>
      <w:r w:rsidR="00057055">
        <w:rPr>
          <w:snapToGrid w:val="0"/>
          <w:lang w:val="en-GB"/>
        </w:rPr>
        <w:t xml:space="preserve">a </w:t>
      </w:r>
      <w:r w:rsidRPr="00FE15CF">
        <w:rPr>
          <w:snapToGrid w:val="0"/>
          <w:lang w:val="en-GB"/>
        </w:rPr>
        <w:t>new</w:t>
      </w:r>
      <w:r w:rsidR="00057055">
        <w:rPr>
          <w:snapToGrid w:val="0"/>
          <w:lang w:val="en-GB"/>
        </w:rPr>
        <w:t xml:space="preserve"> treatment</w:t>
      </w:r>
      <w:r w:rsidRPr="00FE15CF">
        <w:rPr>
          <w:snapToGrid w:val="0"/>
          <w:lang w:val="en-GB"/>
        </w:rPr>
        <w:t xml:space="preserve"> population</w:t>
      </w:r>
      <w:r w:rsidR="00057055">
        <w:rPr>
          <w:snapToGrid w:val="0"/>
          <w:lang w:val="en-GB"/>
        </w:rPr>
        <w:t>)</w:t>
      </w:r>
      <w:r w:rsidRPr="00FE15CF">
        <w:rPr>
          <w:snapToGrid w:val="0"/>
          <w:lang w:val="en-GB"/>
        </w:rPr>
        <w:t xml:space="preserve">. </w:t>
      </w:r>
    </w:p>
    <w:p w14:paraId="787E24CC" w14:textId="77777777" w:rsidR="006E6E09" w:rsidRPr="006E6E09" w:rsidRDefault="006E6E09" w:rsidP="006E6E09">
      <w:pPr>
        <w:pStyle w:val="3Bodytext"/>
        <w:numPr>
          <w:ilvl w:val="0"/>
          <w:numId w:val="0"/>
        </w:numPr>
        <w:rPr>
          <w:b/>
          <w:bCs/>
          <w:lang w:eastAsia="en-US"/>
        </w:rPr>
      </w:pPr>
      <w:r w:rsidRPr="006E6E09">
        <w:rPr>
          <w:b/>
          <w:bCs/>
          <w:lang w:eastAsia="en-US"/>
        </w:rPr>
        <w:t>Outcome:</w:t>
      </w:r>
    </w:p>
    <w:p w14:paraId="61347285" w14:textId="1A56A2A5" w:rsidR="006E6E09" w:rsidRDefault="006E6E09" w:rsidP="006E6E09">
      <w:pPr>
        <w:pStyle w:val="3Bodytext"/>
        <w:numPr>
          <w:ilvl w:val="0"/>
          <w:numId w:val="0"/>
        </w:numPr>
        <w:rPr>
          <w:lang w:eastAsia="en-US"/>
        </w:rPr>
      </w:pPr>
      <w:r>
        <w:rPr>
          <w:lang w:eastAsia="en-US"/>
        </w:rPr>
        <w:t>Not recommended</w:t>
      </w:r>
    </w:p>
    <w:p w14:paraId="755C1F56" w14:textId="38DD5134" w:rsidR="00E65657" w:rsidRPr="00E65657" w:rsidRDefault="00E65657" w:rsidP="00E65657">
      <w:pPr>
        <w:keepNext/>
        <w:numPr>
          <w:ilvl w:val="0"/>
          <w:numId w:val="2"/>
        </w:numPr>
        <w:spacing w:before="240" w:after="120"/>
        <w:jc w:val="left"/>
        <w:outlineLvl w:val="0"/>
        <w:rPr>
          <w:rFonts w:asciiTheme="minorHAnsi" w:hAnsiTheme="minorHAnsi" w:cs="Arial"/>
          <w:b/>
          <w:bCs/>
          <w:snapToGrid w:val="0"/>
          <w:sz w:val="32"/>
          <w:szCs w:val="32"/>
          <w:lang w:val="en-GB"/>
        </w:rPr>
      </w:pPr>
      <w:r w:rsidRPr="00E65657">
        <w:rPr>
          <w:rFonts w:asciiTheme="minorHAnsi" w:hAnsiTheme="minorHAnsi" w:cs="Arial"/>
          <w:b/>
          <w:bCs/>
          <w:snapToGrid w:val="0"/>
          <w:sz w:val="32"/>
          <w:szCs w:val="32"/>
        </w:rPr>
        <w:t>Context for Decision</w:t>
      </w:r>
    </w:p>
    <w:p w14:paraId="6A2B2A6A" w14:textId="77777777" w:rsidR="00E65657" w:rsidRPr="00E65657" w:rsidRDefault="00E65657" w:rsidP="00E65657">
      <w:pPr>
        <w:spacing w:after="120"/>
        <w:ind w:left="720"/>
        <w:rPr>
          <w:rFonts w:asciiTheme="minorHAnsi" w:hAnsiTheme="minorHAnsi" w:cs="Arial"/>
          <w:bCs/>
          <w:lang w:val="en-GB"/>
        </w:rPr>
      </w:pPr>
      <w:r w:rsidRPr="00E65657">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5070E3C" w14:textId="77777777" w:rsidR="00E65657" w:rsidRPr="00E65657" w:rsidRDefault="00E65657" w:rsidP="00E65657">
      <w:pPr>
        <w:keepNext/>
        <w:numPr>
          <w:ilvl w:val="0"/>
          <w:numId w:val="2"/>
        </w:numPr>
        <w:spacing w:before="240" w:after="120"/>
        <w:jc w:val="left"/>
        <w:outlineLvl w:val="0"/>
        <w:rPr>
          <w:rFonts w:asciiTheme="minorHAnsi" w:hAnsiTheme="minorHAnsi" w:cs="Arial"/>
          <w:b/>
          <w:snapToGrid w:val="0"/>
          <w:sz w:val="32"/>
          <w:szCs w:val="32"/>
        </w:rPr>
      </w:pPr>
      <w:r w:rsidRPr="00E65657">
        <w:rPr>
          <w:rFonts w:asciiTheme="minorHAnsi" w:hAnsiTheme="minorHAnsi" w:cs="Arial"/>
          <w:b/>
          <w:snapToGrid w:val="0"/>
          <w:sz w:val="32"/>
          <w:szCs w:val="32"/>
        </w:rPr>
        <w:t>Sponsor’s Comment</w:t>
      </w:r>
    </w:p>
    <w:p w14:paraId="7081FF01" w14:textId="09AA500C" w:rsidR="00E65657" w:rsidRDefault="00E65657" w:rsidP="00A366EE">
      <w:pPr>
        <w:pStyle w:val="3Bodytext"/>
        <w:numPr>
          <w:ilvl w:val="0"/>
          <w:numId w:val="0"/>
        </w:numPr>
        <w:rPr>
          <w:lang w:eastAsia="en-US"/>
        </w:rPr>
      </w:pPr>
      <w:r w:rsidRPr="00E65657">
        <w:rPr>
          <w:rFonts w:cs="Arial"/>
          <w:bCs/>
          <w:lang w:eastAsia="en-US"/>
        </w:rPr>
        <w:t>The sponsor had no comment.</w:t>
      </w:r>
    </w:p>
    <w:sectPr w:rsidR="00E65657" w:rsidSect="00255C71">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831A4" w14:textId="77777777" w:rsidR="00734812" w:rsidRDefault="00734812">
      <w:r>
        <w:separator/>
      </w:r>
    </w:p>
    <w:p w14:paraId="1AA51A93" w14:textId="77777777" w:rsidR="00734812" w:rsidRDefault="00734812"/>
  </w:endnote>
  <w:endnote w:type="continuationSeparator" w:id="0">
    <w:p w14:paraId="579F9E5A" w14:textId="77777777" w:rsidR="00734812" w:rsidRDefault="00734812">
      <w:r>
        <w:continuationSeparator/>
      </w:r>
    </w:p>
    <w:p w14:paraId="218AD184" w14:textId="77777777" w:rsidR="00734812" w:rsidRDefault="00734812"/>
  </w:endnote>
  <w:endnote w:type="continuationNotice" w:id="1">
    <w:p w14:paraId="0D2E8AD4" w14:textId="77777777" w:rsidR="00734812" w:rsidRDefault="007348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skerville">
    <w:altName w:val="Times New Roman"/>
    <w:charset w:val="00"/>
    <w:family w:val="auto"/>
    <w:pitch w:val="variable"/>
    <w:sig w:usb0="80000063" w:usb1="00000000" w:usb2="00000000" w:usb3="00000000" w:csb0="000001F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58A98BC2"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5CD8">
      <w:rPr>
        <w:rStyle w:val="PageNumber"/>
        <w:noProof/>
      </w:rPr>
      <w:t>2</w: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D6E38" w14:textId="77777777" w:rsidR="00255C71" w:rsidRDefault="00255C71">
    <w:pPr>
      <w:pStyle w:val="Footer"/>
      <w:jc w:val="center"/>
      <w:rPr>
        <w:b/>
        <w:bCs/>
        <w:caps/>
      </w:rPr>
    </w:pPr>
  </w:p>
  <w:p w14:paraId="355827FE" w14:textId="02FA3131" w:rsidR="009C26AA" w:rsidRPr="00255C71" w:rsidRDefault="00255C71" w:rsidP="00255C71">
    <w:pPr>
      <w:pStyle w:val="Footer"/>
      <w:jc w:val="center"/>
      <w:rPr>
        <w:b/>
        <w:bCs/>
        <w:caps/>
        <w:noProof/>
      </w:rPr>
    </w:pPr>
    <w:r w:rsidRPr="00255C71">
      <w:rPr>
        <w:b/>
        <w:bCs/>
        <w:caps/>
      </w:rPr>
      <w:fldChar w:fldCharType="begin"/>
    </w:r>
    <w:r w:rsidRPr="00255C71">
      <w:rPr>
        <w:b/>
        <w:bCs/>
        <w:caps/>
      </w:rPr>
      <w:instrText xml:space="preserve"> PAGE   \* MERGEFORMAT </w:instrText>
    </w:r>
    <w:r w:rsidRPr="00255C71">
      <w:rPr>
        <w:b/>
        <w:bCs/>
        <w:caps/>
      </w:rPr>
      <w:fldChar w:fldCharType="separate"/>
    </w:r>
    <w:r w:rsidRPr="00255C71">
      <w:rPr>
        <w:b/>
        <w:bCs/>
        <w:caps/>
        <w:noProof/>
      </w:rPr>
      <w:t>2</w:t>
    </w:r>
    <w:r w:rsidRPr="00255C71">
      <w:rPr>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58218" w14:textId="77777777" w:rsidR="00AE2B31" w:rsidRDefault="00AE2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D2346" w14:textId="77777777" w:rsidR="00734812" w:rsidRDefault="00734812">
      <w:r>
        <w:separator/>
      </w:r>
    </w:p>
    <w:p w14:paraId="31CEED74" w14:textId="77777777" w:rsidR="00734812" w:rsidRDefault="00734812"/>
  </w:footnote>
  <w:footnote w:type="continuationSeparator" w:id="0">
    <w:p w14:paraId="20F185F1" w14:textId="77777777" w:rsidR="00734812" w:rsidRDefault="00734812">
      <w:r>
        <w:continuationSeparator/>
      </w:r>
    </w:p>
    <w:p w14:paraId="6CAC3222" w14:textId="77777777" w:rsidR="00734812" w:rsidRDefault="00734812"/>
  </w:footnote>
  <w:footnote w:type="continuationNotice" w:id="1">
    <w:p w14:paraId="61765DF0" w14:textId="77777777" w:rsidR="00734812" w:rsidRDefault="007348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24B42" w14:textId="13EBA6C4" w:rsidR="00C56D78" w:rsidRPr="00C56D78" w:rsidRDefault="00F52AD6" w:rsidP="00C56D78">
    <w:pPr>
      <w:keepNext/>
      <w:tabs>
        <w:tab w:val="center" w:pos="4513"/>
        <w:tab w:val="right" w:pos="9026"/>
      </w:tabs>
      <w:jc w:val="center"/>
      <w:rPr>
        <w:rFonts w:asciiTheme="minorHAnsi" w:eastAsiaTheme="minorEastAsia" w:hAnsiTheme="minorHAnsi" w:cstheme="minorHAnsi"/>
        <w:i/>
        <w:color w:val="808080"/>
      </w:rPr>
    </w:pPr>
    <w:r w:rsidRPr="00F52AD6">
      <w:rPr>
        <w:rFonts w:asciiTheme="minorHAnsi" w:eastAsiaTheme="minorEastAsia" w:hAnsiTheme="minorHAnsi" w:cstheme="minorHAnsi"/>
        <w:i/>
        <w:color w:val="808080"/>
      </w:rPr>
      <w:t xml:space="preserve">Public Summary Document </w:t>
    </w:r>
    <w:r w:rsidR="00CC2224">
      <w:rPr>
        <w:rFonts w:asciiTheme="minorHAnsi" w:eastAsiaTheme="minorEastAsia" w:hAnsiTheme="minorHAnsi" w:cstheme="minorHAnsi"/>
        <w:i/>
        <w:color w:val="808080"/>
      </w:rPr>
      <w:t xml:space="preserve">– </w:t>
    </w:r>
    <w:r w:rsidR="00F57600">
      <w:rPr>
        <w:rFonts w:asciiTheme="minorHAnsi" w:eastAsiaTheme="minorEastAsia" w:hAnsiTheme="minorHAnsi" w:cstheme="minorHAnsi"/>
        <w:i/>
        <w:color w:val="808080"/>
      </w:rPr>
      <w:t xml:space="preserve">July </w:t>
    </w:r>
    <w:r w:rsidR="00C56D78">
      <w:rPr>
        <w:rFonts w:asciiTheme="minorHAnsi" w:eastAsiaTheme="minorEastAsia" w:hAnsiTheme="minorHAnsi" w:cstheme="minorHAnsi"/>
        <w:i/>
        <w:color w:val="808080"/>
      </w:rPr>
      <w:t>202</w:t>
    </w:r>
    <w:r w:rsidR="00F57600">
      <w:rPr>
        <w:rFonts w:asciiTheme="minorHAnsi" w:eastAsiaTheme="minorEastAsia" w:hAnsiTheme="minorHAnsi" w:cstheme="minorHAnsi"/>
        <w:i/>
        <w:color w:val="808080"/>
      </w:rPr>
      <w:t>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8DE1C" w14:textId="77777777" w:rsidR="00AE2B31" w:rsidRDefault="00AE2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3" w15:restartNumberingAfterBreak="0">
    <w:nsid w:val="04C768CA"/>
    <w:multiLevelType w:val="hybridMultilevel"/>
    <w:tmpl w:val="B210B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01F13"/>
    <w:multiLevelType w:val="hybridMultilevel"/>
    <w:tmpl w:val="8C24C0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B644E6"/>
    <w:multiLevelType w:val="hybridMultilevel"/>
    <w:tmpl w:val="A1723F2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B6B1BC8"/>
    <w:multiLevelType w:val="hybridMultilevel"/>
    <w:tmpl w:val="1B26FB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826466"/>
    <w:multiLevelType w:val="hybridMultilevel"/>
    <w:tmpl w:val="BB7E42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244933"/>
    <w:multiLevelType w:val="hybridMultilevel"/>
    <w:tmpl w:val="26C2253C"/>
    <w:lvl w:ilvl="0" w:tplc="B442E1CE">
      <w:start w:val="1"/>
      <w:numFmt w:val="upperLetter"/>
      <w:lvlText w:val="%1."/>
      <w:lvlJc w:val="left"/>
      <w:pPr>
        <w:ind w:left="720"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2" w15:restartNumberingAfterBreak="0">
    <w:nsid w:val="38E857B9"/>
    <w:multiLevelType w:val="hybridMultilevel"/>
    <w:tmpl w:val="3DC4D1A8"/>
    <w:lvl w:ilvl="0" w:tplc="D6621134">
      <w:start w:val="1"/>
      <w:numFmt w:val="bullet"/>
      <w:pStyle w:val="Bulletpoin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BE3D07"/>
    <w:multiLevelType w:val="hybridMultilevel"/>
    <w:tmpl w:val="9D52E8DE"/>
    <w:lvl w:ilvl="0" w:tplc="0C090001">
      <w:start w:val="1"/>
      <w:numFmt w:val="bullet"/>
      <w:lvlText w:val=""/>
      <w:lvlJc w:val="left"/>
      <w:pPr>
        <w:ind w:left="720" w:hanging="360"/>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AD2BE8"/>
    <w:multiLevelType w:val="hybridMultilevel"/>
    <w:tmpl w:val="F496BCF6"/>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D7E5D3C"/>
    <w:multiLevelType w:val="hybridMultilevel"/>
    <w:tmpl w:val="ECF2A182"/>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7" w15:restartNumberingAfterBreak="0">
    <w:nsid w:val="42E87E95"/>
    <w:multiLevelType w:val="hybridMultilevel"/>
    <w:tmpl w:val="BE16E8F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6D34F55"/>
    <w:multiLevelType w:val="hybridMultilevel"/>
    <w:tmpl w:val="B8E84F9C"/>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0" w15:restartNumberingAfterBreak="0">
    <w:nsid w:val="4B012251"/>
    <w:multiLevelType w:val="hybridMultilevel"/>
    <w:tmpl w:val="7BCA739E"/>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5E7980"/>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5D43167D"/>
    <w:multiLevelType w:val="hybridMultilevel"/>
    <w:tmpl w:val="BAA84B34"/>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FB120C7"/>
    <w:multiLevelType w:val="hybridMultilevel"/>
    <w:tmpl w:val="15F849A8"/>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FEC02A8"/>
    <w:multiLevelType w:val="hybridMultilevel"/>
    <w:tmpl w:val="6BD08E70"/>
    <w:lvl w:ilvl="0" w:tplc="F6FCDD8C">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16F0152"/>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71BD3BEF"/>
    <w:multiLevelType w:val="hybridMultilevel"/>
    <w:tmpl w:val="A0987D6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1" w15:restartNumberingAfterBreak="0">
    <w:nsid w:val="73804271"/>
    <w:multiLevelType w:val="hybridMultilevel"/>
    <w:tmpl w:val="6BD08E70"/>
    <w:lvl w:ilvl="0" w:tplc="FFFFFFFF">
      <w:start w:val="1"/>
      <w:numFmt w:val="lowerRoman"/>
      <w:lvlText w:val="%1."/>
      <w:lvlJc w:val="left"/>
      <w:pPr>
        <w:ind w:left="1440" w:hanging="360"/>
      </w:pPr>
      <w:rPr>
        <w:rFonts w:asciiTheme="minorHAnsi" w:eastAsia="Times New Roman" w:hAnsiTheme="minorHAnsi" w:cs="Arial"/>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5EE742B"/>
    <w:multiLevelType w:val="hybridMultilevel"/>
    <w:tmpl w:val="C9AA1B20"/>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84D033C"/>
    <w:multiLevelType w:val="multilevel"/>
    <w:tmpl w:val="29146CAA"/>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4406"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7DB0202A"/>
    <w:multiLevelType w:val="hybridMultilevel"/>
    <w:tmpl w:val="E202FB4A"/>
    <w:lvl w:ilvl="0" w:tplc="D8CCAE7C">
      <w:numFmt w:val="bullet"/>
      <w:lvlText w:val="-"/>
      <w:lvlJc w:val="left"/>
      <w:pPr>
        <w:ind w:left="1080" w:hanging="360"/>
      </w:pPr>
      <w:rPr>
        <w:rFonts w:ascii="Calibri" w:eastAsiaTheme="minorHAnsi" w:hAnsi="Calibri" w:cs="Calibri" w:hint="default"/>
        <w:b w:val="0"/>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3498588">
    <w:abstractNumId w:val="11"/>
  </w:num>
  <w:num w:numId="2" w16cid:durableId="957570559">
    <w:abstractNumId w:val="33"/>
  </w:num>
  <w:num w:numId="3" w16cid:durableId="536628895">
    <w:abstractNumId w:val="0"/>
  </w:num>
  <w:num w:numId="4" w16cid:durableId="1159004663">
    <w:abstractNumId w:val="24"/>
  </w:num>
  <w:num w:numId="5" w16cid:durableId="418600173">
    <w:abstractNumId w:val="34"/>
  </w:num>
  <w:num w:numId="6" w16cid:durableId="34236669">
    <w:abstractNumId w:val="28"/>
  </w:num>
  <w:num w:numId="7" w16cid:durableId="1279799443">
    <w:abstractNumId w:val="21"/>
  </w:num>
  <w:num w:numId="8" w16cid:durableId="495537779">
    <w:abstractNumId w:val="16"/>
  </w:num>
  <w:num w:numId="9" w16cid:durableId="1468400811">
    <w:abstractNumId w:val="1"/>
  </w:num>
  <w:num w:numId="10" w16cid:durableId="132985464">
    <w:abstractNumId w:val="33"/>
  </w:num>
  <w:num w:numId="11" w16cid:durableId="1915313393">
    <w:abstractNumId w:val="26"/>
  </w:num>
  <w:num w:numId="12" w16cid:durableId="473567604">
    <w:abstractNumId w:val="30"/>
  </w:num>
  <w:num w:numId="13" w16cid:durableId="315574325">
    <w:abstractNumId w:val="10"/>
  </w:num>
  <w:num w:numId="14" w16cid:durableId="1841651190">
    <w:abstractNumId w:val="9"/>
  </w:num>
  <w:num w:numId="15" w16cid:durableId="1751541441">
    <w:abstractNumId w:val="2"/>
  </w:num>
  <w:num w:numId="16" w16cid:durableId="9394593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0238752">
    <w:abstractNumId w:val="6"/>
  </w:num>
  <w:num w:numId="18" w16cid:durableId="1662348298">
    <w:abstractNumId w:val="19"/>
  </w:num>
  <w:num w:numId="19" w16cid:durableId="216868142">
    <w:abstractNumId w:val="15"/>
  </w:num>
  <w:num w:numId="20" w16cid:durableId="670838392">
    <w:abstractNumId w:val="31"/>
  </w:num>
  <w:num w:numId="21" w16cid:durableId="848180824">
    <w:abstractNumId w:val="7"/>
  </w:num>
  <w:num w:numId="22" w16cid:durableId="1182285320">
    <w:abstractNumId w:val="3"/>
  </w:num>
  <w:num w:numId="23" w16cid:durableId="1862936798">
    <w:abstractNumId w:val="35"/>
  </w:num>
  <w:num w:numId="24" w16cid:durableId="296691022">
    <w:abstractNumId w:val="20"/>
  </w:num>
  <w:num w:numId="25" w16cid:durableId="1974167109">
    <w:abstractNumId w:val="14"/>
  </w:num>
  <w:num w:numId="26" w16cid:durableId="30034796">
    <w:abstractNumId w:val="13"/>
  </w:num>
  <w:num w:numId="27" w16cid:durableId="85926888">
    <w:abstractNumId w:val="18"/>
  </w:num>
  <w:num w:numId="28" w16cid:durableId="277377558">
    <w:abstractNumId w:val="32"/>
  </w:num>
  <w:num w:numId="29" w16cid:durableId="299964396">
    <w:abstractNumId w:val="27"/>
  </w:num>
  <w:num w:numId="30" w16cid:durableId="1834561270">
    <w:abstractNumId w:val="17"/>
  </w:num>
  <w:num w:numId="31" w16cid:durableId="370961351">
    <w:abstractNumId w:val="5"/>
  </w:num>
  <w:num w:numId="32" w16cid:durableId="1007446205">
    <w:abstractNumId w:val="23"/>
  </w:num>
  <w:num w:numId="33" w16cid:durableId="447705833">
    <w:abstractNumId w:val="33"/>
  </w:num>
  <w:num w:numId="34" w16cid:durableId="1566797129">
    <w:abstractNumId w:val="8"/>
  </w:num>
  <w:num w:numId="35" w16cid:durableId="1241213102">
    <w:abstractNumId w:val="12"/>
  </w:num>
  <w:num w:numId="36" w16cid:durableId="1492673137">
    <w:abstractNumId w:val="29"/>
  </w:num>
  <w:num w:numId="37" w16cid:durableId="1847212258">
    <w:abstractNumId w:val="22"/>
  </w:num>
  <w:num w:numId="38" w16cid:durableId="348216114">
    <w:abstractNumId w:val="4"/>
  </w:num>
  <w:num w:numId="39" w16cid:durableId="954798888">
    <w:abstractNumId w:val="3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6782"/>
    <w:rsid w:val="0001179A"/>
    <w:rsid w:val="00011A59"/>
    <w:rsid w:val="00014D69"/>
    <w:rsid w:val="00016A41"/>
    <w:rsid w:val="000214D1"/>
    <w:rsid w:val="00021F20"/>
    <w:rsid w:val="0002464A"/>
    <w:rsid w:val="00025A04"/>
    <w:rsid w:val="0002693D"/>
    <w:rsid w:val="00027A58"/>
    <w:rsid w:val="0003050E"/>
    <w:rsid w:val="0003106B"/>
    <w:rsid w:val="00032882"/>
    <w:rsid w:val="000335B9"/>
    <w:rsid w:val="00034905"/>
    <w:rsid w:val="00034C53"/>
    <w:rsid w:val="00037906"/>
    <w:rsid w:val="00040A30"/>
    <w:rsid w:val="000421A1"/>
    <w:rsid w:val="0004240E"/>
    <w:rsid w:val="000425A2"/>
    <w:rsid w:val="00044E52"/>
    <w:rsid w:val="00044EC4"/>
    <w:rsid w:val="00045E26"/>
    <w:rsid w:val="00046903"/>
    <w:rsid w:val="00047247"/>
    <w:rsid w:val="000514B5"/>
    <w:rsid w:val="000521ED"/>
    <w:rsid w:val="0005322E"/>
    <w:rsid w:val="00053392"/>
    <w:rsid w:val="000546CF"/>
    <w:rsid w:val="00054E2B"/>
    <w:rsid w:val="00055A8E"/>
    <w:rsid w:val="00057055"/>
    <w:rsid w:val="00060E64"/>
    <w:rsid w:val="000621AB"/>
    <w:rsid w:val="00062C03"/>
    <w:rsid w:val="00062E88"/>
    <w:rsid w:val="00066193"/>
    <w:rsid w:val="00066755"/>
    <w:rsid w:val="00071A5B"/>
    <w:rsid w:val="00072730"/>
    <w:rsid w:val="0007337F"/>
    <w:rsid w:val="00074320"/>
    <w:rsid w:val="000763D5"/>
    <w:rsid w:val="000766CC"/>
    <w:rsid w:val="00076C38"/>
    <w:rsid w:val="00077143"/>
    <w:rsid w:val="00077DF7"/>
    <w:rsid w:val="0008050C"/>
    <w:rsid w:val="00081AC7"/>
    <w:rsid w:val="00082169"/>
    <w:rsid w:val="000834BE"/>
    <w:rsid w:val="00083F01"/>
    <w:rsid w:val="00086134"/>
    <w:rsid w:val="00087C4C"/>
    <w:rsid w:val="000918CB"/>
    <w:rsid w:val="00091B06"/>
    <w:rsid w:val="000951C4"/>
    <w:rsid w:val="00095ADA"/>
    <w:rsid w:val="00095F3A"/>
    <w:rsid w:val="000969AD"/>
    <w:rsid w:val="000975FB"/>
    <w:rsid w:val="000A02F8"/>
    <w:rsid w:val="000A16DA"/>
    <w:rsid w:val="000A3AA2"/>
    <w:rsid w:val="000A42EF"/>
    <w:rsid w:val="000A44B2"/>
    <w:rsid w:val="000A4580"/>
    <w:rsid w:val="000A52F6"/>
    <w:rsid w:val="000A58B8"/>
    <w:rsid w:val="000B0C70"/>
    <w:rsid w:val="000B1931"/>
    <w:rsid w:val="000B323C"/>
    <w:rsid w:val="000B44C3"/>
    <w:rsid w:val="000B558D"/>
    <w:rsid w:val="000B5A89"/>
    <w:rsid w:val="000B65F6"/>
    <w:rsid w:val="000B7767"/>
    <w:rsid w:val="000C1AFF"/>
    <w:rsid w:val="000C3362"/>
    <w:rsid w:val="000C3768"/>
    <w:rsid w:val="000C5740"/>
    <w:rsid w:val="000C5F95"/>
    <w:rsid w:val="000C6996"/>
    <w:rsid w:val="000C7510"/>
    <w:rsid w:val="000C7C46"/>
    <w:rsid w:val="000D09E9"/>
    <w:rsid w:val="000D113F"/>
    <w:rsid w:val="000D23BA"/>
    <w:rsid w:val="000D467E"/>
    <w:rsid w:val="000D4F18"/>
    <w:rsid w:val="000E0070"/>
    <w:rsid w:val="000E19B7"/>
    <w:rsid w:val="000E1AFC"/>
    <w:rsid w:val="000E20FC"/>
    <w:rsid w:val="000E3168"/>
    <w:rsid w:val="000E3C1D"/>
    <w:rsid w:val="000E3DFB"/>
    <w:rsid w:val="000E5EA1"/>
    <w:rsid w:val="000E681E"/>
    <w:rsid w:val="000E696B"/>
    <w:rsid w:val="000E7E52"/>
    <w:rsid w:val="000E7E90"/>
    <w:rsid w:val="000EE1C7"/>
    <w:rsid w:val="000F0003"/>
    <w:rsid w:val="000F01C9"/>
    <w:rsid w:val="000F02D0"/>
    <w:rsid w:val="000F3384"/>
    <w:rsid w:val="000F4E6A"/>
    <w:rsid w:val="000F519D"/>
    <w:rsid w:val="000F6769"/>
    <w:rsid w:val="000F6ABB"/>
    <w:rsid w:val="000F7354"/>
    <w:rsid w:val="000F7C27"/>
    <w:rsid w:val="00101ABE"/>
    <w:rsid w:val="00102202"/>
    <w:rsid w:val="00102700"/>
    <w:rsid w:val="00102A78"/>
    <w:rsid w:val="00103118"/>
    <w:rsid w:val="00103F1B"/>
    <w:rsid w:val="00104227"/>
    <w:rsid w:val="001053D5"/>
    <w:rsid w:val="00107409"/>
    <w:rsid w:val="00107992"/>
    <w:rsid w:val="00107C4B"/>
    <w:rsid w:val="001107BF"/>
    <w:rsid w:val="0011290B"/>
    <w:rsid w:val="00113649"/>
    <w:rsid w:val="00113D5C"/>
    <w:rsid w:val="00116B03"/>
    <w:rsid w:val="00120AA6"/>
    <w:rsid w:val="001239DB"/>
    <w:rsid w:val="0012417C"/>
    <w:rsid w:val="00124BF2"/>
    <w:rsid w:val="00125837"/>
    <w:rsid w:val="0012597F"/>
    <w:rsid w:val="00126B19"/>
    <w:rsid w:val="00126D3A"/>
    <w:rsid w:val="0012749D"/>
    <w:rsid w:val="00127A23"/>
    <w:rsid w:val="00127E7C"/>
    <w:rsid w:val="001306A5"/>
    <w:rsid w:val="00130918"/>
    <w:rsid w:val="001311AE"/>
    <w:rsid w:val="00134994"/>
    <w:rsid w:val="001366C2"/>
    <w:rsid w:val="00136C17"/>
    <w:rsid w:val="00140B74"/>
    <w:rsid w:val="00140CFC"/>
    <w:rsid w:val="00140D94"/>
    <w:rsid w:val="00142395"/>
    <w:rsid w:val="0014250D"/>
    <w:rsid w:val="00142714"/>
    <w:rsid w:val="00144A20"/>
    <w:rsid w:val="00144D09"/>
    <w:rsid w:val="00144E06"/>
    <w:rsid w:val="001452ED"/>
    <w:rsid w:val="00147D84"/>
    <w:rsid w:val="00151CBD"/>
    <w:rsid w:val="001533C3"/>
    <w:rsid w:val="001549C1"/>
    <w:rsid w:val="00156C8D"/>
    <w:rsid w:val="00160F4D"/>
    <w:rsid w:val="00162BDD"/>
    <w:rsid w:val="00162D4E"/>
    <w:rsid w:val="00163329"/>
    <w:rsid w:val="0016446C"/>
    <w:rsid w:val="00164623"/>
    <w:rsid w:val="001652DE"/>
    <w:rsid w:val="001653EC"/>
    <w:rsid w:val="00165B64"/>
    <w:rsid w:val="00167C39"/>
    <w:rsid w:val="00170C4D"/>
    <w:rsid w:val="00174EB8"/>
    <w:rsid w:val="001756CB"/>
    <w:rsid w:val="001768C8"/>
    <w:rsid w:val="00176B9D"/>
    <w:rsid w:val="0017745F"/>
    <w:rsid w:val="00180044"/>
    <w:rsid w:val="00180713"/>
    <w:rsid w:val="00180720"/>
    <w:rsid w:val="001830CE"/>
    <w:rsid w:val="001836E3"/>
    <w:rsid w:val="00184659"/>
    <w:rsid w:val="001860E5"/>
    <w:rsid w:val="0018643B"/>
    <w:rsid w:val="00193E3B"/>
    <w:rsid w:val="00195BEB"/>
    <w:rsid w:val="00195EF3"/>
    <w:rsid w:val="00196307"/>
    <w:rsid w:val="00197C70"/>
    <w:rsid w:val="00197F03"/>
    <w:rsid w:val="001A0D10"/>
    <w:rsid w:val="001A33EA"/>
    <w:rsid w:val="001A3615"/>
    <w:rsid w:val="001A366A"/>
    <w:rsid w:val="001A4413"/>
    <w:rsid w:val="001A4C4F"/>
    <w:rsid w:val="001A4DC3"/>
    <w:rsid w:val="001A5A2B"/>
    <w:rsid w:val="001A6A8E"/>
    <w:rsid w:val="001A76FB"/>
    <w:rsid w:val="001B017F"/>
    <w:rsid w:val="001B0B79"/>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C696E"/>
    <w:rsid w:val="001D0CC1"/>
    <w:rsid w:val="001D1F5F"/>
    <w:rsid w:val="001D595B"/>
    <w:rsid w:val="001E06D2"/>
    <w:rsid w:val="001E17C4"/>
    <w:rsid w:val="001E2A47"/>
    <w:rsid w:val="001E2D65"/>
    <w:rsid w:val="001E3097"/>
    <w:rsid w:val="001E4BF2"/>
    <w:rsid w:val="001F005B"/>
    <w:rsid w:val="001F0266"/>
    <w:rsid w:val="001F1850"/>
    <w:rsid w:val="001F1FBF"/>
    <w:rsid w:val="001F2311"/>
    <w:rsid w:val="001F2B80"/>
    <w:rsid w:val="001F2F1C"/>
    <w:rsid w:val="001F3189"/>
    <w:rsid w:val="001F6CCB"/>
    <w:rsid w:val="001F724F"/>
    <w:rsid w:val="0020039D"/>
    <w:rsid w:val="00200BEA"/>
    <w:rsid w:val="00201FB8"/>
    <w:rsid w:val="00203CF2"/>
    <w:rsid w:val="00203FAC"/>
    <w:rsid w:val="002133FB"/>
    <w:rsid w:val="00213CFB"/>
    <w:rsid w:val="0021553C"/>
    <w:rsid w:val="0021557B"/>
    <w:rsid w:val="00216B87"/>
    <w:rsid w:val="002174FD"/>
    <w:rsid w:val="00217BE1"/>
    <w:rsid w:val="002206D5"/>
    <w:rsid w:val="00221361"/>
    <w:rsid w:val="002214B9"/>
    <w:rsid w:val="00221621"/>
    <w:rsid w:val="00222680"/>
    <w:rsid w:val="00223370"/>
    <w:rsid w:val="00224D1E"/>
    <w:rsid w:val="00224DC9"/>
    <w:rsid w:val="00226611"/>
    <w:rsid w:val="00227BC5"/>
    <w:rsid w:val="00230F63"/>
    <w:rsid w:val="00234252"/>
    <w:rsid w:val="0023466E"/>
    <w:rsid w:val="00237AC6"/>
    <w:rsid w:val="00242B64"/>
    <w:rsid w:val="00242BFD"/>
    <w:rsid w:val="00244139"/>
    <w:rsid w:val="00244490"/>
    <w:rsid w:val="00244BEC"/>
    <w:rsid w:val="00245444"/>
    <w:rsid w:val="00245B9C"/>
    <w:rsid w:val="00251B85"/>
    <w:rsid w:val="00252587"/>
    <w:rsid w:val="00253499"/>
    <w:rsid w:val="00253A02"/>
    <w:rsid w:val="002551A4"/>
    <w:rsid w:val="002554C7"/>
    <w:rsid w:val="00255C71"/>
    <w:rsid w:val="00257664"/>
    <w:rsid w:val="00260165"/>
    <w:rsid w:val="00261D8E"/>
    <w:rsid w:val="00265151"/>
    <w:rsid w:val="00265C2C"/>
    <w:rsid w:val="00266509"/>
    <w:rsid w:val="00267098"/>
    <w:rsid w:val="00271BA1"/>
    <w:rsid w:val="00272BEA"/>
    <w:rsid w:val="00272E57"/>
    <w:rsid w:val="00273AC5"/>
    <w:rsid w:val="002762FA"/>
    <w:rsid w:val="00276BE3"/>
    <w:rsid w:val="00277505"/>
    <w:rsid w:val="00277873"/>
    <w:rsid w:val="0028158C"/>
    <w:rsid w:val="002823B6"/>
    <w:rsid w:val="00290AB9"/>
    <w:rsid w:val="00290C03"/>
    <w:rsid w:val="00290D15"/>
    <w:rsid w:val="00292392"/>
    <w:rsid w:val="00292E3B"/>
    <w:rsid w:val="002933A8"/>
    <w:rsid w:val="00294274"/>
    <w:rsid w:val="0029458F"/>
    <w:rsid w:val="00295D04"/>
    <w:rsid w:val="002960F3"/>
    <w:rsid w:val="00297144"/>
    <w:rsid w:val="002978EF"/>
    <w:rsid w:val="00297A63"/>
    <w:rsid w:val="002A018F"/>
    <w:rsid w:val="002A0E04"/>
    <w:rsid w:val="002A0F12"/>
    <w:rsid w:val="002A104C"/>
    <w:rsid w:val="002A1EF7"/>
    <w:rsid w:val="002A2B7B"/>
    <w:rsid w:val="002A494D"/>
    <w:rsid w:val="002A4960"/>
    <w:rsid w:val="002A636A"/>
    <w:rsid w:val="002A6E1D"/>
    <w:rsid w:val="002A755F"/>
    <w:rsid w:val="002B0AE0"/>
    <w:rsid w:val="002B1AE6"/>
    <w:rsid w:val="002B1D51"/>
    <w:rsid w:val="002B2DE8"/>
    <w:rsid w:val="002B30F8"/>
    <w:rsid w:val="002B388A"/>
    <w:rsid w:val="002B3B32"/>
    <w:rsid w:val="002B3BFE"/>
    <w:rsid w:val="002B3C1A"/>
    <w:rsid w:val="002B4C2A"/>
    <w:rsid w:val="002B5596"/>
    <w:rsid w:val="002B6C89"/>
    <w:rsid w:val="002B77D7"/>
    <w:rsid w:val="002C0763"/>
    <w:rsid w:val="002C212F"/>
    <w:rsid w:val="002C2F35"/>
    <w:rsid w:val="002C5850"/>
    <w:rsid w:val="002C645E"/>
    <w:rsid w:val="002C6AA9"/>
    <w:rsid w:val="002C7485"/>
    <w:rsid w:val="002D1BF6"/>
    <w:rsid w:val="002D2641"/>
    <w:rsid w:val="002D283A"/>
    <w:rsid w:val="002D4543"/>
    <w:rsid w:val="002D715F"/>
    <w:rsid w:val="002D7276"/>
    <w:rsid w:val="002E022A"/>
    <w:rsid w:val="002E3153"/>
    <w:rsid w:val="002E3FD4"/>
    <w:rsid w:val="002E4A02"/>
    <w:rsid w:val="002E5292"/>
    <w:rsid w:val="002E72CA"/>
    <w:rsid w:val="002E75DD"/>
    <w:rsid w:val="002F1D07"/>
    <w:rsid w:val="002F5C5B"/>
    <w:rsid w:val="002F600D"/>
    <w:rsid w:val="002F6F0F"/>
    <w:rsid w:val="002F7E47"/>
    <w:rsid w:val="00300AD6"/>
    <w:rsid w:val="00300B1B"/>
    <w:rsid w:val="003019D0"/>
    <w:rsid w:val="003019DE"/>
    <w:rsid w:val="0030311E"/>
    <w:rsid w:val="00303CFE"/>
    <w:rsid w:val="00304776"/>
    <w:rsid w:val="00305EBD"/>
    <w:rsid w:val="003064AF"/>
    <w:rsid w:val="00307DC6"/>
    <w:rsid w:val="00310A8B"/>
    <w:rsid w:val="00310B68"/>
    <w:rsid w:val="00315E84"/>
    <w:rsid w:val="003160D2"/>
    <w:rsid w:val="003173FC"/>
    <w:rsid w:val="00317C6C"/>
    <w:rsid w:val="00320B80"/>
    <w:rsid w:val="00320CD3"/>
    <w:rsid w:val="003215FF"/>
    <w:rsid w:val="003217ED"/>
    <w:rsid w:val="00322667"/>
    <w:rsid w:val="00324DDD"/>
    <w:rsid w:val="0032607C"/>
    <w:rsid w:val="00326E79"/>
    <w:rsid w:val="0032748A"/>
    <w:rsid w:val="003301B1"/>
    <w:rsid w:val="00331189"/>
    <w:rsid w:val="0033263D"/>
    <w:rsid w:val="00332BE6"/>
    <w:rsid w:val="00334113"/>
    <w:rsid w:val="00334E69"/>
    <w:rsid w:val="0033518A"/>
    <w:rsid w:val="00335535"/>
    <w:rsid w:val="003367EF"/>
    <w:rsid w:val="00341AE4"/>
    <w:rsid w:val="00341EEB"/>
    <w:rsid w:val="003425CA"/>
    <w:rsid w:val="00342F02"/>
    <w:rsid w:val="003437F8"/>
    <w:rsid w:val="00343FB7"/>
    <w:rsid w:val="0034543B"/>
    <w:rsid w:val="003476EE"/>
    <w:rsid w:val="00351C79"/>
    <w:rsid w:val="003541DD"/>
    <w:rsid w:val="00354C03"/>
    <w:rsid w:val="00356E5B"/>
    <w:rsid w:val="00360887"/>
    <w:rsid w:val="003610CE"/>
    <w:rsid w:val="00361481"/>
    <w:rsid w:val="0036189B"/>
    <w:rsid w:val="0036249F"/>
    <w:rsid w:val="003626BF"/>
    <w:rsid w:val="00365AD2"/>
    <w:rsid w:val="00370A5C"/>
    <w:rsid w:val="00371246"/>
    <w:rsid w:val="003736C9"/>
    <w:rsid w:val="003738A0"/>
    <w:rsid w:val="003741BF"/>
    <w:rsid w:val="0037650F"/>
    <w:rsid w:val="00381443"/>
    <w:rsid w:val="00383B77"/>
    <w:rsid w:val="00383FD0"/>
    <w:rsid w:val="00384368"/>
    <w:rsid w:val="00384988"/>
    <w:rsid w:val="003872CF"/>
    <w:rsid w:val="003874CB"/>
    <w:rsid w:val="00392430"/>
    <w:rsid w:val="003955DA"/>
    <w:rsid w:val="00396E08"/>
    <w:rsid w:val="003970DD"/>
    <w:rsid w:val="0039782C"/>
    <w:rsid w:val="00397F98"/>
    <w:rsid w:val="003A0C92"/>
    <w:rsid w:val="003A13A6"/>
    <w:rsid w:val="003A2165"/>
    <w:rsid w:val="003A2C1A"/>
    <w:rsid w:val="003A2EE7"/>
    <w:rsid w:val="003A2FB7"/>
    <w:rsid w:val="003A3AF3"/>
    <w:rsid w:val="003A3FD4"/>
    <w:rsid w:val="003A586A"/>
    <w:rsid w:val="003A5B4A"/>
    <w:rsid w:val="003A5D95"/>
    <w:rsid w:val="003A6139"/>
    <w:rsid w:val="003A6510"/>
    <w:rsid w:val="003A74E2"/>
    <w:rsid w:val="003B0D3A"/>
    <w:rsid w:val="003B2302"/>
    <w:rsid w:val="003B23C5"/>
    <w:rsid w:val="003B2A75"/>
    <w:rsid w:val="003B49B2"/>
    <w:rsid w:val="003B6124"/>
    <w:rsid w:val="003B7960"/>
    <w:rsid w:val="003C0908"/>
    <w:rsid w:val="003C093A"/>
    <w:rsid w:val="003C1ECF"/>
    <w:rsid w:val="003C2FB5"/>
    <w:rsid w:val="003D24C5"/>
    <w:rsid w:val="003D3292"/>
    <w:rsid w:val="003D4594"/>
    <w:rsid w:val="003D4895"/>
    <w:rsid w:val="003D4AC4"/>
    <w:rsid w:val="003D5433"/>
    <w:rsid w:val="003D63B7"/>
    <w:rsid w:val="003D74C5"/>
    <w:rsid w:val="003E4374"/>
    <w:rsid w:val="003E468B"/>
    <w:rsid w:val="003E62BD"/>
    <w:rsid w:val="003E658D"/>
    <w:rsid w:val="003F044F"/>
    <w:rsid w:val="003F04BA"/>
    <w:rsid w:val="003F0C3A"/>
    <w:rsid w:val="003F15F0"/>
    <w:rsid w:val="003F2AD9"/>
    <w:rsid w:val="003F3228"/>
    <w:rsid w:val="003F5C8C"/>
    <w:rsid w:val="003F63CE"/>
    <w:rsid w:val="003F775A"/>
    <w:rsid w:val="00400042"/>
    <w:rsid w:val="00400E55"/>
    <w:rsid w:val="0040128E"/>
    <w:rsid w:val="00401640"/>
    <w:rsid w:val="0040216B"/>
    <w:rsid w:val="00404852"/>
    <w:rsid w:val="00405299"/>
    <w:rsid w:val="0040590E"/>
    <w:rsid w:val="004077E6"/>
    <w:rsid w:val="00407CC8"/>
    <w:rsid w:val="00411D3A"/>
    <w:rsid w:val="00412B44"/>
    <w:rsid w:val="00414F0C"/>
    <w:rsid w:val="00417703"/>
    <w:rsid w:val="00420400"/>
    <w:rsid w:val="004207B7"/>
    <w:rsid w:val="00421784"/>
    <w:rsid w:val="00422CA9"/>
    <w:rsid w:val="00423E78"/>
    <w:rsid w:val="004252EC"/>
    <w:rsid w:val="00430D39"/>
    <w:rsid w:val="00431C47"/>
    <w:rsid w:val="004341F4"/>
    <w:rsid w:val="00442C91"/>
    <w:rsid w:val="00444E9D"/>
    <w:rsid w:val="004465BD"/>
    <w:rsid w:val="00446938"/>
    <w:rsid w:val="0045275E"/>
    <w:rsid w:val="004528FA"/>
    <w:rsid w:val="00452A6C"/>
    <w:rsid w:val="004615DF"/>
    <w:rsid w:val="00461A44"/>
    <w:rsid w:val="00462D26"/>
    <w:rsid w:val="0046368B"/>
    <w:rsid w:val="0046385A"/>
    <w:rsid w:val="00464039"/>
    <w:rsid w:val="00466ADA"/>
    <w:rsid w:val="004702BB"/>
    <w:rsid w:val="0047211D"/>
    <w:rsid w:val="0047494B"/>
    <w:rsid w:val="00476245"/>
    <w:rsid w:val="00476420"/>
    <w:rsid w:val="004773C4"/>
    <w:rsid w:val="00477A9B"/>
    <w:rsid w:val="00482AE4"/>
    <w:rsid w:val="00483035"/>
    <w:rsid w:val="00485940"/>
    <w:rsid w:val="004862AB"/>
    <w:rsid w:val="00486C95"/>
    <w:rsid w:val="004877C2"/>
    <w:rsid w:val="00487A52"/>
    <w:rsid w:val="004904B9"/>
    <w:rsid w:val="00491EDC"/>
    <w:rsid w:val="004928E1"/>
    <w:rsid w:val="00492D8D"/>
    <w:rsid w:val="00493F2E"/>
    <w:rsid w:val="00496662"/>
    <w:rsid w:val="004A1431"/>
    <w:rsid w:val="004A2484"/>
    <w:rsid w:val="004A2D3E"/>
    <w:rsid w:val="004A378E"/>
    <w:rsid w:val="004A5A06"/>
    <w:rsid w:val="004A5A85"/>
    <w:rsid w:val="004A71D1"/>
    <w:rsid w:val="004A7C5B"/>
    <w:rsid w:val="004B1845"/>
    <w:rsid w:val="004B2348"/>
    <w:rsid w:val="004B2E01"/>
    <w:rsid w:val="004B2E98"/>
    <w:rsid w:val="004B45E4"/>
    <w:rsid w:val="004B5640"/>
    <w:rsid w:val="004B6084"/>
    <w:rsid w:val="004B6FB5"/>
    <w:rsid w:val="004BCF29"/>
    <w:rsid w:val="004C0206"/>
    <w:rsid w:val="004C03D0"/>
    <w:rsid w:val="004C1BD7"/>
    <w:rsid w:val="004C1BF2"/>
    <w:rsid w:val="004C239C"/>
    <w:rsid w:val="004C2EA5"/>
    <w:rsid w:val="004C31FE"/>
    <w:rsid w:val="004C524C"/>
    <w:rsid w:val="004C5EDD"/>
    <w:rsid w:val="004C5FFA"/>
    <w:rsid w:val="004C691D"/>
    <w:rsid w:val="004C6C07"/>
    <w:rsid w:val="004C7E15"/>
    <w:rsid w:val="004C7EC6"/>
    <w:rsid w:val="004D2CD1"/>
    <w:rsid w:val="004D365C"/>
    <w:rsid w:val="004D4B6A"/>
    <w:rsid w:val="004D4FF6"/>
    <w:rsid w:val="004D5ADD"/>
    <w:rsid w:val="004D671D"/>
    <w:rsid w:val="004E0CC3"/>
    <w:rsid w:val="004E1328"/>
    <w:rsid w:val="004E287E"/>
    <w:rsid w:val="004E32A7"/>
    <w:rsid w:val="004E692D"/>
    <w:rsid w:val="004E6FCF"/>
    <w:rsid w:val="004E7230"/>
    <w:rsid w:val="004E7D87"/>
    <w:rsid w:val="004F2553"/>
    <w:rsid w:val="004F2720"/>
    <w:rsid w:val="004F306A"/>
    <w:rsid w:val="004F38F6"/>
    <w:rsid w:val="00501554"/>
    <w:rsid w:val="00501671"/>
    <w:rsid w:val="00502AFB"/>
    <w:rsid w:val="00502AFE"/>
    <w:rsid w:val="00502E64"/>
    <w:rsid w:val="00503094"/>
    <w:rsid w:val="00503AD7"/>
    <w:rsid w:val="00503E89"/>
    <w:rsid w:val="00504E0C"/>
    <w:rsid w:val="00504E13"/>
    <w:rsid w:val="00504FEC"/>
    <w:rsid w:val="00505ACA"/>
    <w:rsid w:val="00505B92"/>
    <w:rsid w:val="005109D4"/>
    <w:rsid w:val="0051230A"/>
    <w:rsid w:val="00514CD7"/>
    <w:rsid w:val="005167EC"/>
    <w:rsid w:val="00516BCA"/>
    <w:rsid w:val="005170DA"/>
    <w:rsid w:val="00520A38"/>
    <w:rsid w:val="00520D6A"/>
    <w:rsid w:val="00522DB6"/>
    <w:rsid w:val="0052604B"/>
    <w:rsid w:val="005264A7"/>
    <w:rsid w:val="0052792D"/>
    <w:rsid w:val="0053084B"/>
    <w:rsid w:val="005319B2"/>
    <w:rsid w:val="00532402"/>
    <w:rsid w:val="00532C74"/>
    <w:rsid w:val="0053319E"/>
    <w:rsid w:val="00533239"/>
    <w:rsid w:val="00534E2E"/>
    <w:rsid w:val="00535133"/>
    <w:rsid w:val="005377C5"/>
    <w:rsid w:val="0054064C"/>
    <w:rsid w:val="00541503"/>
    <w:rsid w:val="00544552"/>
    <w:rsid w:val="00545130"/>
    <w:rsid w:val="00546B36"/>
    <w:rsid w:val="005470EB"/>
    <w:rsid w:val="005506C6"/>
    <w:rsid w:val="0055286A"/>
    <w:rsid w:val="00555745"/>
    <w:rsid w:val="00556692"/>
    <w:rsid w:val="00557AE7"/>
    <w:rsid w:val="00557D4F"/>
    <w:rsid w:val="005600DA"/>
    <w:rsid w:val="00560D7F"/>
    <w:rsid w:val="0056122E"/>
    <w:rsid w:val="00563352"/>
    <w:rsid w:val="0056484E"/>
    <w:rsid w:val="00564F7E"/>
    <w:rsid w:val="00565999"/>
    <w:rsid w:val="00567D8A"/>
    <w:rsid w:val="00570231"/>
    <w:rsid w:val="005714B7"/>
    <w:rsid w:val="00572694"/>
    <w:rsid w:val="005730AF"/>
    <w:rsid w:val="00574821"/>
    <w:rsid w:val="005764CD"/>
    <w:rsid w:val="0057703E"/>
    <w:rsid w:val="00577410"/>
    <w:rsid w:val="00577C4D"/>
    <w:rsid w:val="00580532"/>
    <w:rsid w:val="00580C45"/>
    <w:rsid w:val="00581932"/>
    <w:rsid w:val="00583002"/>
    <w:rsid w:val="005856E2"/>
    <w:rsid w:val="005903BB"/>
    <w:rsid w:val="00593893"/>
    <w:rsid w:val="005963BB"/>
    <w:rsid w:val="0059645C"/>
    <w:rsid w:val="005969DE"/>
    <w:rsid w:val="00596D37"/>
    <w:rsid w:val="005A15D2"/>
    <w:rsid w:val="005A3173"/>
    <w:rsid w:val="005A3223"/>
    <w:rsid w:val="005A3DA3"/>
    <w:rsid w:val="005A52C4"/>
    <w:rsid w:val="005A63A1"/>
    <w:rsid w:val="005A7487"/>
    <w:rsid w:val="005B0486"/>
    <w:rsid w:val="005B1032"/>
    <w:rsid w:val="005B1473"/>
    <w:rsid w:val="005B16DB"/>
    <w:rsid w:val="005B36FA"/>
    <w:rsid w:val="005B3D69"/>
    <w:rsid w:val="005C4A70"/>
    <w:rsid w:val="005C4F73"/>
    <w:rsid w:val="005D03AB"/>
    <w:rsid w:val="005D401D"/>
    <w:rsid w:val="005D5017"/>
    <w:rsid w:val="005D5708"/>
    <w:rsid w:val="005D63FA"/>
    <w:rsid w:val="005D643D"/>
    <w:rsid w:val="005D73C7"/>
    <w:rsid w:val="005E0050"/>
    <w:rsid w:val="005E0983"/>
    <w:rsid w:val="005E0C2D"/>
    <w:rsid w:val="005E0D82"/>
    <w:rsid w:val="005E0F59"/>
    <w:rsid w:val="005E1333"/>
    <w:rsid w:val="005E3136"/>
    <w:rsid w:val="005E3CDA"/>
    <w:rsid w:val="005E4BE8"/>
    <w:rsid w:val="005E4C90"/>
    <w:rsid w:val="005E507D"/>
    <w:rsid w:val="005F097B"/>
    <w:rsid w:val="005F0AD0"/>
    <w:rsid w:val="005F0C3F"/>
    <w:rsid w:val="005F44C9"/>
    <w:rsid w:val="00601A91"/>
    <w:rsid w:val="00602063"/>
    <w:rsid w:val="00602BA3"/>
    <w:rsid w:val="00605002"/>
    <w:rsid w:val="00605B63"/>
    <w:rsid w:val="00605F9A"/>
    <w:rsid w:val="00606442"/>
    <w:rsid w:val="00606EED"/>
    <w:rsid w:val="006078C2"/>
    <w:rsid w:val="00607DDB"/>
    <w:rsid w:val="0061257A"/>
    <w:rsid w:val="00612A95"/>
    <w:rsid w:val="00612E34"/>
    <w:rsid w:val="00614159"/>
    <w:rsid w:val="006158A3"/>
    <w:rsid w:val="00616C5F"/>
    <w:rsid w:val="00616DAC"/>
    <w:rsid w:val="00617725"/>
    <w:rsid w:val="00617C00"/>
    <w:rsid w:val="00617E3A"/>
    <w:rsid w:val="0062316F"/>
    <w:rsid w:val="00623CAC"/>
    <w:rsid w:val="00624574"/>
    <w:rsid w:val="006254CA"/>
    <w:rsid w:val="006256B9"/>
    <w:rsid w:val="006263BF"/>
    <w:rsid w:val="0062748A"/>
    <w:rsid w:val="00630546"/>
    <w:rsid w:val="00630A2C"/>
    <w:rsid w:val="00632180"/>
    <w:rsid w:val="00633DD6"/>
    <w:rsid w:val="00634A75"/>
    <w:rsid w:val="00634BA9"/>
    <w:rsid w:val="0063682E"/>
    <w:rsid w:val="00636D93"/>
    <w:rsid w:val="00640088"/>
    <w:rsid w:val="00640D16"/>
    <w:rsid w:val="00642672"/>
    <w:rsid w:val="00642DA8"/>
    <w:rsid w:val="006436CD"/>
    <w:rsid w:val="00650976"/>
    <w:rsid w:val="00651169"/>
    <w:rsid w:val="00653D69"/>
    <w:rsid w:val="006552E6"/>
    <w:rsid w:val="00655794"/>
    <w:rsid w:val="00656F2F"/>
    <w:rsid w:val="00657C63"/>
    <w:rsid w:val="00660E97"/>
    <w:rsid w:val="00661CBC"/>
    <w:rsid w:val="006620F9"/>
    <w:rsid w:val="00662B85"/>
    <w:rsid w:val="00663EE9"/>
    <w:rsid w:val="00664987"/>
    <w:rsid w:val="006670B3"/>
    <w:rsid w:val="006670BE"/>
    <w:rsid w:val="00670A76"/>
    <w:rsid w:val="006711AA"/>
    <w:rsid w:val="00672B57"/>
    <w:rsid w:val="00673F1F"/>
    <w:rsid w:val="00675622"/>
    <w:rsid w:val="00675DEB"/>
    <w:rsid w:val="0067747D"/>
    <w:rsid w:val="006818D5"/>
    <w:rsid w:val="00681A3E"/>
    <w:rsid w:val="00681CA4"/>
    <w:rsid w:val="00686559"/>
    <w:rsid w:val="0069039D"/>
    <w:rsid w:val="006906DB"/>
    <w:rsid w:val="00691900"/>
    <w:rsid w:val="00691E6C"/>
    <w:rsid w:val="00693425"/>
    <w:rsid w:val="0069342D"/>
    <w:rsid w:val="00693DFB"/>
    <w:rsid w:val="00694FD5"/>
    <w:rsid w:val="0069501D"/>
    <w:rsid w:val="00695E3B"/>
    <w:rsid w:val="00696129"/>
    <w:rsid w:val="00697CF2"/>
    <w:rsid w:val="006A12A5"/>
    <w:rsid w:val="006A2290"/>
    <w:rsid w:val="006A2515"/>
    <w:rsid w:val="006A40B5"/>
    <w:rsid w:val="006A572D"/>
    <w:rsid w:val="006A5BD9"/>
    <w:rsid w:val="006A5E20"/>
    <w:rsid w:val="006B0D94"/>
    <w:rsid w:val="006B1444"/>
    <w:rsid w:val="006B16B6"/>
    <w:rsid w:val="006B485D"/>
    <w:rsid w:val="006B799F"/>
    <w:rsid w:val="006B7CA1"/>
    <w:rsid w:val="006B7DDA"/>
    <w:rsid w:val="006C0C45"/>
    <w:rsid w:val="006C238B"/>
    <w:rsid w:val="006C2806"/>
    <w:rsid w:val="006C334C"/>
    <w:rsid w:val="006C43CE"/>
    <w:rsid w:val="006C579A"/>
    <w:rsid w:val="006C6C10"/>
    <w:rsid w:val="006C708E"/>
    <w:rsid w:val="006D14E7"/>
    <w:rsid w:val="006D4444"/>
    <w:rsid w:val="006D4B7B"/>
    <w:rsid w:val="006D6493"/>
    <w:rsid w:val="006D6EC7"/>
    <w:rsid w:val="006D7B05"/>
    <w:rsid w:val="006D7E45"/>
    <w:rsid w:val="006E1039"/>
    <w:rsid w:val="006E1143"/>
    <w:rsid w:val="006E1BCD"/>
    <w:rsid w:val="006E2732"/>
    <w:rsid w:val="006E59CD"/>
    <w:rsid w:val="006E6E09"/>
    <w:rsid w:val="006F00ED"/>
    <w:rsid w:val="006F026F"/>
    <w:rsid w:val="006F0A71"/>
    <w:rsid w:val="006F14EC"/>
    <w:rsid w:val="006F1C6B"/>
    <w:rsid w:val="006F2ECE"/>
    <w:rsid w:val="006F35DE"/>
    <w:rsid w:val="006F40C2"/>
    <w:rsid w:val="006F5125"/>
    <w:rsid w:val="006F531B"/>
    <w:rsid w:val="006F5D43"/>
    <w:rsid w:val="006F6D41"/>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08D"/>
    <w:rsid w:val="00715BBB"/>
    <w:rsid w:val="00715CD8"/>
    <w:rsid w:val="007160DA"/>
    <w:rsid w:val="007174BB"/>
    <w:rsid w:val="0072025D"/>
    <w:rsid w:val="00723328"/>
    <w:rsid w:val="007237DE"/>
    <w:rsid w:val="0072502E"/>
    <w:rsid w:val="007309C5"/>
    <w:rsid w:val="0073137C"/>
    <w:rsid w:val="007340B9"/>
    <w:rsid w:val="00734812"/>
    <w:rsid w:val="007353D3"/>
    <w:rsid w:val="00736BAF"/>
    <w:rsid w:val="0073736F"/>
    <w:rsid w:val="0074156B"/>
    <w:rsid w:val="00741619"/>
    <w:rsid w:val="00742885"/>
    <w:rsid w:val="00746203"/>
    <w:rsid w:val="00747092"/>
    <w:rsid w:val="007477FF"/>
    <w:rsid w:val="007526E6"/>
    <w:rsid w:val="00754DF9"/>
    <w:rsid w:val="007555E8"/>
    <w:rsid w:val="00755CC5"/>
    <w:rsid w:val="007626E8"/>
    <w:rsid w:val="00762862"/>
    <w:rsid w:val="0076420C"/>
    <w:rsid w:val="00765332"/>
    <w:rsid w:val="007672D0"/>
    <w:rsid w:val="00771D07"/>
    <w:rsid w:val="00772649"/>
    <w:rsid w:val="00772F5D"/>
    <w:rsid w:val="00773BE3"/>
    <w:rsid w:val="007743DD"/>
    <w:rsid w:val="00774E2C"/>
    <w:rsid w:val="0077503C"/>
    <w:rsid w:val="0077518D"/>
    <w:rsid w:val="007753C2"/>
    <w:rsid w:val="00776068"/>
    <w:rsid w:val="007821C4"/>
    <w:rsid w:val="007838B8"/>
    <w:rsid w:val="00785779"/>
    <w:rsid w:val="0078607A"/>
    <w:rsid w:val="00787FD8"/>
    <w:rsid w:val="007908C1"/>
    <w:rsid w:val="007915BA"/>
    <w:rsid w:val="00791844"/>
    <w:rsid w:val="0079250E"/>
    <w:rsid w:val="00793CE9"/>
    <w:rsid w:val="0079541E"/>
    <w:rsid w:val="00796667"/>
    <w:rsid w:val="00796AEE"/>
    <w:rsid w:val="00797068"/>
    <w:rsid w:val="007979BD"/>
    <w:rsid w:val="007A3D8E"/>
    <w:rsid w:val="007A5C88"/>
    <w:rsid w:val="007A6A2F"/>
    <w:rsid w:val="007B024E"/>
    <w:rsid w:val="007B3A51"/>
    <w:rsid w:val="007B3BAF"/>
    <w:rsid w:val="007B3DDC"/>
    <w:rsid w:val="007B4995"/>
    <w:rsid w:val="007B72A6"/>
    <w:rsid w:val="007C06D2"/>
    <w:rsid w:val="007C08E0"/>
    <w:rsid w:val="007C0F57"/>
    <w:rsid w:val="007C21EF"/>
    <w:rsid w:val="007C2F4B"/>
    <w:rsid w:val="007C40B6"/>
    <w:rsid w:val="007C4AC5"/>
    <w:rsid w:val="007C5975"/>
    <w:rsid w:val="007C719A"/>
    <w:rsid w:val="007C729F"/>
    <w:rsid w:val="007C72AD"/>
    <w:rsid w:val="007C7668"/>
    <w:rsid w:val="007C7E42"/>
    <w:rsid w:val="007D503D"/>
    <w:rsid w:val="007D59E7"/>
    <w:rsid w:val="007D5F2A"/>
    <w:rsid w:val="007E07AC"/>
    <w:rsid w:val="007E1014"/>
    <w:rsid w:val="007E12F8"/>
    <w:rsid w:val="007E14EB"/>
    <w:rsid w:val="007E1D28"/>
    <w:rsid w:val="007E4564"/>
    <w:rsid w:val="007E490F"/>
    <w:rsid w:val="007E6533"/>
    <w:rsid w:val="007E67A2"/>
    <w:rsid w:val="007F0021"/>
    <w:rsid w:val="007F1007"/>
    <w:rsid w:val="007F2641"/>
    <w:rsid w:val="007F26A5"/>
    <w:rsid w:val="007F3E1B"/>
    <w:rsid w:val="007F47A7"/>
    <w:rsid w:val="007F6916"/>
    <w:rsid w:val="007F7C36"/>
    <w:rsid w:val="007F7F45"/>
    <w:rsid w:val="0080001F"/>
    <w:rsid w:val="00800961"/>
    <w:rsid w:val="00801958"/>
    <w:rsid w:val="008055AF"/>
    <w:rsid w:val="008057CD"/>
    <w:rsid w:val="008066B8"/>
    <w:rsid w:val="00806796"/>
    <w:rsid w:val="008076A3"/>
    <w:rsid w:val="00810167"/>
    <w:rsid w:val="008104D0"/>
    <w:rsid w:val="00810727"/>
    <w:rsid w:val="00811CC0"/>
    <w:rsid w:val="0081218E"/>
    <w:rsid w:val="00814276"/>
    <w:rsid w:val="00814B49"/>
    <w:rsid w:val="008151D6"/>
    <w:rsid w:val="00816322"/>
    <w:rsid w:val="00817468"/>
    <w:rsid w:val="00817A03"/>
    <w:rsid w:val="00820803"/>
    <w:rsid w:val="00821527"/>
    <w:rsid w:val="00822162"/>
    <w:rsid w:val="008225CE"/>
    <w:rsid w:val="00822696"/>
    <w:rsid w:val="00824082"/>
    <w:rsid w:val="00825A6C"/>
    <w:rsid w:val="0082617E"/>
    <w:rsid w:val="008268BB"/>
    <w:rsid w:val="00826F6D"/>
    <w:rsid w:val="00827097"/>
    <w:rsid w:val="00827339"/>
    <w:rsid w:val="008306F3"/>
    <w:rsid w:val="00830E40"/>
    <w:rsid w:val="00831B88"/>
    <w:rsid w:val="00832CEF"/>
    <w:rsid w:val="00832D9A"/>
    <w:rsid w:val="00835C62"/>
    <w:rsid w:val="008368A1"/>
    <w:rsid w:val="0083732B"/>
    <w:rsid w:val="00837B7F"/>
    <w:rsid w:val="00840EF7"/>
    <w:rsid w:val="00844C0A"/>
    <w:rsid w:val="00846056"/>
    <w:rsid w:val="0084681F"/>
    <w:rsid w:val="00846DAC"/>
    <w:rsid w:val="00847D08"/>
    <w:rsid w:val="00847EC0"/>
    <w:rsid w:val="00854506"/>
    <w:rsid w:val="00855FD6"/>
    <w:rsid w:val="00856DDD"/>
    <w:rsid w:val="0085752F"/>
    <w:rsid w:val="00860233"/>
    <w:rsid w:val="00861B9A"/>
    <w:rsid w:val="00862F95"/>
    <w:rsid w:val="00863E68"/>
    <w:rsid w:val="008647B5"/>
    <w:rsid w:val="00867D64"/>
    <w:rsid w:val="00867D85"/>
    <w:rsid w:val="00872E8F"/>
    <w:rsid w:val="008750AF"/>
    <w:rsid w:val="00875DCB"/>
    <w:rsid w:val="00876FBF"/>
    <w:rsid w:val="00877160"/>
    <w:rsid w:val="0087755A"/>
    <w:rsid w:val="00882085"/>
    <w:rsid w:val="00882934"/>
    <w:rsid w:val="00883188"/>
    <w:rsid w:val="00884569"/>
    <w:rsid w:val="00884A0C"/>
    <w:rsid w:val="00886ACA"/>
    <w:rsid w:val="00886B01"/>
    <w:rsid w:val="0089031E"/>
    <w:rsid w:val="0089109A"/>
    <w:rsid w:val="008922B7"/>
    <w:rsid w:val="00893D5C"/>
    <w:rsid w:val="0089460B"/>
    <w:rsid w:val="00897D58"/>
    <w:rsid w:val="00897F22"/>
    <w:rsid w:val="008A0B39"/>
    <w:rsid w:val="008A0EBE"/>
    <w:rsid w:val="008A17A3"/>
    <w:rsid w:val="008A1956"/>
    <w:rsid w:val="008A1E85"/>
    <w:rsid w:val="008A2419"/>
    <w:rsid w:val="008A4186"/>
    <w:rsid w:val="008A4937"/>
    <w:rsid w:val="008A50F1"/>
    <w:rsid w:val="008A59D9"/>
    <w:rsid w:val="008A643E"/>
    <w:rsid w:val="008A6819"/>
    <w:rsid w:val="008B007A"/>
    <w:rsid w:val="008B2EC0"/>
    <w:rsid w:val="008B55D4"/>
    <w:rsid w:val="008B6DCF"/>
    <w:rsid w:val="008B7377"/>
    <w:rsid w:val="008C4D49"/>
    <w:rsid w:val="008C7792"/>
    <w:rsid w:val="008D0945"/>
    <w:rsid w:val="008D1409"/>
    <w:rsid w:val="008D15CC"/>
    <w:rsid w:val="008D1729"/>
    <w:rsid w:val="008D1B5C"/>
    <w:rsid w:val="008D2454"/>
    <w:rsid w:val="008D3C82"/>
    <w:rsid w:val="008D447E"/>
    <w:rsid w:val="008D4529"/>
    <w:rsid w:val="008D6192"/>
    <w:rsid w:val="008D6ACF"/>
    <w:rsid w:val="008D7A41"/>
    <w:rsid w:val="008E2C72"/>
    <w:rsid w:val="008E3680"/>
    <w:rsid w:val="008E3E18"/>
    <w:rsid w:val="008E4F87"/>
    <w:rsid w:val="008E5870"/>
    <w:rsid w:val="008E77E4"/>
    <w:rsid w:val="008E7A24"/>
    <w:rsid w:val="008F0213"/>
    <w:rsid w:val="008F07ED"/>
    <w:rsid w:val="008F11F8"/>
    <w:rsid w:val="008F1434"/>
    <w:rsid w:val="008F2BB9"/>
    <w:rsid w:val="008F3D6A"/>
    <w:rsid w:val="008F3E2B"/>
    <w:rsid w:val="008F54C3"/>
    <w:rsid w:val="008F7355"/>
    <w:rsid w:val="009023DC"/>
    <w:rsid w:val="009027C5"/>
    <w:rsid w:val="00904413"/>
    <w:rsid w:val="009067B7"/>
    <w:rsid w:val="00906E7A"/>
    <w:rsid w:val="00906E7F"/>
    <w:rsid w:val="0090775A"/>
    <w:rsid w:val="00907DFD"/>
    <w:rsid w:val="00910C27"/>
    <w:rsid w:val="00913C99"/>
    <w:rsid w:val="00917D69"/>
    <w:rsid w:val="00920B6D"/>
    <w:rsid w:val="00923A50"/>
    <w:rsid w:val="00926560"/>
    <w:rsid w:val="00926B15"/>
    <w:rsid w:val="00930291"/>
    <w:rsid w:val="00930937"/>
    <w:rsid w:val="009324A6"/>
    <w:rsid w:val="00933B7D"/>
    <w:rsid w:val="00933E6C"/>
    <w:rsid w:val="00935A6E"/>
    <w:rsid w:val="00936ACB"/>
    <w:rsid w:val="00937958"/>
    <w:rsid w:val="009406E5"/>
    <w:rsid w:val="00941602"/>
    <w:rsid w:val="00942160"/>
    <w:rsid w:val="00943289"/>
    <w:rsid w:val="009468AF"/>
    <w:rsid w:val="00946921"/>
    <w:rsid w:val="00947343"/>
    <w:rsid w:val="0095146F"/>
    <w:rsid w:val="00951F2D"/>
    <w:rsid w:val="00952839"/>
    <w:rsid w:val="0095344C"/>
    <w:rsid w:val="009534C7"/>
    <w:rsid w:val="00954820"/>
    <w:rsid w:val="00954CBB"/>
    <w:rsid w:val="00957944"/>
    <w:rsid w:val="009602C5"/>
    <w:rsid w:val="0096103A"/>
    <w:rsid w:val="00962223"/>
    <w:rsid w:val="0096252B"/>
    <w:rsid w:val="009644D9"/>
    <w:rsid w:val="00964A9F"/>
    <w:rsid w:val="00966D0D"/>
    <w:rsid w:val="009671E3"/>
    <w:rsid w:val="00967732"/>
    <w:rsid w:val="0096783C"/>
    <w:rsid w:val="00970023"/>
    <w:rsid w:val="009722B3"/>
    <w:rsid w:val="00973E24"/>
    <w:rsid w:val="00973F69"/>
    <w:rsid w:val="00974C21"/>
    <w:rsid w:val="00974D5F"/>
    <w:rsid w:val="00975948"/>
    <w:rsid w:val="009769A3"/>
    <w:rsid w:val="009772FD"/>
    <w:rsid w:val="00977BF3"/>
    <w:rsid w:val="009803E4"/>
    <w:rsid w:val="00980B0E"/>
    <w:rsid w:val="00982B39"/>
    <w:rsid w:val="009836A3"/>
    <w:rsid w:val="009846A8"/>
    <w:rsid w:val="00984C58"/>
    <w:rsid w:val="009855A8"/>
    <w:rsid w:val="00985CBE"/>
    <w:rsid w:val="00985D1A"/>
    <w:rsid w:val="00990CF8"/>
    <w:rsid w:val="009913F4"/>
    <w:rsid w:val="00991782"/>
    <w:rsid w:val="009937F7"/>
    <w:rsid w:val="0099465B"/>
    <w:rsid w:val="00994E43"/>
    <w:rsid w:val="009951A1"/>
    <w:rsid w:val="00997A44"/>
    <w:rsid w:val="009A0CDD"/>
    <w:rsid w:val="009A3168"/>
    <w:rsid w:val="009A4621"/>
    <w:rsid w:val="009A4BDF"/>
    <w:rsid w:val="009A5008"/>
    <w:rsid w:val="009A5D04"/>
    <w:rsid w:val="009A61CA"/>
    <w:rsid w:val="009B0062"/>
    <w:rsid w:val="009B00FF"/>
    <w:rsid w:val="009B0C64"/>
    <w:rsid w:val="009B0F67"/>
    <w:rsid w:val="009B208A"/>
    <w:rsid w:val="009B2756"/>
    <w:rsid w:val="009B3D56"/>
    <w:rsid w:val="009B3F8C"/>
    <w:rsid w:val="009B533B"/>
    <w:rsid w:val="009B546B"/>
    <w:rsid w:val="009C1F2E"/>
    <w:rsid w:val="009C26AA"/>
    <w:rsid w:val="009C3EE6"/>
    <w:rsid w:val="009C59FD"/>
    <w:rsid w:val="009C703C"/>
    <w:rsid w:val="009C71A7"/>
    <w:rsid w:val="009D0C29"/>
    <w:rsid w:val="009D206E"/>
    <w:rsid w:val="009D3CAA"/>
    <w:rsid w:val="009D507A"/>
    <w:rsid w:val="009D6532"/>
    <w:rsid w:val="009D6765"/>
    <w:rsid w:val="009D71FD"/>
    <w:rsid w:val="009E06F0"/>
    <w:rsid w:val="009E0755"/>
    <w:rsid w:val="009E10AD"/>
    <w:rsid w:val="009E253E"/>
    <w:rsid w:val="009E2588"/>
    <w:rsid w:val="009E2E8E"/>
    <w:rsid w:val="009E3D96"/>
    <w:rsid w:val="009E40E1"/>
    <w:rsid w:val="009F0EFA"/>
    <w:rsid w:val="009F4E46"/>
    <w:rsid w:val="009F52BA"/>
    <w:rsid w:val="009F5B65"/>
    <w:rsid w:val="009F5F2E"/>
    <w:rsid w:val="009F778C"/>
    <w:rsid w:val="00A01432"/>
    <w:rsid w:val="00A01980"/>
    <w:rsid w:val="00A06225"/>
    <w:rsid w:val="00A066E6"/>
    <w:rsid w:val="00A110D1"/>
    <w:rsid w:val="00A12587"/>
    <w:rsid w:val="00A128E6"/>
    <w:rsid w:val="00A144D3"/>
    <w:rsid w:val="00A16DEB"/>
    <w:rsid w:val="00A17EA7"/>
    <w:rsid w:val="00A21D7D"/>
    <w:rsid w:val="00A22AC3"/>
    <w:rsid w:val="00A2351E"/>
    <w:rsid w:val="00A23F3F"/>
    <w:rsid w:val="00A24067"/>
    <w:rsid w:val="00A24A4B"/>
    <w:rsid w:val="00A26AC8"/>
    <w:rsid w:val="00A2744D"/>
    <w:rsid w:val="00A306F6"/>
    <w:rsid w:val="00A30D16"/>
    <w:rsid w:val="00A33EB7"/>
    <w:rsid w:val="00A34E6C"/>
    <w:rsid w:val="00A34FD0"/>
    <w:rsid w:val="00A36398"/>
    <w:rsid w:val="00A366EE"/>
    <w:rsid w:val="00A37C8D"/>
    <w:rsid w:val="00A4020E"/>
    <w:rsid w:val="00A40493"/>
    <w:rsid w:val="00A408E8"/>
    <w:rsid w:val="00A40FB5"/>
    <w:rsid w:val="00A41B03"/>
    <w:rsid w:val="00A42826"/>
    <w:rsid w:val="00A429B3"/>
    <w:rsid w:val="00A44EC1"/>
    <w:rsid w:val="00A510E4"/>
    <w:rsid w:val="00A51F8C"/>
    <w:rsid w:val="00A526F7"/>
    <w:rsid w:val="00A5273B"/>
    <w:rsid w:val="00A53A9D"/>
    <w:rsid w:val="00A55FEE"/>
    <w:rsid w:val="00A56304"/>
    <w:rsid w:val="00A57422"/>
    <w:rsid w:val="00A625E5"/>
    <w:rsid w:val="00A62C1A"/>
    <w:rsid w:val="00A63CA2"/>
    <w:rsid w:val="00A6426D"/>
    <w:rsid w:val="00A6439B"/>
    <w:rsid w:val="00A665C1"/>
    <w:rsid w:val="00A673A4"/>
    <w:rsid w:val="00A7001A"/>
    <w:rsid w:val="00A70622"/>
    <w:rsid w:val="00A70977"/>
    <w:rsid w:val="00A70D58"/>
    <w:rsid w:val="00A744F9"/>
    <w:rsid w:val="00A753A1"/>
    <w:rsid w:val="00A75A71"/>
    <w:rsid w:val="00A7670B"/>
    <w:rsid w:val="00A77613"/>
    <w:rsid w:val="00A77831"/>
    <w:rsid w:val="00A77B87"/>
    <w:rsid w:val="00A77E01"/>
    <w:rsid w:val="00A801AD"/>
    <w:rsid w:val="00A81851"/>
    <w:rsid w:val="00A8390C"/>
    <w:rsid w:val="00A85D89"/>
    <w:rsid w:val="00A86AE0"/>
    <w:rsid w:val="00A90F17"/>
    <w:rsid w:val="00A912B0"/>
    <w:rsid w:val="00A91362"/>
    <w:rsid w:val="00A9151C"/>
    <w:rsid w:val="00A919C6"/>
    <w:rsid w:val="00A928BD"/>
    <w:rsid w:val="00A92D61"/>
    <w:rsid w:val="00A97DE9"/>
    <w:rsid w:val="00AA12CD"/>
    <w:rsid w:val="00AA27BC"/>
    <w:rsid w:val="00AA2A4E"/>
    <w:rsid w:val="00AA2D15"/>
    <w:rsid w:val="00AA4D1C"/>
    <w:rsid w:val="00AA52FD"/>
    <w:rsid w:val="00AA5D40"/>
    <w:rsid w:val="00AA67BE"/>
    <w:rsid w:val="00AA7006"/>
    <w:rsid w:val="00AA7D15"/>
    <w:rsid w:val="00AB2CC7"/>
    <w:rsid w:val="00AB3138"/>
    <w:rsid w:val="00AB4684"/>
    <w:rsid w:val="00AB5856"/>
    <w:rsid w:val="00AB636C"/>
    <w:rsid w:val="00AB6A80"/>
    <w:rsid w:val="00AC081D"/>
    <w:rsid w:val="00AC0C6F"/>
    <w:rsid w:val="00AC1266"/>
    <w:rsid w:val="00AC193C"/>
    <w:rsid w:val="00AC30C1"/>
    <w:rsid w:val="00AC4DE5"/>
    <w:rsid w:val="00AC5206"/>
    <w:rsid w:val="00AD095B"/>
    <w:rsid w:val="00AD097B"/>
    <w:rsid w:val="00AD3106"/>
    <w:rsid w:val="00AD4322"/>
    <w:rsid w:val="00AD6719"/>
    <w:rsid w:val="00AE0CA7"/>
    <w:rsid w:val="00AE11A5"/>
    <w:rsid w:val="00AE13E2"/>
    <w:rsid w:val="00AE22D3"/>
    <w:rsid w:val="00AE2B31"/>
    <w:rsid w:val="00AE3F67"/>
    <w:rsid w:val="00AE5987"/>
    <w:rsid w:val="00AE5A49"/>
    <w:rsid w:val="00AE698E"/>
    <w:rsid w:val="00AF03E6"/>
    <w:rsid w:val="00AF11D8"/>
    <w:rsid w:val="00AF4679"/>
    <w:rsid w:val="00AF5867"/>
    <w:rsid w:val="00AF6093"/>
    <w:rsid w:val="00AF62DF"/>
    <w:rsid w:val="00AF68CC"/>
    <w:rsid w:val="00AF70D7"/>
    <w:rsid w:val="00B00086"/>
    <w:rsid w:val="00B005B7"/>
    <w:rsid w:val="00B00CD0"/>
    <w:rsid w:val="00B00E7F"/>
    <w:rsid w:val="00B01FF4"/>
    <w:rsid w:val="00B0326D"/>
    <w:rsid w:val="00B034AC"/>
    <w:rsid w:val="00B06037"/>
    <w:rsid w:val="00B062CD"/>
    <w:rsid w:val="00B06478"/>
    <w:rsid w:val="00B07533"/>
    <w:rsid w:val="00B07CFB"/>
    <w:rsid w:val="00B1059E"/>
    <w:rsid w:val="00B149BA"/>
    <w:rsid w:val="00B14A36"/>
    <w:rsid w:val="00B16273"/>
    <w:rsid w:val="00B163D9"/>
    <w:rsid w:val="00B170A5"/>
    <w:rsid w:val="00B1725F"/>
    <w:rsid w:val="00B176C8"/>
    <w:rsid w:val="00B17EE5"/>
    <w:rsid w:val="00B205AA"/>
    <w:rsid w:val="00B2060A"/>
    <w:rsid w:val="00B2100A"/>
    <w:rsid w:val="00B21A91"/>
    <w:rsid w:val="00B22E84"/>
    <w:rsid w:val="00B233AD"/>
    <w:rsid w:val="00B23E25"/>
    <w:rsid w:val="00B25F75"/>
    <w:rsid w:val="00B26B3F"/>
    <w:rsid w:val="00B2778F"/>
    <w:rsid w:val="00B27846"/>
    <w:rsid w:val="00B30A14"/>
    <w:rsid w:val="00B327E2"/>
    <w:rsid w:val="00B33635"/>
    <w:rsid w:val="00B379D5"/>
    <w:rsid w:val="00B37A23"/>
    <w:rsid w:val="00B37CF8"/>
    <w:rsid w:val="00B420A5"/>
    <w:rsid w:val="00B42AF4"/>
    <w:rsid w:val="00B43E90"/>
    <w:rsid w:val="00B44308"/>
    <w:rsid w:val="00B45722"/>
    <w:rsid w:val="00B460F4"/>
    <w:rsid w:val="00B467DC"/>
    <w:rsid w:val="00B46A92"/>
    <w:rsid w:val="00B47A88"/>
    <w:rsid w:val="00B51E09"/>
    <w:rsid w:val="00B52303"/>
    <w:rsid w:val="00B5392A"/>
    <w:rsid w:val="00B539EF"/>
    <w:rsid w:val="00B56118"/>
    <w:rsid w:val="00B566E1"/>
    <w:rsid w:val="00B56AFB"/>
    <w:rsid w:val="00B572BE"/>
    <w:rsid w:val="00B602F6"/>
    <w:rsid w:val="00B62EC1"/>
    <w:rsid w:val="00B64A96"/>
    <w:rsid w:val="00B6533B"/>
    <w:rsid w:val="00B675D1"/>
    <w:rsid w:val="00B6773F"/>
    <w:rsid w:val="00B70EA4"/>
    <w:rsid w:val="00B70EB3"/>
    <w:rsid w:val="00B72906"/>
    <w:rsid w:val="00B73022"/>
    <w:rsid w:val="00B74F48"/>
    <w:rsid w:val="00B7525E"/>
    <w:rsid w:val="00B75433"/>
    <w:rsid w:val="00B75F70"/>
    <w:rsid w:val="00B760FB"/>
    <w:rsid w:val="00B76765"/>
    <w:rsid w:val="00B767AB"/>
    <w:rsid w:val="00B801BA"/>
    <w:rsid w:val="00B812D6"/>
    <w:rsid w:val="00B81E58"/>
    <w:rsid w:val="00B846E6"/>
    <w:rsid w:val="00B84D5C"/>
    <w:rsid w:val="00B85AF6"/>
    <w:rsid w:val="00B909DA"/>
    <w:rsid w:val="00B92E46"/>
    <w:rsid w:val="00B941ED"/>
    <w:rsid w:val="00B956ED"/>
    <w:rsid w:val="00BA2DA8"/>
    <w:rsid w:val="00BA32A7"/>
    <w:rsid w:val="00BA347C"/>
    <w:rsid w:val="00BA4C79"/>
    <w:rsid w:val="00BA4D84"/>
    <w:rsid w:val="00BB0B71"/>
    <w:rsid w:val="00BB149F"/>
    <w:rsid w:val="00BB298A"/>
    <w:rsid w:val="00BB3469"/>
    <w:rsid w:val="00BB5C49"/>
    <w:rsid w:val="00BB6240"/>
    <w:rsid w:val="00BB6285"/>
    <w:rsid w:val="00BB69F5"/>
    <w:rsid w:val="00BB6E48"/>
    <w:rsid w:val="00BB7EC3"/>
    <w:rsid w:val="00BC04B1"/>
    <w:rsid w:val="00BC0C8A"/>
    <w:rsid w:val="00BC418D"/>
    <w:rsid w:val="00BC470E"/>
    <w:rsid w:val="00BC4B9A"/>
    <w:rsid w:val="00BD02C3"/>
    <w:rsid w:val="00BD3119"/>
    <w:rsid w:val="00BD6F37"/>
    <w:rsid w:val="00BD7483"/>
    <w:rsid w:val="00BD784C"/>
    <w:rsid w:val="00BE020A"/>
    <w:rsid w:val="00BE13DF"/>
    <w:rsid w:val="00BE1EF0"/>
    <w:rsid w:val="00BE25D7"/>
    <w:rsid w:val="00BE7902"/>
    <w:rsid w:val="00BF092C"/>
    <w:rsid w:val="00BF21D1"/>
    <w:rsid w:val="00BF27A0"/>
    <w:rsid w:val="00BF40E6"/>
    <w:rsid w:val="00BF4CB6"/>
    <w:rsid w:val="00BF51E1"/>
    <w:rsid w:val="00BF5D23"/>
    <w:rsid w:val="00BF6CBD"/>
    <w:rsid w:val="00BF6D9D"/>
    <w:rsid w:val="00C00DA7"/>
    <w:rsid w:val="00C02E6F"/>
    <w:rsid w:val="00C034FB"/>
    <w:rsid w:val="00C04CDE"/>
    <w:rsid w:val="00C051B5"/>
    <w:rsid w:val="00C059D5"/>
    <w:rsid w:val="00C064E2"/>
    <w:rsid w:val="00C068A6"/>
    <w:rsid w:val="00C11DEA"/>
    <w:rsid w:val="00C12768"/>
    <w:rsid w:val="00C12934"/>
    <w:rsid w:val="00C12D70"/>
    <w:rsid w:val="00C16724"/>
    <w:rsid w:val="00C21B09"/>
    <w:rsid w:val="00C22C43"/>
    <w:rsid w:val="00C23771"/>
    <w:rsid w:val="00C23F26"/>
    <w:rsid w:val="00C25EFF"/>
    <w:rsid w:val="00C2673A"/>
    <w:rsid w:val="00C278CD"/>
    <w:rsid w:val="00C27B58"/>
    <w:rsid w:val="00C27C1C"/>
    <w:rsid w:val="00C30B4C"/>
    <w:rsid w:val="00C3166C"/>
    <w:rsid w:val="00C33186"/>
    <w:rsid w:val="00C34566"/>
    <w:rsid w:val="00C35996"/>
    <w:rsid w:val="00C42BCD"/>
    <w:rsid w:val="00C434EA"/>
    <w:rsid w:val="00C4485F"/>
    <w:rsid w:val="00C44DED"/>
    <w:rsid w:val="00C46C13"/>
    <w:rsid w:val="00C4747E"/>
    <w:rsid w:val="00C5151E"/>
    <w:rsid w:val="00C521C0"/>
    <w:rsid w:val="00C52256"/>
    <w:rsid w:val="00C5342C"/>
    <w:rsid w:val="00C53B2B"/>
    <w:rsid w:val="00C544D5"/>
    <w:rsid w:val="00C547F5"/>
    <w:rsid w:val="00C55388"/>
    <w:rsid w:val="00C56D78"/>
    <w:rsid w:val="00C57465"/>
    <w:rsid w:val="00C57E78"/>
    <w:rsid w:val="00C60272"/>
    <w:rsid w:val="00C603D4"/>
    <w:rsid w:val="00C605B1"/>
    <w:rsid w:val="00C6256A"/>
    <w:rsid w:val="00C62C98"/>
    <w:rsid w:val="00C63FDA"/>
    <w:rsid w:val="00C64EBC"/>
    <w:rsid w:val="00C664D2"/>
    <w:rsid w:val="00C677E1"/>
    <w:rsid w:val="00C70E6E"/>
    <w:rsid w:val="00C710E2"/>
    <w:rsid w:val="00C71C3F"/>
    <w:rsid w:val="00C7409E"/>
    <w:rsid w:val="00C74D6D"/>
    <w:rsid w:val="00C76E76"/>
    <w:rsid w:val="00C77891"/>
    <w:rsid w:val="00C77B74"/>
    <w:rsid w:val="00C82062"/>
    <w:rsid w:val="00C829A9"/>
    <w:rsid w:val="00C85944"/>
    <w:rsid w:val="00C86D52"/>
    <w:rsid w:val="00C87B80"/>
    <w:rsid w:val="00C90330"/>
    <w:rsid w:val="00C91449"/>
    <w:rsid w:val="00C92152"/>
    <w:rsid w:val="00C92D10"/>
    <w:rsid w:val="00C92F79"/>
    <w:rsid w:val="00C95200"/>
    <w:rsid w:val="00C96EC0"/>
    <w:rsid w:val="00CA06F9"/>
    <w:rsid w:val="00CA1195"/>
    <w:rsid w:val="00CA14BB"/>
    <w:rsid w:val="00CA230C"/>
    <w:rsid w:val="00CA2B0F"/>
    <w:rsid w:val="00CA48D9"/>
    <w:rsid w:val="00CA4FD9"/>
    <w:rsid w:val="00CA5AC9"/>
    <w:rsid w:val="00CB1193"/>
    <w:rsid w:val="00CB358A"/>
    <w:rsid w:val="00CB4767"/>
    <w:rsid w:val="00CB4886"/>
    <w:rsid w:val="00CB493D"/>
    <w:rsid w:val="00CC01B2"/>
    <w:rsid w:val="00CC2224"/>
    <w:rsid w:val="00CC33B0"/>
    <w:rsid w:val="00CC3B97"/>
    <w:rsid w:val="00CD21EC"/>
    <w:rsid w:val="00CD4A8C"/>
    <w:rsid w:val="00CD6257"/>
    <w:rsid w:val="00CD7954"/>
    <w:rsid w:val="00CD7C0B"/>
    <w:rsid w:val="00CE10C4"/>
    <w:rsid w:val="00CE2343"/>
    <w:rsid w:val="00CE27B5"/>
    <w:rsid w:val="00CE27F1"/>
    <w:rsid w:val="00CE2BDF"/>
    <w:rsid w:val="00CE6D24"/>
    <w:rsid w:val="00CE6DAF"/>
    <w:rsid w:val="00CF410A"/>
    <w:rsid w:val="00CF47B8"/>
    <w:rsid w:val="00CF7528"/>
    <w:rsid w:val="00CF7B36"/>
    <w:rsid w:val="00CF7FDE"/>
    <w:rsid w:val="00D012AF"/>
    <w:rsid w:val="00D0321E"/>
    <w:rsid w:val="00D05457"/>
    <w:rsid w:val="00D069EB"/>
    <w:rsid w:val="00D06EEE"/>
    <w:rsid w:val="00D07A8A"/>
    <w:rsid w:val="00D10E31"/>
    <w:rsid w:val="00D11199"/>
    <w:rsid w:val="00D1455A"/>
    <w:rsid w:val="00D14573"/>
    <w:rsid w:val="00D146AD"/>
    <w:rsid w:val="00D14A70"/>
    <w:rsid w:val="00D207EA"/>
    <w:rsid w:val="00D211FB"/>
    <w:rsid w:val="00D22093"/>
    <w:rsid w:val="00D221C6"/>
    <w:rsid w:val="00D30106"/>
    <w:rsid w:val="00D31150"/>
    <w:rsid w:val="00D3138B"/>
    <w:rsid w:val="00D31FCE"/>
    <w:rsid w:val="00D3280C"/>
    <w:rsid w:val="00D3406A"/>
    <w:rsid w:val="00D34D24"/>
    <w:rsid w:val="00D40B11"/>
    <w:rsid w:val="00D42864"/>
    <w:rsid w:val="00D429EC"/>
    <w:rsid w:val="00D43AAC"/>
    <w:rsid w:val="00D441F1"/>
    <w:rsid w:val="00D4572C"/>
    <w:rsid w:val="00D46581"/>
    <w:rsid w:val="00D469B2"/>
    <w:rsid w:val="00D46EFF"/>
    <w:rsid w:val="00D52B24"/>
    <w:rsid w:val="00D52EAA"/>
    <w:rsid w:val="00D52ECF"/>
    <w:rsid w:val="00D5411A"/>
    <w:rsid w:val="00D54B09"/>
    <w:rsid w:val="00D556B0"/>
    <w:rsid w:val="00D55D5F"/>
    <w:rsid w:val="00D6243E"/>
    <w:rsid w:val="00D65658"/>
    <w:rsid w:val="00D67EB2"/>
    <w:rsid w:val="00D70349"/>
    <w:rsid w:val="00D72B6F"/>
    <w:rsid w:val="00D741EB"/>
    <w:rsid w:val="00D74CEA"/>
    <w:rsid w:val="00D7679C"/>
    <w:rsid w:val="00D817A9"/>
    <w:rsid w:val="00D820F3"/>
    <w:rsid w:val="00D83605"/>
    <w:rsid w:val="00D84285"/>
    <w:rsid w:val="00D84934"/>
    <w:rsid w:val="00D866EB"/>
    <w:rsid w:val="00D87D1A"/>
    <w:rsid w:val="00D906DA"/>
    <w:rsid w:val="00D91271"/>
    <w:rsid w:val="00D919F5"/>
    <w:rsid w:val="00D945F6"/>
    <w:rsid w:val="00D94F03"/>
    <w:rsid w:val="00D95161"/>
    <w:rsid w:val="00D95C23"/>
    <w:rsid w:val="00D95F42"/>
    <w:rsid w:val="00DA0A82"/>
    <w:rsid w:val="00DA0D14"/>
    <w:rsid w:val="00DA1FC9"/>
    <w:rsid w:val="00DA2CB5"/>
    <w:rsid w:val="00DA32AE"/>
    <w:rsid w:val="00DA358F"/>
    <w:rsid w:val="00DA383E"/>
    <w:rsid w:val="00DA4BAC"/>
    <w:rsid w:val="00DA722E"/>
    <w:rsid w:val="00DA7845"/>
    <w:rsid w:val="00DA792A"/>
    <w:rsid w:val="00DB0151"/>
    <w:rsid w:val="00DB0160"/>
    <w:rsid w:val="00DB04D7"/>
    <w:rsid w:val="00DB2D92"/>
    <w:rsid w:val="00DB50E1"/>
    <w:rsid w:val="00DB6405"/>
    <w:rsid w:val="00DC0566"/>
    <w:rsid w:val="00DC05E1"/>
    <w:rsid w:val="00DC1499"/>
    <w:rsid w:val="00DC16CF"/>
    <w:rsid w:val="00DC2C3E"/>
    <w:rsid w:val="00DC2FF2"/>
    <w:rsid w:val="00DC3137"/>
    <w:rsid w:val="00DC3A71"/>
    <w:rsid w:val="00DC4880"/>
    <w:rsid w:val="00DC5E90"/>
    <w:rsid w:val="00DC601E"/>
    <w:rsid w:val="00DC6589"/>
    <w:rsid w:val="00DC6EC3"/>
    <w:rsid w:val="00DD0BE9"/>
    <w:rsid w:val="00DD26F9"/>
    <w:rsid w:val="00DD350E"/>
    <w:rsid w:val="00DD42AB"/>
    <w:rsid w:val="00DD74AD"/>
    <w:rsid w:val="00DE06AF"/>
    <w:rsid w:val="00DE20E1"/>
    <w:rsid w:val="00DE6D27"/>
    <w:rsid w:val="00DE76EA"/>
    <w:rsid w:val="00DF01F8"/>
    <w:rsid w:val="00DF021D"/>
    <w:rsid w:val="00DF0666"/>
    <w:rsid w:val="00DF14EE"/>
    <w:rsid w:val="00DF217D"/>
    <w:rsid w:val="00DF26A7"/>
    <w:rsid w:val="00DF3277"/>
    <w:rsid w:val="00DF6A31"/>
    <w:rsid w:val="00DF7407"/>
    <w:rsid w:val="00DF77A1"/>
    <w:rsid w:val="00DF7919"/>
    <w:rsid w:val="00E0207E"/>
    <w:rsid w:val="00E02AE6"/>
    <w:rsid w:val="00E03912"/>
    <w:rsid w:val="00E04748"/>
    <w:rsid w:val="00E060AF"/>
    <w:rsid w:val="00E078D9"/>
    <w:rsid w:val="00E10293"/>
    <w:rsid w:val="00E103A0"/>
    <w:rsid w:val="00E1043F"/>
    <w:rsid w:val="00E1157E"/>
    <w:rsid w:val="00E11F44"/>
    <w:rsid w:val="00E13E60"/>
    <w:rsid w:val="00E15627"/>
    <w:rsid w:val="00E164B3"/>
    <w:rsid w:val="00E16910"/>
    <w:rsid w:val="00E1779A"/>
    <w:rsid w:val="00E20915"/>
    <w:rsid w:val="00E20EAE"/>
    <w:rsid w:val="00E21164"/>
    <w:rsid w:val="00E239E2"/>
    <w:rsid w:val="00E24868"/>
    <w:rsid w:val="00E24E09"/>
    <w:rsid w:val="00E25B0A"/>
    <w:rsid w:val="00E27234"/>
    <w:rsid w:val="00E3495C"/>
    <w:rsid w:val="00E41190"/>
    <w:rsid w:val="00E41DF8"/>
    <w:rsid w:val="00E42BDB"/>
    <w:rsid w:val="00E524A9"/>
    <w:rsid w:val="00E53F1A"/>
    <w:rsid w:val="00E56176"/>
    <w:rsid w:val="00E5726D"/>
    <w:rsid w:val="00E57EEB"/>
    <w:rsid w:val="00E62417"/>
    <w:rsid w:val="00E62D94"/>
    <w:rsid w:val="00E62ECC"/>
    <w:rsid w:val="00E64F37"/>
    <w:rsid w:val="00E65091"/>
    <w:rsid w:val="00E65393"/>
    <w:rsid w:val="00E65657"/>
    <w:rsid w:val="00E65E54"/>
    <w:rsid w:val="00E661C7"/>
    <w:rsid w:val="00E66679"/>
    <w:rsid w:val="00E67A3D"/>
    <w:rsid w:val="00E720FC"/>
    <w:rsid w:val="00E732C4"/>
    <w:rsid w:val="00E74E41"/>
    <w:rsid w:val="00E75151"/>
    <w:rsid w:val="00E80155"/>
    <w:rsid w:val="00E8134B"/>
    <w:rsid w:val="00E81E0D"/>
    <w:rsid w:val="00E81F28"/>
    <w:rsid w:val="00E848C0"/>
    <w:rsid w:val="00E84BB8"/>
    <w:rsid w:val="00E85236"/>
    <w:rsid w:val="00E86F92"/>
    <w:rsid w:val="00E90E56"/>
    <w:rsid w:val="00E91B96"/>
    <w:rsid w:val="00E92F2E"/>
    <w:rsid w:val="00E935DA"/>
    <w:rsid w:val="00E93D1E"/>
    <w:rsid w:val="00E941A1"/>
    <w:rsid w:val="00E95CE3"/>
    <w:rsid w:val="00E95F9A"/>
    <w:rsid w:val="00E97AF4"/>
    <w:rsid w:val="00EA0856"/>
    <w:rsid w:val="00EA12B0"/>
    <w:rsid w:val="00EA1DC4"/>
    <w:rsid w:val="00EA252F"/>
    <w:rsid w:val="00EA2825"/>
    <w:rsid w:val="00EA5027"/>
    <w:rsid w:val="00EA64C2"/>
    <w:rsid w:val="00EA6518"/>
    <w:rsid w:val="00EA71A2"/>
    <w:rsid w:val="00EA7466"/>
    <w:rsid w:val="00EA7EDE"/>
    <w:rsid w:val="00EB0B63"/>
    <w:rsid w:val="00EB1936"/>
    <w:rsid w:val="00EB289B"/>
    <w:rsid w:val="00EB3545"/>
    <w:rsid w:val="00EB37BE"/>
    <w:rsid w:val="00EB4BAE"/>
    <w:rsid w:val="00EB5088"/>
    <w:rsid w:val="00EB7210"/>
    <w:rsid w:val="00EB76D9"/>
    <w:rsid w:val="00EC08DC"/>
    <w:rsid w:val="00EC2726"/>
    <w:rsid w:val="00EC575E"/>
    <w:rsid w:val="00EC681C"/>
    <w:rsid w:val="00EC71D1"/>
    <w:rsid w:val="00EC7B87"/>
    <w:rsid w:val="00ED1644"/>
    <w:rsid w:val="00ED2593"/>
    <w:rsid w:val="00ED3709"/>
    <w:rsid w:val="00ED432F"/>
    <w:rsid w:val="00ED4F18"/>
    <w:rsid w:val="00ED7D55"/>
    <w:rsid w:val="00ED7D9C"/>
    <w:rsid w:val="00EE00A7"/>
    <w:rsid w:val="00EE2F77"/>
    <w:rsid w:val="00EE3158"/>
    <w:rsid w:val="00EE31A2"/>
    <w:rsid w:val="00EE4329"/>
    <w:rsid w:val="00EE5D7E"/>
    <w:rsid w:val="00EE6203"/>
    <w:rsid w:val="00EF0069"/>
    <w:rsid w:val="00EF22BB"/>
    <w:rsid w:val="00EF28FF"/>
    <w:rsid w:val="00EF33C3"/>
    <w:rsid w:val="00EF3C52"/>
    <w:rsid w:val="00EF44A0"/>
    <w:rsid w:val="00EF4580"/>
    <w:rsid w:val="00EF4FED"/>
    <w:rsid w:val="00EF5F45"/>
    <w:rsid w:val="00EF6843"/>
    <w:rsid w:val="00EF6941"/>
    <w:rsid w:val="00EF6FB3"/>
    <w:rsid w:val="00F0068B"/>
    <w:rsid w:val="00F007C6"/>
    <w:rsid w:val="00F00E71"/>
    <w:rsid w:val="00F0172E"/>
    <w:rsid w:val="00F050BD"/>
    <w:rsid w:val="00F05657"/>
    <w:rsid w:val="00F05AB0"/>
    <w:rsid w:val="00F10351"/>
    <w:rsid w:val="00F10D0E"/>
    <w:rsid w:val="00F12C74"/>
    <w:rsid w:val="00F13214"/>
    <w:rsid w:val="00F1559A"/>
    <w:rsid w:val="00F17ED6"/>
    <w:rsid w:val="00F20676"/>
    <w:rsid w:val="00F209E2"/>
    <w:rsid w:val="00F2319A"/>
    <w:rsid w:val="00F2398F"/>
    <w:rsid w:val="00F25578"/>
    <w:rsid w:val="00F25707"/>
    <w:rsid w:val="00F258E5"/>
    <w:rsid w:val="00F25B70"/>
    <w:rsid w:val="00F25B9C"/>
    <w:rsid w:val="00F2675A"/>
    <w:rsid w:val="00F26CC6"/>
    <w:rsid w:val="00F300BC"/>
    <w:rsid w:val="00F305FA"/>
    <w:rsid w:val="00F31C51"/>
    <w:rsid w:val="00F31E91"/>
    <w:rsid w:val="00F3263C"/>
    <w:rsid w:val="00F3334E"/>
    <w:rsid w:val="00F34B26"/>
    <w:rsid w:val="00F3573A"/>
    <w:rsid w:val="00F36CCB"/>
    <w:rsid w:val="00F374E5"/>
    <w:rsid w:val="00F37B93"/>
    <w:rsid w:val="00F37BAD"/>
    <w:rsid w:val="00F37ECA"/>
    <w:rsid w:val="00F37FF9"/>
    <w:rsid w:val="00F40A1C"/>
    <w:rsid w:val="00F43AF2"/>
    <w:rsid w:val="00F44AE0"/>
    <w:rsid w:val="00F4511D"/>
    <w:rsid w:val="00F45216"/>
    <w:rsid w:val="00F45EB9"/>
    <w:rsid w:val="00F5007E"/>
    <w:rsid w:val="00F508F6"/>
    <w:rsid w:val="00F50EC4"/>
    <w:rsid w:val="00F52232"/>
    <w:rsid w:val="00F5252D"/>
    <w:rsid w:val="00F527B1"/>
    <w:rsid w:val="00F52AD6"/>
    <w:rsid w:val="00F52DC2"/>
    <w:rsid w:val="00F5334C"/>
    <w:rsid w:val="00F53E04"/>
    <w:rsid w:val="00F54AF9"/>
    <w:rsid w:val="00F550CF"/>
    <w:rsid w:val="00F553D2"/>
    <w:rsid w:val="00F56A2D"/>
    <w:rsid w:val="00F57600"/>
    <w:rsid w:val="00F57A6D"/>
    <w:rsid w:val="00F6044B"/>
    <w:rsid w:val="00F6288F"/>
    <w:rsid w:val="00F62F19"/>
    <w:rsid w:val="00F638CC"/>
    <w:rsid w:val="00F64C9E"/>
    <w:rsid w:val="00F64CC1"/>
    <w:rsid w:val="00F6504A"/>
    <w:rsid w:val="00F65752"/>
    <w:rsid w:val="00F67742"/>
    <w:rsid w:val="00F708B1"/>
    <w:rsid w:val="00F72317"/>
    <w:rsid w:val="00F73DC1"/>
    <w:rsid w:val="00F75BB8"/>
    <w:rsid w:val="00F77714"/>
    <w:rsid w:val="00F80475"/>
    <w:rsid w:val="00F80E1D"/>
    <w:rsid w:val="00F80E6E"/>
    <w:rsid w:val="00F81390"/>
    <w:rsid w:val="00F81F7A"/>
    <w:rsid w:val="00F8247A"/>
    <w:rsid w:val="00F82E5C"/>
    <w:rsid w:val="00F83BFA"/>
    <w:rsid w:val="00F83E86"/>
    <w:rsid w:val="00F83F58"/>
    <w:rsid w:val="00F8422A"/>
    <w:rsid w:val="00F85206"/>
    <w:rsid w:val="00F87C7A"/>
    <w:rsid w:val="00F87CEA"/>
    <w:rsid w:val="00F92459"/>
    <w:rsid w:val="00F9265D"/>
    <w:rsid w:val="00F944E2"/>
    <w:rsid w:val="00F95F7B"/>
    <w:rsid w:val="00F9629A"/>
    <w:rsid w:val="00F97EFC"/>
    <w:rsid w:val="00FA0B04"/>
    <w:rsid w:val="00FA0C7C"/>
    <w:rsid w:val="00FA1BDD"/>
    <w:rsid w:val="00FA305C"/>
    <w:rsid w:val="00FA31D3"/>
    <w:rsid w:val="00FA462E"/>
    <w:rsid w:val="00FA4DD5"/>
    <w:rsid w:val="00FA5883"/>
    <w:rsid w:val="00FA6055"/>
    <w:rsid w:val="00FA6446"/>
    <w:rsid w:val="00FA6EAF"/>
    <w:rsid w:val="00FA6ED7"/>
    <w:rsid w:val="00FB0B39"/>
    <w:rsid w:val="00FB1440"/>
    <w:rsid w:val="00FB322F"/>
    <w:rsid w:val="00FB442F"/>
    <w:rsid w:val="00FC118C"/>
    <w:rsid w:val="00FC1929"/>
    <w:rsid w:val="00FC5B46"/>
    <w:rsid w:val="00FC6211"/>
    <w:rsid w:val="00FC73E8"/>
    <w:rsid w:val="00FD1D4F"/>
    <w:rsid w:val="00FD24BF"/>
    <w:rsid w:val="00FD3B6E"/>
    <w:rsid w:val="00FD4140"/>
    <w:rsid w:val="00FD57EB"/>
    <w:rsid w:val="00FD6D8E"/>
    <w:rsid w:val="00FE0663"/>
    <w:rsid w:val="00FE0E94"/>
    <w:rsid w:val="00FE0FD8"/>
    <w:rsid w:val="00FE369C"/>
    <w:rsid w:val="00FE3CD9"/>
    <w:rsid w:val="00FE5605"/>
    <w:rsid w:val="00FF00BD"/>
    <w:rsid w:val="00FF067C"/>
    <w:rsid w:val="00FF0B13"/>
    <w:rsid w:val="00FF1672"/>
    <w:rsid w:val="00FF1ED4"/>
    <w:rsid w:val="00FF2710"/>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6CB"/>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633DD6"/>
    <w:pPr>
      <w:numPr>
        <w:ilvl w:val="1"/>
        <w:numId w:val="2"/>
      </w:numPr>
      <w:ind w:left="720"/>
      <w:jc w:val="both"/>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633DD6"/>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C62C98"/>
    <w:pPr>
      <w:numPr>
        <w:numId w:val="35"/>
      </w:numPr>
      <w:jc w:val="both"/>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1 Char,Caption Char Char Char,Caption Char1 Char Char Char,Caption Char Char Char Char Char,Caption Char Char1 Char,Caption Char1 Char1,Caption Char Char Char1,Caption Char1,Caption Char Char,Bayer Caption,IB Caption,Medical Caption"/>
    <w:basedOn w:val="Normal"/>
    <w:next w:val="Normal"/>
    <w:link w:val="CaptionChar"/>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paragraph" w:customStyle="1" w:styleId="Tablewriting">
    <w:name w:val="Table writing"/>
    <w:basedOn w:val="Normal"/>
    <w:qFormat/>
    <w:rsid w:val="003626BF"/>
    <w:pPr>
      <w:autoSpaceDE w:val="0"/>
      <w:autoSpaceDN w:val="0"/>
      <w:adjustRightInd w:val="0"/>
      <w:spacing w:before="60" w:after="60"/>
      <w:jc w:val="left"/>
    </w:pPr>
    <w:rPr>
      <w:rFonts w:asciiTheme="minorHAnsi" w:eastAsiaTheme="minorEastAsia" w:hAnsiTheme="minorHAnsi" w:cs="Calibri"/>
      <w:color w:val="000000"/>
      <w:sz w:val="20"/>
      <w:szCs w:val="20"/>
    </w:rPr>
  </w:style>
  <w:style w:type="character" w:customStyle="1" w:styleId="BalloonTextChar">
    <w:name w:val="Balloon Text Char"/>
    <w:basedOn w:val="DefaultParagraphFont"/>
    <w:link w:val="BalloonText"/>
    <w:uiPriority w:val="99"/>
    <w:semiHidden/>
    <w:rsid w:val="003626BF"/>
    <w:rPr>
      <w:rFonts w:ascii="Tahoma" w:hAnsi="Tahoma" w:cs="Tahoma"/>
      <w:sz w:val="16"/>
      <w:szCs w:val="16"/>
    </w:rPr>
  </w:style>
  <w:style w:type="paragraph" w:customStyle="1" w:styleId="Notes">
    <w:name w:val="Notes"/>
    <w:basedOn w:val="Normal"/>
    <w:qFormat/>
    <w:rsid w:val="003626BF"/>
    <w:pPr>
      <w:spacing w:after="200"/>
      <w:jc w:val="left"/>
    </w:pPr>
    <w:rPr>
      <w:rFonts w:asciiTheme="minorHAnsi" w:eastAsiaTheme="minorEastAsia" w:hAnsiTheme="minorHAnsi" w:cs="Baskerville"/>
      <w:sz w:val="20"/>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1 Char2"/>
    <w:link w:val="Caption"/>
    <w:uiPriority w:val="35"/>
    <w:locked/>
    <w:rsid w:val="00F00E71"/>
    <w:rPr>
      <w:rFonts w:ascii="Calibri" w:hAnsi="Calibri"/>
      <w:i/>
      <w:iCs/>
      <w:color w:val="000000" w:themeColor="text1"/>
      <w:sz w:val="18"/>
      <w:szCs w:val="18"/>
    </w:rPr>
  </w:style>
  <w:style w:type="table" w:customStyle="1" w:styleId="ASDTable2">
    <w:name w:val="ASD Table2"/>
    <w:basedOn w:val="TableNormal"/>
    <w:next w:val="TableGrid"/>
    <w:uiPriority w:val="39"/>
    <w:rsid w:val="00F00E7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DB2D92"/>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DefaultParagraphFont"/>
    <w:link w:val="3-SubsectionHeading"/>
    <w:rsid w:val="00DB2D92"/>
    <w:rPr>
      <w:rFonts w:asciiTheme="minorHAnsi" w:eastAsiaTheme="majorEastAsia" w:hAnsiTheme="minorHAnsi" w:cstheme="majorBidi"/>
      <w:b/>
      <w:i/>
      <w:spacing w:val="5"/>
      <w:kern w:val="28"/>
      <w:sz w:val="28"/>
      <w:szCs w:val="36"/>
      <w:lang w:eastAsia="en-US"/>
    </w:rPr>
  </w:style>
  <w:style w:type="paragraph" w:customStyle="1" w:styleId="COMH1numbered">
    <w:name w:val="COM H1 numbered"/>
    <w:next w:val="Normal"/>
    <w:qFormat/>
    <w:rsid w:val="00E65657"/>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qFormat/>
    <w:rsid w:val="00E65657"/>
    <w:pPr>
      <w:ind w:left="720" w:hanging="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27751458">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4183335">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52C58-F72C-4CCA-819F-6AF3EEA732EA}">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3787</Words>
  <Characters>19590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2024-10-24T02:29:00Z</dcterms:created>
  <dcterms:modified xsi:type="dcterms:W3CDTF">2024-11-14T23:53:00Z</dcterms:modified>
</cp:coreProperties>
</file>