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543AF" w14:textId="71E6D645" w:rsidR="0091747D" w:rsidRPr="009401E6" w:rsidRDefault="0091747D" w:rsidP="0091747D">
      <w:pPr>
        <w:spacing w:after="120"/>
        <w:rPr>
          <w:color w:val="ED0000"/>
        </w:rPr>
      </w:pPr>
      <w:r w:rsidRPr="009401E6">
        <w:rPr>
          <w:color w:val="ED0000"/>
        </w:rPr>
        <w:t>An addendum from the November 2024 PBAC meeting has been included at the end of this document. </w:t>
      </w:r>
    </w:p>
    <w:p w14:paraId="0C14B4E9" w14:textId="3C1C3E78" w:rsidR="00BF27A0" w:rsidRPr="00EF4580" w:rsidRDefault="003C2A26" w:rsidP="005F4D4E">
      <w:pPr>
        <w:pStyle w:val="1-MainHeading"/>
        <w:rPr>
          <w:rFonts w:eastAsia="Calibri"/>
          <w:lang w:eastAsia="en-US"/>
        </w:rPr>
      </w:pPr>
      <w:r>
        <w:t>7.03</w:t>
      </w:r>
      <w:r w:rsidR="000B7767" w:rsidRPr="00EF4580">
        <w:tab/>
      </w:r>
      <w:bookmarkStart w:id="0" w:name="_Hlk158987951"/>
      <w:r w:rsidRPr="001C05C6">
        <w:t>LEVODOPA WITH CARBIDOPA AND ENTACAPONE</w:t>
      </w:r>
      <w:bookmarkEnd w:id="0"/>
      <w:r w:rsidRPr="001C05C6">
        <w:t>,</w:t>
      </w:r>
      <w:r w:rsidRPr="001C05C6">
        <w:br/>
        <w:t>Intestinal gel containing levodopa 20 mg with carbidopa monohydrate 5 mg and with entacapone 20 mg per mL, 47 mL,</w:t>
      </w:r>
      <w:r w:rsidRPr="001C05C6">
        <w:br/>
      </w:r>
      <w:proofErr w:type="spellStart"/>
      <w:r w:rsidRPr="001C05C6">
        <w:t>Lecigon</w:t>
      </w:r>
      <w:proofErr w:type="spellEnd"/>
      <w:r w:rsidRPr="001C05C6">
        <w:rPr>
          <w:vertAlign w:val="superscript"/>
        </w:rPr>
        <w:t>®</w:t>
      </w:r>
      <w:r w:rsidRPr="001C05C6">
        <w:t>,</w:t>
      </w:r>
      <w:r w:rsidRPr="001C05C6">
        <w:br/>
        <w:t>STADA PHARMACEUTICALS AUSTRALIA PTY LIMITED</w:t>
      </w:r>
      <w:r w:rsidRPr="00EF4580">
        <w:t xml:space="preserve"> </w:t>
      </w:r>
    </w:p>
    <w:p w14:paraId="1DE8D195" w14:textId="40C679A1" w:rsidR="003F044F" w:rsidRPr="006C5B33" w:rsidRDefault="009C5B72" w:rsidP="006C5B33">
      <w:pPr>
        <w:pStyle w:val="2-SectionHeading"/>
        <w:rPr>
          <w:rFonts w:eastAsia="Calibri"/>
        </w:rPr>
      </w:pPr>
      <w:r w:rsidRPr="006C5B33">
        <w:t>Purpose</w:t>
      </w:r>
    </w:p>
    <w:p w14:paraId="055F1FC8" w14:textId="3FBB56E5" w:rsidR="00F81F7A" w:rsidRDefault="00F81F7A" w:rsidP="006C5B33">
      <w:pPr>
        <w:pStyle w:val="3-BodyText"/>
      </w:pPr>
      <w:r w:rsidRPr="00F81F7A">
        <w:t xml:space="preserve">The </w:t>
      </w:r>
      <w:r w:rsidR="009D55E2" w:rsidRPr="002C633F">
        <w:t>early re-entry re</w:t>
      </w:r>
      <w:r w:rsidRPr="002C633F">
        <w:t xml:space="preserve">submission </w:t>
      </w:r>
      <w:r w:rsidR="003C2A26" w:rsidRPr="001C05C6">
        <w:t>requested Section 100 (Highly Specialised Drugs (HSD) Program) Public and Private Hospital Authority Required and General</w:t>
      </w:r>
      <w:r w:rsidR="003C2A26">
        <w:t xml:space="preserve"> </w:t>
      </w:r>
      <w:r w:rsidR="003C2A26" w:rsidRPr="001C05C6">
        <w:t>Schedule Authority Required (STREAMLINED) listings for</w:t>
      </w:r>
      <w:r w:rsidR="003C2A26">
        <w:t xml:space="preserve"> </w:t>
      </w:r>
      <w:r w:rsidR="003C2A26" w:rsidRPr="001C05C6">
        <w:t>levodopa</w:t>
      </w:r>
      <w:r w:rsidR="003C2A26">
        <w:t xml:space="preserve"> with </w:t>
      </w:r>
      <w:r w:rsidR="003C2A26" w:rsidRPr="001C05C6">
        <w:t>entacapone</w:t>
      </w:r>
      <w:r w:rsidR="003C2A26">
        <w:t xml:space="preserve"> and </w:t>
      </w:r>
      <w:r w:rsidR="003C2A26" w:rsidRPr="001C05C6">
        <w:t>carbidopa intestinal gel (LECIG) for the treatment of advanced idiopathic Parkinson disease</w:t>
      </w:r>
      <w:r w:rsidR="003C2A26">
        <w:t xml:space="preserve"> </w:t>
      </w:r>
      <w:r w:rsidR="003C2A26" w:rsidRPr="001C05C6">
        <w:t>with severe motor fluctuations despite optimised alternative pharmacological treatment.</w:t>
      </w:r>
    </w:p>
    <w:p w14:paraId="1AD3A64E" w14:textId="7388EFC6" w:rsidR="004857C0" w:rsidRPr="005654F7" w:rsidRDefault="004857C0" w:rsidP="004857C0">
      <w:pPr>
        <w:pStyle w:val="3-BodyText"/>
      </w:pPr>
      <w:r w:rsidRPr="005654F7">
        <w:t>As an early re-entry resubmission, neither the economic analysis nor the financial estimates analysis have been independently evaluated.</w:t>
      </w:r>
    </w:p>
    <w:p w14:paraId="08CB06DF" w14:textId="28713BDE" w:rsidR="003C2A26" w:rsidRPr="002D44AD" w:rsidRDefault="6657D135" w:rsidP="002D44AD">
      <w:pPr>
        <w:pStyle w:val="3-BodyText"/>
        <w:rPr>
          <w:rFonts w:eastAsiaTheme="minorEastAsia"/>
          <w:color w:val="1F497D" w:themeColor="text2"/>
        </w:rPr>
      </w:pPr>
      <w:r w:rsidRPr="002C633F">
        <w:t xml:space="preserve">The </w:t>
      </w:r>
      <w:r w:rsidR="009D55E2" w:rsidRPr="002C633F">
        <w:t>re</w:t>
      </w:r>
      <w:r w:rsidRPr="002C633F">
        <w:t xml:space="preserve">submission was based on </w:t>
      </w:r>
      <w:r w:rsidR="009D55E2" w:rsidRPr="002C633F">
        <w:t xml:space="preserve">the PBAC decision </w:t>
      </w:r>
      <w:r w:rsidR="00DF4821" w:rsidRPr="003C2A26">
        <w:t xml:space="preserve">to not recommend </w:t>
      </w:r>
      <w:r w:rsidR="003C2A26" w:rsidRPr="003C2A26">
        <w:t>LECIG</w:t>
      </w:r>
      <w:r w:rsidR="00DF4821" w:rsidRPr="003C2A26">
        <w:t xml:space="preserve"> for this indication </w:t>
      </w:r>
      <w:r w:rsidR="002D44AD">
        <w:t xml:space="preserve">at its </w:t>
      </w:r>
      <w:r w:rsidR="003C2A26">
        <w:t>March 2024</w:t>
      </w:r>
      <w:r w:rsidR="009D55E2" w:rsidRPr="002C633F">
        <w:t xml:space="preserve"> </w:t>
      </w:r>
      <w:r w:rsidR="002D44AD">
        <w:t>meeting</w:t>
      </w:r>
      <w:r w:rsidRPr="00EF4580">
        <w:t xml:space="preserve">. </w:t>
      </w:r>
      <w:r w:rsidRPr="00EF4580">
        <w:rPr>
          <w:snapToGrid w:val="0"/>
        </w:rPr>
        <w:t>T</w:t>
      </w:r>
      <w:r w:rsidR="002D44AD">
        <w:rPr>
          <w:snapToGrid w:val="0"/>
        </w:rPr>
        <w:t xml:space="preserve">able 1 outlines the issues raised by the PBAC in March 2024 and how these issues were addressed in the resubmission. </w:t>
      </w:r>
    </w:p>
    <w:p w14:paraId="13DC54C9" w14:textId="397A0ED9" w:rsidR="009D55E2" w:rsidRPr="002D44AD" w:rsidRDefault="002D44AD" w:rsidP="004E41D0">
      <w:pPr>
        <w:pStyle w:val="Caption"/>
        <w:keepNext/>
        <w:keepLines/>
        <w:spacing w:after="0"/>
        <w:rPr>
          <w:rFonts w:ascii="Arial Narrow" w:eastAsiaTheme="majorEastAsia" w:hAnsi="Arial Narrow" w:cstheme="majorBidi"/>
          <w:b/>
          <w:bCs/>
          <w:i w:val="0"/>
          <w:iCs w:val="0"/>
          <w:color w:val="auto"/>
          <w:sz w:val="20"/>
          <w:szCs w:val="24"/>
        </w:rPr>
      </w:pPr>
      <w:r w:rsidRPr="002D44AD">
        <w:rPr>
          <w:rFonts w:ascii="Arial Narrow" w:eastAsiaTheme="majorEastAsia" w:hAnsi="Arial Narrow" w:cstheme="majorBidi"/>
          <w:b/>
          <w:bCs/>
          <w:i w:val="0"/>
          <w:iCs w:val="0"/>
          <w:color w:val="auto"/>
          <w:sz w:val="20"/>
          <w:szCs w:val="24"/>
        </w:rPr>
        <w:t xml:space="preserve">Table </w:t>
      </w:r>
      <w:r w:rsidRPr="002D44AD">
        <w:rPr>
          <w:rFonts w:ascii="Arial Narrow" w:eastAsiaTheme="majorEastAsia" w:hAnsi="Arial Narrow" w:cstheme="majorBidi"/>
          <w:b/>
          <w:bCs/>
          <w:i w:val="0"/>
          <w:iCs w:val="0"/>
          <w:color w:val="auto"/>
          <w:sz w:val="20"/>
          <w:szCs w:val="24"/>
        </w:rPr>
        <w:fldChar w:fldCharType="begin" w:fldLock="1"/>
      </w:r>
      <w:r w:rsidRPr="002D44AD">
        <w:rPr>
          <w:rFonts w:ascii="Arial Narrow" w:eastAsiaTheme="majorEastAsia" w:hAnsi="Arial Narrow" w:cstheme="majorBidi"/>
          <w:b/>
          <w:bCs/>
          <w:i w:val="0"/>
          <w:iCs w:val="0"/>
          <w:color w:val="auto"/>
          <w:sz w:val="20"/>
          <w:szCs w:val="24"/>
        </w:rPr>
        <w:instrText xml:space="preserve"> SEQ Table \* ARABIC </w:instrText>
      </w:r>
      <w:r w:rsidRPr="002D44AD">
        <w:rPr>
          <w:rFonts w:ascii="Arial Narrow" w:eastAsiaTheme="majorEastAsia" w:hAnsi="Arial Narrow" w:cstheme="majorBidi"/>
          <w:b/>
          <w:bCs/>
          <w:i w:val="0"/>
          <w:iCs w:val="0"/>
          <w:color w:val="auto"/>
          <w:sz w:val="20"/>
          <w:szCs w:val="24"/>
        </w:rPr>
        <w:fldChar w:fldCharType="separate"/>
      </w:r>
      <w:r w:rsidR="00576931">
        <w:rPr>
          <w:rFonts w:ascii="Arial Narrow" w:eastAsiaTheme="majorEastAsia" w:hAnsi="Arial Narrow" w:cstheme="majorBidi"/>
          <w:b/>
          <w:bCs/>
          <w:i w:val="0"/>
          <w:iCs w:val="0"/>
          <w:noProof/>
          <w:color w:val="auto"/>
          <w:sz w:val="20"/>
          <w:szCs w:val="24"/>
        </w:rPr>
        <w:t>1</w:t>
      </w:r>
      <w:r w:rsidRPr="002D44AD">
        <w:rPr>
          <w:rFonts w:ascii="Arial Narrow" w:eastAsiaTheme="majorEastAsia" w:hAnsi="Arial Narrow" w:cstheme="majorBidi"/>
          <w:b/>
          <w:bCs/>
          <w:i w:val="0"/>
          <w:iCs w:val="0"/>
          <w:color w:val="auto"/>
          <w:sz w:val="20"/>
          <w:szCs w:val="24"/>
        </w:rPr>
        <w:fldChar w:fldCharType="end"/>
      </w:r>
      <w:r w:rsidRPr="002D44AD">
        <w:rPr>
          <w:rFonts w:ascii="Arial Narrow" w:eastAsiaTheme="majorEastAsia" w:hAnsi="Arial Narrow" w:cstheme="majorBidi"/>
          <w:b/>
          <w:bCs/>
          <w:i w:val="0"/>
          <w:iCs w:val="0"/>
          <w:color w:val="auto"/>
          <w:sz w:val="20"/>
          <w:szCs w:val="24"/>
        </w:rPr>
        <w:t xml:space="preserve"> Summary of key matters to be addressed</w:t>
      </w:r>
      <w:r w:rsidR="009D55E2" w:rsidRPr="002D44AD">
        <w:rPr>
          <w:rFonts w:ascii="Arial Narrow" w:eastAsiaTheme="majorEastAsia" w:hAnsi="Arial Narrow" w:cstheme="majorBidi"/>
          <w:b/>
          <w:bCs/>
          <w:i w:val="0"/>
          <w:iCs w:val="0"/>
          <w:color w:val="auto"/>
          <w:sz w:val="20"/>
          <w:szCs w:val="24"/>
        </w:rPr>
        <w:t xml:space="preserve"> </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5"/>
        <w:gridCol w:w="3745"/>
        <w:gridCol w:w="1344"/>
      </w:tblGrid>
      <w:tr w:rsidR="002C633F" w:rsidRPr="002C633F" w14:paraId="5D2DC7BB" w14:textId="77777777" w:rsidTr="00097A04">
        <w:trPr>
          <w:cantSplit/>
          <w:tblHeader/>
        </w:trPr>
        <w:tc>
          <w:tcPr>
            <w:tcW w:w="2171" w:type="pct"/>
            <w:vAlign w:val="center"/>
          </w:tcPr>
          <w:p w14:paraId="47875CEE" w14:textId="719157E8" w:rsidR="00D34011" w:rsidRPr="002C633F" w:rsidRDefault="00D34011" w:rsidP="004E41D0">
            <w:pPr>
              <w:pStyle w:val="In-tableHeading"/>
              <w:keepLines/>
            </w:pPr>
            <w:r w:rsidRPr="002C633F">
              <w:t>Matter of concern</w:t>
            </w:r>
          </w:p>
        </w:tc>
        <w:tc>
          <w:tcPr>
            <w:tcW w:w="2082" w:type="pct"/>
            <w:vAlign w:val="center"/>
          </w:tcPr>
          <w:p w14:paraId="2F0501E9" w14:textId="41F16558" w:rsidR="00D34011" w:rsidRPr="002C633F" w:rsidRDefault="00D34011" w:rsidP="004E41D0">
            <w:pPr>
              <w:pStyle w:val="In-tableHeading"/>
              <w:keepLines/>
            </w:pPr>
            <w:r w:rsidRPr="002C633F">
              <w:t>Response</w:t>
            </w:r>
          </w:p>
        </w:tc>
        <w:tc>
          <w:tcPr>
            <w:tcW w:w="747" w:type="pct"/>
            <w:vAlign w:val="center"/>
          </w:tcPr>
          <w:p w14:paraId="06AD57D9" w14:textId="20B07578" w:rsidR="00D34011" w:rsidRPr="002C633F" w:rsidRDefault="00D34011" w:rsidP="004E41D0">
            <w:pPr>
              <w:pStyle w:val="In-tableHeading"/>
              <w:keepLines/>
            </w:pPr>
            <w:r w:rsidRPr="002C633F">
              <w:t>Addressed?</w:t>
            </w:r>
          </w:p>
        </w:tc>
      </w:tr>
      <w:tr w:rsidR="002C633F" w:rsidRPr="002C633F" w14:paraId="41739F84" w14:textId="77777777" w:rsidTr="00097A04">
        <w:trPr>
          <w:cantSplit/>
        </w:trPr>
        <w:tc>
          <w:tcPr>
            <w:tcW w:w="2171" w:type="pct"/>
            <w:vAlign w:val="center"/>
          </w:tcPr>
          <w:p w14:paraId="6B3446A2" w14:textId="1F08571C" w:rsidR="00D34011" w:rsidRPr="002C633F" w:rsidRDefault="002D44AD" w:rsidP="004E41D0">
            <w:pPr>
              <w:pStyle w:val="TableText"/>
              <w:keepLines/>
            </w:pPr>
            <w:r w:rsidRPr="007F0649">
              <w:t>Submission of a sufficiently conservative equi-effective dosing approach to offset the uncertainties in the clinical evidence presented to support clinical claims.</w:t>
            </w:r>
            <w:r>
              <w:t xml:space="preserve"> A conservative approach could acknowledge that 2 cartridges of LECIG contain 1880 mg levodopa whereas 1 cassette of LCIG contains 2000 mg levodopa, and that addition of entacapone has only a moderate impact on the PK of levodopa, so equi-effective dosing should be much closer to </w:t>
            </w:r>
            <w:r w:rsidRPr="00DC5F7B">
              <w:t>2</w:t>
            </w:r>
            <w:r>
              <w:t xml:space="preserve"> LECIG cartridges : </w:t>
            </w:r>
            <w:r w:rsidRPr="00DC5F7B">
              <w:t>1</w:t>
            </w:r>
            <w:r>
              <w:t xml:space="preserve"> LCIG cassette</w:t>
            </w:r>
            <w:r w:rsidR="00722859">
              <w:t>.</w:t>
            </w:r>
          </w:p>
        </w:tc>
        <w:tc>
          <w:tcPr>
            <w:tcW w:w="2082" w:type="pct"/>
            <w:vAlign w:val="center"/>
          </w:tcPr>
          <w:p w14:paraId="4F86B4C1" w14:textId="0D0E6067" w:rsidR="00D34011" w:rsidRPr="002C633F" w:rsidRDefault="00061D1F" w:rsidP="004E41D0">
            <w:pPr>
              <w:pStyle w:val="TableText"/>
              <w:keepLines/>
            </w:pPr>
            <w:r>
              <w:t xml:space="preserve">The resubmission proposed an equi-effective dose of </w:t>
            </w:r>
            <w:r w:rsidRPr="008403BF">
              <w:t>1.31</w:t>
            </w:r>
            <w:r w:rsidRPr="002E6005">
              <w:t xml:space="preserve"> </w:t>
            </w:r>
            <w:r>
              <w:t>LECIG</w:t>
            </w:r>
            <w:r w:rsidRPr="002E6005">
              <w:t xml:space="preserve"> cartridge</w:t>
            </w:r>
            <w:r>
              <w:t xml:space="preserve"> to </w:t>
            </w:r>
            <w:r w:rsidRPr="00DC5F7B">
              <w:t>1.15</w:t>
            </w:r>
            <w:r w:rsidRPr="002E6005">
              <w:t xml:space="preserve"> </w:t>
            </w:r>
            <w:r>
              <w:t>LCIG</w:t>
            </w:r>
            <w:r w:rsidRPr="002E6005">
              <w:t xml:space="preserve"> cassette</w:t>
            </w:r>
            <w:r>
              <w:t xml:space="preserve">. </w:t>
            </w:r>
          </w:p>
        </w:tc>
        <w:tc>
          <w:tcPr>
            <w:tcW w:w="747" w:type="pct"/>
            <w:vAlign w:val="center"/>
          </w:tcPr>
          <w:p w14:paraId="40542A06" w14:textId="02E98EAD" w:rsidR="00D34011" w:rsidRPr="002C633F" w:rsidRDefault="000D48AA" w:rsidP="004E41D0">
            <w:pPr>
              <w:pStyle w:val="TableText"/>
              <w:keepLines/>
            </w:pPr>
            <w:r>
              <w:t>Unclear</w:t>
            </w:r>
            <w:r w:rsidR="006F7104">
              <w:t>.</w:t>
            </w:r>
            <w:r w:rsidR="00097A04">
              <w:br/>
            </w:r>
            <w:r>
              <w:t>W</w:t>
            </w:r>
            <w:r w:rsidR="00097A04">
              <w:t>hile an alternative equi-effective dose was proposed it is unclear if it is sufficiently conservative.</w:t>
            </w:r>
          </w:p>
        </w:tc>
      </w:tr>
      <w:tr w:rsidR="002C633F" w:rsidRPr="002C633F" w14:paraId="6E83CDA9" w14:textId="77777777" w:rsidTr="00097A04">
        <w:trPr>
          <w:cantSplit/>
        </w:trPr>
        <w:tc>
          <w:tcPr>
            <w:tcW w:w="2171" w:type="pct"/>
            <w:vAlign w:val="center"/>
          </w:tcPr>
          <w:p w14:paraId="5C9F432C" w14:textId="4F5FCB64" w:rsidR="00D34011" w:rsidRPr="002C633F" w:rsidRDefault="00722859" w:rsidP="004E41D0">
            <w:pPr>
              <w:pStyle w:val="TableText"/>
              <w:keepLines/>
            </w:pPr>
            <w:r w:rsidRPr="007F0649">
              <w:t>Recalculation of the financial implications using the revised LECIG price.</w:t>
            </w:r>
          </w:p>
        </w:tc>
        <w:tc>
          <w:tcPr>
            <w:tcW w:w="2082" w:type="pct"/>
            <w:vAlign w:val="center"/>
          </w:tcPr>
          <w:p w14:paraId="64E0DE1A" w14:textId="263D8811" w:rsidR="00D34011" w:rsidRPr="002C633F" w:rsidRDefault="00CD0D51" w:rsidP="004E41D0">
            <w:pPr>
              <w:pStyle w:val="TableText"/>
              <w:keepLines/>
            </w:pPr>
            <w:r>
              <w:t>The financial implications were updated using the revised LECIG price proposed in the resubmission.</w:t>
            </w:r>
          </w:p>
        </w:tc>
        <w:tc>
          <w:tcPr>
            <w:tcW w:w="747" w:type="pct"/>
            <w:vAlign w:val="center"/>
          </w:tcPr>
          <w:p w14:paraId="7A6D4E21" w14:textId="1E02884B" w:rsidR="00D34011" w:rsidRPr="002C633F" w:rsidRDefault="00722859" w:rsidP="004E41D0">
            <w:pPr>
              <w:pStyle w:val="TableText"/>
              <w:keepLines/>
            </w:pPr>
            <w:r>
              <w:t>Y</w:t>
            </w:r>
          </w:p>
        </w:tc>
      </w:tr>
      <w:tr w:rsidR="002C633F" w:rsidRPr="002C633F" w14:paraId="2DF1DD08" w14:textId="77777777" w:rsidTr="00097A04">
        <w:trPr>
          <w:cantSplit/>
        </w:trPr>
        <w:tc>
          <w:tcPr>
            <w:tcW w:w="2171" w:type="pct"/>
            <w:vAlign w:val="center"/>
          </w:tcPr>
          <w:p w14:paraId="49207A7D" w14:textId="457C31D2" w:rsidR="00D34011" w:rsidRPr="002C633F" w:rsidRDefault="00722859" w:rsidP="004E41D0">
            <w:pPr>
              <w:pStyle w:val="TableText"/>
              <w:keepLines/>
            </w:pPr>
            <w:r w:rsidRPr="00722859">
              <w:t>Proposal of a risk-shar</w:t>
            </w:r>
            <w:r w:rsidR="00243285">
              <w:t>ing</w:t>
            </w:r>
            <w:r w:rsidRPr="00722859">
              <w:t xml:space="preserve"> arrangement that sufficiently mitigates financial risk to the PBS of any utilisation of LECIG cartridges beyond that estimated in the re-submission base-case.</w:t>
            </w:r>
          </w:p>
        </w:tc>
        <w:tc>
          <w:tcPr>
            <w:tcW w:w="2082" w:type="pct"/>
            <w:vAlign w:val="center"/>
          </w:tcPr>
          <w:p w14:paraId="7E07F94E" w14:textId="40E15885" w:rsidR="00D34011" w:rsidRPr="002C633F" w:rsidRDefault="00CD0D51" w:rsidP="004E41D0">
            <w:pPr>
              <w:pStyle w:val="TableText"/>
              <w:keepLines/>
            </w:pPr>
            <w:r>
              <w:t>The resubmission proposes that LECIG be included in the same</w:t>
            </w:r>
            <w:r w:rsidR="00243285">
              <w:t xml:space="preserve"> risk-sharing arrangement</w:t>
            </w:r>
            <w:r>
              <w:t xml:space="preserve"> as LCIG. </w:t>
            </w:r>
          </w:p>
        </w:tc>
        <w:tc>
          <w:tcPr>
            <w:tcW w:w="747" w:type="pct"/>
            <w:vAlign w:val="center"/>
          </w:tcPr>
          <w:p w14:paraId="5175BB10" w14:textId="245BACB6" w:rsidR="00D34011" w:rsidRPr="002C633F" w:rsidRDefault="00097A04" w:rsidP="004E41D0">
            <w:pPr>
              <w:pStyle w:val="TableText"/>
              <w:keepLines/>
            </w:pPr>
            <w:r>
              <w:t>Y</w:t>
            </w:r>
          </w:p>
        </w:tc>
      </w:tr>
    </w:tbl>
    <w:p w14:paraId="32B95A78" w14:textId="74E9E69F" w:rsidR="009D55E2" w:rsidRPr="002C633F" w:rsidRDefault="009D55E2" w:rsidP="00375C71">
      <w:pPr>
        <w:pStyle w:val="TableFigureFooter"/>
      </w:pPr>
      <w:r w:rsidRPr="002C633F">
        <w:t xml:space="preserve">Source: </w:t>
      </w:r>
      <w:r w:rsidR="00722859" w:rsidRPr="00642CEF">
        <w:t xml:space="preserve">compiled from the </w:t>
      </w:r>
      <w:r w:rsidR="00722859">
        <w:t>March 2024 levodopa with carbidopa and entacapone</w:t>
      </w:r>
      <w:r w:rsidR="00722859" w:rsidRPr="00642CEF">
        <w:t xml:space="preserve"> </w:t>
      </w:r>
      <w:r w:rsidR="00C50162">
        <w:t>PSD</w:t>
      </w:r>
      <w:r w:rsidR="00722859" w:rsidRPr="00642CEF">
        <w:t xml:space="preserve"> and the </w:t>
      </w:r>
      <w:r w:rsidR="00722859">
        <w:t>July</w:t>
      </w:r>
      <w:r w:rsidR="00722859" w:rsidRPr="00642CEF">
        <w:t xml:space="preserve"> 2024 early re-entry resubmission</w:t>
      </w:r>
      <w:r w:rsidR="00243285">
        <w:t>.</w:t>
      </w:r>
    </w:p>
    <w:p w14:paraId="0935F4B2" w14:textId="15DE73BB" w:rsidR="5D80A09E" w:rsidRPr="006C5B33" w:rsidRDefault="004877C2" w:rsidP="006C5B33">
      <w:pPr>
        <w:pStyle w:val="2-SectionHeading"/>
        <w:rPr>
          <w:rFonts w:eastAsiaTheme="minorEastAsia"/>
        </w:rPr>
      </w:pPr>
      <w:r w:rsidRPr="006C5B33">
        <w:lastRenderedPageBreak/>
        <w:t>Background</w:t>
      </w:r>
    </w:p>
    <w:p w14:paraId="1509BB87" w14:textId="386FBC1D" w:rsidR="00147566" w:rsidRPr="00147566" w:rsidRDefault="00B73216" w:rsidP="006C5B33">
      <w:pPr>
        <w:pStyle w:val="3-BodyText"/>
        <w:rPr>
          <w:color w:val="FF0000"/>
        </w:rPr>
      </w:pPr>
      <w:r w:rsidRPr="001C05C6">
        <w:t xml:space="preserve">LECIG was TGA registered on 29 August 2023 for the treatment of advanced idiopathic Parkinson's disease with severe motor fluctuations despite optimised alternative pharmacological treatment. </w:t>
      </w:r>
    </w:p>
    <w:p w14:paraId="256C712D" w14:textId="4701BF4B" w:rsidR="0090775A" w:rsidRDefault="004F6160" w:rsidP="0096593B">
      <w:pPr>
        <w:pStyle w:val="3-BodyText"/>
      </w:pPr>
      <w:r>
        <w:t xml:space="preserve">The </w:t>
      </w:r>
      <w:r w:rsidRPr="002C633F">
        <w:t>PICO from the previous submission is presented below</w:t>
      </w:r>
      <w:r w:rsidR="00A07C4C" w:rsidRPr="002C633F">
        <w:t>.</w:t>
      </w:r>
    </w:p>
    <w:p w14:paraId="350C6FEC" w14:textId="17900910" w:rsidR="00906D30" w:rsidRPr="00FB6214" w:rsidRDefault="00906D30" w:rsidP="00FB6214">
      <w:pPr>
        <w:rPr>
          <w:rFonts w:ascii="Arial Narrow" w:eastAsiaTheme="majorEastAsia" w:hAnsi="Arial Narrow" w:cstheme="majorBidi"/>
          <w:b/>
          <w:sz w:val="20"/>
        </w:rPr>
      </w:pPr>
      <w:r w:rsidRPr="00FB6214">
        <w:rPr>
          <w:rFonts w:ascii="Arial Narrow" w:eastAsiaTheme="majorEastAsia" w:hAnsi="Arial Narrow" w:cstheme="majorBidi"/>
          <w:b/>
          <w:sz w:val="20"/>
        </w:rPr>
        <w:t xml:space="preserve">Table </w:t>
      </w:r>
      <w:r w:rsidRPr="00FB6214">
        <w:rPr>
          <w:rFonts w:ascii="Arial Narrow" w:eastAsiaTheme="majorEastAsia" w:hAnsi="Arial Narrow" w:cstheme="majorBidi"/>
          <w:b/>
          <w:sz w:val="20"/>
        </w:rPr>
        <w:fldChar w:fldCharType="begin" w:fldLock="1"/>
      </w:r>
      <w:r w:rsidRPr="00FB6214">
        <w:rPr>
          <w:rFonts w:ascii="Arial Narrow" w:eastAsiaTheme="majorEastAsia" w:hAnsi="Arial Narrow" w:cstheme="majorBidi"/>
          <w:b/>
          <w:sz w:val="20"/>
        </w:rPr>
        <w:instrText xml:space="preserve"> SEQ Table \* ARABIC </w:instrText>
      </w:r>
      <w:r w:rsidRPr="00FB6214">
        <w:rPr>
          <w:rFonts w:ascii="Arial Narrow" w:eastAsiaTheme="majorEastAsia" w:hAnsi="Arial Narrow" w:cstheme="majorBidi"/>
          <w:b/>
          <w:sz w:val="20"/>
        </w:rPr>
        <w:fldChar w:fldCharType="separate"/>
      </w:r>
      <w:r w:rsidR="00576931" w:rsidRPr="00FB6214">
        <w:rPr>
          <w:rFonts w:ascii="Arial Narrow" w:eastAsiaTheme="majorEastAsia" w:hAnsi="Arial Narrow" w:cstheme="majorBidi"/>
          <w:b/>
          <w:noProof/>
          <w:sz w:val="20"/>
        </w:rPr>
        <w:t>2</w:t>
      </w:r>
      <w:r w:rsidRPr="00FB6214">
        <w:rPr>
          <w:rFonts w:ascii="Arial Narrow" w:eastAsiaTheme="majorEastAsia" w:hAnsi="Arial Narrow" w:cstheme="majorBidi"/>
          <w:b/>
          <w:sz w:val="20"/>
        </w:rPr>
        <w:fldChar w:fldCharType="end"/>
      </w:r>
      <w:r w:rsidRPr="00FB6214">
        <w:rPr>
          <w:rFonts w:ascii="Arial Narrow" w:eastAsiaTheme="majorEastAsia" w:hAnsi="Arial Narrow" w:cstheme="majorBidi"/>
          <w:b/>
          <w:sz w:val="20"/>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6"/>
        <w:gridCol w:w="7350"/>
      </w:tblGrid>
      <w:tr w:rsidR="00906D30" w:rsidRPr="001C05C6" w14:paraId="1F1C1B74" w14:textId="77777777" w:rsidTr="00C65237">
        <w:trPr>
          <w:cantSplit/>
          <w:tblHeader/>
        </w:trPr>
        <w:tc>
          <w:tcPr>
            <w:tcW w:w="924" w:type="pct"/>
            <w:shd w:val="clear" w:color="auto" w:fill="auto"/>
          </w:tcPr>
          <w:p w14:paraId="392E9151" w14:textId="77777777" w:rsidR="00906D30" w:rsidRPr="007F0649" w:rsidRDefault="00906D30" w:rsidP="00C65237">
            <w:pPr>
              <w:pStyle w:val="In-tableHeading"/>
              <w:rPr>
                <w:szCs w:val="20"/>
                <w:lang w:val="en-AU"/>
              </w:rPr>
            </w:pPr>
            <w:r w:rsidRPr="007F0649">
              <w:rPr>
                <w:lang w:val="en-AU"/>
              </w:rPr>
              <w:t>Component</w:t>
            </w:r>
          </w:p>
        </w:tc>
        <w:tc>
          <w:tcPr>
            <w:tcW w:w="4076" w:type="pct"/>
            <w:shd w:val="clear" w:color="auto" w:fill="auto"/>
          </w:tcPr>
          <w:p w14:paraId="4A89AF6F" w14:textId="77777777" w:rsidR="00906D30" w:rsidRPr="007F0649" w:rsidRDefault="00906D30" w:rsidP="00C65237">
            <w:pPr>
              <w:pStyle w:val="In-tableHeading"/>
              <w:rPr>
                <w:lang w:val="en-AU"/>
              </w:rPr>
            </w:pPr>
            <w:r w:rsidRPr="007F0649">
              <w:rPr>
                <w:lang w:val="en-AU"/>
              </w:rPr>
              <w:t>Description</w:t>
            </w:r>
          </w:p>
        </w:tc>
      </w:tr>
      <w:tr w:rsidR="00906D30" w:rsidRPr="001C05C6" w14:paraId="7213B8AC" w14:textId="77777777" w:rsidTr="00C65237">
        <w:trPr>
          <w:cantSplit/>
        </w:trPr>
        <w:tc>
          <w:tcPr>
            <w:tcW w:w="924" w:type="pct"/>
            <w:shd w:val="clear" w:color="auto" w:fill="auto"/>
            <w:vAlign w:val="center"/>
          </w:tcPr>
          <w:p w14:paraId="1455FAB9" w14:textId="77777777" w:rsidR="00906D30" w:rsidRPr="001C05C6" w:rsidRDefault="00906D30" w:rsidP="00C65237">
            <w:pPr>
              <w:pStyle w:val="TableText"/>
            </w:pPr>
            <w:r w:rsidRPr="001C05C6">
              <w:t>Population</w:t>
            </w:r>
          </w:p>
        </w:tc>
        <w:tc>
          <w:tcPr>
            <w:tcW w:w="4076" w:type="pct"/>
            <w:shd w:val="clear" w:color="auto" w:fill="auto"/>
            <w:vAlign w:val="center"/>
          </w:tcPr>
          <w:p w14:paraId="41804CEB" w14:textId="77777777" w:rsidR="00906D30" w:rsidRPr="001C05C6" w:rsidRDefault="00906D30" w:rsidP="00C65237">
            <w:pPr>
              <w:pStyle w:val="TableText"/>
              <w:rPr>
                <w:szCs w:val="20"/>
              </w:rPr>
            </w:pPr>
            <w:r w:rsidRPr="001C05C6">
              <w:t>Advanced idiopathic Parkinson's disease with severe motor fluctuations despite optimised oral alternative pharmacological treatment</w:t>
            </w:r>
          </w:p>
        </w:tc>
      </w:tr>
      <w:tr w:rsidR="00906D30" w:rsidRPr="001C05C6" w14:paraId="34029CA0" w14:textId="77777777" w:rsidTr="00C65237">
        <w:trPr>
          <w:cantSplit/>
        </w:trPr>
        <w:tc>
          <w:tcPr>
            <w:tcW w:w="924" w:type="pct"/>
            <w:shd w:val="clear" w:color="auto" w:fill="auto"/>
            <w:vAlign w:val="center"/>
          </w:tcPr>
          <w:p w14:paraId="79A08E80" w14:textId="77777777" w:rsidR="00906D30" w:rsidRPr="001C05C6" w:rsidRDefault="00906D30" w:rsidP="00C65237">
            <w:pPr>
              <w:pStyle w:val="TableText"/>
            </w:pPr>
            <w:r w:rsidRPr="001C05C6">
              <w:t>Intervention</w:t>
            </w:r>
          </w:p>
        </w:tc>
        <w:tc>
          <w:tcPr>
            <w:tcW w:w="4076" w:type="pct"/>
            <w:shd w:val="clear" w:color="auto" w:fill="auto"/>
            <w:vAlign w:val="center"/>
          </w:tcPr>
          <w:p w14:paraId="1F87B39F" w14:textId="77777777" w:rsidR="00906D30" w:rsidRPr="001C05C6" w:rsidRDefault="00906D30" w:rsidP="00C65237">
            <w:pPr>
              <w:pStyle w:val="TableText"/>
            </w:pPr>
            <w:r w:rsidRPr="001C05C6">
              <w:t>Levodopa, entacapone and carbidopa monohydrate intestinal gel (LECIG)</w:t>
            </w:r>
          </w:p>
        </w:tc>
      </w:tr>
      <w:tr w:rsidR="00906D30" w:rsidRPr="001C05C6" w14:paraId="6ADCD1B8" w14:textId="77777777" w:rsidTr="00C65237">
        <w:trPr>
          <w:cantSplit/>
        </w:trPr>
        <w:tc>
          <w:tcPr>
            <w:tcW w:w="924" w:type="pct"/>
            <w:shd w:val="clear" w:color="auto" w:fill="auto"/>
            <w:vAlign w:val="center"/>
          </w:tcPr>
          <w:p w14:paraId="633F7300" w14:textId="77777777" w:rsidR="00906D30" w:rsidRPr="001C05C6" w:rsidRDefault="00906D30" w:rsidP="00C65237">
            <w:pPr>
              <w:pStyle w:val="TableText"/>
            </w:pPr>
            <w:r w:rsidRPr="001C05C6">
              <w:t>Comparator</w:t>
            </w:r>
          </w:p>
        </w:tc>
        <w:tc>
          <w:tcPr>
            <w:tcW w:w="4076" w:type="pct"/>
            <w:shd w:val="clear" w:color="auto" w:fill="auto"/>
            <w:vAlign w:val="center"/>
          </w:tcPr>
          <w:p w14:paraId="142BAEC7" w14:textId="77777777" w:rsidR="00906D30" w:rsidRPr="001C05C6" w:rsidRDefault="00906D30" w:rsidP="00C65237">
            <w:pPr>
              <w:pStyle w:val="TableText"/>
            </w:pPr>
            <w:r w:rsidRPr="001C05C6">
              <w:t>Levodopa, carbidopa monohydrate intestinal gel (LCIG)</w:t>
            </w:r>
          </w:p>
        </w:tc>
      </w:tr>
      <w:tr w:rsidR="00906D30" w:rsidRPr="001C05C6" w14:paraId="24E879BB" w14:textId="77777777" w:rsidTr="00C65237">
        <w:trPr>
          <w:cantSplit/>
        </w:trPr>
        <w:tc>
          <w:tcPr>
            <w:tcW w:w="924" w:type="pct"/>
            <w:shd w:val="clear" w:color="auto" w:fill="auto"/>
            <w:vAlign w:val="center"/>
          </w:tcPr>
          <w:p w14:paraId="34668059" w14:textId="77777777" w:rsidR="00906D30" w:rsidRPr="001C05C6" w:rsidRDefault="00906D30" w:rsidP="00C65237">
            <w:pPr>
              <w:pStyle w:val="TableText"/>
            </w:pPr>
            <w:r w:rsidRPr="001C05C6">
              <w:t>Outcomes</w:t>
            </w:r>
          </w:p>
        </w:tc>
        <w:tc>
          <w:tcPr>
            <w:tcW w:w="4076" w:type="pct"/>
            <w:shd w:val="clear" w:color="auto" w:fill="auto"/>
            <w:vAlign w:val="center"/>
          </w:tcPr>
          <w:p w14:paraId="5B569D96" w14:textId="77777777" w:rsidR="00906D30" w:rsidRPr="001C05C6" w:rsidRDefault="00906D30" w:rsidP="00C65237">
            <w:pPr>
              <w:pStyle w:val="TableText"/>
              <w:rPr>
                <w:rFonts w:eastAsia="Times New Roman" w:cs="Arial"/>
                <w:bCs w:val="0"/>
                <w:snapToGrid w:val="0"/>
                <w:color w:val="0066FF"/>
                <w:szCs w:val="20"/>
              </w:rPr>
            </w:pPr>
            <w:r w:rsidRPr="001C05C6">
              <w:t>Efficacy outcomes including Off-Time hours, activities of daily living, Parkinson's disease sleep Scale, Quality of life (Parkinson's Disease Questionnaire) and adverse events</w:t>
            </w:r>
          </w:p>
        </w:tc>
      </w:tr>
      <w:tr w:rsidR="00906D30" w:rsidRPr="001C05C6" w14:paraId="62AB331B" w14:textId="77777777" w:rsidTr="00C65237">
        <w:trPr>
          <w:cantSplit/>
        </w:trPr>
        <w:tc>
          <w:tcPr>
            <w:tcW w:w="924" w:type="pct"/>
            <w:shd w:val="clear" w:color="auto" w:fill="auto"/>
            <w:vAlign w:val="center"/>
          </w:tcPr>
          <w:p w14:paraId="0592C68A" w14:textId="77777777" w:rsidR="00906D30" w:rsidRPr="001C05C6" w:rsidRDefault="00906D30" w:rsidP="00C65237">
            <w:pPr>
              <w:pStyle w:val="TableText"/>
            </w:pPr>
            <w:r w:rsidRPr="001C05C6">
              <w:t>Clinical claim</w:t>
            </w:r>
          </w:p>
        </w:tc>
        <w:tc>
          <w:tcPr>
            <w:tcW w:w="4076" w:type="pct"/>
            <w:shd w:val="clear" w:color="auto" w:fill="auto"/>
            <w:vAlign w:val="center"/>
          </w:tcPr>
          <w:p w14:paraId="6AD75A2C" w14:textId="77777777" w:rsidR="00906D30" w:rsidRPr="001C05C6" w:rsidRDefault="00906D30" w:rsidP="00C65237">
            <w:pPr>
              <w:pStyle w:val="TableText"/>
              <w:rPr>
                <w:rFonts w:eastAsia="Times New Roman" w:cs="Arial"/>
                <w:bCs w:val="0"/>
                <w:snapToGrid w:val="0"/>
                <w:color w:val="0066FF"/>
                <w:szCs w:val="20"/>
              </w:rPr>
            </w:pPr>
            <w:r w:rsidRPr="001C05C6">
              <w:t>In adults with advanced Parkinson’s Disease and severe motor fluctuations despite optimised oral alternative pharmacological treatment, LECIG is non-inferior in terms of efficacy and non-inferior in term of safety when compared to LCIG.</w:t>
            </w:r>
          </w:p>
        </w:tc>
      </w:tr>
    </w:tbl>
    <w:p w14:paraId="70101BEE" w14:textId="52CC3E47" w:rsidR="00906D30" w:rsidRDefault="00906D30" w:rsidP="00906D30">
      <w:pPr>
        <w:pStyle w:val="FooterTableFigure"/>
      </w:pPr>
      <w:r w:rsidRPr="001C05C6">
        <w:t>Source: Table 1</w:t>
      </w:r>
      <w:r>
        <w:t xml:space="preserve">, levodopa with carbidopa and entacapone March 2024 </w:t>
      </w:r>
      <w:r w:rsidR="00C50162">
        <w:t>PSD</w:t>
      </w:r>
      <w:r w:rsidRPr="001C05C6">
        <w:t>.</w:t>
      </w:r>
    </w:p>
    <w:p w14:paraId="341B0181" w14:textId="51A4CA5A" w:rsidR="005654F7" w:rsidRPr="005654F7" w:rsidRDefault="005654F7" w:rsidP="005654F7">
      <w:pPr>
        <w:spacing w:after="120"/>
        <w:ind w:firstLine="709"/>
        <w:rPr>
          <w:rFonts w:asciiTheme="minorHAnsi" w:hAnsiTheme="minorHAnsi"/>
          <w:i/>
          <w:lang w:eastAsia="en-US"/>
        </w:rPr>
      </w:pPr>
      <w:bookmarkStart w:id="1" w:name="_Hlk76375324"/>
      <w:r w:rsidRPr="005654F7">
        <w:rPr>
          <w:rFonts w:asciiTheme="minorHAnsi" w:hAnsiTheme="minorHAnsi"/>
          <w:i/>
          <w:lang w:eastAsia="en-US"/>
        </w:rPr>
        <w:t xml:space="preserve">For more detail on PBAC’s view, see section </w:t>
      </w:r>
      <w:r w:rsidR="002115F1">
        <w:rPr>
          <w:rFonts w:asciiTheme="minorHAnsi" w:hAnsiTheme="minorHAnsi"/>
          <w:i/>
          <w:lang w:eastAsia="en-US"/>
        </w:rPr>
        <w:t>5</w:t>
      </w:r>
      <w:r w:rsidRPr="005654F7">
        <w:rPr>
          <w:rFonts w:asciiTheme="minorHAnsi" w:hAnsiTheme="minorHAnsi"/>
          <w:i/>
          <w:lang w:eastAsia="en-US"/>
        </w:rPr>
        <w:t xml:space="preserve"> PBAC outcome.</w:t>
      </w:r>
      <w:bookmarkEnd w:id="1"/>
    </w:p>
    <w:p w14:paraId="587432E9" w14:textId="77777777" w:rsidR="00C068A6" w:rsidRPr="006C5B33" w:rsidRDefault="004B2E01" w:rsidP="006C5B33">
      <w:pPr>
        <w:pStyle w:val="2-SectionHeading"/>
      </w:pPr>
      <w:r w:rsidRPr="006C5B33">
        <w:t>Requested listing</w:t>
      </w:r>
      <w:r w:rsidR="007C08E0" w:rsidRPr="006C5B33">
        <w:t xml:space="preserve"> </w:t>
      </w:r>
    </w:p>
    <w:p w14:paraId="2A840A14" w14:textId="496270CA" w:rsidR="00DD5C35" w:rsidRPr="005654F7" w:rsidRDefault="004B2E01" w:rsidP="00C459F9">
      <w:pPr>
        <w:pStyle w:val="3-BodyText"/>
      </w:pPr>
      <w:r w:rsidRPr="00EF4580">
        <w:t xml:space="preserve">The </w:t>
      </w:r>
      <w:r w:rsidR="004F6160" w:rsidRPr="002C633F">
        <w:t>re</w:t>
      </w:r>
      <w:r w:rsidRPr="002C633F">
        <w:t xml:space="preserve">submission </w:t>
      </w:r>
      <w:r w:rsidR="00DD5C35">
        <w:t xml:space="preserve">did not present a PBS restriction. </w:t>
      </w:r>
      <w:r w:rsidR="00DD5C35" w:rsidRPr="005654F7">
        <w:t xml:space="preserve">The amended March 2024 submission restrictions are provided below. </w:t>
      </w:r>
      <w:r w:rsidR="00DD5C35" w:rsidRPr="004E41D0">
        <w:t>The</w:t>
      </w:r>
      <w:r w:rsidR="004E41D0" w:rsidRPr="004E41D0">
        <w:t xml:space="preserve"> pre-PBAC response confirmed that the </w:t>
      </w:r>
      <w:r w:rsidR="00DD5C35" w:rsidRPr="004E41D0">
        <w:t>sponsor</w:t>
      </w:r>
      <w:r w:rsidR="004E41D0" w:rsidRPr="004E41D0">
        <w:t xml:space="preserve"> accepted the restrictions listed</w:t>
      </w:r>
      <w:r w:rsidR="004E41D0">
        <w:t xml:space="preserve"> below</w:t>
      </w:r>
      <w:r w:rsidR="00DD5C35" w:rsidRPr="004E41D0">
        <w:t>.</w:t>
      </w:r>
      <w:r w:rsidR="00DD5C35" w:rsidRPr="005654F7">
        <w:t xml:space="preserve"> </w:t>
      </w:r>
    </w:p>
    <w:p w14:paraId="3E70CBC1" w14:textId="77777777" w:rsidR="00DD5C35" w:rsidRPr="006B6F1D" w:rsidRDefault="00DD5C35" w:rsidP="00E02F3C">
      <w:pPr>
        <w:pStyle w:val="3-BodyText"/>
        <w:keepNext/>
        <w:keepLines/>
        <w:numPr>
          <w:ilvl w:val="0"/>
          <w:numId w:val="0"/>
        </w:numPr>
        <w:spacing w:after="0"/>
        <w:rPr>
          <w:rFonts w:ascii="Arial Narrow" w:hAnsi="Arial Narrow"/>
          <w:b/>
          <w:bCs/>
          <w:sz w:val="20"/>
          <w:szCs w:val="20"/>
        </w:rPr>
      </w:pPr>
      <w:r w:rsidRPr="006B6F1D">
        <w:rPr>
          <w:rFonts w:ascii="Arial Narrow" w:hAnsi="Arial Narrow"/>
          <w:b/>
          <w:bCs/>
          <w:sz w:val="20"/>
          <w:szCs w:val="20"/>
        </w:rPr>
        <w:t>Section 100 (Highly Specialised Drugs Program) listing for a maximum quantity of 28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40"/>
        <w:gridCol w:w="1269"/>
        <w:gridCol w:w="1277"/>
        <w:gridCol w:w="1416"/>
        <w:gridCol w:w="709"/>
        <w:gridCol w:w="850"/>
        <w:gridCol w:w="709"/>
        <w:gridCol w:w="1509"/>
      </w:tblGrid>
      <w:tr w:rsidR="00DD5C35" w:rsidRPr="001C05C6" w14:paraId="77EF0BD9" w14:textId="77777777" w:rsidTr="00E02F3C">
        <w:trPr>
          <w:cantSplit/>
          <w:trHeight w:val="20"/>
        </w:trPr>
        <w:tc>
          <w:tcPr>
            <w:tcW w:w="2546" w:type="dxa"/>
            <w:gridSpan w:val="3"/>
            <w:tcBorders>
              <w:top w:val="single" w:sz="4" w:space="0" w:color="auto"/>
              <w:left w:val="single" w:sz="4" w:space="0" w:color="auto"/>
              <w:bottom w:val="single" w:sz="4" w:space="0" w:color="auto"/>
              <w:right w:val="single" w:sz="4" w:space="0" w:color="auto"/>
            </w:tcBorders>
            <w:vAlign w:val="center"/>
            <w:hideMark/>
          </w:tcPr>
          <w:p w14:paraId="08458122" w14:textId="77777777" w:rsidR="00DD5C35" w:rsidRPr="001C05C6" w:rsidRDefault="00DD5C35" w:rsidP="00E02F3C">
            <w:pPr>
              <w:keepLines/>
              <w:rPr>
                <w:rFonts w:ascii="Arial Narrow" w:hAnsi="Arial Narrow"/>
                <w:b/>
                <w:bCs/>
                <w:iCs/>
                <w:sz w:val="20"/>
                <w:szCs w:val="20"/>
              </w:rPr>
            </w:pPr>
            <w:r w:rsidRPr="001C05C6">
              <w:rPr>
                <w:rFonts w:ascii="Arial Narrow" w:hAnsi="Arial Narrow"/>
                <w:b/>
                <w:bCs/>
                <w:iCs/>
                <w:sz w:val="20"/>
                <w:szCs w:val="20"/>
              </w:rPr>
              <w:t>MEDICINAL PRODUCT</w:t>
            </w:r>
          </w:p>
          <w:p w14:paraId="6D77BCE8" w14:textId="77777777" w:rsidR="00DD5C35" w:rsidRPr="001C05C6" w:rsidRDefault="00DD5C35" w:rsidP="00E02F3C">
            <w:pPr>
              <w:keepLines/>
              <w:rPr>
                <w:rFonts w:ascii="Arial Narrow" w:hAnsi="Arial Narrow"/>
                <w:b/>
                <w:iCs/>
                <w:sz w:val="20"/>
                <w:szCs w:val="20"/>
              </w:rPr>
            </w:pPr>
            <w:r w:rsidRPr="001C05C6">
              <w:rPr>
                <w:rFonts w:ascii="Arial Narrow" w:hAnsi="Arial Narrow"/>
                <w:b/>
                <w:bCs/>
                <w:iCs/>
                <w:sz w:val="20"/>
                <w:szCs w:val="20"/>
              </w:rPr>
              <w:t>medicinal product pack</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596FC08" w14:textId="77777777" w:rsidR="00DD5C35" w:rsidRPr="001C05C6" w:rsidRDefault="00DD5C35" w:rsidP="00E02F3C">
            <w:pPr>
              <w:keepLines/>
              <w:jc w:val="center"/>
              <w:rPr>
                <w:rFonts w:ascii="Arial Narrow" w:hAnsi="Arial Narrow"/>
                <w:b/>
                <w:iCs/>
                <w:sz w:val="20"/>
                <w:szCs w:val="20"/>
              </w:rPr>
            </w:pPr>
            <w:r w:rsidRPr="001C05C6">
              <w:rPr>
                <w:rFonts w:ascii="Arial Narrow" w:hAnsi="Arial Narrow"/>
                <w:b/>
                <w:iCs/>
                <w:sz w:val="20"/>
                <w:szCs w:val="20"/>
              </w:rPr>
              <w:t>PBS item code</w:t>
            </w:r>
          </w:p>
        </w:tc>
        <w:tc>
          <w:tcPr>
            <w:tcW w:w="1416" w:type="dxa"/>
            <w:tcBorders>
              <w:top w:val="single" w:sz="4" w:space="0" w:color="auto"/>
              <w:left w:val="single" w:sz="4" w:space="0" w:color="auto"/>
              <w:bottom w:val="single" w:sz="4" w:space="0" w:color="auto"/>
              <w:right w:val="single" w:sz="4" w:space="0" w:color="auto"/>
            </w:tcBorders>
            <w:vAlign w:val="center"/>
          </w:tcPr>
          <w:p w14:paraId="2C4F7A2D" w14:textId="77777777" w:rsidR="00DD5C35" w:rsidRPr="001C05C6" w:rsidRDefault="00DD5C35" w:rsidP="00E02F3C">
            <w:pPr>
              <w:keepLines/>
              <w:jc w:val="center"/>
              <w:rPr>
                <w:rFonts w:ascii="Arial Narrow" w:hAnsi="Arial Narrow"/>
                <w:b/>
                <w:iCs/>
                <w:sz w:val="20"/>
                <w:szCs w:val="20"/>
              </w:rPr>
            </w:pPr>
            <w:r w:rsidRPr="001C05C6">
              <w:rPr>
                <w:rFonts w:ascii="Arial Narrow" w:hAnsi="Arial Narrow"/>
                <w:b/>
                <w:iCs/>
                <w:sz w:val="20"/>
                <w:szCs w:val="20"/>
              </w:rPr>
              <w:t>Dispensed Price for Max. Qty</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0EDDD4" w14:textId="77777777" w:rsidR="00DD5C35" w:rsidRPr="001C05C6" w:rsidRDefault="00DD5C35" w:rsidP="00E02F3C">
            <w:pPr>
              <w:keepLines/>
              <w:jc w:val="center"/>
              <w:rPr>
                <w:rFonts w:ascii="Arial Narrow" w:hAnsi="Arial Narrow"/>
                <w:b/>
                <w:iCs/>
                <w:sz w:val="20"/>
                <w:szCs w:val="20"/>
              </w:rPr>
            </w:pPr>
            <w:r w:rsidRPr="001C05C6">
              <w:rPr>
                <w:rFonts w:ascii="Arial Narrow" w:hAnsi="Arial Narrow"/>
                <w:b/>
                <w:iCs/>
                <w:sz w:val="20"/>
                <w:szCs w:val="20"/>
              </w:rPr>
              <w:t>Max. qty packs</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60BA72" w14:textId="77777777" w:rsidR="00DD5C35" w:rsidRPr="001C05C6" w:rsidRDefault="00DD5C35" w:rsidP="00E02F3C">
            <w:pPr>
              <w:keepLines/>
              <w:jc w:val="center"/>
              <w:rPr>
                <w:rFonts w:ascii="Arial Narrow" w:hAnsi="Arial Narrow"/>
                <w:b/>
                <w:iCs/>
                <w:sz w:val="20"/>
                <w:szCs w:val="20"/>
              </w:rPr>
            </w:pPr>
            <w:r w:rsidRPr="001C05C6">
              <w:rPr>
                <w:rFonts w:ascii="Arial Narrow" w:hAnsi="Arial Narrow"/>
                <w:b/>
                <w:iCs/>
                <w:sz w:val="20"/>
                <w:szCs w:val="20"/>
              </w:rPr>
              <w:t>Max. qty units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D9C9A" w14:textId="77777777" w:rsidR="00DD5C35" w:rsidRPr="001C05C6" w:rsidRDefault="00DD5C35" w:rsidP="00E02F3C">
            <w:pPr>
              <w:keepLines/>
              <w:jc w:val="center"/>
              <w:rPr>
                <w:rFonts w:ascii="Arial Narrow" w:hAnsi="Arial Narrow"/>
                <w:b/>
                <w:iCs/>
                <w:sz w:val="20"/>
                <w:szCs w:val="20"/>
              </w:rPr>
            </w:pPr>
            <w:r w:rsidRPr="001C05C6">
              <w:rPr>
                <w:rFonts w:ascii="Arial Narrow" w:hAnsi="Arial Narrow"/>
                <w:b/>
                <w:iCs/>
                <w:sz w:val="20"/>
                <w:szCs w:val="20"/>
              </w:rPr>
              <w:t>№.of</w:t>
            </w:r>
          </w:p>
          <w:p w14:paraId="22CDAAB8" w14:textId="77777777" w:rsidR="00DD5C35" w:rsidRPr="001C05C6" w:rsidRDefault="00DD5C35" w:rsidP="00E02F3C">
            <w:pPr>
              <w:keepLines/>
              <w:jc w:val="center"/>
              <w:rPr>
                <w:rFonts w:ascii="Arial Narrow" w:hAnsi="Arial Narrow"/>
                <w:b/>
                <w:iCs/>
                <w:sz w:val="20"/>
                <w:szCs w:val="20"/>
              </w:rPr>
            </w:pPr>
            <w:r w:rsidRPr="001C05C6">
              <w:rPr>
                <w:rFonts w:ascii="Arial Narrow" w:hAnsi="Arial Narrow"/>
                <w:b/>
                <w:iCs/>
                <w:sz w:val="20"/>
                <w:szCs w:val="20"/>
              </w:rPr>
              <w:t>Rpts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471B288A" w14:textId="77777777" w:rsidR="00DD5C35" w:rsidRPr="007F0649" w:rsidRDefault="00DD5C35" w:rsidP="00E02F3C">
            <w:pPr>
              <w:keepLines/>
              <w:rPr>
                <w:rFonts w:ascii="Arial Narrow" w:hAnsi="Arial Narrow"/>
                <w:b/>
                <w:iCs/>
                <w:sz w:val="20"/>
                <w:szCs w:val="20"/>
              </w:rPr>
            </w:pPr>
            <w:r w:rsidRPr="001C05C6">
              <w:rPr>
                <w:rFonts w:ascii="Arial Narrow" w:hAnsi="Arial Narrow"/>
                <w:b/>
                <w:iCs/>
                <w:sz w:val="20"/>
                <w:szCs w:val="20"/>
              </w:rPr>
              <w:t>Available brands</w:t>
            </w:r>
          </w:p>
        </w:tc>
      </w:tr>
      <w:tr w:rsidR="00DD5C35" w:rsidRPr="001C05C6" w14:paraId="15F92C78" w14:textId="77777777" w:rsidTr="006B6F1D">
        <w:trPr>
          <w:cantSplit/>
          <w:trHeight w:val="20"/>
        </w:trPr>
        <w:tc>
          <w:tcPr>
            <w:tcW w:w="9016" w:type="dxa"/>
            <w:gridSpan w:val="9"/>
            <w:tcBorders>
              <w:top w:val="single" w:sz="4" w:space="0" w:color="auto"/>
              <w:left w:val="single" w:sz="4" w:space="0" w:color="auto"/>
              <w:bottom w:val="single" w:sz="4" w:space="0" w:color="auto"/>
              <w:right w:val="single" w:sz="4" w:space="0" w:color="auto"/>
            </w:tcBorders>
            <w:vAlign w:val="center"/>
            <w:hideMark/>
          </w:tcPr>
          <w:p w14:paraId="28A67C3E" w14:textId="77777777" w:rsidR="00DD5C35" w:rsidRPr="001C05C6" w:rsidRDefault="00DD5C35" w:rsidP="00E02F3C">
            <w:pPr>
              <w:keepLines/>
              <w:rPr>
                <w:rFonts w:ascii="Arial Narrow" w:hAnsi="Arial Narrow"/>
                <w:iCs/>
                <w:sz w:val="20"/>
                <w:szCs w:val="20"/>
              </w:rPr>
            </w:pPr>
            <w:r w:rsidRPr="001C05C6">
              <w:rPr>
                <w:rFonts w:ascii="Arial Narrow" w:hAnsi="Arial Narrow"/>
                <w:iCs/>
                <w:sz w:val="20"/>
                <w:szCs w:val="20"/>
              </w:rPr>
              <w:t>LEVODOPA + CARBIDOPA + ENTACAPONE</w:t>
            </w:r>
          </w:p>
        </w:tc>
      </w:tr>
      <w:tr w:rsidR="00DD5C35" w:rsidRPr="001C05C6" w14:paraId="328382C4" w14:textId="77777777" w:rsidTr="00E02F3C">
        <w:trPr>
          <w:cantSplit/>
          <w:trHeight w:val="20"/>
        </w:trPr>
        <w:tc>
          <w:tcPr>
            <w:tcW w:w="2546" w:type="dxa"/>
            <w:gridSpan w:val="3"/>
            <w:tcBorders>
              <w:top w:val="single" w:sz="4" w:space="0" w:color="auto"/>
              <w:left w:val="single" w:sz="4" w:space="0" w:color="auto"/>
              <w:bottom w:val="single" w:sz="4" w:space="0" w:color="auto"/>
              <w:right w:val="single" w:sz="4" w:space="0" w:color="auto"/>
            </w:tcBorders>
            <w:vAlign w:val="center"/>
            <w:hideMark/>
          </w:tcPr>
          <w:p w14:paraId="132BB82F" w14:textId="77777777" w:rsidR="00DD5C35" w:rsidRPr="006B6F1D" w:rsidRDefault="00DD5C35" w:rsidP="00E02F3C">
            <w:pPr>
              <w:keepLines/>
              <w:rPr>
                <w:rFonts w:ascii="Arial Narrow" w:hAnsi="Arial Narrow"/>
                <w:iCs/>
                <w:strike/>
                <w:sz w:val="20"/>
                <w:szCs w:val="20"/>
              </w:rPr>
            </w:pPr>
            <w:r w:rsidRPr="006B6F1D">
              <w:rPr>
                <w:rFonts w:ascii="Arial Narrow" w:hAnsi="Arial Narrow"/>
                <w:iCs/>
                <w:sz w:val="20"/>
                <w:szCs w:val="20"/>
              </w:rPr>
              <w:t>levodopa 20 mg/mL + carbidopa monohydrate 5 mg/mL + entacapone 20 mg/mL intestinal gel, 7 x 47 mL cartridges</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F45AC95" w14:textId="77777777" w:rsidR="00DD5C35" w:rsidRPr="006B6F1D" w:rsidRDefault="00DD5C35" w:rsidP="00E02F3C">
            <w:pPr>
              <w:keepLines/>
              <w:jc w:val="center"/>
              <w:rPr>
                <w:rFonts w:ascii="Arial Narrow" w:hAnsi="Arial Narrow"/>
                <w:iCs/>
                <w:sz w:val="20"/>
                <w:szCs w:val="20"/>
              </w:rPr>
            </w:pPr>
            <w:r w:rsidRPr="006B6F1D">
              <w:rPr>
                <w:rFonts w:ascii="Arial Narrow" w:hAnsi="Arial Narrow"/>
                <w:iCs/>
                <w:sz w:val="20"/>
                <w:szCs w:val="20"/>
              </w:rPr>
              <w:t xml:space="preserve">NEW (HSD Public) </w:t>
            </w:r>
          </w:p>
          <w:p w14:paraId="7EFA8ADF" w14:textId="77777777" w:rsidR="00DD5C35" w:rsidRPr="001C05C6" w:rsidRDefault="00DD5C35" w:rsidP="00E02F3C">
            <w:pPr>
              <w:keepLines/>
              <w:jc w:val="center"/>
              <w:rPr>
                <w:rFonts w:ascii="Arial Narrow" w:hAnsi="Arial Narrow"/>
                <w:i/>
                <w:sz w:val="20"/>
                <w:szCs w:val="20"/>
              </w:rPr>
            </w:pPr>
            <w:r w:rsidRPr="006B6F1D">
              <w:rPr>
                <w:rFonts w:ascii="Arial Narrow" w:hAnsi="Arial Narrow"/>
                <w:iCs/>
                <w:sz w:val="20"/>
                <w:szCs w:val="20"/>
              </w:rPr>
              <w:t>NEW (HSD Private)</w:t>
            </w:r>
          </w:p>
        </w:tc>
        <w:tc>
          <w:tcPr>
            <w:tcW w:w="1416" w:type="dxa"/>
            <w:tcBorders>
              <w:top w:val="single" w:sz="4" w:space="0" w:color="auto"/>
              <w:left w:val="single" w:sz="4" w:space="0" w:color="auto"/>
              <w:bottom w:val="single" w:sz="4" w:space="0" w:color="auto"/>
              <w:right w:val="single" w:sz="4" w:space="0" w:color="auto"/>
            </w:tcBorders>
            <w:vAlign w:val="center"/>
          </w:tcPr>
          <w:p w14:paraId="6CAE766F" w14:textId="77777777" w:rsidR="00DD5C35" w:rsidRPr="00BC7838" w:rsidRDefault="00DD5C35" w:rsidP="00E02F3C">
            <w:pPr>
              <w:pStyle w:val="TableText"/>
              <w:keepNext w:val="0"/>
              <w:keepLines/>
              <w:jc w:val="center"/>
            </w:pPr>
            <w:r w:rsidRPr="00BC7838">
              <w:t>Published price</w:t>
            </w:r>
          </w:p>
          <w:p w14:paraId="614096CC" w14:textId="0BB03BE8" w:rsidR="00E02F3C" w:rsidRDefault="00DD5C35" w:rsidP="00E02F3C">
            <w:pPr>
              <w:pStyle w:val="TableText"/>
              <w:keepNext w:val="0"/>
              <w:keepLines/>
              <w:jc w:val="center"/>
            </w:pPr>
            <w:r w:rsidRPr="00BC7838">
              <w:t>Private:</w:t>
            </w:r>
            <w:r w:rsidR="00E02F3C">
              <w:t xml:space="preserve"> </w:t>
            </w:r>
            <w:r w:rsidRPr="00EB4FEF">
              <w:t>$</w:t>
            </w:r>
            <w:r w:rsidR="00DE2396" w:rsidRPr="00B743AB">
              <w:rPr>
                <w:rFonts w:hint="eastAsia"/>
                <w:color w:val="000000"/>
                <w:spacing w:val="10"/>
                <w:w w:val="15"/>
                <w:shd w:val="solid" w:color="000000" w:fill="000000"/>
                <w:fitText w:val="70" w:id="-893134848"/>
                <w14:textFill>
                  <w14:solidFill>
                    <w14:srgbClr w14:val="000000">
                      <w14:alpha w14:val="100000"/>
                    </w14:srgbClr>
                  </w14:solidFill>
                </w14:textFill>
              </w:rPr>
              <w:t xml:space="preserve">　</w:t>
            </w:r>
            <w:r w:rsidR="00DE2396" w:rsidRPr="00B743AB">
              <w:rPr>
                <w:color w:val="000000"/>
                <w:w w:val="15"/>
                <w:shd w:val="solid" w:color="000000" w:fill="000000"/>
                <w:fitText w:val="70" w:id="-893134848"/>
                <w14:textFill>
                  <w14:solidFill>
                    <w14:srgbClr w14:val="000000">
                      <w14:alpha w14:val="100000"/>
                    </w14:srgbClr>
                  </w14:solidFill>
                </w14:textFill>
              </w:rPr>
              <w:t>|</w:t>
            </w:r>
            <w:r w:rsidR="00DE2396" w:rsidRPr="00B743AB">
              <w:rPr>
                <w:rFonts w:hint="eastAsia"/>
                <w:color w:val="000000"/>
                <w:w w:val="15"/>
                <w:shd w:val="solid" w:color="000000" w:fill="000000"/>
                <w:fitText w:val="70" w:id="-893134848"/>
                <w14:textFill>
                  <w14:solidFill>
                    <w14:srgbClr w14:val="000000">
                      <w14:alpha w14:val="100000"/>
                    </w14:srgbClr>
                  </w14:solidFill>
                </w14:textFill>
              </w:rPr>
              <w:t xml:space="preserve">　</w:t>
            </w:r>
          </w:p>
          <w:p w14:paraId="129C9365" w14:textId="60EDD9B5" w:rsidR="00DD5C35" w:rsidRPr="001C05C6" w:rsidRDefault="00DD5C35" w:rsidP="00E02F3C">
            <w:pPr>
              <w:pStyle w:val="TableText"/>
              <w:keepNext w:val="0"/>
              <w:keepLines/>
              <w:jc w:val="center"/>
              <w:rPr>
                <w:bCs w:val="0"/>
              </w:rPr>
            </w:pPr>
            <w:r w:rsidRPr="00BC7838">
              <w:t>Public:</w:t>
            </w:r>
            <w:r w:rsidR="00E02F3C">
              <w:t xml:space="preserve"> </w:t>
            </w:r>
            <w:r w:rsidRPr="006775B1">
              <w:t>$</w:t>
            </w:r>
            <w:r w:rsidR="00DE2396">
              <w:rPr>
                <w:rFonts w:ascii="MS Mincho" w:eastAsia="MS Mincho" w:hAnsi="MS Mincho" w:cs="MS Mincho" w:hint="eastAsia"/>
                <w:color w:val="000000"/>
                <w:w w:val="15"/>
                <w:shd w:val="solid" w:color="000000" w:fill="000000"/>
                <w:fitText w:val="20" w:id="-893134847"/>
                <w14:textFill>
                  <w14:solidFill>
                    <w14:srgbClr w14:val="000000">
                      <w14:alpha w14:val="100000"/>
                    </w14:srgbClr>
                  </w14:solidFill>
                </w14:textFill>
              </w:rPr>
              <w:t xml:space="preserve">　</w:t>
            </w:r>
            <w:r w:rsidR="00DE2396">
              <w:rPr>
                <w:color w:val="000000"/>
                <w:w w:val="15"/>
                <w:shd w:val="solid" w:color="000000" w:fill="000000"/>
                <w:fitText w:val="20" w:id="-893134847"/>
                <w14:textFill>
                  <w14:solidFill>
                    <w14:srgbClr w14:val="000000">
                      <w14:alpha w14:val="100000"/>
                    </w14:srgbClr>
                  </w14:solidFill>
                </w14:textFill>
              </w:rPr>
              <w:t>|</w:t>
            </w:r>
            <w:r w:rsidR="00DE2396">
              <w:rPr>
                <w:rFonts w:ascii="MS Mincho" w:eastAsia="MS Mincho" w:hAnsi="MS Mincho" w:cs="MS Mincho" w:hint="eastAsia"/>
                <w:color w:val="000000"/>
                <w:spacing w:val="-46"/>
                <w:w w:val="15"/>
                <w:shd w:val="solid" w:color="000000" w:fill="000000"/>
                <w:fitText w:val="20" w:id="-893134847"/>
                <w14:textFill>
                  <w14:solidFill>
                    <w14:srgbClr w14:val="000000">
                      <w14:alpha w14:val="100000"/>
                    </w14:srgbClr>
                  </w14:solidFill>
                </w14:textFill>
              </w:rPr>
              <w:t xml:space="preserve">　</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CF32D4" w14:textId="77777777" w:rsidR="00DD5C35" w:rsidRPr="001C05C6" w:rsidRDefault="00DD5C35" w:rsidP="00E02F3C">
            <w:pPr>
              <w:keepLines/>
              <w:jc w:val="center"/>
              <w:rPr>
                <w:rFonts w:ascii="Arial Narrow" w:hAnsi="Arial Narrow"/>
                <w:iCs/>
                <w:sz w:val="20"/>
                <w:szCs w:val="20"/>
              </w:rPr>
            </w:pPr>
            <w:r w:rsidRPr="001C05C6">
              <w:rPr>
                <w:rFonts w:ascii="Arial Narrow" w:hAnsi="Arial Narrow"/>
                <w:iCs/>
                <w:sz w:val="20"/>
                <w:szCs w:val="20"/>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DDBE23" w14:textId="77777777" w:rsidR="00DD5C35" w:rsidRPr="001C05C6" w:rsidRDefault="00DD5C35" w:rsidP="00E02F3C">
            <w:pPr>
              <w:keepLines/>
              <w:jc w:val="center"/>
              <w:rPr>
                <w:rFonts w:ascii="Arial Narrow" w:hAnsi="Arial Narrow"/>
                <w:iCs/>
                <w:sz w:val="20"/>
                <w:szCs w:val="20"/>
              </w:rPr>
            </w:pPr>
            <w:r w:rsidRPr="001C05C6">
              <w:rPr>
                <w:rFonts w:ascii="Arial Narrow" w:hAnsi="Arial Narrow"/>
                <w:iCs/>
                <w:sz w:val="20"/>
                <w:szCs w:val="20"/>
              </w:rPr>
              <w:t xml:space="preserve">28 </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D43DBA" w14:textId="77777777" w:rsidR="00DD5C35" w:rsidRPr="001C05C6" w:rsidRDefault="00DD5C35" w:rsidP="00E02F3C">
            <w:pPr>
              <w:keepLines/>
              <w:jc w:val="center"/>
              <w:rPr>
                <w:rFonts w:ascii="Arial Narrow" w:hAnsi="Arial Narrow"/>
                <w:iCs/>
                <w:sz w:val="20"/>
                <w:szCs w:val="20"/>
              </w:rPr>
            </w:pPr>
            <w:r w:rsidRPr="001C05C6">
              <w:rPr>
                <w:rFonts w:ascii="Arial Narrow" w:hAnsi="Arial Narrow"/>
                <w:iCs/>
                <w:sz w:val="20"/>
                <w:szCs w:val="20"/>
              </w:rPr>
              <w:t>5</w:t>
            </w:r>
          </w:p>
        </w:tc>
        <w:tc>
          <w:tcPr>
            <w:tcW w:w="1509" w:type="dxa"/>
            <w:tcBorders>
              <w:top w:val="single" w:sz="4" w:space="0" w:color="auto"/>
              <w:left w:val="single" w:sz="4" w:space="0" w:color="auto"/>
              <w:bottom w:val="single" w:sz="4" w:space="0" w:color="auto"/>
              <w:right w:val="single" w:sz="4" w:space="0" w:color="auto"/>
            </w:tcBorders>
            <w:vAlign w:val="center"/>
            <w:hideMark/>
          </w:tcPr>
          <w:p w14:paraId="7050C988" w14:textId="77777777" w:rsidR="00DD5C35" w:rsidRPr="001C05C6" w:rsidRDefault="00DD5C35" w:rsidP="00E02F3C">
            <w:pPr>
              <w:keepLines/>
              <w:rPr>
                <w:rFonts w:ascii="Arial Narrow" w:hAnsi="Arial Narrow"/>
                <w:iCs/>
                <w:sz w:val="20"/>
                <w:szCs w:val="20"/>
              </w:rPr>
            </w:pPr>
            <w:proofErr w:type="spellStart"/>
            <w:r w:rsidRPr="001C05C6">
              <w:rPr>
                <w:rFonts w:ascii="Arial Narrow" w:hAnsi="Arial Narrow"/>
                <w:iCs/>
                <w:sz w:val="20"/>
                <w:szCs w:val="20"/>
              </w:rPr>
              <w:t>Lecigon</w:t>
            </w:r>
            <w:proofErr w:type="spellEnd"/>
            <w:r w:rsidRPr="001C05C6">
              <w:rPr>
                <w:rFonts w:ascii="Arial Narrow" w:hAnsi="Arial Narrow"/>
                <w:iCs/>
                <w:sz w:val="20"/>
                <w:szCs w:val="20"/>
              </w:rPr>
              <w:t xml:space="preserve"> /</w:t>
            </w:r>
          </w:p>
          <w:p w14:paraId="665052C0" w14:textId="77777777" w:rsidR="00DD5C35" w:rsidRPr="001C05C6" w:rsidRDefault="00DD5C35" w:rsidP="00E02F3C">
            <w:pPr>
              <w:keepLines/>
              <w:rPr>
                <w:rFonts w:ascii="Arial Narrow" w:hAnsi="Arial Narrow"/>
                <w:iCs/>
                <w:sz w:val="20"/>
                <w:szCs w:val="20"/>
              </w:rPr>
            </w:pPr>
            <w:r w:rsidRPr="001C05C6">
              <w:rPr>
                <w:rFonts w:ascii="Arial Narrow" w:hAnsi="Arial Narrow"/>
                <w:iCs/>
                <w:color w:val="333333"/>
                <w:sz w:val="20"/>
                <w:szCs w:val="20"/>
              </w:rPr>
              <w:t>STADA Pharmaceuticals Australia Pty Ltd</w:t>
            </w:r>
          </w:p>
        </w:tc>
      </w:tr>
      <w:tr w:rsidR="00DD5C35" w:rsidRPr="001C05C6" w14:paraId="7B0AEAB1" w14:textId="77777777" w:rsidTr="006B6F1D">
        <w:trPr>
          <w:trHeight w:val="20"/>
        </w:trPr>
        <w:tc>
          <w:tcPr>
            <w:tcW w:w="9016"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A3C6C12" w14:textId="77777777" w:rsidR="00DD5C35" w:rsidRPr="001C05C6" w:rsidRDefault="00DD5C35" w:rsidP="00E02F3C">
            <w:pPr>
              <w:keepLines/>
              <w:rPr>
                <w:rFonts w:ascii="Arial Narrow" w:hAnsi="Arial Narrow"/>
                <w:i/>
                <w:sz w:val="20"/>
                <w:szCs w:val="20"/>
              </w:rPr>
            </w:pPr>
          </w:p>
        </w:tc>
      </w:tr>
      <w:tr w:rsidR="00DD5C35" w:rsidRPr="001C05C6" w14:paraId="1696CFE8" w14:textId="77777777" w:rsidTr="006B6F1D">
        <w:trPr>
          <w:trHeight w:val="20"/>
        </w:trPr>
        <w:tc>
          <w:tcPr>
            <w:tcW w:w="9016"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CDA87C0" w14:textId="0966842E" w:rsidR="00DD5C35" w:rsidRPr="006B6F1D" w:rsidRDefault="00DD5C35" w:rsidP="00E02F3C">
            <w:pPr>
              <w:keepLines/>
              <w:rPr>
                <w:rFonts w:ascii="Arial Narrow" w:hAnsi="Arial Narrow"/>
                <w:b/>
                <w:iCs/>
                <w:sz w:val="20"/>
                <w:szCs w:val="20"/>
              </w:rPr>
            </w:pPr>
            <w:r w:rsidRPr="006B6F1D">
              <w:rPr>
                <w:rFonts w:ascii="Arial Narrow" w:hAnsi="Arial Narrow"/>
                <w:b/>
                <w:iCs/>
                <w:sz w:val="20"/>
                <w:szCs w:val="20"/>
              </w:rPr>
              <w:t>Variant of Restriction Summary ToC:  Authority Required: Streamlined</w:t>
            </w:r>
          </w:p>
        </w:tc>
      </w:tr>
      <w:tr w:rsidR="00496E18" w:rsidRPr="001C05C6" w14:paraId="5E879AF0" w14:textId="77777777" w:rsidTr="00D94415">
        <w:trPr>
          <w:trHeight w:val="20"/>
        </w:trPr>
        <w:tc>
          <w:tcPr>
            <w:tcW w:w="1277" w:type="dxa"/>
            <w:gridSpan w:val="2"/>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32B2B433" w14:textId="2E4E11EE" w:rsidR="00496E18" w:rsidRPr="006B6F1D" w:rsidRDefault="00496E18" w:rsidP="00E02F3C">
            <w:pPr>
              <w:keepLines/>
              <w:jc w:val="center"/>
              <w:rPr>
                <w:rFonts w:ascii="Arial Narrow" w:hAnsi="Arial Narrow"/>
                <w:b/>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B7D5DB" w14:textId="77777777" w:rsidR="00496E18" w:rsidRPr="006B6F1D" w:rsidRDefault="00496E18" w:rsidP="00E02F3C">
            <w:pPr>
              <w:keepLines/>
              <w:rPr>
                <w:rFonts w:ascii="Arial Narrow" w:hAnsi="Arial Narrow"/>
                <w:b/>
                <w:iCs/>
                <w:sz w:val="20"/>
                <w:szCs w:val="20"/>
              </w:rPr>
            </w:pPr>
            <w:r w:rsidRPr="006B6F1D">
              <w:rPr>
                <w:rFonts w:ascii="Arial Narrow" w:hAnsi="Arial Narrow"/>
                <w:b/>
                <w:iCs/>
                <w:sz w:val="20"/>
                <w:szCs w:val="20"/>
              </w:rPr>
              <w:t xml:space="preserve">Category / Program: </w:t>
            </w:r>
          </w:p>
          <w:p w14:paraId="0393F76C" w14:textId="77777777" w:rsidR="00496E18" w:rsidRPr="006B6F1D" w:rsidRDefault="00496E18" w:rsidP="00E02F3C">
            <w:pPr>
              <w:keepLines/>
              <w:rPr>
                <w:rFonts w:ascii="Arial Narrow" w:hAnsi="Arial Narrow"/>
                <w:iCs/>
                <w:sz w:val="20"/>
                <w:szCs w:val="20"/>
              </w:rPr>
            </w:pPr>
            <w:r w:rsidRPr="006B6F1D">
              <w:rPr>
                <w:rFonts w:ascii="Arial Narrow" w:hAnsi="Arial Narrow"/>
                <w:iCs/>
                <w:sz w:val="20"/>
                <w:szCs w:val="20"/>
              </w:rPr>
              <w:t xml:space="preserve">Section 100 – Highly Specialised Drugs Program </w:t>
            </w:r>
          </w:p>
        </w:tc>
      </w:tr>
      <w:tr w:rsidR="00496E18" w:rsidRPr="001C05C6" w14:paraId="2D03E8A7" w14:textId="77777777" w:rsidTr="00D94415">
        <w:trPr>
          <w:trHeight w:val="20"/>
        </w:trPr>
        <w:tc>
          <w:tcPr>
            <w:tcW w:w="1277" w:type="dxa"/>
            <w:gridSpan w:val="2"/>
            <w:vMerge/>
            <w:tcBorders>
              <w:left w:val="single" w:sz="4" w:space="0" w:color="auto"/>
              <w:right w:val="single" w:sz="4" w:space="0" w:color="auto"/>
            </w:tcBorders>
            <w:vAlign w:val="center"/>
            <w:hideMark/>
          </w:tcPr>
          <w:p w14:paraId="134FC594" w14:textId="77777777" w:rsidR="00496E18" w:rsidRPr="006B6F1D" w:rsidRDefault="00496E18" w:rsidP="00E02F3C">
            <w:pPr>
              <w:keepLines/>
              <w:rPr>
                <w:rFonts w:ascii="Arial Narrow" w:hAnsi="Arial Narrow"/>
                <w:b/>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65B70D1" w14:textId="77777777" w:rsidR="00496E18" w:rsidRPr="006B6F1D" w:rsidRDefault="00496E18" w:rsidP="00E02F3C">
            <w:pPr>
              <w:keepLines/>
              <w:rPr>
                <w:rFonts w:ascii="Arial Narrow" w:hAnsi="Arial Narrow"/>
                <w:b/>
                <w:iCs/>
                <w:sz w:val="20"/>
                <w:szCs w:val="20"/>
              </w:rPr>
            </w:pPr>
            <w:r w:rsidRPr="006B6F1D">
              <w:rPr>
                <w:rFonts w:ascii="Arial Narrow" w:hAnsi="Arial Narrow"/>
                <w:b/>
                <w:iCs/>
                <w:sz w:val="20"/>
                <w:szCs w:val="20"/>
              </w:rPr>
              <w:t xml:space="preserve">Prescriber type: </w:t>
            </w:r>
            <w:r w:rsidRPr="006B6F1D">
              <w:rPr>
                <w:rFonts w:ascii="Arial Narrow" w:hAnsi="Arial Narrow"/>
                <w:iCs/>
                <w:sz w:val="20"/>
                <w:szCs w:val="20"/>
              </w:rPr>
              <w:fldChar w:fldCharType="begin" w:fldLock="1">
                <w:ffData>
                  <w:name w:val=""/>
                  <w:enabled/>
                  <w:calcOnExit w:val="0"/>
                  <w:checkBox>
                    <w:sizeAuto/>
                    <w:default w:val="1"/>
                  </w:checkBox>
                </w:ffData>
              </w:fldChar>
            </w:r>
            <w:r w:rsidRPr="006B6F1D">
              <w:rPr>
                <w:rFonts w:ascii="Arial Narrow" w:hAnsi="Arial Narrow"/>
                <w:iCs/>
                <w:sz w:val="20"/>
                <w:szCs w:val="20"/>
              </w:rPr>
              <w:instrText xml:space="preserve"> FORMCHECKBOX </w:instrText>
            </w:r>
            <w:r w:rsidRPr="006B6F1D">
              <w:rPr>
                <w:rFonts w:ascii="Arial Narrow" w:hAnsi="Arial Narrow"/>
                <w:iCs/>
                <w:sz w:val="20"/>
                <w:szCs w:val="20"/>
              </w:rPr>
            </w:r>
            <w:r w:rsidRPr="006B6F1D">
              <w:rPr>
                <w:rFonts w:ascii="Arial Narrow" w:hAnsi="Arial Narrow"/>
                <w:iCs/>
                <w:sz w:val="20"/>
                <w:szCs w:val="20"/>
              </w:rPr>
              <w:fldChar w:fldCharType="separate"/>
            </w:r>
            <w:r w:rsidRPr="006B6F1D">
              <w:rPr>
                <w:rFonts w:ascii="Arial Narrow" w:hAnsi="Arial Narrow"/>
                <w:iCs/>
                <w:sz w:val="20"/>
                <w:szCs w:val="20"/>
              </w:rPr>
              <w:fldChar w:fldCharType="end"/>
            </w:r>
            <w:r w:rsidRPr="006B6F1D">
              <w:rPr>
                <w:rFonts w:ascii="Arial Narrow" w:hAnsi="Arial Narrow"/>
                <w:iCs/>
                <w:sz w:val="20"/>
                <w:szCs w:val="20"/>
              </w:rPr>
              <w:t xml:space="preserve">Medical Practitioners </w:t>
            </w:r>
          </w:p>
        </w:tc>
      </w:tr>
      <w:tr w:rsidR="00496E18" w:rsidRPr="001C05C6" w14:paraId="3309F332" w14:textId="77777777" w:rsidTr="00D94415">
        <w:trPr>
          <w:trHeight w:val="20"/>
        </w:trPr>
        <w:tc>
          <w:tcPr>
            <w:tcW w:w="1277" w:type="dxa"/>
            <w:gridSpan w:val="2"/>
            <w:vMerge/>
            <w:tcBorders>
              <w:left w:val="single" w:sz="4" w:space="0" w:color="auto"/>
              <w:right w:val="single" w:sz="4" w:space="0" w:color="auto"/>
            </w:tcBorders>
            <w:vAlign w:val="center"/>
            <w:hideMark/>
          </w:tcPr>
          <w:p w14:paraId="0A0129B6" w14:textId="77777777" w:rsidR="00496E18" w:rsidRPr="006B6F1D" w:rsidRDefault="00496E18" w:rsidP="00E02F3C">
            <w:pPr>
              <w:keepLines/>
              <w:rPr>
                <w:rFonts w:ascii="Arial Narrow" w:hAnsi="Arial Narrow"/>
                <w:b/>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A9D2D4" w14:textId="77777777" w:rsidR="00496E18" w:rsidRPr="006B6F1D" w:rsidRDefault="00496E18" w:rsidP="00E02F3C">
            <w:pPr>
              <w:keepLines/>
              <w:rPr>
                <w:rFonts w:ascii="Arial Narrow" w:eastAsia="Calibri" w:hAnsi="Arial Narrow"/>
                <w:iCs/>
                <w:color w:val="FF0000"/>
                <w:sz w:val="20"/>
                <w:szCs w:val="20"/>
              </w:rPr>
            </w:pPr>
            <w:r w:rsidRPr="006B6F1D">
              <w:rPr>
                <w:rFonts w:ascii="Arial Narrow" w:hAnsi="Arial Narrow"/>
                <w:b/>
                <w:iCs/>
                <w:sz w:val="20"/>
                <w:szCs w:val="20"/>
              </w:rPr>
              <w:t xml:space="preserve">Restriction type: </w:t>
            </w:r>
            <w:r w:rsidRPr="006B6F1D">
              <w:rPr>
                <w:rFonts w:ascii="Arial Narrow" w:eastAsia="Calibri" w:hAnsi="Arial Narrow"/>
                <w:iCs/>
                <w:sz w:val="20"/>
                <w:szCs w:val="20"/>
              </w:rPr>
              <w:fldChar w:fldCharType="begin" w:fldLock="1">
                <w:ffData>
                  <w:name w:val=""/>
                  <w:enabled/>
                  <w:calcOnExit w:val="0"/>
                  <w:checkBox>
                    <w:sizeAuto/>
                    <w:default w:val="1"/>
                  </w:checkBox>
                </w:ffData>
              </w:fldChar>
            </w:r>
            <w:r w:rsidRPr="006B6F1D">
              <w:rPr>
                <w:rFonts w:ascii="Arial Narrow" w:eastAsia="Calibri" w:hAnsi="Arial Narrow"/>
                <w:iCs/>
                <w:sz w:val="20"/>
                <w:szCs w:val="20"/>
              </w:rPr>
              <w:instrText xml:space="preserve"> FORMCHECKBOX </w:instrText>
            </w:r>
            <w:r w:rsidRPr="006B6F1D">
              <w:rPr>
                <w:rFonts w:ascii="Arial Narrow" w:eastAsia="Calibri" w:hAnsi="Arial Narrow"/>
                <w:iCs/>
                <w:sz w:val="20"/>
                <w:szCs w:val="20"/>
              </w:rPr>
            </w:r>
            <w:r w:rsidRPr="006B6F1D">
              <w:rPr>
                <w:rFonts w:ascii="Arial Narrow" w:eastAsia="Calibri" w:hAnsi="Arial Narrow"/>
                <w:iCs/>
                <w:sz w:val="20"/>
                <w:szCs w:val="20"/>
              </w:rPr>
              <w:fldChar w:fldCharType="separate"/>
            </w:r>
            <w:r w:rsidRPr="006B6F1D">
              <w:rPr>
                <w:rFonts w:ascii="Arial Narrow" w:eastAsia="Calibri" w:hAnsi="Arial Narrow"/>
                <w:iCs/>
                <w:sz w:val="20"/>
                <w:szCs w:val="20"/>
              </w:rPr>
              <w:fldChar w:fldCharType="end"/>
            </w:r>
            <w:r w:rsidRPr="006B6F1D">
              <w:rPr>
                <w:rFonts w:ascii="Arial Narrow" w:eastAsia="Calibri" w:hAnsi="Arial Narrow"/>
                <w:iCs/>
                <w:sz w:val="20"/>
                <w:szCs w:val="20"/>
              </w:rPr>
              <w:t xml:space="preserve">Authority Required (Streamlined) [new code] </w:t>
            </w:r>
          </w:p>
        </w:tc>
      </w:tr>
      <w:tr w:rsidR="00496E18" w:rsidRPr="001C05C6" w14:paraId="02DBF909" w14:textId="77777777" w:rsidTr="00D94415">
        <w:trPr>
          <w:trHeight w:val="20"/>
        </w:trPr>
        <w:tc>
          <w:tcPr>
            <w:tcW w:w="1277" w:type="dxa"/>
            <w:gridSpan w:val="2"/>
            <w:vMerge/>
            <w:tcBorders>
              <w:left w:val="single" w:sz="4" w:space="0" w:color="auto"/>
              <w:bottom w:val="single" w:sz="4" w:space="0" w:color="auto"/>
              <w:right w:val="single" w:sz="4" w:space="0" w:color="auto"/>
            </w:tcBorders>
            <w:vAlign w:val="center"/>
          </w:tcPr>
          <w:p w14:paraId="7F1CF298" w14:textId="77777777" w:rsidR="00496E18" w:rsidRPr="006B6F1D" w:rsidRDefault="00496E18" w:rsidP="00E02F3C">
            <w:pPr>
              <w:keepLines/>
              <w:rPr>
                <w:rFonts w:ascii="Arial Narrow" w:hAnsi="Arial Narrow"/>
                <w:b/>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ED2317" w14:textId="39113424" w:rsidR="00496E18" w:rsidRPr="00496E18" w:rsidRDefault="00496E18" w:rsidP="00E02F3C">
            <w:pPr>
              <w:keepLines/>
              <w:rPr>
                <w:rFonts w:ascii="Arial Narrow" w:hAnsi="Arial Narrow"/>
                <w:b/>
                <w:iCs/>
                <w:sz w:val="20"/>
                <w:szCs w:val="20"/>
              </w:rPr>
            </w:pPr>
            <w:r w:rsidRPr="00496E18">
              <w:rPr>
                <w:rFonts w:ascii="Arial Narrow" w:hAnsi="Arial Narrow"/>
                <w:b/>
                <w:iCs/>
                <w:sz w:val="20"/>
                <w:szCs w:val="20"/>
              </w:rPr>
              <w:t xml:space="preserve">Authority type: </w:t>
            </w:r>
          </w:p>
          <w:p w14:paraId="1493BD90" w14:textId="2267D6D7" w:rsidR="00496E18" w:rsidRPr="006B6F1D" w:rsidRDefault="00496E18" w:rsidP="00E02F3C">
            <w:pPr>
              <w:keepLines/>
              <w:rPr>
                <w:rFonts w:ascii="Arial Narrow" w:hAnsi="Arial Narrow"/>
                <w:b/>
                <w:iCs/>
                <w:sz w:val="20"/>
                <w:szCs w:val="20"/>
              </w:rPr>
            </w:pPr>
            <w:r w:rsidRPr="006B6F1D">
              <w:rPr>
                <w:rFonts w:ascii="Arial Narrow" w:eastAsia="Calibri" w:hAnsi="Arial Narrow"/>
                <w:iCs/>
                <w:sz w:val="20"/>
                <w:szCs w:val="20"/>
              </w:rPr>
              <w:fldChar w:fldCharType="begin" w:fldLock="1">
                <w:ffData>
                  <w:name w:val=""/>
                  <w:enabled/>
                  <w:calcOnExit w:val="0"/>
                  <w:checkBox>
                    <w:sizeAuto/>
                    <w:default w:val="1"/>
                  </w:checkBox>
                </w:ffData>
              </w:fldChar>
            </w:r>
            <w:r w:rsidRPr="006B6F1D">
              <w:rPr>
                <w:rFonts w:ascii="Arial Narrow" w:eastAsia="Calibri" w:hAnsi="Arial Narrow"/>
                <w:iCs/>
                <w:sz w:val="20"/>
                <w:szCs w:val="20"/>
              </w:rPr>
              <w:instrText xml:space="preserve"> FORMCHECKBOX </w:instrText>
            </w:r>
            <w:r w:rsidRPr="006B6F1D">
              <w:rPr>
                <w:rFonts w:ascii="Arial Narrow" w:eastAsia="Calibri" w:hAnsi="Arial Narrow"/>
                <w:iCs/>
                <w:sz w:val="20"/>
                <w:szCs w:val="20"/>
              </w:rPr>
            </w:r>
            <w:r w:rsidRPr="006B6F1D">
              <w:rPr>
                <w:rFonts w:ascii="Arial Narrow" w:eastAsia="Calibri" w:hAnsi="Arial Narrow"/>
                <w:iCs/>
                <w:sz w:val="20"/>
                <w:szCs w:val="20"/>
              </w:rPr>
              <w:fldChar w:fldCharType="separate"/>
            </w:r>
            <w:r w:rsidRPr="006B6F1D">
              <w:rPr>
                <w:rFonts w:ascii="Arial Narrow" w:eastAsia="Calibri" w:hAnsi="Arial Narrow"/>
                <w:iCs/>
                <w:sz w:val="20"/>
                <w:szCs w:val="20"/>
              </w:rPr>
              <w:fldChar w:fldCharType="end"/>
            </w:r>
            <w:r>
              <w:rPr>
                <w:rFonts w:ascii="Arial Narrow" w:eastAsia="Calibri" w:hAnsi="Arial Narrow"/>
                <w:iCs/>
                <w:sz w:val="20"/>
                <w:szCs w:val="20"/>
              </w:rPr>
              <w:t xml:space="preserve"> </w:t>
            </w:r>
            <w:r w:rsidRPr="00496E18">
              <w:rPr>
                <w:rFonts w:ascii="Arial Narrow" w:hAnsi="Arial Narrow"/>
                <w:bCs/>
                <w:iCs/>
                <w:sz w:val="20"/>
                <w:szCs w:val="20"/>
              </w:rPr>
              <w:t>Non-complex Authority Required (non-CAR)</w:t>
            </w:r>
          </w:p>
        </w:tc>
      </w:tr>
      <w:tr w:rsidR="00DD5C35" w:rsidRPr="001C05C6" w14:paraId="6BAF9F69" w14:textId="77777777" w:rsidTr="008403BF">
        <w:trPr>
          <w:trHeight w:val="20"/>
        </w:trPr>
        <w:tc>
          <w:tcPr>
            <w:tcW w:w="63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FC39963" w14:textId="608DD49D" w:rsidR="00DD5C35" w:rsidRPr="001C05C6" w:rsidRDefault="00DD5C35" w:rsidP="00E02F3C">
            <w:pPr>
              <w:keepLines/>
              <w:rPr>
                <w:rFonts w:ascii="Arial Narrow" w:eastAsiaTheme="minorHAnsi" w:hAnsi="Arial Narrow"/>
                <w:sz w:val="20"/>
                <w:szCs w:val="20"/>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2DE024BC" w14:textId="3C228611" w:rsidR="00DD5C35" w:rsidRPr="001C05C6" w:rsidRDefault="00DD5C35" w:rsidP="00E02F3C">
            <w:pPr>
              <w:keepLines/>
              <w:jc w:val="center"/>
              <w:rPr>
                <w:rFonts w:ascii="Arial Narrow" w:hAnsi="Arial Narrow"/>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AEE1BDD" w14:textId="77777777" w:rsidR="00DD5C35" w:rsidRPr="001C05C6" w:rsidRDefault="00DD5C35" w:rsidP="00E02F3C">
            <w:pPr>
              <w:keepLines/>
              <w:rPr>
                <w:rFonts w:ascii="Arial Narrow" w:hAnsi="Arial Narrow"/>
                <w:b/>
                <w:sz w:val="20"/>
                <w:szCs w:val="20"/>
              </w:rPr>
            </w:pPr>
            <w:r w:rsidRPr="001C05C6">
              <w:rPr>
                <w:rFonts w:ascii="Arial Narrow" w:hAnsi="Arial Narrow"/>
                <w:b/>
                <w:bCs/>
                <w:color w:val="333333"/>
                <w:sz w:val="20"/>
                <w:szCs w:val="20"/>
              </w:rPr>
              <w:t xml:space="preserve">Administrative Advice: </w:t>
            </w:r>
            <w:r w:rsidRPr="001C05C6">
              <w:rPr>
                <w:rFonts w:ascii="Arial Narrow" w:hAnsi="Arial Narrow"/>
                <w:color w:val="333333"/>
                <w:sz w:val="20"/>
                <w:szCs w:val="20"/>
              </w:rPr>
              <w:t>Special Pricing Arrangements apply.</w:t>
            </w:r>
          </w:p>
        </w:tc>
      </w:tr>
      <w:tr w:rsidR="00DD5C35" w:rsidRPr="006B6F1D" w14:paraId="0F8F13C3" w14:textId="77777777" w:rsidTr="006B6F1D">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836CD7" w14:textId="77777777" w:rsidR="00DD5C35" w:rsidRPr="006B6F1D" w:rsidRDefault="00DD5C35" w:rsidP="00E02F3C">
            <w:pPr>
              <w:keepLines/>
              <w:jc w:val="center"/>
              <w:rPr>
                <w:rFonts w:ascii="Arial Narrow" w:hAnsi="Arial Narrow" w:cstheme="minorHAnsi"/>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BF34AF3" w14:textId="77777777" w:rsidR="00DD5C35" w:rsidRPr="006B6F1D" w:rsidRDefault="00DD5C35" w:rsidP="00E02F3C">
            <w:pPr>
              <w:keepLines/>
              <w:rPr>
                <w:rFonts w:ascii="Arial Narrow" w:hAnsi="Arial Narrow"/>
                <w:b/>
                <w:bCs/>
                <w:iCs/>
                <w:sz w:val="20"/>
                <w:szCs w:val="20"/>
              </w:rPr>
            </w:pPr>
            <w:r w:rsidRPr="006B6F1D">
              <w:rPr>
                <w:rFonts w:ascii="Arial Narrow" w:hAnsi="Arial Narrow"/>
                <w:b/>
                <w:bCs/>
                <w:iCs/>
                <w:sz w:val="20"/>
                <w:szCs w:val="20"/>
              </w:rPr>
              <w:t xml:space="preserve">Severity: </w:t>
            </w:r>
            <w:r w:rsidRPr="006B6F1D">
              <w:rPr>
                <w:rFonts w:ascii="Arial Narrow" w:hAnsi="Arial Narrow" w:cstheme="minorHAnsi"/>
                <w:iCs/>
                <w:sz w:val="20"/>
                <w:szCs w:val="20"/>
              </w:rPr>
              <w:t>Advanced</w:t>
            </w:r>
          </w:p>
        </w:tc>
      </w:tr>
      <w:tr w:rsidR="00DD5C35" w:rsidRPr="001C05C6" w14:paraId="2471A883" w14:textId="77777777" w:rsidTr="006B6F1D">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F5DE40" w14:textId="77777777" w:rsidR="00DD5C35" w:rsidRPr="001C05C6" w:rsidRDefault="00DD5C35" w:rsidP="00E02F3C">
            <w:pPr>
              <w:keepLines/>
              <w:jc w:val="center"/>
              <w:rPr>
                <w:rFonts w:ascii="Arial Narrow" w:eastAsiaTheme="minorHAnsi" w:hAnsi="Arial Narrow" w:cstheme="minorHAnsi"/>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5C4937" w14:textId="1E2D4463" w:rsidR="00DD5C35" w:rsidRPr="001C05C6" w:rsidRDefault="00DD5C35" w:rsidP="00E02F3C">
            <w:pPr>
              <w:keepLines/>
              <w:rPr>
                <w:rFonts w:ascii="Arial Narrow" w:hAnsi="Arial Narrow"/>
                <w:b/>
                <w:bCs/>
                <w:sz w:val="20"/>
                <w:szCs w:val="20"/>
              </w:rPr>
            </w:pPr>
            <w:r w:rsidRPr="001C05C6">
              <w:rPr>
                <w:rFonts w:ascii="Arial Narrow" w:hAnsi="Arial Narrow"/>
                <w:b/>
                <w:bCs/>
                <w:sz w:val="20"/>
                <w:szCs w:val="20"/>
              </w:rPr>
              <w:t xml:space="preserve">Condition: </w:t>
            </w:r>
            <w:r w:rsidRPr="001C05C6">
              <w:rPr>
                <w:rFonts w:ascii="Arial Narrow" w:hAnsi="Arial Narrow" w:cstheme="minorHAnsi"/>
                <w:sz w:val="20"/>
                <w:szCs w:val="20"/>
              </w:rPr>
              <w:t>Parkinson Disease</w:t>
            </w:r>
          </w:p>
        </w:tc>
      </w:tr>
      <w:tr w:rsidR="00DD5C35" w:rsidRPr="001C05C6" w14:paraId="6A803B55"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5A61C9" w14:textId="137E1DC2" w:rsidR="00DD5C35" w:rsidRPr="001C05C6" w:rsidRDefault="00DD5C35" w:rsidP="00E02F3C">
            <w:pPr>
              <w:keepLines/>
              <w:jc w:val="center"/>
              <w:rPr>
                <w:rFonts w:ascii="Arial Narrow" w:hAnsi="Arial Narrow"/>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663EB4" w14:textId="77777777" w:rsidR="00DD5C35" w:rsidRPr="001C05C6" w:rsidRDefault="00DD5C35" w:rsidP="00E02F3C">
            <w:pPr>
              <w:keepLines/>
              <w:rPr>
                <w:rFonts w:ascii="Arial Narrow" w:hAnsi="Arial Narrow"/>
                <w:color w:val="333333"/>
                <w:sz w:val="20"/>
                <w:szCs w:val="20"/>
              </w:rPr>
            </w:pPr>
            <w:r w:rsidRPr="001C05C6">
              <w:rPr>
                <w:rFonts w:ascii="Arial Narrow" w:hAnsi="Arial Narrow"/>
                <w:b/>
                <w:bCs/>
                <w:color w:val="333333"/>
                <w:sz w:val="20"/>
                <w:szCs w:val="20"/>
              </w:rPr>
              <w:t>Indication:</w:t>
            </w:r>
            <w:r w:rsidRPr="001C05C6">
              <w:rPr>
                <w:rFonts w:ascii="Arial Narrow" w:hAnsi="Arial Narrow"/>
                <w:color w:val="333333"/>
                <w:sz w:val="20"/>
                <w:szCs w:val="20"/>
              </w:rPr>
              <w:t xml:space="preserve"> </w:t>
            </w:r>
            <w:r w:rsidRPr="001C05C6">
              <w:rPr>
                <w:rFonts w:ascii="Arial Narrow" w:hAnsi="Arial Narrow" w:cstheme="minorHAnsi"/>
                <w:sz w:val="20"/>
                <w:szCs w:val="20"/>
              </w:rPr>
              <w:t>Advanced Parkinson disease</w:t>
            </w:r>
          </w:p>
        </w:tc>
      </w:tr>
      <w:tr w:rsidR="00DD5C35" w:rsidRPr="001C05C6" w14:paraId="45122FEE"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6D9CF6" w14:textId="68485E4F" w:rsidR="00DD5C35" w:rsidRPr="001C05C6" w:rsidRDefault="00DD5C35" w:rsidP="00E02F3C">
            <w:pPr>
              <w:keepLines/>
              <w:jc w:val="center"/>
              <w:rPr>
                <w:rFonts w:ascii="Arial Narrow" w:hAnsi="Arial Narrow"/>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2B3161" w14:textId="77777777" w:rsidR="00DD5C35" w:rsidRPr="001C05C6" w:rsidRDefault="00DD5C35" w:rsidP="00E02F3C">
            <w:pPr>
              <w:keepLines/>
              <w:rPr>
                <w:rFonts w:ascii="Arial Narrow" w:hAnsi="Arial Narrow"/>
                <w:sz w:val="20"/>
                <w:szCs w:val="20"/>
              </w:rPr>
            </w:pPr>
            <w:r w:rsidRPr="001C05C6">
              <w:rPr>
                <w:rFonts w:ascii="Arial Narrow" w:hAnsi="Arial Narrow"/>
                <w:b/>
                <w:bCs/>
                <w:sz w:val="20"/>
                <w:szCs w:val="20"/>
              </w:rPr>
              <w:t xml:space="preserve">Clinical criteria: </w:t>
            </w:r>
          </w:p>
        </w:tc>
      </w:tr>
      <w:tr w:rsidR="00DD5C35" w:rsidRPr="001C05C6" w14:paraId="571074DB"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5C58CA8" w14:textId="3B56FDCD" w:rsidR="00DD5C35" w:rsidRPr="001C05C6" w:rsidRDefault="00DD5C35" w:rsidP="00E02F3C">
            <w:pPr>
              <w:keepLines/>
              <w:jc w:val="center"/>
              <w:rPr>
                <w:rFonts w:ascii="Arial Narrow" w:hAnsi="Arial Narrow"/>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B20902" w14:textId="3C64A724" w:rsidR="00DD5C35" w:rsidRPr="006B6F1D" w:rsidRDefault="0048153C" w:rsidP="00E02F3C">
            <w:pPr>
              <w:keepLines/>
              <w:rPr>
                <w:rFonts w:ascii="Arial Narrow" w:hAnsi="Arial Narrow"/>
                <w:color w:val="333333"/>
                <w:sz w:val="20"/>
                <w:szCs w:val="20"/>
              </w:rPr>
            </w:pPr>
            <w:r w:rsidRPr="0048153C">
              <w:rPr>
                <w:rFonts w:ascii="Arial Narrow" w:hAnsi="Arial Narrow"/>
                <w:sz w:val="20"/>
                <w:szCs w:val="20"/>
              </w:rPr>
              <w:t>Patient must have severe disabling motor fluctuations not adequately controlled by at least one of: (i) oral therapy; (ii) intestinal gel formulation containing levodopa.</w:t>
            </w:r>
          </w:p>
        </w:tc>
      </w:tr>
      <w:tr w:rsidR="00DD5C35" w:rsidRPr="001C05C6" w14:paraId="6B027693" w14:textId="77777777" w:rsidTr="006B6F1D">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5FDB50" w14:textId="77777777" w:rsidR="00DD5C35" w:rsidRPr="006B6F1D" w:rsidRDefault="00DD5C35" w:rsidP="00E02F3C">
            <w:pPr>
              <w:keepLines/>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6D592A" w14:textId="77777777" w:rsidR="00DD5C35" w:rsidRPr="006B6F1D" w:rsidRDefault="00DD5C35" w:rsidP="00E02F3C">
            <w:pPr>
              <w:keepLines/>
              <w:rPr>
                <w:rFonts w:ascii="Arial Narrow" w:hAnsi="Arial Narrow"/>
                <w:iCs/>
                <w:color w:val="333333"/>
                <w:sz w:val="20"/>
                <w:szCs w:val="20"/>
              </w:rPr>
            </w:pPr>
            <w:r w:rsidRPr="006B6F1D">
              <w:rPr>
                <w:rFonts w:ascii="Arial Narrow" w:hAnsi="Arial Narrow"/>
                <w:b/>
                <w:bCs/>
                <w:iCs/>
                <w:color w:val="333333"/>
                <w:sz w:val="20"/>
                <w:szCs w:val="20"/>
              </w:rPr>
              <w:t>AND</w:t>
            </w:r>
          </w:p>
        </w:tc>
      </w:tr>
      <w:tr w:rsidR="00DD5C35" w:rsidRPr="001C05C6" w14:paraId="10384C6F"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8BC8D5" w14:textId="13537A0A" w:rsidR="00DD5C35" w:rsidRPr="006B6F1D" w:rsidRDefault="00DD5C35" w:rsidP="00E02F3C">
            <w:pPr>
              <w:keepLines/>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5A46EB8" w14:textId="77777777" w:rsidR="00DD5C35" w:rsidRPr="006B6F1D" w:rsidRDefault="00DD5C35" w:rsidP="00E02F3C">
            <w:pPr>
              <w:keepLines/>
              <w:rPr>
                <w:rFonts w:ascii="Arial Narrow" w:hAnsi="Arial Narrow"/>
                <w:iCs/>
                <w:sz w:val="20"/>
                <w:szCs w:val="20"/>
              </w:rPr>
            </w:pPr>
            <w:r w:rsidRPr="006B6F1D">
              <w:rPr>
                <w:rFonts w:ascii="Arial Narrow" w:hAnsi="Arial Narrow"/>
                <w:b/>
                <w:bCs/>
                <w:iCs/>
                <w:sz w:val="20"/>
                <w:szCs w:val="20"/>
              </w:rPr>
              <w:t>Clinical criteria:</w:t>
            </w:r>
          </w:p>
        </w:tc>
      </w:tr>
      <w:tr w:rsidR="00DD5C35" w:rsidRPr="001C05C6" w14:paraId="6B13D4CB"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D8EBA8" w14:textId="047D9FF0" w:rsidR="00DD5C35" w:rsidRPr="006B6F1D" w:rsidRDefault="00DD5C35" w:rsidP="00E02F3C">
            <w:pPr>
              <w:keepLines/>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D561C0" w14:textId="77777777" w:rsidR="00DD5C35" w:rsidRPr="006B6F1D" w:rsidRDefault="00DD5C35" w:rsidP="00E02F3C">
            <w:pPr>
              <w:keepLines/>
              <w:rPr>
                <w:rFonts w:ascii="Arial Narrow" w:hAnsi="Arial Narrow"/>
                <w:iCs/>
                <w:sz w:val="20"/>
                <w:szCs w:val="20"/>
              </w:rPr>
            </w:pPr>
            <w:r w:rsidRPr="006B6F1D">
              <w:rPr>
                <w:rFonts w:ascii="Arial Narrow" w:hAnsi="Arial Narrow"/>
                <w:iCs/>
                <w:sz w:val="20"/>
                <w:szCs w:val="20"/>
              </w:rPr>
              <w:t>The treatment must be commenced in a hospital-based movement disorder clinic.</w:t>
            </w:r>
          </w:p>
        </w:tc>
      </w:tr>
      <w:tr w:rsidR="004B1ED9" w:rsidRPr="001C05C6" w14:paraId="6CA2FCBD"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EAB257" w14:textId="626D668B" w:rsidR="004B1ED9" w:rsidRPr="004B1ED9" w:rsidRDefault="004B1ED9" w:rsidP="00E02F3C">
            <w:pPr>
              <w:keepLines/>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C86A4D" w14:textId="77777777" w:rsidR="004B1ED9" w:rsidRPr="004B1ED9" w:rsidRDefault="004B1ED9" w:rsidP="00E02F3C">
            <w:pPr>
              <w:keepLines/>
              <w:rPr>
                <w:rFonts w:ascii="Arial Narrow" w:hAnsi="Arial Narrow"/>
                <w:iCs/>
                <w:sz w:val="20"/>
                <w:szCs w:val="20"/>
              </w:rPr>
            </w:pPr>
            <w:r w:rsidRPr="004B1ED9">
              <w:rPr>
                <w:rFonts w:ascii="Arial Narrow" w:hAnsi="Arial Narrow"/>
                <w:b/>
                <w:bCs/>
                <w:iCs/>
                <w:sz w:val="20"/>
                <w:szCs w:val="20"/>
              </w:rPr>
              <w:t>Administrative advice:</w:t>
            </w:r>
            <w:r w:rsidRPr="004B1ED9">
              <w:rPr>
                <w:rFonts w:ascii="Arial Narrow" w:hAnsi="Arial Narrow"/>
                <w:iCs/>
                <w:sz w:val="20"/>
                <w:szCs w:val="20"/>
              </w:rPr>
              <w:t xml:space="preserve"> Patient should have adequate cognitive function to manage administration with a portable continuous infusion pump.</w:t>
            </w:r>
          </w:p>
        </w:tc>
      </w:tr>
    </w:tbl>
    <w:p w14:paraId="5C28703C" w14:textId="77777777" w:rsidR="00DD5C35" w:rsidRPr="006B6F1D" w:rsidRDefault="00DD5C35" w:rsidP="00E02F3C">
      <w:pPr>
        <w:pStyle w:val="3-BodyText"/>
        <w:numPr>
          <w:ilvl w:val="0"/>
          <w:numId w:val="0"/>
        </w:numPr>
        <w:spacing w:before="120" w:after="0"/>
        <w:rPr>
          <w:rFonts w:ascii="Arial Narrow" w:hAnsi="Arial Narrow"/>
          <w:b/>
          <w:bCs/>
          <w:sz w:val="20"/>
          <w:szCs w:val="20"/>
        </w:rPr>
      </w:pPr>
      <w:r w:rsidRPr="006B6F1D">
        <w:rPr>
          <w:rFonts w:ascii="Arial Narrow" w:hAnsi="Arial Narrow"/>
          <w:b/>
          <w:bCs/>
          <w:sz w:val="20"/>
          <w:szCs w:val="20"/>
        </w:rPr>
        <w:t>Section 100 (Highly Specialised Drugs Program) listing for a maximum quantity of 56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40"/>
        <w:gridCol w:w="1411"/>
        <w:gridCol w:w="1401"/>
        <w:gridCol w:w="1402"/>
        <w:gridCol w:w="694"/>
        <w:gridCol w:w="612"/>
        <w:gridCol w:w="712"/>
        <w:gridCol w:w="1507"/>
      </w:tblGrid>
      <w:tr w:rsidR="00DD5C35" w:rsidRPr="001C05C6" w14:paraId="22795447" w14:textId="77777777" w:rsidTr="004538F5">
        <w:trPr>
          <w:cantSplit/>
          <w:trHeight w:val="20"/>
        </w:trPr>
        <w:tc>
          <w:tcPr>
            <w:tcW w:w="2688" w:type="dxa"/>
            <w:gridSpan w:val="3"/>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6669CFE" w14:textId="77777777" w:rsidR="00DD5C35" w:rsidRPr="001C05C6" w:rsidRDefault="00DD5C35" w:rsidP="00C65237">
            <w:pPr>
              <w:keepNext/>
              <w:keepLines/>
              <w:rPr>
                <w:rFonts w:ascii="Arial Narrow" w:hAnsi="Arial Narrow"/>
                <w:b/>
                <w:bCs/>
                <w:iCs/>
                <w:sz w:val="20"/>
                <w:szCs w:val="20"/>
              </w:rPr>
            </w:pPr>
            <w:r w:rsidRPr="001C05C6">
              <w:rPr>
                <w:rFonts w:ascii="Arial Narrow" w:hAnsi="Arial Narrow"/>
                <w:b/>
                <w:bCs/>
                <w:iCs/>
                <w:sz w:val="20"/>
                <w:szCs w:val="20"/>
              </w:rPr>
              <w:t>MEDICINAL PRODUCT</w:t>
            </w:r>
          </w:p>
          <w:p w14:paraId="79A18507" w14:textId="77777777" w:rsidR="00DD5C35" w:rsidRPr="001C05C6" w:rsidRDefault="00DD5C35" w:rsidP="00C65237">
            <w:pPr>
              <w:keepNext/>
              <w:keepLines/>
              <w:rPr>
                <w:rFonts w:ascii="Arial Narrow" w:hAnsi="Arial Narrow"/>
                <w:b/>
                <w:bCs/>
                <w:iCs/>
                <w:color w:val="333333"/>
                <w:sz w:val="20"/>
                <w:szCs w:val="20"/>
              </w:rPr>
            </w:pPr>
            <w:r w:rsidRPr="001C05C6">
              <w:rPr>
                <w:rFonts w:ascii="Arial Narrow" w:hAnsi="Arial Narrow"/>
                <w:b/>
                <w:bCs/>
                <w:iCs/>
                <w:sz w:val="20"/>
                <w:szCs w:val="20"/>
              </w:rPr>
              <w:t>medicinal product pack</w:t>
            </w:r>
          </w:p>
        </w:tc>
        <w:tc>
          <w:tcPr>
            <w:tcW w:w="14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7945B2" w14:textId="77777777" w:rsidR="00DD5C35" w:rsidRPr="001C05C6" w:rsidRDefault="00DD5C35" w:rsidP="00C65237">
            <w:pPr>
              <w:keepNext/>
              <w:keepLines/>
              <w:rPr>
                <w:rFonts w:ascii="Arial Narrow" w:hAnsi="Arial Narrow"/>
                <w:b/>
                <w:bCs/>
                <w:iCs/>
                <w:color w:val="333333"/>
                <w:sz w:val="20"/>
                <w:szCs w:val="20"/>
              </w:rPr>
            </w:pPr>
            <w:r w:rsidRPr="001C05C6">
              <w:rPr>
                <w:rFonts w:ascii="Arial Narrow" w:hAnsi="Arial Narrow"/>
                <w:b/>
                <w:iCs/>
                <w:sz w:val="20"/>
                <w:szCs w:val="20"/>
              </w:rPr>
              <w:t>PBS item code</w:t>
            </w:r>
          </w:p>
        </w:tc>
        <w:tc>
          <w:tcPr>
            <w:tcW w:w="1402" w:type="dxa"/>
            <w:tcBorders>
              <w:top w:val="single" w:sz="4" w:space="0" w:color="auto"/>
              <w:left w:val="single" w:sz="4" w:space="0" w:color="auto"/>
              <w:bottom w:val="single" w:sz="4" w:space="0" w:color="auto"/>
              <w:right w:val="single" w:sz="4" w:space="0" w:color="auto"/>
            </w:tcBorders>
            <w:vAlign w:val="center"/>
          </w:tcPr>
          <w:p w14:paraId="7B7383B8" w14:textId="77777777" w:rsidR="00DD5C35" w:rsidRPr="001C05C6" w:rsidRDefault="00DD5C35" w:rsidP="00C65237">
            <w:pPr>
              <w:keepNext/>
              <w:keepLines/>
              <w:jc w:val="center"/>
              <w:rPr>
                <w:rFonts w:ascii="Arial Narrow" w:hAnsi="Arial Narrow"/>
                <w:b/>
                <w:bCs/>
                <w:iCs/>
                <w:color w:val="333333"/>
                <w:sz w:val="20"/>
                <w:szCs w:val="20"/>
              </w:rPr>
            </w:pPr>
            <w:r w:rsidRPr="001C05C6">
              <w:rPr>
                <w:rFonts w:ascii="Arial Narrow" w:hAnsi="Arial Narrow"/>
                <w:b/>
                <w:iCs/>
                <w:sz w:val="20"/>
                <w:szCs w:val="20"/>
              </w:rPr>
              <w:t>Dispensed Price for Max. Qty</w:t>
            </w:r>
          </w:p>
        </w:tc>
        <w:tc>
          <w:tcPr>
            <w:tcW w:w="69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9123AE" w14:textId="77777777" w:rsidR="00DD5C35" w:rsidRPr="001C05C6" w:rsidRDefault="00DD5C35" w:rsidP="00C65237">
            <w:pPr>
              <w:keepNext/>
              <w:keepLines/>
              <w:rPr>
                <w:rFonts w:ascii="Arial Narrow" w:hAnsi="Arial Narrow"/>
                <w:b/>
                <w:bCs/>
                <w:iCs/>
                <w:color w:val="333333"/>
                <w:sz w:val="20"/>
                <w:szCs w:val="20"/>
              </w:rPr>
            </w:pPr>
            <w:r w:rsidRPr="001C05C6">
              <w:rPr>
                <w:rFonts w:ascii="Arial Narrow" w:hAnsi="Arial Narrow"/>
                <w:b/>
                <w:iCs/>
                <w:sz w:val="20"/>
                <w:szCs w:val="20"/>
              </w:rPr>
              <w:t>Max. qty packs</w:t>
            </w:r>
          </w:p>
        </w:tc>
        <w:tc>
          <w:tcPr>
            <w:tcW w:w="61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128B2C" w14:textId="77777777" w:rsidR="00DD5C35" w:rsidRPr="001C05C6" w:rsidRDefault="00DD5C35" w:rsidP="00C65237">
            <w:pPr>
              <w:keepNext/>
              <w:keepLines/>
              <w:rPr>
                <w:rFonts w:ascii="Arial Narrow" w:hAnsi="Arial Narrow"/>
                <w:b/>
                <w:bCs/>
                <w:iCs/>
                <w:color w:val="333333"/>
                <w:sz w:val="20"/>
                <w:szCs w:val="20"/>
              </w:rPr>
            </w:pPr>
            <w:r w:rsidRPr="001C05C6">
              <w:rPr>
                <w:rFonts w:ascii="Arial Narrow" w:hAnsi="Arial Narrow"/>
                <w:b/>
                <w:iCs/>
                <w:sz w:val="20"/>
                <w:szCs w:val="20"/>
              </w:rPr>
              <w:t>Max. qty units</w:t>
            </w:r>
          </w:p>
        </w:tc>
        <w:tc>
          <w:tcPr>
            <w:tcW w:w="71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720355" w14:textId="77777777" w:rsidR="00DD5C35" w:rsidRPr="001C05C6" w:rsidRDefault="00DD5C35" w:rsidP="00C65237">
            <w:pPr>
              <w:keepNext/>
              <w:keepLines/>
              <w:jc w:val="center"/>
              <w:rPr>
                <w:rFonts w:ascii="Arial Narrow" w:eastAsiaTheme="minorHAnsi" w:hAnsi="Arial Narrow"/>
                <w:b/>
                <w:iCs/>
                <w:sz w:val="20"/>
                <w:szCs w:val="20"/>
                <w:lang w:eastAsia="en-US"/>
              </w:rPr>
            </w:pPr>
            <w:r w:rsidRPr="001C05C6">
              <w:rPr>
                <w:rFonts w:ascii="Arial Narrow" w:hAnsi="Arial Narrow"/>
                <w:b/>
                <w:iCs/>
                <w:sz w:val="20"/>
                <w:szCs w:val="20"/>
              </w:rPr>
              <w:t>№.of Rpts</w:t>
            </w:r>
          </w:p>
        </w:tc>
        <w:tc>
          <w:tcPr>
            <w:tcW w:w="150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F6A088" w14:textId="77777777" w:rsidR="00DD5C35" w:rsidRPr="001C05C6" w:rsidRDefault="00DD5C35" w:rsidP="00C65237">
            <w:pPr>
              <w:keepNext/>
              <w:keepLines/>
              <w:rPr>
                <w:rFonts w:ascii="Arial Narrow" w:hAnsi="Arial Narrow"/>
                <w:b/>
                <w:bCs/>
                <w:iCs/>
                <w:color w:val="333333"/>
                <w:sz w:val="20"/>
                <w:szCs w:val="20"/>
              </w:rPr>
            </w:pPr>
            <w:r w:rsidRPr="001C05C6">
              <w:rPr>
                <w:rFonts w:ascii="Arial Narrow" w:hAnsi="Arial Narrow"/>
                <w:b/>
                <w:iCs/>
                <w:sz w:val="20"/>
                <w:szCs w:val="20"/>
              </w:rPr>
              <w:t>Available brands/ manufacturer</w:t>
            </w:r>
          </w:p>
        </w:tc>
      </w:tr>
      <w:tr w:rsidR="00DD5C35" w:rsidRPr="001C05C6" w14:paraId="3EE73C82" w14:textId="77777777" w:rsidTr="004538F5">
        <w:trPr>
          <w:cantSplit/>
          <w:trHeight w:val="20"/>
        </w:trPr>
        <w:tc>
          <w:tcPr>
            <w:tcW w:w="9016"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3A2FD97" w14:textId="77777777" w:rsidR="00DD5C35" w:rsidRPr="001C05C6" w:rsidRDefault="00DD5C35" w:rsidP="00C65237">
            <w:pPr>
              <w:keepNext/>
              <w:keepLines/>
              <w:jc w:val="left"/>
              <w:rPr>
                <w:rFonts w:ascii="Arial Narrow" w:hAnsi="Arial Narrow"/>
                <w:b/>
                <w:bCs/>
                <w:iCs/>
                <w:color w:val="333333"/>
                <w:sz w:val="20"/>
                <w:szCs w:val="20"/>
              </w:rPr>
            </w:pPr>
            <w:r w:rsidRPr="001C05C6">
              <w:rPr>
                <w:rFonts w:ascii="Arial Narrow" w:hAnsi="Arial Narrow"/>
                <w:iCs/>
                <w:sz w:val="20"/>
                <w:szCs w:val="20"/>
              </w:rPr>
              <w:t>LEVODOPA + CARBIDOPA + ENTACAPONE</w:t>
            </w:r>
          </w:p>
        </w:tc>
      </w:tr>
      <w:tr w:rsidR="00DD5C35" w:rsidRPr="001C05C6" w14:paraId="7E535DC2" w14:textId="77777777" w:rsidTr="004538F5">
        <w:trPr>
          <w:cantSplit/>
          <w:trHeight w:val="20"/>
        </w:trPr>
        <w:tc>
          <w:tcPr>
            <w:tcW w:w="2688" w:type="dxa"/>
            <w:gridSpan w:val="3"/>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0918F9" w14:textId="77777777" w:rsidR="00DD5C35" w:rsidRPr="006B6F1D" w:rsidRDefault="00DD5C35" w:rsidP="00C65237">
            <w:pPr>
              <w:keepNext/>
              <w:keepLines/>
              <w:rPr>
                <w:rFonts w:ascii="Arial Narrow" w:hAnsi="Arial Narrow"/>
                <w:b/>
                <w:bCs/>
                <w:iCs/>
                <w:color w:val="333333"/>
                <w:sz w:val="20"/>
                <w:szCs w:val="20"/>
              </w:rPr>
            </w:pPr>
            <w:r w:rsidRPr="006B6F1D">
              <w:rPr>
                <w:rFonts w:ascii="Arial Narrow" w:hAnsi="Arial Narrow"/>
                <w:iCs/>
                <w:sz w:val="20"/>
                <w:szCs w:val="20"/>
              </w:rPr>
              <w:t>levodopa 20 mg/mL + carbidopa monohydrate 5 mg/mL + entacapone 20 mg/mL intestinal gel, 7 x 47 mL cartridges</w:t>
            </w:r>
          </w:p>
        </w:tc>
        <w:tc>
          <w:tcPr>
            <w:tcW w:w="14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0FE8D1" w14:textId="77777777" w:rsidR="00DD5C35" w:rsidRPr="006B6F1D" w:rsidRDefault="00DD5C35" w:rsidP="00C65237">
            <w:pPr>
              <w:keepNext/>
              <w:keepLines/>
              <w:jc w:val="center"/>
              <w:rPr>
                <w:rFonts w:ascii="Arial Narrow" w:hAnsi="Arial Narrow"/>
                <w:iCs/>
                <w:sz w:val="20"/>
                <w:szCs w:val="20"/>
              </w:rPr>
            </w:pPr>
            <w:r w:rsidRPr="006B6F1D">
              <w:rPr>
                <w:rFonts w:ascii="Arial Narrow" w:hAnsi="Arial Narrow"/>
                <w:iCs/>
                <w:sz w:val="20"/>
                <w:szCs w:val="20"/>
              </w:rPr>
              <w:t>NEW (HSD Public)</w:t>
            </w:r>
          </w:p>
          <w:p w14:paraId="1D636408" w14:textId="77777777" w:rsidR="00DD5C35" w:rsidRPr="006B6F1D" w:rsidRDefault="00DD5C35" w:rsidP="00C65237">
            <w:pPr>
              <w:keepNext/>
              <w:keepLines/>
              <w:jc w:val="center"/>
              <w:rPr>
                <w:rFonts w:ascii="Arial Narrow" w:eastAsiaTheme="minorHAnsi" w:hAnsi="Arial Narrow"/>
                <w:iCs/>
                <w:sz w:val="20"/>
                <w:szCs w:val="20"/>
                <w:lang w:eastAsia="en-US"/>
              </w:rPr>
            </w:pPr>
            <w:r w:rsidRPr="006B6F1D">
              <w:rPr>
                <w:rFonts w:ascii="Arial Narrow" w:hAnsi="Arial Narrow"/>
                <w:iCs/>
                <w:sz w:val="20"/>
                <w:szCs w:val="20"/>
              </w:rPr>
              <w:t>NEW (HSD Private)</w:t>
            </w:r>
          </w:p>
        </w:tc>
        <w:tc>
          <w:tcPr>
            <w:tcW w:w="1402" w:type="dxa"/>
            <w:tcBorders>
              <w:top w:val="single" w:sz="4" w:space="0" w:color="auto"/>
              <w:left w:val="single" w:sz="4" w:space="0" w:color="auto"/>
              <w:bottom w:val="single" w:sz="4" w:space="0" w:color="auto"/>
              <w:right w:val="single" w:sz="4" w:space="0" w:color="auto"/>
            </w:tcBorders>
            <w:vAlign w:val="center"/>
          </w:tcPr>
          <w:p w14:paraId="12DB48BA" w14:textId="49AE4467" w:rsidR="00DD5C35" w:rsidRPr="0083662A" w:rsidRDefault="00DD5C35" w:rsidP="00C65237">
            <w:pPr>
              <w:pStyle w:val="TableText"/>
              <w:keepLines/>
              <w:jc w:val="center"/>
            </w:pPr>
            <w:r w:rsidRPr="00BC7838">
              <w:t>Published price Private:</w:t>
            </w:r>
            <w:r w:rsidR="00E02F3C">
              <w:t xml:space="preserve"> </w:t>
            </w:r>
            <w:r w:rsidRPr="0083662A">
              <w:t>$</w:t>
            </w:r>
            <w:r w:rsidR="00DE2396" w:rsidRPr="00DE2396">
              <w:rPr>
                <w:color w:val="000000"/>
                <w:shd w:val="solid" w:color="000000" w:fill="000000"/>
                <w14:textFill>
                  <w14:solidFill>
                    <w14:srgbClr w14:val="000000">
                      <w14:alpha w14:val="100000"/>
                    </w14:srgbClr>
                  </w14:solidFill>
                </w14:textFill>
              </w:rPr>
              <w:t>|</w:t>
            </w:r>
          </w:p>
          <w:p w14:paraId="6CA90239" w14:textId="65BED8B3" w:rsidR="00DD5C35" w:rsidRPr="00BC7838" w:rsidRDefault="00DD5C35" w:rsidP="00E02F3C">
            <w:pPr>
              <w:pStyle w:val="TableText"/>
              <w:keepLines/>
              <w:jc w:val="center"/>
              <w:rPr>
                <w:b/>
                <w:bCs w:val="0"/>
                <w:i/>
                <w:color w:val="333333"/>
                <w:szCs w:val="20"/>
              </w:rPr>
            </w:pPr>
            <w:r w:rsidRPr="0083662A">
              <w:rPr>
                <w:rFonts w:cstheme="minorHAnsi"/>
              </w:rPr>
              <w:t>Public:</w:t>
            </w:r>
            <w:r w:rsidR="00E02F3C">
              <w:rPr>
                <w:rFonts w:cstheme="minorHAnsi"/>
              </w:rPr>
              <w:t xml:space="preserve"> </w:t>
            </w:r>
            <w:r w:rsidRPr="0083662A">
              <w:t>$</w:t>
            </w:r>
            <w:r w:rsidR="00DE2396" w:rsidRPr="00DE2396">
              <w:rPr>
                <w:color w:val="000000"/>
                <w:shd w:val="solid" w:color="000000" w:fill="000000"/>
                <w14:textFill>
                  <w14:solidFill>
                    <w14:srgbClr w14:val="000000">
                      <w14:alpha w14:val="100000"/>
                    </w14:srgbClr>
                  </w14:solidFill>
                </w14:textFill>
              </w:rPr>
              <w:t>|</w:t>
            </w:r>
          </w:p>
        </w:tc>
        <w:tc>
          <w:tcPr>
            <w:tcW w:w="69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AC72F1C" w14:textId="77777777" w:rsidR="00DD5C35" w:rsidRPr="001C05C6" w:rsidRDefault="00DD5C35" w:rsidP="00C65237">
            <w:pPr>
              <w:keepNext/>
              <w:keepLines/>
              <w:rPr>
                <w:rFonts w:ascii="Arial Narrow" w:hAnsi="Arial Narrow"/>
                <w:b/>
                <w:bCs/>
                <w:iCs/>
                <w:color w:val="333333"/>
                <w:sz w:val="20"/>
                <w:szCs w:val="20"/>
              </w:rPr>
            </w:pPr>
            <w:r w:rsidRPr="001C05C6">
              <w:rPr>
                <w:rFonts w:ascii="Arial Narrow" w:hAnsi="Arial Narrow"/>
                <w:iCs/>
                <w:sz w:val="20"/>
                <w:szCs w:val="20"/>
              </w:rPr>
              <w:t xml:space="preserve">  8</w:t>
            </w:r>
          </w:p>
        </w:tc>
        <w:tc>
          <w:tcPr>
            <w:tcW w:w="61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67017D" w14:textId="77777777" w:rsidR="00DD5C35" w:rsidRPr="001C05C6" w:rsidRDefault="00DD5C35" w:rsidP="00C65237">
            <w:pPr>
              <w:keepNext/>
              <w:keepLines/>
              <w:rPr>
                <w:rFonts w:ascii="Arial Narrow" w:hAnsi="Arial Narrow"/>
                <w:b/>
                <w:bCs/>
                <w:iCs/>
                <w:color w:val="333333"/>
                <w:sz w:val="20"/>
                <w:szCs w:val="20"/>
              </w:rPr>
            </w:pPr>
            <w:r w:rsidRPr="001C05C6">
              <w:rPr>
                <w:rFonts w:ascii="Arial Narrow" w:hAnsi="Arial Narrow"/>
                <w:iCs/>
                <w:sz w:val="20"/>
                <w:szCs w:val="20"/>
              </w:rPr>
              <w:t>56</w:t>
            </w:r>
          </w:p>
        </w:tc>
        <w:tc>
          <w:tcPr>
            <w:tcW w:w="712"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8B0FAB8" w14:textId="77777777" w:rsidR="00DD5C35" w:rsidRPr="001C05C6" w:rsidRDefault="00DD5C35" w:rsidP="00C65237">
            <w:pPr>
              <w:keepNext/>
              <w:keepLines/>
              <w:rPr>
                <w:rFonts w:ascii="Arial Narrow" w:hAnsi="Arial Narrow"/>
                <w:b/>
                <w:bCs/>
                <w:iCs/>
                <w:color w:val="333333"/>
                <w:sz w:val="20"/>
                <w:szCs w:val="20"/>
              </w:rPr>
            </w:pPr>
            <w:r w:rsidRPr="001C05C6">
              <w:rPr>
                <w:rFonts w:ascii="Arial Narrow" w:hAnsi="Arial Narrow"/>
                <w:iCs/>
                <w:sz w:val="20"/>
                <w:szCs w:val="20"/>
              </w:rPr>
              <w:t>5</w:t>
            </w:r>
          </w:p>
        </w:tc>
        <w:tc>
          <w:tcPr>
            <w:tcW w:w="150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88F244F" w14:textId="77777777" w:rsidR="00DD5C35" w:rsidRPr="006B6F1D" w:rsidRDefault="00DD5C35" w:rsidP="00C65237">
            <w:pPr>
              <w:keepNext/>
              <w:keepLines/>
              <w:rPr>
                <w:rFonts w:ascii="Arial Narrow" w:eastAsiaTheme="minorHAnsi" w:hAnsi="Arial Narrow"/>
                <w:iCs/>
                <w:sz w:val="20"/>
                <w:szCs w:val="20"/>
                <w:lang w:eastAsia="en-US"/>
              </w:rPr>
            </w:pPr>
            <w:proofErr w:type="spellStart"/>
            <w:r w:rsidRPr="006B6F1D">
              <w:rPr>
                <w:rFonts w:ascii="Arial Narrow" w:hAnsi="Arial Narrow"/>
                <w:iCs/>
                <w:sz w:val="20"/>
                <w:szCs w:val="20"/>
              </w:rPr>
              <w:t>Lecigon</w:t>
            </w:r>
            <w:proofErr w:type="spellEnd"/>
            <w:r w:rsidRPr="006B6F1D">
              <w:rPr>
                <w:rFonts w:ascii="Arial Narrow" w:hAnsi="Arial Narrow"/>
                <w:iCs/>
                <w:sz w:val="20"/>
                <w:szCs w:val="20"/>
              </w:rPr>
              <w:t xml:space="preserve"> /</w:t>
            </w:r>
          </w:p>
          <w:p w14:paraId="1670BEC6" w14:textId="77777777" w:rsidR="00DD5C35" w:rsidRPr="001C05C6" w:rsidRDefault="00DD5C35" w:rsidP="00C65237">
            <w:pPr>
              <w:keepNext/>
              <w:keepLines/>
              <w:rPr>
                <w:rFonts w:ascii="Arial Narrow" w:hAnsi="Arial Narrow"/>
                <w:i/>
                <w:color w:val="333333"/>
                <w:sz w:val="20"/>
                <w:szCs w:val="20"/>
              </w:rPr>
            </w:pPr>
            <w:r w:rsidRPr="006B6F1D">
              <w:rPr>
                <w:rFonts w:ascii="Arial Narrow" w:hAnsi="Arial Narrow"/>
                <w:iCs/>
                <w:color w:val="333333"/>
                <w:sz w:val="20"/>
                <w:szCs w:val="20"/>
              </w:rPr>
              <w:t>STADA Pharmaceuticals Australia Pty Ltd</w:t>
            </w:r>
          </w:p>
        </w:tc>
      </w:tr>
      <w:tr w:rsidR="00DD5C35" w:rsidRPr="001C05C6" w14:paraId="57B6C2AE" w14:textId="77777777" w:rsidTr="004538F5">
        <w:trPr>
          <w:cantSplit/>
          <w:trHeight w:val="20"/>
        </w:trPr>
        <w:tc>
          <w:tcPr>
            <w:tcW w:w="9016"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40E5A5" w14:textId="77777777" w:rsidR="00DD5C35" w:rsidRPr="001C05C6" w:rsidRDefault="00DD5C35" w:rsidP="00C65237">
            <w:pPr>
              <w:keepNext/>
              <w:keepLines/>
              <w:rPr>
                <w:rFonts w:ascii="Arial Narrow" w:hAnsi="Arial Narrow"/>
                <w:b/>
                <w:bCs/>
                <w:i/>
                <w:color w:val="333333"/>
                <w:sz w:val="20"/>
                <w:szCs w:val="20"/>
              </w:rPr>
            </w:pPr>
          </w:p>
        </w:tc>
      </w:tr>
      <w:tr w:rsidR="00DD5C35" w:rsidRPr="001C05C6" w14:paraId="4D2120F7" w14:textId="77777777" w:rsidTr="004538F5">
        <w:trPr>
          <w:cantSplit/>
          <w:trHeight w:val="20"/>
        </w:trPr>
        <w:tc>
          <w:tcPr>
            <w:tcW w:w="9016"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5781F4" w14:textId="77777777" w:rsidR="00DD5C35" w:rsidRPr="006B6F1D" w:rsidRDefault="00DD5C35" w:rsidP="00C65237">
            <w:pPr>
              <w:keepNext/>
              <w:keepLines/>
              <w:rPr>
                <w:rFonts w:ascii="Arial Narrow" w:hAnsi="Arial Narrow"/>
                <w:b/>
                <w:bCs/>
                <w:iCs/>
                <w:color w:val="333333"/>
                <w:sz w:val="20"/>
                <w:szCs w:val="20"/>
              </w:rPr>
            </w:pPr>
            <w:r w:rsidRPr="006B6F1D">
              <w:rPr>
                <w:rFonts w:ascii="Arial Narrow" w:hAnsi="Arial Narrow"/>
                <w:b/>
                <w:bCs/>
                <w:iCs/>
                <w:color w:val="333333"/>
                <w:sz w:val="20"/>
                <w:szCs w:val="20"/>
              </w:rPr>
              <w:t>Variant of Restriction Summary 10395/10353 / ToC: 10375/10363: Authority Required: Streamlined</w:t>
            </w:r>
          </w:p>
        </w:tc>
      </w:tr>
      <w:tr w:rsidR="00496E18" w:rsidRPr="001C05C6" w14:paraId="66D3B0C7" w14:textId="77777777" w:rsidTr="008A0131">
        <w:trPr>
          <w:cantSplit/>
          <w:trHeight w:val="20"/>
        </w:trPr>
        <w:tc>
          <w:tcPr>
            <w:tcW w:w="1277" w:type="dxa"/>
            <w:gridSpan w:val="2"/>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0AFA8DD5" w14:textId="7797BEB4" w:rsidR="00496E18" w:rsidRPr="006B6F1D" w:rsidRDefault="00496E18" w:rsidP="00C65237">
            <w:pPr>
              <w:jc w:val="center"/>
              <w:rPr>
                <w:rFonts w:ascii="Arial Narrow" w:eastAsiaTheme="minorHAnsi" w:hAnsi="Arial Narrow"/>
                <w:b/>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1FDFA6" w14:textId="77777777" w:rsidR="00496E18" w:rsidRPr="006B6F1D" w:rsidRDefault="00496E18" w:rsidP="00C65237">
            <w:pPr>
              <w:keepLines/>
              <w:rPr>
                <w:rFonts w:ascii="Arial Narrow" w:hAnsi="Arial Narrow"/>
                <w:iCs/>
                <w:sz w:val="20"/>
                <w:szCs w:val="20"/>
              </w:rPr>
            </w:pPr>
            <w:r w:rsidRPr="006B6F1D">
              <w:rPr>
                <w:rFonts w:ascii="Arial Narrow" w:hAnsi="Arial Narrow"/>
                <w:b/>
                <w:iCs/>
                <w:sz w:val="20"/>
                <w:szCs w:val="20"/>
              </w:rPr>
              <w:t xml:space="preserve">Category / Program: </w:t>
            </w:r>
            <w:r w:rsidRPr="006B6F1D">
              <w:rPr>
                <w:rFonts w:ascii="Arial Narrow" w:hAnsi="Arial Narrow"/>
                <w:iCs/>
                <w:sz w:val="20"/>
                <w:szCs w:val="20"/>
              </w:rPr>
              <w:t xml:space="preserve">Section 100 – Highly Specialised Drugs Program </w:t>
            </w:r>
          </w:p>
        </w:tc>
      </w:tr>
      <w:tr w:rsidR="00496E18" w:rsidRPr="001C05C6" w14:paraId="456423DE" w14:textId="77777777" w:rsidTr="008A0131">
        <w:trPr>
          <w:cantSplit/>
          <w:trHeight w:val="20"/>
        </w:trPr>
        <w:tc>
          <w:tcPr>
            <w:tcW w:w="1277" w:type="dxa"/>
            <w:gridSpan w:val="2"/>
            <w:vMerge/>
            <w:tcBorders>
              <w:left w:val="single" w:sz="4" w:space="0" w:color="auto"/>
              <w:right w:val="single" w:sz="4" w:space="0" w:color="auto"/>
            </w:tcBorders>
            <w:vAlign w:val="center"/>
            <w:hideMark/>
          </w:tcPr>
          <w:p w14:paraId="6231BB73" w14:textId="77777777" w:rsidR="00496E18" w:rsidRPr="006B6F1D" w:rsidRDefault="00496E18" w:rsidP="00C65237">
            <w:pPr>
              <w:rPr>
                <w:rFonts w:ascii="Arial Narrow" w:hAnsi="Arial Narrow"/>
                <w:b/>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8F11FF8" w14:textId="77777777" w:rsidR="00496E18" w:rsidRPr="006B6F1D" w:rsidRDefault="00496E18" w:rsidP="00C65237">
            <w:pPr>
              <w:keepNext/>
              <w:keepLines/>
              <w:rPr>
                <w:rFonts w:ascii="Arial Narrow" w:hAnsi="Arial Narrow"/>
                <w:b/>
                <w:iCs/>
                <w:sz w:val="20"/>
                <w:szCs w:val="20"/>
              </w:rPr>
            </w:pPr>
            <w:r w:rsidRPr="006B6F1D">
              <w:rPr>
                <w:rFonts w:ascii="Arial Narrow" w:hAnsi="Arial Narrow"/>
                <w:b/>
                <w:iCs/>
                <w:sz w:val="20"/>
                <w:szCs w:val="20"/>
              </w:rPr>
              <w:t xml:space="preserve">Prescriber type: </w:t>
            </w:r>
            <w:r w:rsidRPr="006B6F1D">
              <w:rPr>
                <w:rFonts w:ascii="Arial Narrow" w:hAnsi="Arial Narrow"/>
                <w:iCs/>
                <w:sz w:val="20"/>
                <w:szCs w:val="20"/>
              </w:rPr>
              <w:fldChar w:fldCharType="begin" w:fldLock="1">
                <w:ffData>
                  <w:name w:val=""/>
                  <w:enabled/>
                  <w:calcOnExit w:val="0"/>
                  <w:checkBox>
                    <w:sizeAuto/>
                    <w:default w:val="1"/>
                  </w:checkBox>
                </w:ffData>
              </w:fldChar>
            </w:r>
            <w:r w:rsidRPr="006B6F1D">
              <w:rPr>
                <w:rFonts w:ascii="Arial Narrow" w:hAnsi="Arial Narrow"/>
                <w:iCs/>
                <w:sz w:val="20"/>
                <w:szCs w:val="20"/>
              </w:rPr>
              <w:instrText xml:space="preserve"> FORMCHECKBOX </w:instrText>
            </w:r>
            <w:r w:rsidRPr="006B6F1D">
              <w:rPr>
                <w:rFonts w:ascii="Arial Narrow" w:hAnsi="Arial Narrow"/>
                <w:iCs/>
                <w:sz w:val="20"/>
                <w:szCs w:val="20"/>
              </w:rPr>
            </w:r>
            <w:r w:rsidRPr="006B6F1D">
              <w:rPr>
                <w:rFonts w:ascii="Arial Narrow" w:hAnsi="Arial Narrow"/>
                <w:iCs/>
                <w:sz w:val="20"/>
                <w:szCs w:val="20"/>
              </w:rPr>
              <w:fldChar w:fldCharType="separate"/>
            </w:r>
            <w:r w:rsidRPr="006B6F1D">
              <w:rPr>
                <w:rFonts w:ascii="Arial Narrow" w:hAnsi="Arial Narrow"/>
                <w:iCs/>
                <w:sz w:val="20"/>
                <w:szCs w:val="20"/>
              </w:rPr>
              <w:fldChar w:fldCharType="end"/>
            </w:r>
            <w:r w:rsidRPr="006B6F1D">
              <w:rPr>
                <w:rFonts w:ascii="Arial Narrow" w:hAnsi="Arial Narrow"/>
                <w:iCs/>
                <w:sz w:val="20"/>
                <w:szCs w:val="20"/>
              </w:rPr>
              <w:t xml:space="preserve">Medical Practitioners </w:t>
            </w:r>
          </w:p>
        </w:tc>
      </w:tr>
      <w:tr w:rsidR="00496E18" w:rsidRPr="001C05C6" w14:paraId="2C07B760" w14:textId="77777777" w:rsidTr="008A0131">
        <w:trPr>
          <w:cantSplit/>
          <w:trHeight w:val="20"/>
        </w:trPr>
        <w:tc>
          <w:tcPr>
            <w:tcW w:w="1277" w:type="dxa"/>
            <w:gridSpan w:val="2"/>
            <w:vMerge/>
            <w:tcBorders>
              <w:left w:val="single" w:sz="4" w:space="0" w:color="auto"/>
              <w:right w:val="single" w:sz="4" w:space="0" w:color="auto"/>
            </w:tcBorders>
            <w:vAlign w:val="center"/>
            <w:hideMark/>
          </w:tcPr>
          <w:p w14:paraId="2DC0CD06" w14:textId="77777777" w:rsidR="00496E18" w:rsidRPr="006B6F1D" w:rsidRDefault="00496E18" w:rsidP="00C65237">
            <w:pPr>
              <w:rPr>
                <w:rFonts w:ascii="Arial Narrow" w:hAnsi="Arial Narrow"/>
                <w:b/>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861CB2" w14:textId="77777777" w:rsidR="00496E18" w:rsidRPr="006B6F1D" w:rsidRDefault="00496E18" w:rsidP="00C65237">
            <w:pPr>
              <w:keepNext/>
              <w:keepLines/>
              <w:rPr>
                <w:rFonts w:ascii="Arial Narrow" w:eastAsia="Calibri" w:hAnsi="Arial Narrow"/>
                <w:iCs/>
                <w:sz w:val="20"/>
                <w:szCs w:val="20"/>
              </w:rPr>
            </w:pPr>
            <w:r w:rsidRPr="006B6F1D">
              <w:rPr>
                <w:rFonts w:ascii="Arial Narrow" w:hAnsi="Arial Narrow"/>
                <w:b/>
                <w:iCs/>
                <w:sz w:val="20"/>
                <w:szCs w:val="20"/>
              </w:rPr>
              <w:t xml:space="preserve">Restriction type: </w:t>
            </w:r>
            <w:r w:rsidRPr="006B6F1D">
              <w:rPr>
                <w:rFonts w:ascii="Arial Narrow" w:eastAsia="Calibri" w:hAnsi="Arial Narrow"/>
                <w:iCs/>
                <w:sz w:val="20"/>
                <w:szCs w:val="20"/>
              </w:rPr>
              <w:fldChar w:fldCharType="begin" w:fldLock="1">
                <w:ffData>
                  <w:name w:val=""/>
                  <w:enabled/>
                  <w:calcOnExit w:val="0"/>
                  <w:checkBox>
                    <w:sizeAuto/>
                    <w:default w:val="1"/>
                  </w:checkBox>
                </w:ffData>
              </w:fldChar>
            </w:r>
            <w:r w:rsidRPr="006B6F1D">
              <w:rPr>
                <w:rFonts w:ascii="Arial Narrow" w:eastAsia="Calibri" w:hAnsi="Arial Narrow"/>
                <w:iCs/>
                <w:sz w:val="20"/>
                <w:szCs w:val="20"/>
              </w:rPr>
              <w:instrText xml:space="preserve"> FORMCHECKBOX </w:instrText>
            </w:r>
            <w:r w:rsidRPr="006B6F1D">
              <w:rPr>
                <w:rFonts w:ascii="Arial Narrow" w:eastAsia="Calibri" w:hAnsi="Arial Narrow"/>
                <w:iCs/>
                <w:sz w:val="20"/>
                <w:szCs w:val="20"/>
              </w:rPr>
            </w:r>
            <w:r w:rsidRPr="006B6F1D">
              <w:rPr>
                <w:rFonts w:ascii="Arial Narrow" w:eastAsia="Calibri" w:hAnsi="Arial Narrow"/>
                <w:iCs/>
                <w:sz w:val="20"/>
                <w:szCs w:val="20"/>
              </w:rPr>
              <w:fldChar w:fldCharType="separate"/>
            </w:r>
            <w:r w:rsidRPr="006B6F1D">
              <w:rPr>
                <w:rFonts w:ascii="Arial Narrow" w:eastAsia="Calibri" w:hAnsi="Arial Narrow"/>
                <w:iCs/>
                <w:sz w:val="20"/>
                <w:szCs w:val="20"/>
              </w:rPr>
              <w:fldChar w:fldCharType="end"/>
            </w:r>
            <w:r w:rsidRPr="006B6F1D">
              <w:rPr>
                <w:rFonts w:ascii="Arial Narrow" w:eastAsia="Calibri" w:hAnsi="Arial Narrow"/>
                <w:iCs/>
                <w:sz w:val="20"/>
                <w:szCs w:val="20"/>
              </w:rPr>
              <w:t xml:space="preserve">Authority Required (STREAMLINED) [new code] </w:t>
            </w:r>
          </w:p>
        </w:tc>
      </w:tr>
      <w:tr w:rsidR="00496E18" w:rsidRPr="001C05C6" w14:paraId="2D00B4BA" w14:textId="77777777" w:rsidTr="008A0131">
        <w:trPr>
          <w:cantSplit/>
          <w:trHeight w:val="20"/>
        </w:trPr>
        <w:tc>
          <w:tcPr>
            <w:tcW w:w="1277" w:type="dxa"/>
            <w:gridSpan w:val="2"/>
            <w:vMerge/>
            <w:tcBorders>
              <w:left w:val="single" w:sz="4" w:space="0" w:color="auto"/>
              <w:bottom w:val="single" w:sz="4" w:space="0" w:color="auto"/>
              <w:right w:val="single" w:sz="4" w:space="0" w:color="auto"/>
            </w:tcBorders>
            <w:vAlign w:val="center"/>
          </w:tcPr>
          <w:p w14:paraId="4B78FE64" w14:textId="77777777" w:rsidR="00496E18" w:rsidRPr="006B6F1D" w:rsidRDefault="00496E18" w:rsidP="00C65237">
            <w:pPr>
              <w:rPr>
                <w:rFonts w:ascii="Arial Narrow" w:hAnsi="Arial Narrow"/>
                <w:b/>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AF2B26" w14:textId="7557171D" w:rsidR="00496E18" w:rsidRPr="00496E18" w:rsidRDefault="00496E18" w:rsidP="00496E18">
            <w:pPr>
              <w:keepNext/>
              <w:keepLines/>
              <w:rPr>
                <w:rFonts w:ascii="Arial Narrow" w:hAnsi="Arial Narrow"/>
                <w:b/>
                <w:iCs/>
                <w:sz w:val="20"/>
                <w:szCs w:val="20"/>
              </w:rPr>
            </w:pPr>
            <w:r w:rsidRPr="00496E18">
              <w:rPr>
                <w:rFonts w:ascii="Arial Narrow" w:hAnsi="Arial Narrow"/>
                <w:b/>
                <w:iCs/>
                <w:sz w:val="20"/>
                <w:szCs w:val="20"/>
              </w:rPr>
              <w:t xml:space="preserve">Authority type: </w:t>
            </w:r>
          </w:p>
          <w:p w14:paraId="7BC41904" w14:textId="35A85124" w:rsidR="00496E18" w:rsidRPr="006B6F1D" w:rsidRDefault="00496E18" w:rsidP="00496E18">
            <w:pPr>
              <w:keepNext/>
              <w:keepLines/>
              <w:rPr>
                <w:rFonts w:ascii="Arial Narrow" w:hAnsi="Arial Narrow"/>
                <w:b/>
                <w:iCs/>
                <w:sz w:val="20"/>
                <w:szCs w:val="20"/>
              </w:rPr>
            </w:pPr>
            <w:r w:rsidRPr="006B6F1D">
              <w:rPr>
                <w:rFonts w:ascii="Arial Narrow" w:eastAsia="Calibri" w:hAnsi="Arial Narrow"/>
                <w:iCs/>
                <w:sz w:val="20"/>
                <w:szCs w:val="20"/>
              </w:rPr>
              <w:fldChar w:fldCharType="begin" w:fldLock="1">
                <w:ffData>
                  <w:name w:val=""/>
                  <w:enabled/>
                  <w:calcOnExit w:val="0"/>
                  <w:checkBox>
                    <w:sizeAuto/>
                    <w:default w:val="1"/>
                  </w:checkBox>
                </w:ffData>
              </w:fldChar>
            </w:r>
            <w:r w:rsidRPr="006B6F1D">
              <w:rPr>
                <w:rFonts w:ascii="Arial Narrow" w:eastAsia="Calibri" w:hAnsi="Arial Narrow"/>
                <w:iCs/>
                <w:sz w:val="20"/>
                <w:szCs w:val="20"/>
              </w:rPr>
              <w:instrText xml:space="preserve"> FORMCHECKBOX </w:instrText>
            </w:r>
            <w:r w:rsidRPr="006B6F1D">
              <w:rPr>
                <w:rFonts w:ascii="Arial Narrow" w:eastAsia="Calibri" w:hAnsi="Arial Narrow"/>
                <w:iCs/>
                <w:sz w:val="20"/>
                <w:szCs w:val="20"/>
              </w:rPr>
            </w:r>
            <w:r w:rsidRPr="006B6F1D">
              <w:rPr>
                <w:rFonts w:ascii="Arial Narrow" w:eastAsia="Calibri" w:hAnsi="Arial Narrow"/>
                <w:iCs/>
                <w:sz w:val="20"/>
                <w:szCs w:val="20"/>
              </w:rPr>
              <w:fldChar w:fldCharType="separate"/>
            </w:r>
            <w:r w:rsidRPr="006B6F1D">
              <w:rPr>
                <w:rFonts w:ascii="Arial Narrow" w:eastAsia="Calibri" w:hAnsi="Arial Narrow"/>
                <w:iCs/>
                <w:sz w:val="20"/>
                <w:szCs w:val="20"/>
              </w:rPr>
              <w:fldChar w:fldCharType="end"/>
            </w:r>
            <w:r>
              <w:rPr>
                <w:rFonts w:ascii="Arial Narrow" w:eastAsia="Calibri" w:hAnsi="Arial Narrow"/>
                <w:iCs/>
                <w:sz w:val="20"/>
                <w:szCs w:val="20"/>
              </w:rPr>
              <w:t xml:space="preserve"> </w:t>
            </w:r>
            <w:r w:rsidRPr="00496E18">
              <w:rPr>
                <w:rFonts w:ascii="Arial Narrow" w:hAnsi="Arial Narrow"/>
                <w:bCs/>
                <w:iCs/>
                <w:sz w:val="20"/>
                <w:szCs w:val="20"/>
              </w:rPr>
              <w:t>Non-complex Authority Required (non-CAR)</w:t>
            </w:r>
          </w:p>
        </w:tc>
      </w:tr>
      <w:tr w:rsidR="00DD5C35" w:rsidRPr="001C05C6" w14:paraId="02E5A001" w14:textId="77777777" w:rsidTr="008403BF">
        <w:trPr>
          <w:cantSplit/>
          <w:trHeight w:val="20"/>
        </w:trPr>
        <w:tc>
          <w:tcPr>
            <w:tcW w:w="63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F12A821" w14:textId="1A03D0B8" w:rsidR="00DD5C35" w:rsidRPr="004538F5" w:rsidRDefault="00DD5C35" w:rsidP="00C65237">
            <w:pPr>
              <w:rPr>
                <w:rFonts w:ascii="Arial Narrow" w:eastAsiaTheme="minorHAnsi" w:hAnsi="Arial Narrow"/>
                <w:iCs/>
                <w:sz w:val="20"/>
                <w:szCs w:val="20"/>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9C8D40D" w14:textId="1F6ADDBD" w:rsidR="00DD5C35" w:rsidRPr="006B6F1D" w:rsidRDefault="00DD5C35" w:rsidP="00C65237">
            <w:pP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7BDD4D" w14:textId="77777777" w:rsidR="00DD5C35" w:rsidRPr="006B6F1D" w:rsidRDefault="00DD5C35" w:rsidP="00C65237">
            <w:pPr>
              <w:keepNext/>
              <w:keepLines/>
              <w:rPr>
                <w:rFonts w:ascii="Arial Narrow" w:hAnsi="Arial Narrow"/>
                <w:b/>
                <w:iCs/>
                <w:sz w:val="20"/>
                <w:szCs w:val="20"/>
              </w:rPr>
            </w:pPr>
            <w:r w:rsidRPr="006B6F1D">
              <w:rPr>
                <w:rFonts w:ascii="Arial Narrow" w:hAnsi="Arial Narrow"/>
                <w:b/>
                <w:bCs/>
                <w:iCs/>
                <w:color w:val="333333"/>
                <w:sz w:val="20"/>
                <w:szCs w:val="20"/>
              </w:rPr>
              <w:t xml:space="preserve">Administrative Advice: </w:t>
            </w:r>
            <w:r w:rsidRPr="006B6F1D">
              <w:rPr>
                <w:rFonts w:ascii="Arial Narrow" w:hAnsi="Arial Narrow"/>
                <w:iCs/>
                <w:color w:val="333333"/>
                <w:sz w:val="20"/>
                <w:szCs w:val="20"/>
              </w:rPr>
              <w:t>Special Pricing Arrangements apply.</w:t>
            </w:r>
          </w:p>
        </w:tc>
      </w:tr>
      <w:tr w:rsidR="00DD5C35" w:rsidRPr="001C05C6" w14:paraId="4F229FFE"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E37EF59" w14:textId="77777777" w:rsidR="00DD5C35" w:rsidRPr="006B6F1D" w:rsidRDefault="00DD5C35" w:rsidP="00C65237">
            <w:pPr>
              <w:rPr>
                <w:rFonts w:ascii="Arial Narrow" w:hAnsi="Arial Narrow"/>
                <w:b/>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2E610E4" w14:textId="77777777" w:rsidR="00DD5C35" w:rsidRPr="006B6F1D" w:rsidRDefault="00DD5C35" w:rsidP="00C65237">
            <w:pPr>
              <w:rPr>
                <w:rFonts w:ascii="Arial Narrow" w:hAnsi="Arial Narrow"/>
                <w:iCs/>
                <w:sz w:val="20"/>
                <w:szCs w:val="20"/>
              </w:rPr>
            </w:pPr>
            <w:r w:rsidRPr="006B6F1D">
              <w:rPr>
                <w:rFonts w:ascii="Arial Narrow" w:hAnsi="Arial Narrow"/>
                <w:b/>
                <w:bCs/>
                <w:iCs/>
                <w:sz w:val="20"/>
                <w:szCs w:val="20"/>
              </w:rPr>
              <w:t xml:space="preserve">Severity: </w:t>
            </w:r>
            <w:r w:rsidRPr="006B6F1D">
              <w:rPr>
                <w:rFonts w:ascii="Arial Narrow" w:hAnsi="Arial Narrow" w:cstheme="minorHAnsi"/>
                <w:iCs/>
                <w:sz w:val="20"/>
                <w:szCs w:val="20"/>
              </w:rPr>
              <w:t>Advanced</w:t>
            </w:r>
          </w:p>
        </w:tc>
      </w:tr>
      <w:tr w:rsidR="00DD5C35" w:rsidRPr="001C05C6" w14:paraId="6C0EA6D8" w14:textId="77777777" w:rsidTr="004538F5">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F92B34" w14:textId="77777777" w:rsidR="00DD5C35" w:rsidRPr="006B6F1D"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DFB483A" w14:textId="635F62BA" w:rsidR="00DD5C35" w:rsidRPr="006B6F1D" w:rsidRDefault="00DD5C35" w:rsidP="00C65237">
            <w:pPr>
              <w:rPr>
                <w:rFonts w:ascii="Arial Narrow" w:hAnsi="Arial Narrow"/>
                <w:b/>
                <w:bCs/>
                <w:iCs/>
                <w:sz w:val="20"/>
                <w:szCs w:val="20"/>
              </w:rPr>
            </w:pPr>
            <w:r w:rsidRPr="006B6F1D">
              <w:rPr>
                <w:rFonts w:ascii="Arial Narrow" w:hAnsi="Arial Narrow"/>
                <w:b/>
                <w:bCs/>
                <w:iCs/>
                <w:sz w:val="20"/>
                <w:szCs w:val="20"/>
              </w:rPr>
              <w:t xml:space="preserve">Condition: </w:t>
            </w:r>
            <w:r w:rsidRPr="006B6F1D">
              <w:rPr>
                <w:rFonts w:ascii="Arial Narrow" w:hAnsi="Arial Narrow" w:cstheme="minorHAnsi"/>
                <w:iCs/>
                <w:sz w:val="20"/>
                <w:szCs w:val="20"/>
              </w:rPr>
              <w:t>Parkinson Disease</w:t>
            </w:r>
          </w:p>
        </w:tc>
      </w:tr>
      <w:tr w:rsidR="00DD5C35" w:rsidRPr="001C05C6" w14:paraId="3D4C3160"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9239B24" w14:textId="61C96CA8" w:rsidR="00DD5C35" w:rsidRPr="006B6F1D"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03727F" w14:textId="77777777" w:rsidR="00DD5C35" w:rsidRPr="006B6F1D" w:rsidRDefault="00DD5C35" w:rsidP="00C65237">
            <w:pPr>
              <w:rPr>
                <w:rFonts w:ascii="Arial Narrow" w:hAnsi="Arial Narrow"/>
                <w:b/>
                <w:bCs/>
                <w:iCs/>
                <w:color w:val="333333"/>
                <w:sz w:val="20"/>
                <w:szCs w:val="20"/>
              </w:rPr>
            </w:pPr>
            <w:r w:rsidRPr="006B6F1D">
              <w:rPr>
                <w:rFonts w:ascii="Arial Narrow" w:hAnsi="Arial Narrow"/>
                <w:b/>
                <w:bCs/>
                <w:iCs/>
                <w:color w:val="333333"/>
                <w:sz w:val="20"/>
                <w:szCs w:val="20"/>
              </w:rPr>
              <w:t>Indication:</w:t>
            </w:r>
            <w:r w:rsidRPr="006B6F1D">
              <w:rPr>
                <w:rFonts w:ascii="Arial Narrow" w:hAnsi="Arial Narrow"/>
                <w:iCs/>
                <w:color w:val="333333"/>
                <w:sz w:val="20"/>
                <w:szCs w:val="20"/>
              </w:rPr>
              <w:t xml:space="preserve"> </w:t>
            </w:r>
            <w:r w:rsidRPr="006B6F1D">
              <w:rPr>
                <w:rFonts w:ascii="Arial Narrow" w:hAnsi="Arial Narrow" w:cstheme="minorHAnsi"/>
                <w:iCs/>
                <w:sz w:val="20"/>
                <w:szCs w:val="20"/>
              </w:rPr>
              <w:t>Advanced Parkinson disease</w:t>
            </w:r>
          </w:p>
        </w:tc>
      </w:tr>
      <w:tr w:rsidR="00DD5C35" w:rsidRPr="001C05C6" w14:paraId="176386B9"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96543E2" w14:textId="075A5070" w:rsidR="00DD5C35" w:rsidRPr="006B6F1D" w:rsidRDefault="00DD5C35" w:rsidP="00C65237">
            <w:pPr>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E9FB88" w14:textId="77777777" w:rsidR="00DD5C35" w:rsidRPr="006B6F1D" w:rsidRDefault="00DD5C35" w:rsidP="00C65237">
            <w:pPr>
              <w:rPr>
                <w:rFonts w:ascii="Arial Narrow" w:hAnsi="Arial Narrow"/>
                <w:b/>
                <w:bCs/>
                <w:iCs/>
                <w:sz w:val="20"/>
                <w:szCs w:val="20"/>
              </w:rPr>
            </w:pPr>
            <w:r w:rsidRPr="006B6F1D">
              <w:rPr>
                <w:rFonts w:ascii="Arial Narrow" w:hAnsi="Arial Narrow"/>
                <w:b/>
                <w:bCs/>
                <w:iCs/>
                <w:sz w:val="20"/>
                <w:szCs w:val="20"/>
              </w:rPr>
              <w:t xml:space="preserve">Clinical criteria: </w:t>
            </w:r>
          </w:p>
        </w:tc>
      </w:tr>
      <w:tr w:rsidR="00DD5C35" w:rsidRPr="001C05C6" w14:paraId="615393E1"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34136A" w14:textId="2ECC7F47" w:rsidR="00DD5C35" w:rsidRPr="006B6F1D" w:rsidRDefault="00DD5C35" w:rsidP="00C65237">
            <w:pPr>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8D9A9CA" w14:textId="67D6A401" w:rsidR="00DD5C35" w:rsidRPr="006B6F1D" w:rsidRDefault="0048153C" w:rsidP="00C65237">
            <w:pPr>
              <w:rPr>
                <w:rFonts w:ascii="Arial Narrow" w:hAnsi="Arial Narrow"/>
                <w:b/>
                <w:bCs/>
                <w:iCs/>
                <w:sz w:val="20"/>
                <w:szCs w:val="20"/>
              </w:rPr>
            </w:pPr>
            <w:r w:rsidRPr="0048153C">
              <w:rPr>
                <w:rFonts w:ascii="Arial Narrow" w:hAnsi="Arial Narrow"/>
                <w:sz w:val="20"/>
                <w:szCs w:val="20"/>
              </w:rPr>
              <w:t>Patient must have severe disabling motor fluctuations not adequately controlled by at least one of: (i) oral therapy; (ii) intestinal gel formulation containing levodopa.</w:t>
            </w:r>
          </w:p>
        </w:tc>
      </w:tr>
      <w:tr w:rsidR="00DD5C35" w:rsidRPr="001C05C6" w14:paraId="5463D317" w14:textId="77777777" w:rsidTr="004538F5">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5D1559" w14:textId="77777777" w:rsidR="00DD5C35" w:rsidRPr="006B6F1D"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408E5C7" w14:textId="77777777" w:rsidR="00DD5C35" w:rsidRPr="006B6F1D" w:rsidRDefault="00DD5C35" w:rsidP="00C65237">
            <w:pPr>
              <w:rPr>
                <w:rFonts w:ascii="Arial Narrow" w:hAnsi="Arial Narrow"/>
                <w:iCs/>
                <w:sz w:val="20"/>
                <w:szCs w:val="20"/>
              </w:rPr>
            </w:pPr>
            <w:r w:rsidRPr="006B6F1D">
              <w:rPr>
                <w:rFonts w:ascii="Arial Narrow" w:hAnsi="Arial Narrow"/>
                <w:b/>
                <w:bCs/>
                <w:iCs/>
                <w:sz w:val="20"/>
                <w:szCs w:val="20"/>
              </w:rPr>
              <w:t>AND</w:t>
            </w:r>
          </w:p>
        </w:tc>
      </w:tr>
      <w:tr w:rsidR="00DD5C35" w:rsidRPr="001C05C6" w14:paraId="21F72218"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A6045B" w14:textId="763B8F2C" w:rsidR="00DD5C35" w:rsidRPr="006B6F1D"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001D938" w14:textId="77777777" w:rsidR="00DD5C35" w:rsidRPr="006B6F1D" w:rsidRDefault="00DD5C35" w:rsidP="00C65237">
            <w:pPr>
              <w:rPr>
                <w:rFonts w:ascii="Arial Narrow" w:hAnsi="Arial Narrow"/>
                <w:b/>
                <w:bCs/>
                <w:iCs/>
                <w:sz w:val="20"/>
                <w:szCs w:val="20"/>
              </w:rPr>
            </w:pPr>
            <w:r w:rsidRPr="006B6F1D">
              <w:rPr>
                <w:rFonts w:ascii="Arial Narrow" w:hAnsi="Arial Narrow"/>
                <w:b/>
                <w:bCs/>
                <w:iCs/>
                <w:sz w:val="20"/>
                <w:szCs w:val="20"/>
              </w:rPr>
              <w:t>Clinical criteria:</w:t>
            </w:r>
          </w:p>
        </w:tc>
      </w:tr>
      <w:tr w:rsidR="00DD5C35" w:rsidRPr="001C05C6" w14:paraId="1B0CABDF"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E3CA03" w14:textId="65F076A8" w:rsidR="00DD5C35" w:rsidRPr="006B6F1D"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C9A004" w14:textId="175AAA9E" w:rsidR="00DD5C35" w:rsidRPr="006B6F1D" w:rsidRDefault="00DD5C35" w:rsidP="00C65237">
            <w:pPr>
              <w:rPr>
                <w:rFonts w:ascii="Arial Narrow" w:hAnsi="Arial Narrow"/>
                <w:b/>
                <w:bCs/>
                <w:iCs/>
                <w:sz w:val="20"/>
                <w:szCs w:val="20"/>
              </w:rPr>
            </w:pPr>
            <w:r w:rsidRPr="006B6F1D">
              <w:rPr>
                <w:rFonts w:ascii="Arial Narrow" w:hAnsi="Arial Narrow"/>
                <w:iCs/>
                <w:sz w:val="20"/>
                <w:szCs w:val="20"/>
              </w:rPr>
              <w:t>The treatment must be commenced in a hospital-based movement disorder clinic</w:t>
            </w:r>
            <w:r w:rsidR="00961A44">
              <w:rPr>
                <w:rFonts w:ascii="Arial Narrow" w:hAnsi="Arial Narrow"/>
                <w:iCs/>
                <w:sz w:val="20"/>
                <w:szCs w:val="20"/>
              </w:rPr>
              <w:t>.</w:t>
            </w:r>
          </w:p>
        </w:tc>
      </w:tr>
      <w:tr w:rsidR="00DD5C35" w:rsidRPr="001C05C6" w14:paraId="55167692" w14:textId="77777777" w:rsidTr="004538F5">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2A4B80" w14:textId="77777777" w:rsidR="00DD5C35" w:rsidRPr="006B6F1D"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9F3DE7" w14:textId="77777777" w:rsidR="00DD5C35" w:rsidRPr="006B6F1D" w:rsidRDefault="00DD5C35" w:rsidP="00C65237">
            <w:pPr>
              <w:rPr>
                <w:rFonts w:ascii="Arial Narrow" w:hAnsi="Arial Narrow"/>
                <w:iCs/>
                <w:sz w:val="20"/>
                <w:szCs w:val="20"/>
              </w:rPr>
            </w:pPr>
            <w:r w:rsidRPr="006B6F1D">
              <w:rPr>
                <w:rFonts w:ascii="Arial Narrow" w:hAnsi="Arial Narrow"/>
                <w:b/>
                <w:bCs/>
                <w:iCs/>
                <w:color w:val="333333"/>
                <w:sz w:val="20"/>
                <w:szCs w:val="20"/>
              </w:rPr>
              <w:t>AND</w:t>
            </w:r>
          </w:p>
        </w:tc>
      </w:tr>
      <w:tr w:rsidR="00DD5C35" w:rsidRPr="001C05C6" w14:paraId="05FF5973"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CFACF5" w14:textId="5504E59E" w:rsidR="00DD5C35" w:rsidRPr="006B6F1D"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F2B2A38" w14:textId="77777777" w:rsidR="00DD5C35" w:rsidRPr="006B6F1D" w:rsidRDefault="00DD5C35" w:rsidP="00C65237">
            <w:pPr>
              <w:rPr>
                <w:rFonts w:ascii="Arial Narrow" w:hAnsi="Arial Narrow"/>
                <w:iCs/>
                <w:sz w:val="20"/>
                <w:szCs w:val="20"/>
              </w:rPr>
            </w:pPr>
            <w:r w:rsidRPr="006B6F1D">
              <w:rPr>
                <w:rFonts w:ascii="Arial Narrow" w:hAnsi="Arial Narrow"/>
                <w:b/>
                <w:bCs/>
                <w:iCs/>
                <w:sz w:val="20"/>
                <w:szCs w:val="20"/>
              </w:rPr>
              <w:t>Clinical criteria:</w:t>
            </w:r>
          </w:p>
        </w:tc>
      </w:tr>
      <w:tr w:rsidR="00DD5C35" w:rsidRPr="001C05C6" w14:paraId="41EE7BB0"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173F9C" w14:textId="37E9CF64" w:rsidR="00DD5C35" w:rsidRPr="006B6F1D"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F00B4F" w14:textId="77777777" w:rsidR="00DD5C35" w:rsidRPr="006B6F1D" w:rsidRDefault="00DD5C35" w:rsidP="00C65237">
            <w:pPr>
              <w:rPr>
                <w:rFonts w:ascii="Arial Narrow" w:hAnsi="Arial Narrow"/>
                <w:iCs/>
                <w:sz w:val="20"/>
                <w:szCs w:val="20"/>
              </w:rPr>
            </w:pPr>
            <w:r w:rsidRPr="006B6F1D">
              <w:rPr>
                <w:rFonts w:ascii="Arial Narrow" w:hAnsi="Arial Narrow"/>
                <w:iCs/>
                <w:sz w:val="20"/>
                <w:szCs w:val="20"/>
              </w:rPr>
              <w:t>Patient must require continuous administration of levodopa without an overnight break; or</w:t>
            </w:r>
          </w:p>
        </w:tc>
      </w:tr>
      <w:tr w:rsidR="00DD5C35" w:rsidRPr="001C05C6" w14:paraId="556FAD0E"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50BEC4C" w14:textId="1FC605DF" w:rsidR="00DD5C35" w:rsidRPr="006B6F1D"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57505E2" w14:textId="0C501D8F" w:rsidR="00DD5C35" w:rsidRPr="006B6F1D" w:rsidRDefault="00DD5C35" w:rsidP="00C65237">
            <w:pPr>
              <w:rPr>
                <w:rFonts w:ascii="Arial Narrow" w:hAnsi="Arial Narrow"/>
                <w:iCs/>
                <w:sz w:val="20"/>
                <w:szCs w:val="20"/>
              </w:rPr>
            </w:pPr>
            <w:r w:rsidRPr="006B6F1D">
              <w:rPr>
                <w:rFonts w:ascii="Arial Narrow" w:hAnsi="Arial Narrow"/>
                <w:iCs/>
                <w:sz w:val="20"/>
                <w:szCs w:val="20"/>
              </w:rPr>
              <w:t>Patient must require a total daily dose of more than 940 mg of levodopa</w:t>
            </w:r>
            <w:r w:rsidR="00961A44">
              <w:rPr>
                <w:rFonts w:ascii="Arial Narrow" w:hAnsi="Arial Narrow"/>
                <w:iCs/>
                <w:sz w:val="20"/>
                <w:szCs w:val="20"/>
              </w:rPr>
              <w:t>.</w:t>
            </w:r>
          </w:p>
        </w:tc>
      </w:tr>
      <w:tr w:rsidR="004B1ED9" w:rsidRPr="001C05C6" w14:paraId="1B61E573"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9E57A0E" w14:textId="0ADC0DFD" w:rsidR="004B1ED9" w:rsidRPr="004B1ED9" w:rsidRDefault="004B1ED9" w:rsidP="003A48EE">
            <w:pPr>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8834E5" w14:textId="77777777" w:rsidR="004B1ED9" w:rsidRPr="004B1ED9" w:rsidRDefault="004B1ED9" w:rsidP="003A48EE">
            <w:pPr>
              <w:rPr>
                <w:rFonts w:ascii="Arial Narrow" w:hAnsi="Arial Narrow"/>
                <w:iCs/>
                <w:sz w:val="20"/>
                <w:szCs w:val="20"/>
              </w:rPr>
            </w:pPr>
            <w:r w:rsidRPr="004B1ED9">
              <w:rPr>
                <w:rFonts w:ascii="Arial Narrow" w:hAnsi="Arial Narrow"/>
                <w:b/>
                <w:bCs/>
                <w:iCs/>
                <w:sz w:val="20"/>
                <w:szCs w:val="20"/>
              </w:rPr>
              <w:t>Administrative advice:</w:t>
            </w:r>
            <w:r w:rsidRPr="004B1ED9">
              <w:rPr>
                <w:rFonts w:ascii="Arial Narrow" w:hAnsi="Arial Narrow"/>
                <w:iCs/>
                <w:sz w:val="20"/>
                <w:szCs w:val="20"/>
              </w:rPr>
              <w:t xml:space="preserve"> Patient should have adequate cognitive function to manage administration with a portable continuous infusion pump.</w:t>
            </w:r>
          </w:p>
        </w:tc>
      </w:tr>
    </w:tbl>
    <w:p w14:paraId="4495C359" w14:textId="6F6BDECF" w:rsidR="00DD5C35" w:rsidRPr="004538F5" w:rsidRDefault="00DD5C35" w:rsidP="00E02F3C">
      <w:pPr>
        <w:pStyle w:val="3-BodyText"/>
        <w:numPr>
          <w:ilvl w:val="0"/>
          <w:numId w:val="0"/>
        </w:numPr>
        <w:spacing w:before="120" w:after="0"/>
        <w:rPr>
          <w:rFonts w:ascii="Arial Narrow" w:hAnsi="Arial Narrow"/>
          <w:b/>
          <w:bCs/>
          <w:sz w:val="20"/>
          <w:szCs w:val="20"/>
        </w:rPr>
      </w:pPr>
      <w:r w:rsidRPr="004538F5">
        <w:rPr>
          <w:rFonts w:ascii="Arial Narrow" w:hAnsi="Arial Narrow"/>
          <w:b/>
          <w:bCs/>
          <w:sz w:val="20"/>
          <w:szCs w:val="20"/>
        </w:rPr>
        <w:t>General Schedule listing for a maximum quantity of 28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40"/>
        <w:gridCol w:w="1269"/>
        <w:gridCol w:w="1134"/>
        <w:gridCol w:w="1411"/>
        <w:gridCol w:w="712"/>
        <w:gridCol w:w="712"/>
        <w:gridCol w:w="673"/>
        <w:gridCol w:w="1828"/>
      </w:tblGrid>
      <w:tr w:rsidR="00DD5C35" w:rsidRPr="001C05C6" w14:paraId="71D69FF8" w14:textId="77777777" w:rsidTr="004B1ED9">
        <w:trPr>
          <w:cantSplit/>
          <w:trHeight w:val="20"/>
        </w:trPr>
        <w:tc>
          <w:tcPr>
            <w:tcW w:w="2546" w:type="dxa"/>
            <w:gridSpan w:val="3"/>
            <w:tcBorders>
              <w:top w:val="single" w:sz="4" w:space="0" w:color="auto"/>
              <w:left w:val="single" w:sz="4" w:space="0" w:color="auto"/>
              <w:bottom w:val="single" w:sz="4" w:space="0" w:color="auto"/>
              <w:right w:val="single" w:sz="4" w:space="0" w:color="auto"/>
            </w:tcBorders>
            <w:vAlign w:val="center"/>
            <w:hideMark/>
          </w:tcPr>
          <w:p w14:paraId="4073F44A" w14:textId="77777777" w:rsidR="00DD5C35" w:rsidRPr="001C05C6" w:rsidRDefault="00DD5C35" w:rsidP="00C65237">
            <w:pPr>
              <w:keepLines/>
              <w:rPr>
                <w:rFonts w:ascii="Arial Narrow" w:hAnsi="Arial Narrow"/>
                <w:b/>
                <w:bCs/>
                <w:iCs/>
                <w:sz w:val="20"/>
                <w:szCs w:val="20"/>
              </w:rPr>
            </w:pPr>
            <w:r w:rsidRPr="001C05C6">
              <w:rPr>
                <w:rFonts w:ascii="Arial Narrow" w:hAnsi="Arial Narrow"/>
                <w:b/>
                <w:bCs/>
                <w:iCs/>
                <w:sz w:val="20"/>
                <w:szCs w:val="20"/>
              </w:rPr>
              <w:t>MEDICINAL PRODUCT</w:t>
            </w:r>
          </w:p>
          <w:p w14:paraId="3B6F953F" w14:textId="77777777" w:rsidR="00DD5C35" w:rsidRPr="001C05C6" w:rsidRDefault="00DD5C35" w:rsidP="00C65237">
            <w:pPr>
              <w:keepLines/>
              <w:rPr>
                <w:rFonts w:ascii="Arial Narrow" w:hAnsi="Arial Narrow"/>
                <w:b/>
                <w:iCs/>
                <w:sz w:val="20"/>
                <w:szCs w:val="20"/>
              </w:rPr>
            </w:pPr>
            <w:r w:rsidRPr="001C05C6">
              <w:rPr>
                <w:rFonts w:ascii="Arial Narrow" w:hAnsi="Arial Narrow"/>
                <w:b/>
                <w:bCs/>
                <w:iCs/>
                <w:sz w:val="20"/>
                <w:szCs w:val="20"/>
              </w:rPr>
              <w:t>medicinal product pack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BD6DF9" w14:textId="77777777" w:rsidR="00DD5C35" w:rsidRPr="001C05C6" w:rsidRDefault="00DD5C35" w:rsidP="00C65237">
            <w:pPr>
              <w:keepLines/>
              <w:jc w:val="center"/>
              <w:rPr>
                <w:rFonts w:ascii="Arial Narrow" w:hAnsi="Arial Narrow"/>
                <w:b/>
                <w:iCs/>
                <w:sz w:val="20"/>
                <w:szCs w:val="20"/>
              </w:rPr>
            </w:pPr>
            <w:r w:rsidRPr="001C05C6">
              <w:rPr>
                <w:rFonts w:ascii="Arial Narrow" w:hAnsi="Arial Narrow"/>
                <w:b/>
                <w:iCs/>
                <w:sz w:val="20"/>
                <w:szCs w:val="20"/>
              </w:rPr>
              <w:t>PBS item code</w:t>
            </w:r>
          </w:p>
        </w:tc>
        <w:tc>
          <w:tcPr>
            <w:tcW w:w="1411" w:type="dxa"/>
            <w:tcBorders>
              <w:top w:val="single" w:sz="4" w:space="0" w:color="auto"/>
              <w:left w:val="single" w:sz="4" w:space="0" w:color="auto"/>
              <w:bottom w:val="single" w:sz="4" w:space="0" w:color="auto"/>
              <w:right w:val="single" w:sz="4" w:space="0" w:color="auto"/>
            </w:tcBorders>
            <w:vAlign w:val="center"/>
          </w:tcPr>
          <w:p w14:paraId="7830CC5C" w14:textId="77777777" w:rsidR="00DD5C35" w:rsidRPr="001C05C6" w:rsidRDefault="00DD5C35" w:rsidP="00C65237">
            <w:pPr>
              <w:keepLines/>
              <w:jc w:val="center"/>
              <w:rPr>
                <w:rFonts w:ascii="Arial Narrow" w:hAnsi="Arial Narrow"/>
                <w:b/>
                <w:iCs/>
                <w:sz w:val="20"/>
                <w:szCs w:val="20"/>
              </w:rPr>
            </w:pPr>
            <w:r w:rsidRPr="001C05C6">
              <w:rPr>
                <w:rFonts w:ascii="Arial Narrow" w:hAnsi="Arial Narrow"/>
                <w:b/>
                <w:iCs/>
                <w:sz w:val="20"/>
                <w:szCs w:val="20"/>
              </w:rPr>
              <w:t>Dispensed Price for Max. Qty</w:t>
            </w:r>
          </w:p>
        </w:tc>
        <w:tc>
          <w:tcPr>
            <w:tcW w:w="712" w:type="dxa"/>
            <w:tcBorders>
              <w:top w:val="single" w:sz="4" w:space="0" w:color="auto"/>
              <w:left w:val="single" w:sz="4" w:space="0" w:color="auto"/>
              <w:bottom w:val="single" w:sz="4" w:space="0" w:color="auto"/>
              <w:right w:val="single" w:sz="4" w:space="0" w:color="auto"/>
            </w:tcBorders>
            <w:vAlign w:val="center"/>
            <w:hideMark/>
          </w:tcPr>
          <w:p w14:paraId="031CDCA3" w14:textId="77777777" w:rsidR="00DD5C35" w:rsidRPr="001C05C6" w:rsidRDefault="00DD5C35" w:rsidP="00C65237">
            <w:pPr>
              <w:keepLines/>
              <w:jc w:val="center"/>
              <w:rPr>
                <w:rFonts w:ascii="Arial Narrow" w:hAnsi="Arial Narrow"/>
                <w:b/>
                <w:iCs/>
                <w:sz w:val="20"/>
                <w:szCs w:val="20"/>
              </w:rPr>
            </w:pPr>
            <w:r w:rsidRPr="001C05C6">
              <w:rPr>
                <w:rFonts w:ascii="Arial Narrow" w:hAnsi="Arial Narrow"/>
                <w:b/>
                <w:iCs/>
                <w:sz w:val="20"/>
                <w:szCs w:val="20"/>
              </w:rPr>
              <w:t>Max. qty packs</w:t>
            </w:r>
          </w:p>
        </w:tc>
        <w:tc>
          <w:tcPr>
            <w:tcW w:w="712" w:type="dxa"/>
            <w:tcBorders>
              <w:top w:val="single" w:sz="4" w:space="0" w:color="auto"/>
              <w:left w:val="single" w:sz="4" w:space="0" w:color="auto"/>
              <w:bottom w:val="single" w:sz="4" w:space="0" w:color="auto"/>
              <w:right w:val="single" w:sz="4" w:space="0" w:color="auto"/>
            </w:tcBorders>
            <w:vAlign w:val="center"/>
            <w:hideMark/>
          </w:tcPr>
          <w:p w14:paraId="05490C65" w14:textId="77777777" w:rsidR="00DD5C35" w:rsidRPr="001C05C6" w:rsidRDefault="00DD5C35" w:rsidP="00C65237">
            <w:pPr>
              <w:keepLines/>
              <w:jc w:val="center"/>
              <w:rPr>
                <w:rFonts w:ascii="Arial Narrow" w:hAnsi="Arial Narrow"/>
                <w:b/>
                <w:iCs/>
                <w:sz w:val="20"/>
                <w:szCs w:val="20"/>
              </w:rPr>
            </w:pPr>
            <w:r w:rsidRPr="001C05C6">
              <w:rPr>
                <w:rFonts w:ascii="Arial Narrow" w:hAnsi="Arial Narrow"/>
                <w:b/>
                <w:iCs/>
                <w:sz w:val="20"/>
                <w:szCs w:val="20"/>
              </w:rPr>
              <w:t>Max. qty units</w:t>
            </w:r>
          </w:p>
        </w:tc>
        <w:tc>
          <w:tcPr>
            <w:tcW w:w="673" w:type="dxa"/>
            <w:tcBorders>
              <w:top w:val="single" w:sz="4" w:space="0" w:color="auto"/>
              <w:left w:val="single" w:sz="4" w:space="0" w:color="auto"/>
              <w:bottom w:val="single" w:sz="4" w:space="0" w:color="auto"/>
              <w:right w:val="single" w:sz="4" w:space="0" w:color="auto"/>
            </w:tcBorders>
            <w:vAlign w:val="center"/>
            <w:hideMark/>
          </w:tcPr>
          <w:p w14:paraId="5E6D347E" w14:textId="77777777" w:rsidR="00DD5C35" w:rsidRPr="001C05C6" w:rsidRDefault="00DD5C35" w:rsidP="00C65237">
            <w:pPr>
              <w:keepLines/>
              <w:jc w:val="center"/>
              <w:rPr>
                <w:rFonts w:ascii="Arial Narrow" w:hAnsi="Arial Narrow"/>
                <w:b/>
                <w:iCs/>
                <w:sz w:val="20"/>
                <w:szCs w:val="20"/>
              </w:rPr>
            </w:pPr>
            <w:r w:rsidRPr="001C05C6">
              <w:rPr>
                <w:rFonts w:ascii="Arial Narrow" w:hAnsi="Arial Narrow"/>
                <w:b/>
                <w:iCs/>
                <w:sz w:val="20"/>
                <w:szCs w:val="20"/>
              </w:rPr>
              <w:t>№.of</w:t>
            </w:r>
          </w:p>
          <w:p w14:paraId="1E83A048" w14:textId="77777777" w:rsidR="00DD5C35" w:rsidRPr="001C05C6" w:rsidRDefault="00DD5C35" w:rsidP="00C65237">
            <w:pPr>
              <w:keepLines/>
              <w:jc w:val="center"/>
              <w:rPr>
                <w:rFonts w:ascii="Arial Narrow" w:hAnsi="Arial Narrow"/>
                <w:b/>
                <w:iCs/>
                <w:sz w:val="20"/>
                <w:szCs w:val="20"/>
              </w:rPr>
            </w:pPr>
            <w:r w:rsidRPr="001C05C6">
              <w:rPr>
                <w:rFonts w:ascii="Arial Narrow" w:hAnsi="Arial Narrow"/>
                <w:b/>
                <w:iCs/>
                <w:sz w:val="20"/>
                <w:szCs w:val="20"/>
              </w:rPr>
              <w:t>Rpts</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AA89E88" w14:textId="77777777" w:rsidR="00DD5C35" w:rsidRPr="007F0649" w:rsidRDefault="00DD5C35" w:rsidP="00C65237">
            <w:pPr>
              <w:keepLines/>
              <w:rPr>
                <w:rFonts w:ascii="Arial Narrow" w:hAnsi="Arial Narrow"/>
                <w:b/>
                <w:iCs/>
                <w:sz w:val="20"/>
                <w:szCs w:val="20"/>
              </w:rPr>
            </w:pPr>
            <w:r w:rsidRPr="001C05C6">
              <w:rPr>
                <w:rFonts w:ascii="Arial Narrow" w:hAnsi="Arial Narrow"/>
                <w:b/>
                <w:iCs/>
                <w:sz w:val="20"/>
                <w:szCs w:val="20"/>
              </w:rPr>
              <w:t>Available brands</w:t>
            </w:r>
          </w:p>
        </w:tc>
      </w:tr>
      <w:tr w:rsidR="00DD5C35" w:rsidRPr="001C05C6" w14:paraId="62B8A245" w14:textId="77777777" w:rsidTr="004B1ED9">
        <w:trPr>
          <w:cantSplit/>
          <w:trHeight w:val="20"/>
        </w:trPr>
        <w:tc>
          <w:tcPr>
            <w:tcW w:w="9016" w:type="dxa"/>
            <w:gridSpan w:val="9"/>
            <w:tcBorders>
              <w:top w:val="single" w:sz="4" w:space="0" w:color="auto"/>
              <w:left w:val="single" w:sz="4" w:space="0" w:color="auto"/>
              <w:bottom w:val="single" w:sz="4" w:space="0" w:color="auto"/>
              <w:right w:val="single" w:sz="4" w:space="0" w:color="auto"/>
            </w:tcBorders>
            <w:vAlign w:val="center"/>
            <w:hideMark/>
          </w:tcPr>
          <w:p w14:paraId="51C3E1C2" w14:textId="77777777" w:rsidR="00DD5C35" w:rsidRPr="001C05C6" w:rsidRDefault="00DD5C35" w:rsidP="00C65237">
            <w:pPr>
              <w:keepLines/>
              <w:rPr>
                <w:rFonts w:ascii="Arial Narrow" w:hAnsi="Arial Narrow"/>
                <w:iCs/>
                <w:sz w:val="20"/>
                <w:szCs w:val="20"/>
              </w:rPr>
            </w:pPr>
            <w:r w:rsidRPr="001C05C6">
              <w:rPr>
                <w:rFonts w:ascii="Arial Narrow" w:hAnsi="Arial Narrow"/>
                <w:iCs/>
                <w:sz w:val="20"/>
                <w:szCs w:val="20"/>
              </w:rPr>
              <w:t>LEVODOPA + CARBIDOPA + ENTACAPONE</w:t>
            </w:r>
          </w:p>
        </w:tc>
      </w:tr>
      <w:tr w:rsidR="00DD5C35" w:rsidRPr="001C05C6" w14:paraId="6BC7C055" w14:textId="77777777" w:rsidTr="004B1ED9">
        <w:trPr>
          <w:cantSplit/>
          <w:trHeight w:val="20"/>
        </w:trPr>
        <w:tc>
          <w:tcPr>
            <w:tcW w:w="2546" w:type="dxa"/>
            <w:gridSpan w:val="3"/>
            <w:tcBorders>
              <w:top w:val="single" w:sz="4" w:space="0" w:color="auto"/>
              <w:left w:val="single" w:sz="4" w:space="0" w:color="auto"/>
              <w:bottom w:val="single" w:sz="4" w:space="0" w:color="auto"/>
              <w:right w:val="single" w:sz="4" w:space="0" w:color="auto"/>
            </w:tcBorders>
            <w:vAlign w:val="center"/>
            <w:hideMark/>
          </w:tcPr>
          <w:p w14:paraId="60362641" w14:textId="77777777" w:rsidR="00DD5C35" w:rsidRPr="004538F5" w:rsidRDefault="00DD5C35" w:rsidP="00C65237">
            <w:pPr>
              <w:keepLines/>
              <w:rPr>
                <w:rFonts w:ascii="Arial Narrow" w:hAnsi="Arial Narrow"/>
                <w:iCs/>
                <w:strike/>
                <w:sz w:val="20"/>
                <w:szCs w:val="20"/>
              </w:rPr>
            </w:pPr>
            <w:r w:rsidRPr="004538F5">
              <w:rPr>
                <w:rFonts w:ascii="Arial Narrow" w:hAnsi="Arial Narrow"/>
                <w:iCs/>
                <w:sz w:val="20"/>
                <w:szCs w:val="20"/>
              </w:rPr>
              <w:t>levodopa 20 mg/mL + carbidopa monohydrate 5 mg/mL + entacapone 20 mg/mL intestinal gel, 7 x 47 mL cartridges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6668C0" w14:textId="77777777" w:rsidR="00DD5C35" w:rsidRPr="004538F5" w:rsidRDefault="00DD5C35" w:rsidP="00C65237">
            <w:pPr>
              <w:keepLines/>
              <w:jc w:val="center"/>
              <w:rPr>
                <w:rFonts w:ascii="Arial Narrow" w:hAnsi="Arial Narrow"/>
                <w:iCs/>
                <w:sz w:val="20"/>
                <w:szCs w:val="20"/>
              </w:rPr>
            </w:pPr>
            <w:r w:rsidRPr="004538F5">
              <w:rPr>
                <w:rFonts w:ascii="Arial Narrow" w:hAnsi="Arial Narrow"/>
                <w:iCs/>
                <w:sz w:val="20"/>
                <w:szCs w:val="20"/>
              </w:rPr>
              <w:t>NEW</w:t>
            </w:r>
          </w:p>
          <w:p w14:paraId="2BCD5F20" w14:textId="77777777" w:rsidR="00DD5C35" w:rsidRPr="001C05C6" w:rsidRDefault="00DD5C35" w:rsidP="00C65237">
            <w:pPr>
              <w:keepLines/>
              <w:jc w:val="center"/>
              <w:rPr>
                <w:rFonts w:ascii="Arial Narrow" w:hAnsi="Arial Narrow"/>
                <w:i/>
                <w:sz w:val="20"/>
                <w:szCs w:val="20"/>
              </w:rPr>
            </w:pPr>
            <w:r w:rsidRPr="004538F5">
              <w:rPr>
                <w:rFonts w:ascii="Arial Narrow" w:hAnsi="Arial Narrow"/>
                <w:iCs/>
                <w:sz w:val="20"/>
                <w:szCs w:val="20"/>
                <w:vertAlign w:val="superscript"/>
              </w:rPr>
              <w:t xml:space="preserve"> MP NP</w:t>
            </w:r>
          </w:p>
        </w:tc>
        <w:tc>
          <w:tcPr>
            <w:tcW w:w="1411" w:type="dxa"/>
            <w:tcBorders>
              <w:top w:val="single" w:sz="4" w:space="0" w:color="auto"/>
              <w:left w:val="single" w:sz="4" w:space="0" w:color="auto"/>
              <w:bottom w:val="single" w:sz="4" w:space="0" w:color="auto"/>
              <w:right w:val="single" w:sz="4" w:space="0" w:color="auto"/>
            </w:tcBorders>
            <w:vAlign w:val="center"/>
          </w:tcPr>
          <w:p w14:paraId="00C70C25" w14:textId="77777777" w:rsidR="00DD5C35" w:rsidRPr="00880AF3" w:rsidRDefault="00DD5C35" w:rsidP="00C65237">
            <w:pPr>
              <w:pStyle w:val="TableText"/>
              <w:keepLines/>
              <w:jc w:val="center"/>
            </w:pPr>
            <w:r w:rsidRPr="00880AF3">
              <w:t>Published price</w:t>
            </w:r>
          </w:p>
          <w:p w14:paraId="2AE3D2A4" w14:textId="16A9DE56" w:rsidR="00DD5C35" w:rsidRPr="00161CA4" w:rsidRDefault="00DD5C35" w:rsidP="00161CA4">
            <w:pPr>
              <w:pStyle w:val="TableText"/>
              <w:keepLines/>
              <w:jc w:val="center"/>
            </w:pPr>
            <w:r w:rsidRPr="00880AF3">
              <w:t>$</w:t>
            </w:r>
            <w:r w:rsidR="00DE2396" w:rsidRPr="00DE2396">
              <w:rPr>
                <w:color w:val="000000"/>
                <w:shd w:val="solid" w:color="000000" w:fill="000000"/>
                <w14:textFill>
                  <w14:solidFill>
                    <w14:srgbClr w14:val="000000">
                      <w14:alpha w14:val="100000"/>
                    </w14:srgbClr>
                  </w14:solidFill>
                </w14:textFill>
              </w:rPr>
              <w:t>|</w:t>
            </w:r>
          </w:p>
        </w:tc>
        <w:tc>
          <w:tcPr>
            <w:tcW w:w="712" w:type="dxa"/>
            <w:tcBorders>
              <w:top w:val="single" w:sz="4" w:space="0" w:color="auto"/>
              <w:left w:val="single" w:sz="4" w:space="0" w:color="auto"/>
              <w:bottom w:val="single" w:sz="4" w:space="0" w:color="auto"/>
              <w:right w:val="single" w:sz="4" w:space="0" w:color="auto"/>
            </w:tcBorders>
            <w:vAlign w:val="center"/>
            <w:hideMark/>
          </w:tcPr>
          <w:p w14:paraId="01149CE6" w14:textId="77777777" w:rsidR="00DD5C35" w:rsidRPr="001C05C6" w:rsidRDefault="00DD5C35" w:rsidP="00C65237">
            <w:pPr>
              <w:keepLines/>
              <w:jc w:val="center"/>
              <w:rPr>
                <w:rFonts w:ascii="Arial Narrow" w:hAnsi="Arial Narrow"/>
                <w:iCs/>
                <w:sz w:val="20"/>
                <w:szCs w:val="20"/>
              </w:rPr>
            </w:pPr>
            <w:r w:rsidRPr="001C05C6">
              <w:rPr>
                <w:rFonts w:ascii="Arial Narrow" w:hAnsi="Arial Narrow"/>
                <w:iCs/>
                <w:sz w:val="20"/>
                <w:szCs w:val="20"/>
              </w:rPr>
              <w:t>4</w:t>
            </w:r>
          </w:p>
        </w:tc>
        <w:tc>
          <w:tcPr>
            <w:tcW w:w="712" w:type="dxa"/>
            <w:tcBorders>
              <w:top w:val="single" w:sz="4" w:space="0" w:color="auto"/>
              <w:left w:val="single" w:sz="4" w:space="0" w:color="auto"/>
              <w:bottom w:val="single" w:sz="4" w:space="0" w:color="auto"/>
              <w:right w:val="single" w:sz="4" w:space="0" w:color="auto"/>
            </w:tcBorders>
            <w:vAlign w:val="center"/>
            <w:hideMark/>
          </w:tcPr>
          <w:p w14:paraId="0ED3C354" w14:textId="77777777" w:rsidR="00DD5C35" w:rsidRPr="001C05C6" w:rsidRDefault="00DD5C35" w:rsidP="00C65237">
            <w:pPr>
              <w:keepLines/>
              <w:jc w:val="center"/>
              <w:rPr>
                <w:rFonts w:ascii="Arial Narrow" w:hAnsi="Arial Narrow"/>
                <w:iCs/>
                <w:sz w:val="20"/>
                <w:szCs w:val="20"/>
              </w:rPr>
            </w:pPr>
            <w:r w:rsidRPr="001C05C6">
              <w:rPr>
                <w:rFonts w:ascii="Arial Narrow" w:hAnsi="Arial Narrow"/>
                <w:iCs/>
                <w:sz w:val="20"/>
                <w:szCs w:val="20"/>
              </w:rPr>
              <w:t xml:space="preserve">28 </w:t>
            </w:r>
          </w:p>
        </w:tc>
        <w:tc>
          <w:tcPr>
            <w:tcW w:w="673" w:type="dxa"/>
            <w:tcBorders>
              <w:top w:val="single" w:sz="4" w:space="0" w:color="auto"/>
              <w:left w:val="single" w:sz="4" w:space="0" w:color="auto"/>
              <w:bottom w:val="single" w:sz="4" w:space="0" w:color="auto"/>
              <w:right w:val="single" w:sz="4" w:space="0" w:color="auto"/>
            </w:tcBorders>
            <w:vAlign w:val="center"/>
            <w:hideMark/>
          </w:tcPr>
          <w:p w14:paraId="6CF92197" w14:textId="77777777" w:rsidR="00DD5C35" w:rsidRPr="001C05C6" w:rsidRDefault="00DD5C35" w:rsidP="00C65237">
            <w:pPr>
              <w:keepLines/>
              <w:jc w:val="center"/>
              <w:rPr>
                <w:rFonts w:ascii="Arial Narrow" w:hAnsi="Arial Narrow"/>
                <w:iCs/>
                <w:sz w:val="20"/>
                <w:szCs w:val="20"/>
              </w:rPr>
            </w:pPr>
            <w:r w:rsidRPr="001C05C6">
              <w:rPr>
                <w:rFonts w:ascii="Arial Narrow" w:hAnsi="Arial Narrow"/>
                <w:iCs/>
                <w:sz w:val="20"/>
                <w:szCs w:val="20"/>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C8A8C6A" w14:textId="77777777" w:rsidR="00DD5C35" w:rsidRPr="001C05C6" w:rsidRDefault="00DD5C35" w:rsidP="00C65237">
            <w:pPr>
              <w:keepNext/>
              <w:keepLines/>
              <w:rPr>
                <w:rFonts w:ascii="Arial Narrow" w:hAnsi="Arial Narrow"/>
                <w:iCs/>
                <w:sz w:val="20"/>
                <w:szCs w:val="20"/>
              </w:rPr>
            </w:pPr>
            <w:proofErr w:type="spellStart"/>
            <w:r w:rsidRPr="001C05C6">
              <w:rPr>
                <w:rFonts w:ascii="Arial Narrow" w:hAnsi="Arial Narrow"/>
                <w:iCs/>
                <w:sz w:val="20"/>
                <w:szCs w:val="20"/>
              </w:rPr>
              <w:t>Lecigon</w:t>
            </w:r>
            <w:proofErr w:type="spellEnd"/>
            <w:r w:rsidRPr="001C05C6">
              <w:rPr>
                <w:rFonts w:ascii="Arial Narrow" w:hAnsi="Arial Narrow"/>
                <w:iCs/>
                <w:sz w:val="20"/>
                <w:szCs w:val="20"/>
              </w:rPr>
              <w:t xml:space="preserve"> /</w:t>
            </w:r>
          </w:p>
          <w:p w14:paraId="5A39859D" w14:textId="77777777" w:rsidR="00DD5C35" w:rsidRPr="001C05C6" w:rsidRDefault="00DD5C35" w:rsidP="00C65237">
            <w:pPr>
              <w:keepLines/>
              <w:rPr>
                <w:rFonts w:ascii="Arial Narrow" w:hAnsi="Arial Narrow"/>
                <w:iCs/>
                <w:sz w:val="20"/>
                <w:szCs w:val="20"/>
              </w:rPr>
            </w:pPr>
            <w:r w:rsidRPr="001C05C6">
              <w:rPr>
                <w:rFonts w:ascii="Arial Narrow" w:hAnsi="Arial Narrow"/>
                <w:iCs/>
                <w:color w:val="333333"/>
                <w:sz w:val="20"/>
                <w:szCs w:val="20"/>
              </w:rPr>
              <w:t>STADA Pharmaceuticals Australia Pty Ltd</w:t>
            </w:r>
          </w:p>
        </w:tc>
      </w:tr>
      <w:tr w:rsidR="00DD5C35" w:rsidRPr="001C05C6" w14:paraId="1D276AB9" w14:textId="77777777" w:rsidTr="004B1ED9">
        <w:trPr>
          <w:trHeight w:val="20"/>
        </w:trPr>
        <w:tc>
          <w:tcPr>
            <w:tcW w:w="9016"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92A7716" w14:textId="77777777" w:rsidR="00DD5C35" w:rsidRPr="001C05C6" w:rsidRDefault="00DD5C35" w:rsidP="00C65237">
            <w:pPr>
              <w:rPr>
                <w:rFonts w:ascii="Arial Narrow" w:hAnsi="Arial Narrow"/>
                <w:i/>
                <w:sz w:val="20"/>
                <w:szCs w:val="20"/>
              </w:rPr>
            </w:pPr>
          </w:p>
        </w:tc>
      </w:tr>
      <w:tr w:rsidR="00DD5C35" w:rsidRPr="001C05C6" w14:paraId="10766EAF" w14:textId="77777777" w:rsidTr="004B1ED9">
        <w:trPr>
          <w:trHeight w:val="20"/>
        </w:trPr>
        <w:tc>
          <w:tcPr>
            <w:tcW w:w="9016"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C360BFC" w14:textId="77777777" w:rsidR="00DD5C35" w:rsidRPr="004538F5" w:rsidRDefault="00DD5C35" w:rsidP="00C65237">
            <w:pPr>
              <w:keepLines/>
              <w:rPr>
                <w:rFonts w:ascii="Arial Narrow" w:hAnsi="Arial Narrow"/>
                <w:b/>
                <w:iCs/>
                <w:sz w:val="20"/>
                <w:szCs w:val="20"/>
              </w:rPr>
            </w:pPr>
            <w:r w:rsidRPr="004538F5">
              <w:rPr>
                <w:rFonts w:ascii="Arial Narrow" w:hAnsi="Arial Narrow"/>
                <w:b/>
                <w:iCs/>
                <w:sz w:val="20"/>
                <w:szCs w:val="20"/>
              </w:rPr>
              <w:lastRenderedPageBreak/>
              <w:t>Variant of Restriction Summary 10091 / ToC: 10197: Authority Required: Streamlined</w:t>
            </w:r>
          </w:p>
        </w:tc>
      </w:tr>
      <w:tr w:rsidR="00DD5C35" w:rsidRPr="001C05C6" w14:paraId="006D85DA" w14:textId="77777777" w:rsidTr="004B1ED9">
        <w:trPr>
          <w:trHeight w:val="20"/>
        </w:trPr>
        <w:tc>
          <w:tcPr>
            <w:tcW w:w="1277"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2A80E287" w14:textId="0DC348C9" w:rsidR="00DD5C35" w:rsidRPr="004538F5" w:rsidRDefault="00DD5C35" w:rsidP="00C65237">
            <w:pPr>
              <w:jc w:val="center"/>
              <w:rPr>
                <w:rFonts w:ascii="Arial Narrow" w:hAnsi="Arial Narrow"/>
                <w:b/>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7F1C4D" w14:textId="77777777" w:rsidR="00DD5C35" w:rsidRPr="004538F5" w:rsidRDefault="00DD5C35" w:rsidP="00C65237">
            <w:pPr>
              <w:keepLines/>
              <w:rPr>
                <w:rFonts w:ascii="Arial Narrow" w:hAnsi="Arial Narrow"/>
                <w:b/>
                <w:iCs/>
                <w:sz w:val="20"/>
                <w:szCs w:val="20"/>
              </w:rPr>
            </w:pPr>
            <w:r w:rsidRPr="004538F5">
              <w:rPr>
                <w:rFonts w:ascii="Arial Narrow" w:hAnsi="Arial Narrow"/>
                <w:b/>
                <w:iCs/>
                <w:sz w:val="20"/>
                <w:szCs w:val="20"/>
              </w:rPr>
              <w:t xml:space="preserve">Category / Program: </w:t>
            </w:r>
            <w:r w:rsidRPr="004538F5">
              <w:rPr>
                <w:rFonts w:ascii="Arial Narrow" w:hAnsi="Arial Narrow"/>
                <w:iCs/>
                <w:sz w:val="20"/>
                <w:szCs w:val="20"/>
              </w:rPr>
              <w:t>GENERAL – General Schedule (Code GE)</w:t>
            </w:r>
          </w:p>
        </w:tc>
      </w:tr>
      <w:tr w:rsidR="00DD5C35" w:rsidRPr="001C05C6" w14:paraId="0275EB32" w14:textId="77777777" w:rsidTr="004B1ED9">
        <w:trPr>
          <w:trHeight w:val="20"/>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04B4A170" w14:textId="77777777" w:rsidR="00DD5C35" w:rsidRPr="004538F5" w:rsidRDefault="00DD5C35" w:rsidP="00C65237">
            <w:pPr>
              <w:rPr>
                <w:rFonts w:ascii="Arial Narrow" w:hAnsi="Arial Narrow"/>
                <w:b/>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A203BB" w14:textId="77777777" w:rsidR="00DD5C35" w:rsidRPr="004538F5" w:rsidRDefault="00DD5C35" w:rsidP="00C65237">
            <w:pPr>
              <w:keepLines/>
              <w:rPr>
                <w:rFonts w:ascii="Arial Narrow" w:hAnsi="Arial Narrow"/>
                <w:b/>
                <w:iCs/>
                <w:sz w:val="20"/>
                <w:szCs w:val="20"/>
              </w:rPr>
            </w:pPr>
            <w:r w:rsidRPr="004538F5">
              <w:rPr>
                <w:rFonts w:ascii="Arial Narrow" w:hAnsi="Arial Narrow"/>
                <w:b/>
                <w:iCs/>
                <w:sz w:val="20"/>
                <w:szCs w:val="20"/>
              </w:rPr>
              <w:t xml:space="preserve">Prescriber type: </w:t>
            </w:r>
            <w:r w:rsidRPr="004538F5">
              <w:rPr>
                <w:rFonts w:ascii="Arial Narrow" w:hAnsi="Arial Narrow"/>
                <w:iCs/>
                <w:sz w:val="20"/>
                <w:szCs w:val="20"/>
              </w:rPr>
              <w:fldChar w:fldCharType="begin" w:fldLock="1">
                <w:ffData>
                  <w:name w:val=""/>
                  <w:enabled/>
                  <w:calcOnExit w:val="0"/>
                  <w:checkBox>
                    <w:sizeAuto/>
                    <w:default w:val="1"/>
                  </w:checkBox>
                </w:ffData>
              </w:fldChar>
            </w:r>
            <w:r w:rsidRPr="004538F5">
              <w:rPr>
                <w:rFonts w:ascii="Arial Narrow" w:hAnsi="Arial Narrow"/>
                <w:iCs/>
                <w:sz w:val="20"/>
                <w:szCs w:val="20"/>
              </w:rPr>
              <w:instrText xml:space="preserve"> FORMCHECKBOX </w:instrText>
            </w:r>
            <w:r w:rsidRPr="004538F5">
              <w:rPr>
                <w:rFonts w:ascii="Arial Narrow" w:hAnsi="Arial Narrow"/>
                <w:iCs/>
                <w:sz w:val="20"/>
                <w:szCs w:val="20"/>
              </w:rPr>
            </w:r>
            <w:r w:rsidRPr="004538F5">
              <w:rPr>
                <w:rFonts w:ascii="Arial Narrow" w:hAnsi="Arial Narrow"/>
                <w:iCs/>
                <w:sz w:val="20"/>
                <w:szCs w:val="20"/>
              </w:rPr>
              <w:fldChar w:fldCharType="separate"/>
            </w:r>
            <w:r w:rsidRPr="004538F5">
              <w:rPr>
                <w:rFonts w:ascii="Arial Narrow" w:hAnsi="Arial Narrow"/>
                <w:iCs/>
                <w:sz w:val="20"/>
                <w:szCs w:val="20"/>
              </w:rPr>
              <w:fldChar w:fldCharType="end"/>
            </w:r>
            <w:r w:rsidRPr="004538F5">
              <w:rPr>
                <w:rFonts w:ascii="Arial Narrow" w:hAnsi="Arial Narrow"/>
                <w:iCs/>
                <w:sz w:val="20"/>
                <w:szCs w:val="20"/>
              </w:rPr>
              <w:t xml:space="preserve">Medical Practitioners </w:t>
            </w:r>
            <w:r w:rsidRPr="004538F5">
              <w:rPr>
                <w:rFonts w:ascii="Arial Narrow" w:hAnsi="Arial Narrow"/>
                <w:b/>
                <w:iCs/>
                <w:sz w:val="20"/>
                <w:szCs w:val="20"/>
              </w:rPr>
              <w:t xml:space="preserve"> </w:t>
            </w:r>
            <w:r w:rsidRPr="004538F5">
              <w:rPr>
                <w:rFonts w:ascii="Arial Narrow" w:hAnsi="Arial Narrow"/>
                <w:iCs/>
                <w:sz w:val="20"/>
                <w:szCs w:val="20"/>
              </w:rPr>
              <w:fldChar w:fldCharType="begin" w:fldLock="1">
                <w:ffData>
                  <w:name w:val=""/>
                  <w:enabled/>
                  <w:calcOnExit w:val="0"/>
                  <w:checkBox>
                    <w:sizeAuto/>
                    <w:default w:val="1"/>
                  </w:checkBox>
                </w:ffData>
              </w:fldChar>
            </w:r>
            <w:r w:rsidRPr="004538F5">
              <w:rPr>
                <w:rFonts w:ascii="Arial Narrow" w:hAnsi="Arial Narrow"/>
                <w:iCs/>
                <w:sz w:val="20"/>
                <w:szCs w:val="20"/>
              </w:rPr>
              <w:instrText xml:space="preserve"> FORMCHECKBOX </w:instrText>
            </w:r>
            <w:r w:rsidRPr="004538F5">
              <w:rPr>
                <w:rFonts w:ascii="Arial Narrow" w:hAnsi="Arial Narrow"/>
                <w:iCs/>
                <w:sz w:val="20"/>
                <w:szCs w:val="20"/>
              </w:rPr>
            </w:r>
            <w:r w:rsidRPr="004538F5">
              <w:rPr>
                <w:rFonts w:ascii="Arial Narrow" w:hAnsi="Arial Narrow"/>
                <w:iCs/>
                <w:sz w:val="20"/>
                <w:szCs w:val="20"/>
              </w:rPr>
              <w:fldChar w:fldCharType="separate"/>
            </w:r>
            <w:r w:rsidRPr="004538F5">
              <w:rPr>
                <w:rFonts w:ascii="Arial Narrow" w:hAnsi="Arial Narrow"/>
                <w:iCs/>
                <w:sz w:val="20"/>
                <w:szCs w:val="20"/>
              </w:rPr>
              <w:fldChar w:fldCharType="end"/>
            </w:r>
            <w:r w:rsidRPr="004538F5">
              <w:rPr>
                <w:rFonts w:ascii="Arial Narrow" w:hAnsi="Arial Narrow"/>
                <w:iCs/>
                <w:sz w:val="20"/>
                <w:szCs w:val="20"/>
              </w:rPr>
              <w:t>Nurse practitioner</w:t>
            </w:r>
          </w:p>
        </w:tc>
      </w:tr>
      <w:tr w:rsidR="00DD5C35" w:rsidRPr="001C05C6" w14:paraId="7E077444" w14:textId="77777777" w:rsidTr="004B1ED9">
        <w:trPr>
          <w:trHeight w:val="20"/>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00CC9195" w14:textId="77777777" w:rsidR="00DD5C35" w:rsidRPr="004538F5" w:rsidRDefault="00DD5C35" w:rsidP="00C65237">
            <w:pPr>
              <w:rPr>
                <w:rFonts w:ascii="Arial Narrow" w:hAnsi="Arial Narrow"/>
                <w:b/>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2F9A3A3" w14:textId="77777777" w:rsidR="00DD5C35" w:rsidRPr="004538F5" w:rsidRDefault="00DD5C35" w:rsidP="00C65237">
            <w:pPr>
              <w:keepLines/>
              <w:rPr>
                <w:rFonts w:ascii="Arial Narrow" w:eastAsia="Calibri" w:hAnsi="Arial Narrow"/>
                <w:iCs/>
                <w:color w:val="FF0000"/>
                <w:sz w:val="20"/>
                <w:szCs w:val="20"/>
              </w:rPr>
            </w:pPr>
            <w:r w:rsidRPr="004538F5">
              <w:rPr>
                <w:rFonts w:ascii="Arial Narrow" w:hAnsi="Arial Narrow"/>
                <w:b/>
                <w:iCs/>
                <w:sz w:val="20"/>
                <w:szCs w:val="20"/>
              </w:rPr>
              <w:t xml:space="preserve">Restriction type: </w:t>
            </w:r>
            <w:r w:rsidRPr="004538F5">
              <w:rPr>
                <w:rFonts w:ascii="Arial Narrow" w:eastAsia="Calibri" w:hAnsi="Arial Narrow"/>
                <w:iCs/>
                <w:sz w:val="20"/>
                <w:szCs w:val="20"/>
              </w:rPr>
              <w:fldChar w:fldCharType="begin" w:fldLock="1">
                <w:ffData>
                  <w:name w:val=""/>
                  <w:enabled/>
                  <w:calcOnExit w:val="0"/>
                  <w:checkBox>
                    <w:sizeAuto/>
                    <w:default w:val="1"/>
                  </w:checkBox>
                </w:ffData>
              </w:fldChar>
            </w:r>
            <w:r w:rsidRPr="004538F5">
              <w:rPr>
                <w:rFonts w:ascii="Arial Narrow" w:eastAsia="Calibri" w:hAnsi="Arial Narrow"/>
                <w:iCs/>
                <w:sz w:val="20"/>
                <w:szCs w:val="20"/>
              </w:rPr>
              <w:instrText xml:space="preserve"> FORMCHECKBOX </w:instrText>
            </w:r>
            <w:r w:rsidRPr="004538F5">
              <w:rPr>
                <w:rFonts w:ascii="Arial Narrow" w:eastAsia="Calibri" w:hAnsi="Arial Narrow"/>
                <w:iCs/>
                <w:sz w:val="20"/>
                <w:szCs w:val="20"/>
              </w:rPr>
            </w:r>
            <w:r w:rsidRPr="004538F5">
              <w:rPr>
                <w:rFonts w:ascii="Arial Narrow" w:eastAsia="Calibri" w:hAnsi="Arial Narrow"/>
                <w:iCs/>
                <w:sz w:val="20"/>
                <w:szCs w:val="20"/>
              </w:rPr>
              <w:fldChar w:fldCharType="separate"/>
            </w:r>
            <w:r w:rsidRPr="004538F5">
              <w:rPr>
                <w:rFonts w:ascii="Arial Narrow" w:eastAsia="Calibri" w:hAnsi="Arial Narrow"/>
                <w:iCs/>
                <w:sz w:val="20"/>
                <w:szCs w:val="20"/>
              </w:rPr>
              <w:fldChar w:fldCharType="end"/>
            </w:r>
            <w:r w:rsidRPr="004538F5">
              <w:rPr>
                <w:rFonts w:ascii="Arial Narrow" w:eastAsia="Calibri" w:hAnsi="Arial Narrow"/>
                <w:iCs/>
                <w:sz w:val="20"/>
                <w:szCs w:val="20"/>
              </w:rPr>
              <w:t xml:space="preserve">Authority Required (Streamlined) [new code] </w:t>
            </w:r>
          </w:p>
        </w:tc>
      </w:tr>
      <w:tr w:rsidR="00DD5C35" w:rsidRPr="001C05C6" w14:paraId="79315080" w14:textId="77777777" w:rsidTr="008403BF">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F045820" w14:textId="37114B72" w:rsidR="00DD5C35" w:rsidRPr="004538F5" w:rsidRDefault="00DD5C35" w:rsidP="00C65237">
            <w:pPr>
              <w:rPr>
                <w:rFonts w:ascii="Arial Narrow" w:eastAsiaTheme="minorHAnsi" w:hAnsi="Arial Narrow"/>
                <w:iCs/>
                <w:sz w:val="20"/>
                <w:szCs w:val="20"/>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4B5B48A" w14:textId="2D883885" w:rsidR="00DD5C35" w:rsidRPr="004538F5" w:rsidRDefault="00DD5C35" w:rsidP="00C65237">
            <w:pPr>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DC0826" w14:textId="77777777" w:rsidR="00DD5C35" w:rsidRPr="004538F5" w:rsidRDefault="00DD5C35" w:rsidP="00C65237">
            <w:pPr>
              <w:keepLines/>
              <w:rPr>
                <w:rFonts w:ascii="Arial Narrow" w:hAnsi="Arial Narrow"/>
                <w:b/>
                <w:iCs/>
                <w:sz w:val="20"/>
                <w:szCs w:val="20"/>
              </w:rPr>
            </w:pPr>
            <w:r w:rsidRPr="004538F5">
              <w:rPr>
                <w:rFonts w:ascii="Arial Narrow" w:hAnsi="Arial Narrow"/>
                <w:b/>
                <w:bCs/>
                <w:iCs/>
                <w:color w:val="333333"/>
                <w:sz w:val="20"/>
                <w:szCs w:val="20"/>
              </w:rPr>
              <w:t xml:space="preserve">Administrative Advice: </w:t>
            </w:r>
            <w:r w:rsidRPr="004538F5">
              <w:rPr>
                <w:rFonts w:ascii="Arial Narrow" w:hAnsi="Arial Narrow"/>
                <w:iCs/>
                <w:color w:val="333333"/>
                <w:sz w:val="20"/>
                <w:szCs w:val="20"/>
              </w:rPr>
              <w:t>Special Pricing Arrangements apply.</w:t>
            </w:r>
          </w:p>
        </w:tc>
      </w:tr>
      <w:tr w:rsidR="00DD5C35" w:rsidRPr="001C05C6" w14:paraId="3B85EC62" w14:textId="77777777" w:rsidTr="008403BF">
        <w:trPr>
          <w:trHeight w:val="20"/>
        </w:trPr>
        <w:tc>
          <w:tcPr>
            <w:tcW w:w="637" w:type="dxa"/>
            <w:vMerge/>
            <w:tcBorders>
              <w:top w:val="single" w:sz="4" w:space="0" w:color="auto"/>
              <w:left w:val="single" w:sz="4" w:space="0" w:color="auto"/>
              <w:bottom w:val="single" w:sz="4" w:space="0" w:color="auto"/>
              <w:right w:val="single" w:sz="4" w:space="0" w:color="auto"/>
            </w:tcBorders>
            <w:vAlign w:val="center"/>
          </w:tcPr>
          <w:p w14:paraId="73EA2F44" w14:textId="77777777" w:rsidR="00DD5C35" w:rsidRPr="004538F5" w:rsidRDefault="00DD5C35" w:rsidP="00C65237">
            <w:pPr>
              <w:rPr>
                <w:rFonts w:ascii="Arial Narrow" w:hAnsi="Arial Narrow"/>
                <w:iCs/>
                <w:sz w:val="20"/>
                <w:szCs w:val="20"/>
                <w:lang w:eastAsia="en-US"/>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A242BC6" w14:textId="5DED1391" w:rsidR="00DD5C35" w:rsidRPr="004538F5" w:rsidRDefault="00DD5C35" w:rsidP="00C65237">
            <w:pPr>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8B056AB" w14:textId="77777777" w:rsidR="00DD5C35" w:rsidRPr="004538F5" w:rsidRDefault="00DD5C35" w:rsidP="00C65237">
            <w:pPr>
              <w:keepLines/>
              <w:rPr>
                <w:rFonts w:ascii="Arial Narrow" w:hAnsi="Arial Narrow"/>
                <w:b/>
                <w:bCs/>
                <w:iCs/>
                <w:color w:val="333333"/>
                <w:sz w:val="20"/>
                <w:szCs w:val="20"/>
              </w:rPr>
            </w:pPr>
            <w:r w:rsidRPr="004538F5">
              <w:rPr>
                <w:rFonts w:ascii="Arial Narrow" w:hAnsi="Arial Narrow"/>
                <w:b/>
                <w:bCs/>
                <w:iCs/>
                <w:color w:val="333333"/>
                <w:sz w:val="20"/>
                <w:szCs w:val="20"/>
              </w:rPr>
              <w:t>Administrative Advice:</w:t>
            </w:r>
          </w:p>
          <w:p w14:paraId="7FF9D52E" w14:textId="77777777" w:rsidR="00DD5C35" w:rsidRPr="004538F5" w:rsidRDefault="00DD5C35" w:rsidP="00C65237">
            <w:pPr>
              <w:keepLines/>
              <w:rPr>
                <w:rFonts w:ascii="Arial Narrow" w:hAnsi="Arial Narrow"/>
                <w:b/>
                <w:bCs/>
                <w:iCs/>
                <w:color w:val="333333"/>
                <w:sz w:val="20"/>
                <w:szCs w:val="20"/>
              </w:rPr>
            </w:pPr>
            <w:r w:rsidRPr="004538F5">
              <w:rPr>
                <w:rFonts w:ascii="Arial Narrow" w:hAnsi="Arial Narrow"/>
                <w:b/>
                <w:bCs/>
                <w:iCs/>
                <w:color w:val="333333"/>
                <w:sz w:val="20"/>
                <w:szCs w:val="20"/>
              </w:rPr>
              <w:t>Shared Care Model:</w:t>
            </w:r>
          </w:p>
          <w:p w14:paraId="2E74379A" w14:textId="77777777" w:rsidR="00DD5C35" w:rsidRPr="004538F5" w:rsidRDefault="00DD5C35" w:rsidP="00C65237">
            <w:pPr>
              <w:keepLines/>
              <w:rPr>
                <w:rFonts w:ascii="Arial Narrow" w:hAnsi="Arial Narrow"/>
                <w:b/>
                <w:bCs/>
                <w:iCs/>
                <w:color w:val="333333"/>
                <w:sz w:val="20"/>
                <w:szCs w:val="20"/>
              </w:rPr>
            </w:pPr>
            <w:r w:rsidRPr="004538F5">
              <w:rPr>
                <w:rFonts w:ascii="Arial Narrow" w:hAnsi="Arial Narrow"/>
                <w:iCs/>
                <w:color w:val="333333"/>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r w:rsidRPr="004538F5">
              <w:rPr>
                <w:rFonts w:ascii="Arial Narrow" w:hAnsi="Arial Narrow"/>
                <w:b/>
                <w:bCs/>
                <w:iCs/>
                <w:color w:val="333333"/>
                <w:sz w:val="20"/>
                <w:szCs w:val="20"/>
              </w:rPr>
              <w:t>.</w:t>
            </w:r>
          </w:p>
        </w:tc>
      </w:tr>
      <w:tr w:rsidR="00DD5C35" w:rsidRPr="001C05C6" w14:paraId="05A1D943" w14:textId="77777777" w:rsidTr="004B1ED9">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BCA327C" w14:textId="77777777" w:rsidR="00DD5C35" w:rsidRPr="004538F5" w:rsidRDefault="00DD5C35" w:rsidP="00C65237">
            <w:pPr>
              <w:keepLines/>
              <w:jc w:val="center"/>
              <w:rPr>
                <w:rFonts w:ascii="Arial Narrow" w:eastAsiaTheme="minorHAnsi" w:hAnsi="Arial Narrow" w:cstheme="minorHAnsi"/>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FF9271" w14:textId="77777777" w:rsidR="00DD5C35" w:rsidRPr="004538F5" w:rsidRDefault="00DD5C35" w:rsidP="00C65237">
            <w:pPr>
              <w:keepLines/>
              <w:rPr>
                <w:rFonts w:ascii="Arial Narrow" w:hAnsi="Arial Narrow"/>
                <w:b/>
                <w:bCs/>
                <w:iCs/>
                <w:sz w:val="20"/>
                <w:szCs w:val="20"/>
              </w:rPr>
            </w:pPr>
            <w:r w:rsidRPr="004538F5">
              <w:rPr>
                <w:rFonts w:ascii="Arial Narrow" w:hAnsi="Arial Narrow"/>
                <w:b/>
                <w:bCs/>
                <w:iCs/>
                <w:sz w:val="20"/>
                <w:szCs w:val="20"/>
              </w:rPr>
              <w:t xml:space="preserve">Severity: </w:t>
            </w:r>
            <w:r w:rsidRPr="004538F5">
              <w:rPr>
                <w:rFonts w:ascii="Arial Narrow" w:hAnsi="Arial Narrow" w:cstheme="minorHAnsi"/>
                <w:iCs/>
                <w:sz w:val="20"/>
                <w:szCs w:val="20"/>
              </w:rPr>
              <w:t>Advanced</w:t>
            </w:r>
          </w:p>
        </w:tc>
      </w:tr>
      <w:tr w:rsidR="00DD5C35" w:rsidRPr="001C05C6" w14:paraId="795B1B49" w14:textId="77777777" w:rsidTr="004B1ED9">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189B82" w14:textId="77777777" w:rsidR="00DD5C35" w:rsidRPr="004538F5" w:rsidRDefault="00DD5C35" w:rsidP="00C65237">
            <w:pPr>
              <w:keepLines/>
              <w:jc w:val="center"/>
              <w:rPr>
                <w:rFonts w:ascii="Arial Narrow" w:eastAsiaTheme="minorHAnsi" w:hAnsi="Arial Narrow" w:cstheme="minorHAnsi"/>
                <w:iCs/>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4129E99" w14:textId="2E8D90FA" w:rsidR="00DD5C35" w:rsidRPr="004538F5" w:rsidRDefault="00DD5C35" w:rsidP="00C65237">
            <w:pPr>
              <w:keepLines/>
              <w:rPr>
                <w:rFonts w:ascii="Arial Narrow" w:hAnsi="Arial Narrow"/>
                <w:b/>
                <w:bCs/>
                <w:iCs/>
                <w:sz w:val="20"/>
                <w:szCs w:val="20"/>
              </w:rPr>
            </w:pPr>
            <w:r w:rsidRPr="004538F5">
              <w:rPr>
                <w:rFonts w:ascii="Arial Narrow" w:hAnsi="Arial Narrow"/>
                <w:b/>
                <w:bCs/>
                <w:iCs/>
                <w:sz w:val="20"/>
                <w:szCs w:val="20"/>
              </w:rPr>
              <w:t>Condition:</w:t>
            </w:r>
            <w:r w:rsidR="004538F5">
              <w:rPr>
                <w:rFonts w:ascii="Arial Narrow" w:hAnsi="Arial Narrow"/>
                <w:b/>
                <w:bCs/>
                <w:iCs/>
                <w:sz w:val="20"/>
                <w:szCs w:val="20"/>
              </w:rPr>
              <w:t xml:space="preserve"> </w:t>
            </w:r>
            <w:r w:rsidRPr="004538F5">
              <w:rPr>
                <w:rFonts w:ascii="Arial Narrow" w:hAnsi="Arial Narrow" w:cstheme="minorHAnsi"/>
                <w:iCs/>
                <w:sz w:val="20"/>
                <w:szCs w:val="20"/>
              </w:rPr>
              <w:t>Parkinson Disease</w:t>
            </w:r>
          </w:p>
        </w:tc>
      </w:tr>
      <w:tr w:rsidR="00DD5C35" w:rsidRPr="001C05C6" w14:paraId="5251ADA4"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32B934" w14:textId="6B1485ED" w:rsidR="00DD5C35" w:rsidRPr="004538F5" w:rsidRDefault="00DD5C35" w:rsidP="00C65237">
            <w:pPr>
              <w:keepLines/>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FF7D922" w14:textId="77777777" w:rsidR="00DD5C35" w:rsidRPr="004538F5" w:rsidRDefault="00DD5C35" w:rsidP="00C65237">
            <w:pPr>
              <w:keepLines/>
              <w:rPr>
                <w:rFonts w:ascii="Arial Narrow" w:hAnsi="Arial Narrow"/>
                <w:iCs/>
                <w:color w:val="333333"/>
                <w:sz w:val="20"/>
                <w:szCs w:val="20"/>
              </w:rPr>
            </w:pPr>
            <w:r w:rsidRPr="004538F5">
              <w:rPr>
                <w:rFonts w:ascii="Arial Narrow" w:hAnsi="Arial Narrow"/>
                <w:b/>
                <w:bCs/>
                <w:iCs/>
                <w:color w:val="333333"/>
                <w:sz w:val="20"/>
                <w:szCs w:val="20"/>
              </w:rPr>
              <w:t>Indication:</w:t>
            </w:r>
            <w:r w:rsidRPr="004538F5">
              <w:rPr>
                <w:rFonts w:ascii="Arial Narrow" w:hAnsi="Arial Narrow"/>
                <w:iCs/>
                <w:color w:val="333333"/>
                <w:sz w:val="20"/>
                <w:szCs w:val="20"/>
              </w:rPr>
              <w:t xml:space="preserve"> </w:t>
            </w:r>
            <w:r w:rsidRPr="004538F5">
              <w:rPr>
                <w:rFonts w:ascii="Arial Narrow" w:hAnsi="Arial Narrow" w:cstheme="minorHAnsi"/>
                <w:iCs/>
                <w:sz w:val="20"/>
                <w:szCs w:val="20"/>
              </w:rPr>
              <w:t>Advanced Parkinson disease</w:t>
            </w:r>
          </w:p>
        </w:tc>
      </w:tr>
      <w:tr w:rsidR="00DD5C35" w:rsidRPr="001C05C6" w14:paraId="6A209269" w14:textId="77777777" w:rsidTr="004B1ED9">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27F4093" w14:textId="77777777" w:rsidR="00DD5C35" w:rsidRPr="004538F5" w:rsidRDefault="00DD5C35" w:rsidP="00C65237">
            <w:pPr>
              <w:keepNext/>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DD12A2" w14:textId="3D1BCBD8" w:rsidR="00DD5C35" w:rsidRPr="004538F5" w:rsidRDefault="00DD5C35" w:rsidP="00C65237">
            <w:pPr>
              <w:keepNext/>
              <w:rPr>
                <w:rFonts w:ascii="Arial Narrow" w:hAnsi="Arial Narrow"/>
                <w:b/>
                <w:bCs/>
                <w:iCs/>
                <w:color w:val="333333"/>
                <w:sz w:val="20"/>
                <w:szCs w:val="20"/>
              </w:rPr>
            </w:pPr>
            <w:r w:rsidRPr="004538F5">
              <w:rPr>
                <w:rFonts w:ascii="Arial Narrow" w:hAnsi="Arial Narrow"/>
                <w:b/>
                <w:bCs/>
                <w:iCs/>
                <w:color w:val="333333"/>
                <w:sz w:val="20"/>
                <w:szCs w:val="20"/>
              </w:rPr>
              <w:t xml:space="preserve">Treatment Phase: </w:t>
            </w:r>
            <w:r w:rsidRPr="004538F5">
              <w:rPr>
                <w:rFonts w:ascii="Arial Narrow" w:hAnsi="Arial Narrow"/>
                <w:iCs/>
                <w:color w:val="333333"/>
                <w:sz w:val="20"/>
                <w:szCs w:val="20"/>
              </w:rPr>
              <w:t>Maintenance therapy</w:t>
            </w:r>
          </w:p>
        </w:tc>
      </w:tr>
      <w:tr w:rsidR="00DD5C35" w:rsidRPr="001C05C6" w14:paraId="3D785770"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9DC3DF" w14:textId="0D62D6A7" w:rsidR="00DD5C35" w:rsidRPr="004538F5"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5703A47" w14:textId="77777777" w:rsidR="00DD5C35" w:rsidRPr="004538F5" w:rsidRDefault="00DD5C35" w:rsidP="00C65237">
            <w:pPr>
              <w:rPr>
                <w:rFonts w:ascii="Arial Narrow" w:hAnsi="Arial Narrow"/>
                <w:iCs/>
                <w:sz w:val="20"/>
                <w:szCs w:val="20"/>
              </w:rPr>
            </w:pPr>
            <w:r w:rsidRPr="004538F5">
              <w:rPr>
                <w:rFonts w:ascii="Arial Narrow" w:hAnsi="Arial Narrow"/>
                <w:b/>
                <w:bCs/>
                <w:iCs/>
                <w:sz w:val="20"/>
                <w:szCs w:val="20"/>
              </w:rPr>
              <w:t xml:space="preserve">Clinical criteria: </w:t>
            </w:r>
          </w:p>
        </w:tc>
      </w:tr>
      <w:tr w:rsidR="00DD5C35" w:rsidRPr="001C05C6" w14:paraId="0AB1A1B1"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BF2C84" w14:textId="23D17A65" w:rsidR="00DD5C35" w:rsidRPr="004538F5"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1BB312" w14:textId="564D6BAA" w:rsidR="00DD5C35" w:rsidRPr="004538F5" w:rsidRDefault="0048153C" w:rsidP="00C65237">
            <w:pPr>
              <w:rPr>
                <w:rFonts w:ascii="Arial Narrow" w:hAnsi="Arial Narrow"/>
                <w:iCs/>
                <w:color w:val="333333"/>
                <w:sz w:val="20"/>
                <w:szCs w:val="20"/>
              </w:rPr>
            </w:pPr>
            <w:r w:rsidRPr="0048153C">
              <w:rPr>
                <w:rFonts w:ascii="Arial Narrow" w:hAnsi="Arial Narrow"/>
                <w:sz w:val="20"/>
                <w:szCs w:val="20"/>
              </w:rPr>
              <w:t>Patient must have severe disabling motor fluctuations not adequately controlled by at least one of: (i) oral therapy; (ii) intestinal gel formulation containing levodopa.</w:t>
            </w:r>
          </w:p>
        </w:tc>
      </w:tr>
      <w:tr w:rsidR="00DD5C35" w:rsidRPr="001C05C6" w14:paraId="41ABBB39" w14:textId="77777777" w:rsidTr="004B1ED9">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B94C935" w14:textId="77777777" w:rsidR="00DD5C35" w:rsidRPr="004538F5" w:rsidRDefault="00DD5C35" w:rsidP="00C65237">
            <w:pPr>
              <w:jc w:val="center"/>
              <w:rPr>
                <w:rFonts w:ascii="Arial Narrow" w:hAnsi="Arial Narrow"/>
                <w:iCs/>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5F7E226" w14:textId="77777777" w:rsidR="00DD5C35" w:rsidRPr="004538F5" w:rsidRDefault="00DD5C35" w:rsidP="00C65237">
            <w:pPr>
              <w:rPr>
                <w:rFonts w:ascii="Arial Narrow" w:hAnsi="Arial Narrow"/>
                <w:iCs/>
                <w:color w:val="333333"/>
                <w:sz w:val="20"/>
                <w:szCs w:val="20"/>
              </w:rPr>
            </w:pPr>
            <w:r w:rsidRPr="004538F5">
              <w:rPr>
                <w:rFonts w:ascii="Arial Narrow" w:hAnsi="Arial Narrow"/>
                <w:b/>
                <w:bCs/>
                <w:iCs/>
                <w:color w:val="333333"/>
                <w:sz w:val="20"/>
                <w:szCs w:val="20"/>
              </w:rPr>
              <w:t>AND</w:t>
            </w:r>
          </w:p>
        </w:tc>
      </w:tr>
      <w:tr w:rsidR="00DD5C35" w:rsidRPr="001C05C6" w14:paraId="1F100443"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3A5771" w14:textId="3651313C" w:rsidR="00DD5C35" w:rsidRPr="004538F5" w:rsidRDefault="00DD5C35" w:rsidP="00C65237">
            <w:pPr>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D396CCE" w14:textId="77777777" w:rsidR="00DD5C35" w:rsidRPr="004538F5" w:rsidRDefault="00DD5C35" w:rsidP="00C65237">
            <w:pPr>
              <w:rPr>
                <w:rFonts w:ascii="Arial Narrow" w:hAnsi="Arial Narrow"/>
                <w:iCs/>
                <w:sz w:val="20"/>
                <w:szCs w:val="20"/>
              </w:rPr>
            </w:pPr>
            <w:r w:rsidRPr="004538F5">
              <w:rPr>
                <w:rFonts w:ascii="Arial Narrow" w:hAnsi="Arial Narrow"/>
                <w:b/>
                <w:bCs/>
                <w:iCs/>
                <w:sz w:val="20"/>
                <w:szCs w:val="20"/>
              </w:rPr>
              <w:t>Clinical criteria:</w:t>
            </w:r>
          </w:p>
        </w:tc>
      </w:tr>
      <w:tr w:rsidR="00DD5C35" w:rsidRPr="001C05C6" w14:paraId="4B82BF0B"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8047B2" w14:textId="63DA9BA5" w:rsidR="00DD5C35" w:rsidRPr="004538F5" w:rsidRDefault="00DD5C35" w:rsidP="00C65237">
            <w:pPr>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4B4AD7" w14:textId="7A17F082" w:rsidR="00DD5C35" w:rsidRPr="004538F5" w:rsidRDefault="00DD5C35" w:rsidP="00C65237">
            <w:pPr>
              <w:rPr>
                <w:rFonts w:ascii="Arial Narrow" w:hAnsi="Arial Narrow"/>
                <w:iCs/>
                <w:sz w:val="20"/>
                <w:szCs w:val="20"/>
              </w:rPr>
            </w:pPr>
            <w:r w:rsidRPr="004538F5">
              <w:rPr>
                <w:rFonts w:ascii="Arial Narrow" w:hAnsi="Arial Narrow"/>
                <w:iCs/>
                <w:sz w:val="20"/>
                <w:szCs w:val="20"/>
              </w:rPr>
              <w:t>Patient must</w:t>
            </w:r>
            <w:r w:rsidR="004538F5">
              <w:rPr>
                <w:rFonts w:ascii="Arial Narrow" w:hAnsi="Arial Narrow"/>
                <w:iCs/>
                <w:sz w:val="20"/>
                <w:szCs w:val="20"/>
              </w:rPr>
              <w:t xml:space="preserve"> </w:t>
            </w:r>
            <w:r w:rsidRPr="004538F5">
              <w:rPr>
                <w:rFonts w:ascii="Arial Narrow" w:hAnsi="Arial Narrow"/>
                <w:iCs/>
                <w:sz w:val="20"/>
                <w:szCs w:val="20"/>
              </w:rPr>
              <w:t>have been commenced on treatment in a hospital-based movement disorder clinic</w:t>
            </w:r>
            <w:r w:rsidR="00961A44">
              <w:rPr>
                <w:rFonts w:ascii="Arial Narrow" w:hAnsi="Arial Narrow"/>
                <w:iCs/>
                <w:sz w:val="20"/>
                <w:szCs w:val="20"/>
              </w:rPr>
              <w:t>.</w:t>
            </w:r>
          </w:p>
        </w:tc>
      </w:tr>
      <w:tr w:rsidR="004B1ED9" w:rsidRPr="001C05C6" w14:paraId="71F01EDF"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03D3E6" w14:textId="5491E268" w:rsidR="004B1ED9" w:rsidRPr="004B1ED9" w:rsidRDefault="004B1ED9" w:rsidP="003A48EE">
            <w:pPr>
              <w:jc w:val="center"/>
              <w:rPr>
                <w:rFonts w:ascii="Arial Narrow" w:hAnsi="Arial Narrow"/>
                <w:iCs/>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E4C896" w14:textId="77777777" w:rsidR="004B1ED9" w:rsidRPr="004B1ED9" w:rsidRDefault="004B1ED9" w:rsidP="003A48EE">
            <w:pPr>
              <w:rPr>
                <w:rFonts w:ascii="Arial Narrow" w:hAnsi="Arial Narrow"/>
                <w:iCs/>
                <w:sz w:val="20"/>
                <w:szCs w:val="20"/>
              </w:rPr>
            </w:pPr>
            <w:r w:rsidRPr="004B1ED9">
              <w:rPr>
                <w:rFonts w:ascii="Arial Narrow" w:hAnsi="Arial Narrow"/>
                <w:b/>
                <w:bCs/>
                <w:iCs/>
                <w:sz w:val="20"/>
                <w:szCs w:val="20"/>
              </w:rPr>
              <w:t>Administrative advice:</w:t>
            </w:r>
            <w:r w:rsidRPr="004B1ED9">
              <w:rPr>
                <w:rFonts w:ascii="Arial Narrow" w:hAnsi="Arial Narrow"/>
                <w:iCs/>
                <w:sz w:val="20"/>
                <w:szCs w:val="20"/>
              </w:rPr>
              <w:t xml:space="preserve"> Patient should have adequate cognitive function to manage administration with a portable continuous infusion pump.</w:t>
            </w:r>
          </w:p>
        </w:tc>
      </w:tr>
    </w:tbl>
    <w:p w14:paraId="4D402AF3" w14:textId="77777777" w:rsidR="00DD5C35" w:rsidRPr="004538F5" w:rsidRDefault="00DD5C35" w:rsidP="00161CA4">
      <w:pPr>
        <w:pStyle w:val="2-SectionHeading"/>
        <w:numPr>
          <w:ilvl w:val="0"/>
          <w:numId w:val="0"/>
        </w:numPr>
        <w:spacing w:before="120" w:after="0"/>
        <w:ind w:left="720" w:hanging="720"/>
        <w:rPr>
          <w:rFonts w:ascii="Arial Narrow" w:eastAsiaTheme="minorHAnsi" w:hAnsi="Arial Narrow" w:cstheme="minorBidi"/>
          <w:bCs/>
          <w:snapToGrid/>
          <w:sz w:val="20"/>
          <w:szCs w:val="20"/>
        </w:rPr>
      </w:pPr>
      <w:r w:rsidRPr="004538F5">
        <w:rPr>
          <w:rFonts w:ascii="Arial Narrow" w:eastAsiaTheme="minorHAnsi" w:hAnsi="Arial Narrow" w:cstheme="minorBidi"/>
          <w:bCs/>
          <w:snapToGrid/>
          <w:sz w:val="20"/>
          <w:szCs w:val="20"/>
        </w:rPr>
        <w:t>General Schedule listing for a maximum quantity of 56 units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40"/>
        <w:gridCol w:w="1411"/>
        <w:gridCol w:w="1201"/>
        <w:gridCol w:w="1202"/>
        <w:gridCol w:w="712"/>
        <w:gridCol w:w="712"/>
        <w:gridCol w:w="673"/>
        <w:gridCol w:w="1828"/>
      </w:tblGrid>
      <w:tr w:rsidR="00DD5C35" w:rsidRPr="001C05C6" w14:paraId="14CB1154" w14:textId="77777777" w:rsidTr="004B1ED9">
        <w:trPr>
          <w:cantSplit/>
          <w:trHeight w:val="20"/>
        </w:trPr>
        <w:tc>
          <w:tcPr>
            <w:tcW w:w="2688" w:type="dxa"/>
            <w:gridSpan w:val="3"/>
            <w:tcBorders>
              <w:top w:val="single" w:sz="4" w:space="0" w:color="auto"/>
              <w:left w:val="single" w:sz="4" w:space="0" w:color="auto"/>
              <w:bottom w:val="single" w:sz="4" w:space="0" w:color="auto"/>
              <w:right w:val="single" w:sz="4" w:space="0" w:color="auto"/>
            </w:tcBorders>
            <w:vAlign w:val="center"/>
            <w:hideMark/>
          </w:tcPr>
          <w:p w14:paraId="31BC8585" w14:textId="77777777" w:rsidR="00DD5C35" w:rsidRPr="001C05C6" w:rsidRDefault="00DD5C35" w:rsidP="00C65237">
            <w:pPr>
              <w:keepLines/>
              <w:rPr>
                <w:rFonts w:ascii="Arial Narrow" w:hAnsi="Arial Narrow"/>
                <w:b/>
                <w:bCs/>
                <w:sz w:val="20"/>
                <w:szCs w:val="20"/>
              </w:rPr>
            </w:pPr>
            <w:r w:rsidRPr="001C05C6">
              <w:rPr>
                <w:rFonts w:ascii="Arial Narrow" w:hAnsi="Arial Narrow"/>
                <w:b/>
                <w:bCs/>
                <w:sz w:val="20"/>
                <w:szCs w:val="20"/>
              </w:rPr>
              <w:t>MEDICINAL PRODUCT</w:t>
            </w:r>
          </w:p>
          <w:p w14:paraId="285AFF9B" w14:textId="77777777" w:rsidR="00DD5C35" w:rsidRPr="001C05C6" w:rsidRDefault="00DD5C35" w:rsidP="00C65237">
            <w:pPr>
              <w:keepLines/>
              <w:rPr>
                <w:rFonts w:ascii="Arial Narrow" w:hAnsi="Arial Narrow"/>
                <w:b/>
                <w:sz w:val="20"/>
                <w:szCs w:val="20"/>
              </w:rPr>
            </w:pPr>
            <w:r w:rsidRPr="001C05C6">
              <w:rPr>
                <w:rFonts w:ascii="Arial Narrow" w:hAnsi="Arial Narrow"/>
                <w:b/>
                <w:bCs/>
                <w:sz w:val="20"/>
                <w:szCs w:val="20"/>
              </w:rPr>
              <w:t>medicinal product pack</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60CB14E" w14:textId="77777777" w:rsidR="00DD5C35" w:rsidRPr="001C05C6" w:rsidRDefault="00DD5C35" w:rsidP="00C65237">
            <w:pPr>
              <w:keepLines/>
              <w:jc w:val="center"/>
              <w:rPr>
                <w:rFonts w:ascii="Arial Narrow" w:hAnsi="Arial Narrow"/>
                <w:b/>
                <w:sz w:val="20"/>
                <w:szCs w:val="20"/>
              </w:rPr>
            </w:pPr>
            <w:r w:rsidRPr="001C05C6">
              <w:rPr>
                <w:rFonts w:ascii="Arial Narrow" w:hAnsi="Arial Narrow"/>
                <w:b/>
                <w:sz w:val="20"/>
                <w:szCs w:val="20"/>
              </w:rPr>
              <w:t>PBS item code</w:t>
            </w:r>
          </w:p>
        </w:tc>
        <w:tc>
          <w:tcPr>
            <w:tcW w:w="1202" w:type="dxa"/>
            <w:tcBorders>
              <w:top w:val="single" w:sz="4" w:space="0" w:color="auto"/>
              <w:left w:val="single" w:sz="4" w:space="0" w:color="auto"/>
              <w:bottom w:val="single" w:sz="4" w:space="0" w:color="auto"/>
              <w:right w:val="single" w:sz="4" w:space="0" w:color="auto"/>
            </w:tcBorders>
            <w:vAlign w:val="center"/>
          </w:tcPr>
          <w:p w14:paraId="6FFAC890" w14:textId="77777777" w:rsidR="00DD5C35" w:rsidRPr="001C05C6" w:rsidRDefault="00DD5C35" w:rsidP="00C65237">
            <w:pPr>
              <w:keepLines/>
              <w:jc w:val="center"/>
              <w:rPr>
                <w:rFonts w:ascii="Arial Narrow" w:hAnsi="Arial Narrow"/>
                <w:b/>
                <w:sz w:val="20"/>
                <w:szCs w:val="20"/>
              </w:rPr>
            </w:pPr>
            <w:r w:rsidRPr="001C05C6">
              <w:rPr>
                <w:rFonts w:ascii="Arial Narrow" w:hAnsi="Arial Narrow"/>
                <w:b/>
                <w:iCs/>
                <w:sz w:val="20"/>
                <w:szCs w:val="20"/>
              </w:rPr>
              <w:t>Dispensed Price for Max. Qty</w:t>
            </w:r>
          </w:p>
        </w:tc>
        <w:tc>
          <w:tcPr>
            <w:tcW w:w="712" w:type="dxa"/>
            <w:tcBorders>
              <w:top w:val="single" w:sz="4" w:space="0" w:color="auto"/>
              <w:left w:val="single" w:sz="4" w:space="0" w:color="auto"/>
              <w:bottom w:val="single" w:sz="4" w:space="0" w:color="auto"/>
              <w:right w:val="single" w:sz="4" w:space="0" w:color="auto"/>
            </w:tcBorders>
            <w:vAlign w:val="center"/>
            <w:hideMark/>
          </w:tcPr>
          <w:p w14:paraId="02ED243E" w14:textId="77777777" w:rsidR="00DD5C35" w:rsidRPr="001C05C6" w:rsidRDefault="00DD5C35" w:rsidP="00C65237">
            <w:pPr>
              <w:keepLines/>
              <w:jc w:val="center"/>
              <w:rPr>
                <w:rFonts w:ascii="Arial Narrow" w:hAnsi="Arial Narrow"/>
                <w:b/>
                <w:sz w:val="20"/>
                <w:szCs w:val="20"/>
              </w:rPr>
            </w:pPr>
            <w:r w:rsidRPr="001C05C6">
              <w:rPr>
                <w:rFonts w:ascii="Arial Narrow" w:hAnsi="Arial Narrow"/>
                <w:b/>
                <w:sz w:val="20"/>
                <w:szCs w:val="20"/>
              </w:rPr>
              <w:t>Max. qty packs</w:t>
            </w:r>
          </w:p>
        </w:tc>
        <w:tc>
          <w:tcPr>
            <w:tcW w:w="712" w:type="dxa"/>
            <w:tcBorders>
              <w:top w:val="single" w:sz="4" w:space="0" w:color="auto"/>
              <w:left w:val="single" w:sz="4" w:space="0" w:color="auto"/>
              <w:bottom w:val="single" w:sz="4" w:space="0" w:color="auto"/>
              <w:right w:val="single" w:sz="4" w:space="0" w:color="auto"/>
            </w:tcBorders>
            <w:vAlign w:val="center"/>
            <w:hideMark/>
          </w:tcPr>
          <w:p w14:paraId="5E940F9A" w14:textId="77777777" w:rsidR="00DD5C35" w:rsidRPr="001C05C6" w:rsidRDefault="00DD5C35" w:rsidP="00C65237">
            <w:pPr>
              <w:keepLines/>
              <w:jc w:val="center"/>
              <w:rPr>
                <w:rFonts w:ascii="Arial Narrow" w:hAnsi="Arial Narrow"/>
                <w:b/>
                <w:sz w:val="20"/>
                <w:szCs w:val="20"/>
              </w:rPr>
            </w:pPr>
            <w:r w:rsidRPr="001C05C6">
              <w:rPr>
                <w:rFonts w:ascii="Arial Narrow" w:hAnsi="Arial Narrow"/>
                <w:b/>
                <w:sz w:val="20"/>
                <w:szCs w:val="20"/>
              </w:rPr>
              <w:t>Max. qty units</w:t>
            </w:r>
          </w:p>
        </w:tc>
        <w:tc>
          <w:tcPr>
            <w:tcW w:w="673" w:type="dxa"/>
            <w:tcBorders>
              <w:top w:val="single" w:sz="4" w:space="0" w:color="auto"/>
              <w:left w:val="single" w:sz="4" w:space="0" w:color="auto"/>
              <w:bottom w:val="single" w:sz="4" w:space="0" w:color="auto"/>
              <w:right w:val="single" w:sz="4" w:space="0" w:color="auto"/>
            </w:tcBorders>
            <w:vAlign w:val="center"/>
            <w:hideMark/>
          </w:tcPr>
          <w:p w14:paraId="71275FCF" w14:textId="77777777" w:rsidR="00DD5C35" w:rsidRPr="001C05C6" w:rsidRDefault="00DD5C35" w:rsidP="00C65237">
            <w:pPr>
              <w:keepLines/>
              <w:jc w:val="center"/>
              <w:rPr>
                <w:rFonts w:ascii="Arial Narrow" w:hAnsi="Arial Narrow"/>
                <w:b/>
                <w:sz w:val="20"/>
                <w:szCs w:val="20"/>
              </w:rPr>
            </w:pPr>
            <w:r w:rsidRPr="001C05C6">
              <w:rPr>
                <w:rFonts w:ascii="Arial Narrow" w:hAnsi="Arial Narrow"/>
                <w:b/>
                <w:sz w:val="20"/>
                <w:szCs w:val="20"/>
              </w:rPr>
              <w:t>№.of</w:t>
            </w:r>
          </w:p>
          <w:p w14:paraId="0E938961" w14:textId="77777777" w:rsidR="00DD5C35" w:rsidRPr="001C05C6" w:rsidRDefault="00DD5C35" w:rsidP="00C65237">
            <w:pPr>
              <w:keepLines/>
              <w:jc w:val="center"/>
              <w:rPr>
                <w:rFonts w:ascii="Arial Narrow" w:hAnsi="Arial Narrow"/>
                <w:b/>
                <w:sz w:val="20"/>
                <w:szCs w:val="20"/>
              </w:rPr>
            </w:pPr>
            <w:r w:rsidRPr="001C05C6">
              <w:rPr>
                <w:rFonts w:ascii="Arial Narrow" w:hAnsi="Arial Narrow"/>
                <w:b/>
                <w:sz w:val="20"/>
                <w:szCs w:val="20"/>
              </w:rPr>
              <w:t>Rpts</w:t>
            </w:r>
          </w:p>
        </w:tc>
        <w:tc>
          <w:tcPr>
            <w:tcW w:w="1828" w:type="dxa"/>
            <w:tcBorders>
              <w:top w:val="single" w:sz="4" w:space="0" w:color="auto"/>
              <w:left w:val="single" w:sz="4" w:space="0" w:color="auto"/>
              <w:bottom w:val="single" w:sz="4" w:space="0" w:color="auto"/>
              <w:right w:val="single" w:sz="4" w:space="0" w:color="auto"/>
            </w:tcBorders>
            <w:vAlign w:val="center"/>
            <w:hideMark/>
          </w:tcPr>
          <w:p w14:paraId="4D0A0768" w14:textId="77777777" w:rsidR="00DD5C35" w:rsidRPr="007F0649" w:rsidRDefault="00DD5C35" w:rsidP="00C65237">
            <w:pPr>
              <w:keepLines/>
              <w:rPr>
                <w:rFonts w:ascii="Arial Narrow" w:hAnsi="Arial Narrow"/>
                <w:b/>
                <w:sz w:val="20"/>
                <w:szCs w:val="20"/>
              </w:rPr>
            </w:pPr>
            <w:r w:rsidRPr="001C05C6">
              <w:rPr>
                <w:rFonts w:ascii="Arial Narrow" w:hAnsi="Arial Narrow"/>
                <w:b/>
                <w:sz w:val="20"/>
                <w:szCs w:val="20"/>
              </w:rPr>
              <w:t>Available brands</w:t>
            </w:r>
          </w:p>
        </w:tc>
      </w:tr>
      <w:tr w:rsidR="00DD5C35" w:rsidRPr="001C05C6" w14:paraId="21330B96" w14:textId="77777777" w:rsidTr="004B1ED9">
        <w:trPr>
          <w:cantSplit/>
          <w:trHeight w:val="20"/>
        </w:trPr>
        <w:tc>
          <w:tcPr>
            <w:tcW w:w="9016" w:type="dxa"/>
            <w:gridSpan w:val="9"/>
            <w:tcBorders>
              <w:top w:val="single" w:sz="4" w:space="0" w:color="auto"/>
              <w:left w:val="single" w:sz="4" w:space="0" w:color="auto"/>
              <w:bottom w:val="single" w:sz="4" w:space="0" w:color="auto"/>
              <w:right w:val="single" w:sz="4" w:space="0" w:color="auto"/>
            </w:tcBorders>
            <w:vAlign w:val="center"/>
            <w:hideMark/>
          </w:tcPr>
          <w:p w14:paraId="4D64703F" w14:textId="77777777" w:rsidR="00DD5C35" w:rsidRPr="001C05C6" w:rsidRDefault="00DD5C35" w:rsidP="00C65237">
            <w:pPr>
              <w:keepLines/>
              <w:rPr>
                <w:rFonts w:ascii="Arial Narrow" w:hAnsi="Arial Narrow"/>
                <w:sz w:val="20"/>
                <w:szCs w:val="20"/>
              </w:rPr>
            </w:pPr>
            <w:r w:rsidRPr="001C05C6">
              <w:rPr>
                <w:rFonts w:ascii="Arial Narrow" w:hAnsi="Arial Narrow"/>
                <w:iCs/>
                <w:sz w:val="20"/>
                <w:szCs w:val="20"/>
              </w:rPr>
              <w:t>LEVODOPA + CARBIDOPA + ENTACAPONE</w:t>
            </w:r>
          </w:p>
        </w:tc>
      </w:tr>
      <w:tr w:rsidR="00DD5C35" w:rsidRPr="001C05C6" w14:paraId="15653359" w14:textId="77777777" w:rsidTr="004B1ED9">
        <w:trPr>
          <w:cantSplit/>
          <w:trHeight w:val="20"/>
        </w:trPr>
        <w:tc>
          <w:tcPr>
            <w:tcW w:w="2688" w:type="dxa"/>
            <w:gridSpan w:val="3"/>
            <w:tcBorders>
              <w:top w:val="single" w:sz="4" w:space="0" w:color="auto"/>
              <w:left w:val="single" w:sz="4" w:space="0" w:color="auto"/>
              <w:bottom w:val="single" w:sz="4" w:space="0" w:color="auto"/>
              <w:right w:val="single" w:sz="4" w:space="0" w:color="auto"/>
            </w:tcBorders>
            <w:vAlign w:val="center"/>
            <w:hideMark/>
          </w:tcPr>
          <w:p w14:paraId="3E504625" w14:textId="77777777" w:rsidR="00DD5C35" w:rsidRPr="001C05C6" w:rsidRDefault="00DD5C35" w:rsidP="00C65237">
            <w:pPr>
              <w:keepLines/>
              <w:rPr>
                <w:rFonts w:ascii="Arial Narrow" w:hAnsi="Arial Narrow"/>
                <w:strike/>
                <w:sz w:val="20"/>
                <w:szCs w:val="20"/>
              </w:rPr>
            </w:pPr>
            <w:r w:rsidRPr="001C05C6">
              <w:rPr>
                <w:rFonts w:ascii="Arial Narrow" w:hAnsi="Arial Narrow"/>
                <w:sz w:val="20"/>
                <w:szCs w:val="20"/>
              </w:rPr>
              <w:t>levodopa 20 mg/mL + carbidopa monohydrate 5 mg/mL + entacapone 20 mg/mL intestinal gel, 7 x 47 mL cartridges</w:t>
            </w:r>
          </w:p>
        </w:tc>
        <w:tc>
          <w:tcPr>
            <w:tcW w:w="1201" w:type="dxa"/>
            <w:tcBorders>
              <w:top w:val="single" w:sz="4" w:space="0" w:color="auto"/>
              <w:left w:val="single" w:sz="4" w:space="0" w:color="auto"/>
              <w:bottom w:val="single" w:sz="4" w:space="0" w:color="auto"/>
              <w:right w:val="single" w:sz="4" w:space="0" w:color="auto"/>
            </w:tcBorders>
            <w:vAlign w:val="center"/>
            <w:hideMark/>
          </w:tcPr>
          <w:p w14:paraId="289FCC50" w14:textId="77777777" w:rsidR="00DD5C35" w:rsidRPr="001C05C6" w:rsidRDefault="00DD5C35" w:rsidP="00C65237">
            <w:pPr>
              <w:keepLines/>
              <w:jc w:val="center"/>
              <w:rPr>
                <w:rFonts w:ascii="Arial Narrow" w:hAnsi="Arial Narrow"/>
                <w:sz w:val="20"/>
                <w:szCs w:val="20"/>
              </w:rPr>
            </w:pPr>
            <w:r w:rsidRPr="001C05C6">
              <w:rPr>
                <w:rFonts w:ascii="Arial Narrow" w:hAnsi="Arial Narrow"/>
                <w:sz w:val="20"/>
                <w:szCs w:val="20"/>
              </w:rPr>
              <w:t>NEW</w:t>
            </w:r>
          </w:p>
        </w:tc>
        <w:tc>
          <w:tcPr>
            <w:tcW w:w="1202" w:type="dxa"/>
            <w:tcBorders>
              <w:top w:val="single" w:sz="4" w:space="0" w:color="auto"/>
              <w:left w:val="single" w:sz="4" w:space="0" w:color="auto"/>
              <w:bottom w:val="single" w:sz="4" w:space="0" w:color="auto"/>
              <w:right w:val="single" w:sz="4" w:space="0" w:color="auto"/>
            </w:tcBorders>
            <w:vAlign w:val="center"/>
          </w:tcPr>
          <w:p w14:paraId="35712093" w14:textId="47EA8072" w:rsidR="00DD5C35" w:rsidRPr="00161CA4" w:rsidRDefault="00DD5C35" w:rsidP="00161CA4">
            <w:pPr>
              <w:pStyle w:val="TableText"/>
              <w:keepLines/>
              <w:jc w:val="center"/>
            </w:pPr>
            <w:r w:rsidRPr="006749F9">
              <w:t xml:space="preserve">Published price </w:t>
            </w:r>
            <w:r w:rsidRPr="00880AF3">
              <w:t>$</w:t>
            </w:r>
            <w:r w:rsidR="00DE2396" w:rsidRPr="00B743AB">
              <w:rPr>
                <w:color w:val="000000"/>
                <w:spacing w:val="214"/>
                <w:shd w:val="solid" w:color="000000" w:fill="000000"/>
                <w:fitText w:val="300" w:id="-893134846"/>
                <w14:textFill>
                  <w14:solidFill>
                    <w14:srgbClr w14:val="000000">
                      <w14:alpha w14:val="100000"/>
                    </w14:srgbClr>
                  </w14:solidFill>
                </w14:textFill>
              </w:rPr>
              <w:t>|</w:t>
            </w:r>
            <w:r w:rsidR="00DE2396" w:rsidRPr="00B743AB">
              <w:rPr>
                <w:color w:val="000000"/>
                <w:shd w:val="solid" w:color="000000" w:fill="000000"/>
                <w:fitText w:val="300" w:id="-893134846"/>
                <w14:textFill>
                  <w14:solidFill>
                    <w14:srgbClr w14:val="000000">
                      <w14:alpha w14:val="100000"/>
                    </w14:srgbClr>
                  </w14:solidFill>
                </w14:textFill>
              </w:rPr>
              <w:t>|</w:t>
            </w:r>
            <w:r w:rsidRPr="001C05C6">
              <w:t xml:space="preserve"> </w:t>
            </w:r>
          </w:p>
        </w:tc>
        <w:tc>
          <w:tcPr>
            <w:tcW w:w="712" w:type="dxa"/>
            <w:tcBorders>
              <w:top w:val="single" w:sz="4" w:space="0" w:color="auto"/>
              <w:left w:val="single" w:sz="4" w:space="0" w:color="auto"/>
              <w:bottom w:val="single" w:sz="4" w:space="0" w:color="auto"/>
              <w:right w:val="single" w:sz="4" w:space="0" w:color="auto"/>
            </w:tcBorders>
            <w:vAlign w:val="center"/>
            <w:hideMark/>
          </w:tcPr>
          <w:p w14:paraId="4FFB7926" w14:textId="77777777" w:rsidR="00DD5C35" w:rsidRPr="001C05C6" w:rsidRDefault="00DD5C35" w:rsidP="00C65237">
            <w:pPr>
              <w:keepLines/>
              <w:jc w:val="center"/>
              <w:rPr>
                <w:rFonts w:ascii="Arial Narrow" w:hAnsi="Arial Narrow"/>
                <w:sz w:val="20"/>
                <w:szCs w:val="20"/>
              </w:rPr>
            </w:pPr>
            <w:r w:rsidRPr="001C05C6">
              <w:rPr>
                <w:rFonts w:ascii="Arial Narrow" w:hAnsi="Arial Narrow"/>
                <w:sz w:val="20"/>
                <w:szCs w:val="20"/>
              </w:rPr>
              <w:t>8</w:t>
            </w:r>
          </w:p>
        </w:tc>
        <w:tc>
          <w:tcPr>
            <w:tcW w:w="712" w:type="dxa"/>
            <w:tcBorders>
              <w:top w:val="single" w:sz="4" w:space="0" w:color="auto"/>
              <w:left w:val="single" w:sz="4" w:space="0" w:color="auto"/>
              <w:bottom w:val="single" w:sz="4" w:space="0" w:color="auto"/>
              <w:right w:val="single" w:sz="4" w:space="0" w:color="auto"/>
            </w:tcBorders>
            <w:vAlign w:val="center"/>
            <w:hideMark/>
          </w:tcPr>
          <w:p w14:paraId="7D638729" w14:textId="77777777" w:rsidR="00DD5C35" w:rsidRPr="001C05C6" w:rsidRDefault="00DD5C35" w:rsidP="00C65237">
            <w:pPr>
              <w:keepLines/>
              <w:jc w:val="center"/>
              <w:rPr>
                <w:rFonts w:ascii="Arial Narrow" w:hAnsi="Arial Narrow"/>
                <w:sz w:val="20"/>
                <w:szCs w:val="20"/>
              </w:rPr>
            </w:pPr>
            <w:r w:rsidRPr="001C05C6">
              <w:rPr>
                <w:rFonts w:ascii="Arial Narrow" w:hAnsi="Arial Narrow"/>
                <w:sz w:val="20"/>
                <w:szCs w:val="20"/>
              </w:rPr>
              <w:t xml:space="preserve">56 </w:t>
            </w:r>
          </w:p>
        </w:tc>
        <w:tc>
          <w:tcPr>
            <w:tcW w:w="673" w:type="dxa"/>
            <w:tcBorders>
              <w:top w:val="single" w:sz="4" w:space="0" w:color="auto"/>
              <w:left w:val="single" w:sz="4" w:space="0" w:color="auto"/>
              <w:bottom w:val="single" w:sz="4" w:space="0" w:color="auto"/>
              <w:right w:val="single" w:sz="4" w:space="0" w:color="auto"/>
            </w:tcBorders>
            <w:vAlign w:val="center"/>
            <w:hideMark/>
          </w:tcPr>
          <w:p w14:paraId="6E45205C" w14:textId="77777777" w:rsidR="00DD5C35" w:rsidRPr="001C05C6" w:rsidRDefault="00DD5C35" w:rsidP="00C65237">
            <w:pPr>
              <w:keepLines/>
              <w:jc w:val="center"/>
              <w:rPr>
                <w:rFonts w:ascii="Arial Narrow" w:hAnsi="Arial Narrow"/>
                <w:sz w:val="20"/>
                <w:szCs w:val="20"/>
              </w:rPr>
            </w:pPr>
            <w:r w:rsidRPr="001C05C6">
              <w:rPr>
                <w:rFonts w:ascii="Arial Narrow" w:hAnsi="Arial Narrow"/>
                <w:sz w:val="20"/>
                <w:szCs w:val="20"/>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14:paraId="6CF75BFC" w14:textId="77777777" w:rsidR="00DD5C35" w:rsidRPr="001C05C6" w:rsidRDefault="00DD5C35" w:rsidP="00C65237">
            <w:pPr>
              <w:keepNext/>
              <w:keepLines/>
              <w:rPr>
                <w:rFonts w:ascii="Arial Narrow" w:hAnsi="Arial Narrow"/>
                <w:sz w:val="20"/>
                <w:szCs w:val="20"/>
              </w:rPr>
            </w:pPr>
            <w:proofErr w:type="spellStart"/>
            <w:r w:rsidRPr="001C05C6">
              <w:rPr>
                <w:rFonts w:ascii="Arial Narrow" w:hAnsi="Arial Narrow"/>
                <w:sz w:val="20"/>
                <w:szCs w:val="20"/>
              </w:rPr>
              <w:t>Lecigon</w:t>
            </w:r>
            <w:proofErr w:type="spellEnd"/>
            <w:r w:rsidRPr="001C05C6">
              <w:rPr>
                <w:rFonts w:ascii="Arial Narrow" w:hAnsi="Arial Narrow"/>
                <w:sz w:val="20"/>
                <w:szCs w:val="20"/>
              </w:rPr>
              <w:t xml:space="preserve"> /</w:t>
            </w:r>
          </w:p>
          <w:p w14:paraId="6890C868" w14:textId="77777777" w:rsidR="00DD5C35" w:rsidRPr="001C05C6" w:rsidRDefault="00DD5C35" w:rsidP="00C65237">
            <w:pPr>
              <w:keepLines/>
              <w:rPr>
                <w:rFonts w:ascii="Arial Narrow" w:hAnsi="Arial Narrow"/>
                <w:sz w:val="20"/>
                <w:szCs w:val="20"/>
              </w:rPr>
            </w:pPr>
            <w:r w:rsidRPr="001C05C6">
              <w:rPr>
                <w:rFonts w:ascii="Arial Narrow" w:hAnsi="Arial Narrow"/>
                <w:color w:val="333333"/>
                <w:sz w:val="20"/>
                <w:szCs w:val="20"/>
              </w:rPr>
              <w:t>STADA Pharmaceuticals Australia Pty Ltd</w:t>
            </w:r>
          </w:p>
        </w:tc>
      </w:tr>
      <w:tr w:rsidR="00DD5C35" w:rsidRPr="001C05C6" w14:paraId="610A8742" w14:textId="77777777" w:rsidTr="004B1ED9">
        <w:trPr>
          <w:trHeight w:val="20"/>
        </w:trPr>
        <w:tc>
          <w:tcPr>
            <w:tcW w:w="9016"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6F9095" w14:textId="77777777" w:rsidR="00DD5C35" w:rsidRPr="001C05C6" w:rsidRDefault="00DD5C35" w:rsidP="00C65237">
            <w:pPr>
              <w:rPr>
                <w:rFonts w:ascii="Arial Narrow" w:hAnsi="Arial Narrow"/>
                <w:sz w:val="20"/>
                <w:szCs w:val="20"/>
              </w:rPr>
            </w:pPr>
          </w:p>
        </w:tc>
      </w:tr>
      <w:tr w:rsidR="00DD5C35" w:rsidRPr="001C05C6" w14:paraId="0434D70A" w14:textId="77777777" w:rsidTr="004B1ED9">
        <w:trPr>
          <w:trHeight w:val="20"/>
        </w:trPr>
        <w:tc>
          <w:tcPr>
            <w:tcW w:w="9016" w:type="dxa"/>
            <w:gridSpan w:val="9"/>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F3D4BA" w14:textId="77777777" w:rsidR="00DD5C35" w:rsidRPr="001C05C6" w:rsidRDefault="00DD5C35" w:rsidP="00C65237">
            <w:pPr>
              <w:keepLines/>
              <w:rPr>
                <w:rFonts w:ascii="Arial Narrow" w:hAnsi="Arial Narrow"/>
                <w:b/>
                <w:sz w:val="20"/>
                <w:szCs w:val="20"/>
              </w:rPr>
            </w:pPr>
            <w:r w:rsidRPr="001C05C6">
              <w:rPr>
                <w:rFonts w:ascii="Arial Narrow" w:hAnsi="Arial Narrow"/>
                <w:b/>
                <w:sz w:val="20"/>
                <w:szCs w:val="20"/>
              </w:rPr>
              <w:t>Variant of Restriction Summary 10374 / ToC: 10386: Authority Required: Streamlined</w:t>
            </w:r>
          </w:p>
        </w:tc>
      </w:tr>
      <w:tr w:rsidR="00DD5C35" w:rsidRPr="001C05C6" w14:paraId="7EF385E2" w14:textId="77777777" w:rsidTr="004B1ED9">
        <w:trPr>
          <w:trHeight w:val="20"/>
        </w:trPr>
        <w:tc>
          <w:tcPr>
            <w:tcW w:w="1277"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7A2A4AA9" w14:textId="77777777" w:rsidR="00DD5C35" w:rsidRPr="004538F5" w:rsidRDefault="00DD5C35" w:rsidP="00C65237">
            <w:pPr>
              <w:jc w:val="center"/>
              <w:rPr>
                <w:rFonts w:ascii="Arial Narrow" w:hAnsi="Arial Narrow"/>
                <w:b/>
                <w:sz w:val="20"/>
                <w:szCs w:val="20"/>
              </w:rPr>
            </w:pPr>
            <w:r w:rsidRPr="004538F5">
              <w:rPr>
                <w:rFonts w:ascii="Arial Narrow" w:hAnsi="Arial Narrow"/>
                <w:b/>
                <w:sz w:val="20"/>
                <w:szCs w:val="20"/>
              </w:rPr>
              <w:t xml:space="preserve">Concept ID </w:t>
            </w:r>
            <w:r w:rsidRPr="004538F5">
              <w:rPr>
                <w:rFonts w:ascii="Arial Narrow" w:hAnsi="Arial Narrow"/>
                <w:sz w:val="20"/>
                <w:szCs w:val="20"/>
              </w:rPr>
              <w:t>(for internal Dept. use)</w:t>
            </w: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37F1FCB" w14:textId="77777777" w:rsidR="00DD5C35" w:rsidRPr="004538F5" w:rsidRDefault="00DD5C35" w:rsidP="00C65237">
            <w:pPr>
              <w:keepLines/>
              <w:rPr>
                <w:rFonts w:ascii="Arial Narrow" w:hAnsi="Arial Narrow"/>
                <w:b/>
                <w:sz w:val="20"/>
                <w:szCs w:val="20"/>
              </w:rPr>
            </w:pPr>
            <w:r w:rsidRPr="004538F5">
              <w:rPr>
                <w:rFonts w:ascii="Arial Narrow" w:hAnsi="Arial Narrow"/>
                <w:b/>
                <w:sz w:val="20"/>
                <w:szCs w:val="20"/>
              </w:rPr>
              <w:t xml:space="preserve">Category / Program: </w:t>
            </w:r>
            <w:r w:rsidRPr="004538F5">
              <w:rPr>
                <w:rFonts w:ascii="Arial Narrow" w:hAnsi="Arial Narrow"/>
                <w:sz w:val="20"/>
                <w:szCs w:val="20"/>
              </w:rPr>
              <w:t>General Schedule (Code GE)</w:t>
            </w:r>
          </w:p>
        </w:tc>
      </w:tr>
      <w:tr w:rsidR="00DD5C35" w:rsidRPr="001C05C6" w14:paraId="38908EF9" w14:textId="77777777" w:rsidTr="004B1ED9">
        <w:trPr>
          <w:trHeight w:val="20"/>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5F6438D1" w14:textId="77777777" w:rsidR="00DD5C35" w:rsidRPr="004538F5" w:rsidRDefault="00DD5C35" w:rsidP="00C65237">
            <w:pPr>
              <w:rPr>
                <w:rFonts w:ascii="Arial Narrow" w:hAnsi="Arial Narrow"/>
                <w:b/>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E4A4BC" w14:textId="77777777" w:rsidR="00DD5C35" w:rsidRPr="004538F5" w:rsidRDefault="00DD5C35" w:rsidP="00C65237">
            <w:pPr>
              <w:keepLines/>
              <w:rPr>
                <w:rFonts w:ascii="Arial Narrow" w:hAnsi="Arial Narrow"/>
                <w:b/>
                <w:sz w:val="20"/>
                <w:szCs w:val="20"/>
              </w:rPr>
            </w:pPr>
            <w:r w:rsidRPr="004538F5">
              <w:rPr>
                <w:rFonts w:ascii="Arial Narrow" w:hAnsi="Arial Narrow"/>
                <w:b/>
                <w:sz w:val="20"/>
                <w:szCs w:val="20"/>
              </w:rPr>
              <w:t xml:space="preserve">Prescriber type: </w:t>
            </w:r>
            <w:r w:rsidRPr="004538F5">
              <w:rPr>
                <w:rFonts w:ascii="Arial Narrow" w:hAnsi="Arial Narrow"/>
                <w:sz w:val="20"/>
                <w:szCs w:val="20"/>
              </w:rPr>
              <w:fldChar w:fldCharType="begin" w:fldLock="1">
                <w:ffData>
                  <w:name w:val=""/>
                  <w:enabled/>
                  <w:calcOnExit w:val="0"/>
                  <w:checkBox>
                    <w:sizeAuto/>
                    <w:default w:val="1"/>
                  </w:checkBox>
                </w:ffData>
              </w:fldChar>
            </w:r>
            <w:r w:rsidRPr="004538F5">
              <w:rPr>
                <w:rFonts w:ascii="Arial Narrow" w:hAnsi="Arial Narrow"/>
                <w:sz w:val="20"/>
                <w:szCs w:val="20"/>
              </w:rPr>
              <w:instrText xml:space="preserve"> FORMCHECKBOX </w:instrText>
            </w:r>
            <w:r w:rsidRPr="004538F5">
              <w:rPr>
                <w:rFonts w:ascii="Arial Narrow" w:hAnsi="Arial Narrow"/>
                <w:sz w:val="20"/>
                <w:szCs w:val="20"/>
              </w:rPr>
            </w:r>
            <w:r w:rsidRPr="004538F5">
              <w:rPr>
                <w:rFonts w:ascii="Arial Narrow" w:hAnsi="Arial Narrow"/>
                <w:sz w:val="20"/>
                <w:szCs w:val="20"/>
              </w:rPr>
              <w:fldChar w:fldCharType="separate"/>
            </w:r>
            <w:r w:rsidRPr="004538F5">
              <w:rPr>
                <w:rFonts w:ascii="Arial Narrow" w:hAnsi="Arial Narrow"/>
                <w:sz w:val="20"/>
                <w:szCs w:val="20"/>
              </w:rPr>
              <w:fldChar w:fldCharType="end"/>
            </w:r>
            <w:r w:rsidRPr="004538F5">
              <w:rPr>
                <w:rFonts w:ascii="Arial Narrow" w:hAnsi="Arial Narrow"/>
                <w:sz w:val="20"/>
                <w:szCs w:val="20"/>
              </w:rPr>
              <w:t xml:space="preserve">Medical Practitioners </w:t>
            </w:r>
            <w:r w:rsidRPr="004538F5">
              <w:rPr>
                <w:rFonts w:ascii="Arial Narrow" w:hAnsi="Arial Narrow"/>
                <w:b/>
                <w:sz w:val="20"/>
                <w:szCs w:val="20"/>
              </w:rPr>
              <w:t xml:space="preserve"> </w:t>
            </w:r>
            <w:r w:rsidRPr="004538F5">
              <w:rPr>
                <w:rFonts w:ascii="Arial Narrow" w:hAnsi="Arial Narrow"/>
                <w:sz w:val="20"/>
                <w:szCs w:val="20"/>
              </w:rPr>
              <w:fldChar w:fldCharType="begin" w:fldLock="1">
                <w:ffData>
                  <w:name w:val=""/>
                  <w:enabled/>
                  <w:calcOnExit w:val="0"/>
                  <w:checkBox>
                    <w:sizeAuto/>
                    <w:default w:val="1"/>
                  </w:checkBox>
                </w:ffData>
              </w:fldChar>
            </w:r>
            <w:r w:rsidRPr="004538F5">
              <w:rPr>
                <w:rFonts w:ascii="Arial Narrow" w:hAnsi="Arial Narrow"/>
                <w:sz w:val="20"/>
                <w:szCs w:val="20"/>
              </w:rPr>
              <w:instrText xml:space="preserve"> FORMCHECKBOX </w:instrText>
            </w:r>
            <w:r w:rsidRPr="004538F5">
              <w:rPr>
                <w:rFonts w:ascii="Arial Narrow" w:hAnsi="Arial Narrow"/>
                <w:sz w:val="20"/>
                <w:szCs w:val="20"/>
              </w:rPr>
            </w:r>
            <w:r w:rsidRPr="004538F5">
              <w:rPr>
                <w:rFonts w:ascii="Arial Narrow" w:hAnsi="Arial Narrow"/>
                <w:sz w:val="20"/>
                <w:szCs w:val="20"/>
              </w:rPr>
              <w:fldChar w:fldCharType="separate"/>
            </w:r>
            <w:r w:rsidRPr="004538F5">
              <w:rPr>
                <w:rFonts w:ascii="Arial Narrow" w:hAnsi="Arial Narrow"/>
                <w:sz w:val="20"/>
                <w:szCs w:val="20"/>
              </w:rPr>
              <w:fldChar w:fldCharType="end"/>
            </w:r>
            <w:r w:rsidRPr="004538F5">
              <w:rPr>
                <w:rFonts w:ascii="Arial Narrow" w:hAnsi="Arial Narrow"/>
                <w:sz w:val="20"/>
                <w:szCs w:val="20"/>
              </w:rPr>
              <w:t>Nurse practitioner</w:t>
            </w:r>
          </w:p>
        </w:tc>
      </w:tr>
      <w:tr w:rsidR="00DD5C35" w:rsidRPr="001C05C6" w14:paraId="2CD9E813" w14:textId="77777777" w:rsidTr="004B1ED9">
        <w:trPr>
          <w:trHeight w:val="20"/>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1CC9B5A9" w14:textId="77777777" w:rsidR="00DD5C35" w:rsidRPr="004538F5" w:rsidRDefault="00DD5C35" w:rsidP="00C65237">
            <w:pPr>
              <w:rPr>
                <w:rFonts w:ascii="Arial Narrow" w:hAnsi="Arial Narrow"/>
                <w:b/>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4AC7A6" w14:textId="77777777" w:rsidR="00DD5C35" w:rsidRPr="004538F5" w:rsidRDefault="00DD5C35" w:rsidP="00C65237">
            <w:pPr>
              <w:keepLines/>
              <w:rPr>
                <w:rFonts w:ascii="Arial Narrow" w:eastAsia="Calibri" w:hAnsi="Arial Narrow"/>
                <w:color w:val="FF0000"/>
                <w:sz w:val="20"/>
                <w:szCs w:val="20"/>
              </w:rPr>
            </w:pPr>
            <w:r w:rsidRPr="004538F5">
              <w:rPr>
                <w:rFonts w:ascii="Arial Narrow" w:hAnsi="Arial Narrow"/>
                <w:b/>
                <w:sz w:val="20"/>
                <w:szCs w:val="20"/>
              </w:rPr>
              <w:t xml:space="preserve">Restriction type: </w:t>
            </w:r>
            <w:r w:rsidRPr="004538F5">
              <w:rPr>
                <w:rFonts w:ascii="Arial Narrow" w:eastAsia="Calibri" w:hAnsi="Arial Narrow"/>
                <w:sz w:val="20"/>
                <w:szCs w:val="20"/>
              </w:rPr>
              <w:fldChar w:fldCharType="begin" w:fldLock="1">
                <w:ffData>
                  <w:name w:val=""/>
                  <w:enabled/>
                  <w:calcOnExit w:val="0"/>
                  <w:checkBox>
                    <w:sizeAuto/>
                    <w:default w:val="1"/>
                  </w:checkBox>
                </w:ffData>
              </w:fldChar>
            </w:r>
            <w:r w:rsidRPr="004538F5">
              <w:rPr>
                <w:rFonts w:ascii="Arial Narrow" w:eastAsia="Calibri" w:hAnsi="Arial Narrow"/>
                <w:sz w:val="20"/>
                <w:szCs w:val="20"/>
              </w:rPr>
              <w:instrText xml:space="preserve"> FORMCHECKBOX </w:instrText>
            </w:r>
            <w:r w:rsidRPr="004538F5">
              <w:rPr>
                <w:rFonts w:ascii="Arial Narrow" w:eastAsia="Calibri" w:hAnsi="Arial Narrow"/>
                <w:sz w:val="20"/>
                <w:szCs w:val="20"/>
              </w:rPr>
            </w:r>
            <w:r w:rsidRPr="004538F5">
              <w:rPr>
                <w:rFonts w:ascii="Arial Narrow" w:eastAsia="Calibri" w:hAnsi="Arial Narrow"/>
                <w:sz w:val="20"/>
                <w:szCs w:val="20"/>
              </w:rPr>
              <w:fldChar w:fldCharType="separate"/>
            </w:r>
            <w:r w:rsidRPr="004538F5">
              <w:rPr>
                <w:rFonts w:ascii="Arial Narrow" w:eastAsia="Calibri" w:hAnsi="Arial Narrow"/>
                <w:sz w:val="20"/>
                <w:szCs w:val="20"/>
              </w:rPr>
              <w:fldChar w:fldCharType="end"/>
            </w:r>
            <w:r w:rsidRPr="004538F5">
              <w:rPr>
                <w:rFonts w:ascii="Arial Narrow" w:eastAsia="Calibri" w:hAnsi="Arial Narrow"/>
                <w:sz w:val="20"/>
                <w:szCs w:val="20"/>
              </w:rPr>
              <w:t xml:space="preserve">Authority Required (Streamlined) [new code] </w:t>
            </w:r>
          </w:p>
        </w:tc>
      </w:tr>
      <w:tr w:rsidR="00DD5C35" w:rsidRPr="001C05C6" w14:paraId="38F7E7E3" w14:textId="77777777" w:rsidTr="008403BF">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EA8E04B" w14:textId="7BA784F9" w:rsidR="00DD5C35" w:rsidRPr="004538F5" w:rsidRDefault="00DD5C35" w:rsidP="00C65237">
            <w:pPr>
              <w:rPr>
                <w:rFonts w:ascii="Arial Narrow" w:eastAsiaTheme="minorHAnsi" w:hAnsi="Arial Narrow"/>
                <w:sz w:val="20"/>
                <w:szCs w:val="20"/>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FB175D9" w14:textId="64A53273" w:rsidR="00DD5C35" w:rsidRPr="004538F5" w:rsidRDefault="00DD5C35" w:rsidP="00C65237">
            <w:pPr>
              <w:jc w:val="center"/>
              <w:rPr>
                <w:rFonts w:ascii="Arial Narrow" w:hAnsi="Arial Narrow"/>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02EAD7" w14:textId="77777777" w:rsidR="00DD5C35" w:rsidRPr="004538F5" w:rsidRDefault="00DD5C35" w:rsidP="00C65237">
            <w:pPr>
              <w:keepLines/>
              <w:rPr>
                <w:rFonts w:ascii="Arial Narrow" w:hAnsi="Arial Narrow"/>
                <w:b/>
                <w:sz w:val="20"/>
                <w:szCs w:val="20"/>
              </w:rPr>
            </w:pPr>
            <w:r w:rsidRPr="004538F5">
              <w:rPr>
                <w:rFonts w:ascii="Arial Narrow" w:hAnsi="Arial Narrow"/>
                <w:b/>
                <w:bCs/>
                <w:color w:val="333333"/>
                <w:sz w:val="20"/>
                <w:szCs w:val="20"/>
              </w:rPr>
              <w:t xml:space="preserve">Administrative Advice: </w:t>
            </w:r>
            <w:r w:rsidRPr="004538F5">
              <w:rPr>
                <w:rFonts w:ascii="Arial Narrow" w:hAnsi="Arial Narrow"/>
                <w:color w:val="333333"/>
                <w:sz w:val="20"/>
                <w:szCs w:val="20"/>
              </w:rPr>
              <w:t>Special Pricing Arrangements apply.</w:t>
            </w:r>
          </w:p>
        </w:tc>
      </w:tr>
      <w:tr w:rsidR="00DD5C35" w:rsidRPr="001C05C6" w14:paraId="4D551FEE" w14:textId="77777777" w:rsidTr="008403BF">
        <w:trPr>
          <w:trHeight w:val="20"/>
        </w:trPr>
        <w:tc>
          <w:tcPr>
            <w:tcW w:w="637" w:type="dxa"/>
            <w:vMerge/>
            <w:tcBorders>
              <w:top w:val="single" w:sz="4" w:space="0" w:color="auto"/>
              <w:left w:val="single" w:sz="4" w:space="0" w:color="auto"/>
              <w:bottom w:val="single" w:sz="4" w:space="0" w:color="auto"/>
              <w:right w:val="single" w:sz="4" w:space="0" w:color="auto"/>
            </w:tcBorders>
            <w:vAlign w:val="center"/>
          </w:tcPr>
          <w:p w14:paraId="1987C8A2" w14:textId="77777777" w:rsidR="00DD5C35" w:rsidRPr="004538F5" w:rsidRDefault="00DD5C35" w:rsidP="00C65237">
            <w:pPr>
              <w:rPr>
                <w:rFonts w:ascii="Arial Narrow" w:hAnsi="Arial Narrow"/>
                <w:sz w:val="20"/>
                <w:szCs w:val="20"/>
                <w:lang w:eastAsia="en-US"/>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0928A82D" w14:textId="308D587E" w:rsidR="00DD5C35" w:rsidRPr="004538F5" w:rsidRDefault="00DD5C35" w:rsidP="00C65237">
            <w:pPr>
              <w:jc w:val="center"/>
              <w:rPr>
                <w:rFonts w:ascii="Arial Narrow" w:hAnsi="Arial Narrow"/>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7C87819" w14:textId="77777777" w:rsidR="00DD5C35" w:rsidRPr="004538F5" w:rsidRDefault="00DD5C35" w:rsidP="00C65237">
            <w:pPr>
              <w:keepLines/>
              <w:rPr>
                <w:rFonts w:ascii="Arial Narrow" w:hAnsi="Arial Narrow"/>
                <w:b/>
                <w:bCs/>
                <w:color w:val="333333"/>
                <w:sz w:val="20"/>
                <w:szCs w:val="20"/>
              </w:rPr>
            </w:pPr>
            <w:r w:rsidRPr="004538F5">
              <w:rPr>
                <w:rFonts w:ascii="Arial Narrow" w:hAnsi="Arial Narrow"/>
                <w:b/>
                <w:bCs/>
                <w:color w:val="333333"/>
                <w:sz w:val="20"/>
                <w:szCs w:val="20"/>
              </w:rPr>
              <w:t>Administrative Advice:</w:t>
            </w:r>
          </w:p>
          <w:p w14:paraId="60B4484C" w14:textId="77777777" w:rsidR="00DD5C35" w:rsidRPr="004538F5" w:rsidRDefault="00DD5C35" w:rsidP="00C65237">
            <w:pPr>
              <w:keepLines/>
              <w:rPr>
                <w:rFonts w:ascii="Arial Narrow" w:hAnsi="Arial Narrow"/>
                <w:b/>
                <w:bCs/>
                <w:color w:val="333333"/>
                <w:sz w:val="20"/>
                <w:szCs w:val="20"/>
              </w:rPr>
            </w:pPr>
            <w:r w:rsidRPr="004538F5">
              <w:rPr>
                <w:rFonts w:ascii="Arial Narrow" w:hAnsi="Arial Narrow"/>
                <w:b/>
                <w:bCs/>
                <w:color w:val="333333"/>
                <w:sz w:val="20"/>
                <w:szCs w:val="20"/>
              </w:rPr>
              <w:t>Shared Care Model:</w:t>
            </w:r>
          </w:p>
          <w:p w14:paraId="7F467721" w14:textId="77777777" w:rsidR="00DD5C35" w:rsidRPr="004538F5" w:rsidRDefault="00DD5C35" w:rsidP="00C65237">
            <w:pPr>
              <w:keepLines/>
              <w:rPr>
                <w:rFonts w:ascii="Arial Narrow" w:hAnsi="Arial Narrow"/>
                <w:b/>
                <w:bCs/>
                <w:color w:val="333333"/>
                <w:sz w:val="20"/>
                <w:szCs w:val="20"/>
              </w:rPr>
            </w:pPr>
            <w:r w:rsidRPr="004538F5">
              <w:rPr>
                <w:rFonts w:ascii="Arial Narrow" w:hAnsi="Arial Narrow"/>
                <w:color w:val="333333"/>
                <w:sz w:val="20"/>
                <w:szCs w:val="2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r w:rsidRPr="004538F5">
              <w:rPr>
                <w:rFonts w:ascii="Arial Narrow" w:hAnsi="Arial Narrow"/>
                <w:b/>
                <w:bCs/>
                <w:color w:val="333333"/>
                <w:sz w:val="20"/>
                <w:szCs w:val="20"/>
              </w:rPr>
              <w:t>.</w:t>
            </w:r>
          </w:p>
        </w:tc>
      </w:tr>
      <w:tr w:rsidR="00DD5C35" w:rsidRPr="001C05C6" w14:paraId="0451C574" w14:textId="77777777" w:rsidTr="004B1ED9">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B6B983" w14:textId="77777777" w:rsidR="00DD5C35" w:rsidRPr="004538F5" w:rsidRDefault="00DD5C35" w:rsidP="00C65237">
            <w:pPr>
              <w:keepLines/>
              <w:jc w:val="center"/>
              <w:rPr>
                <w:rFonts w:ascii="Arial Narrow" w:eastAsiaTheme="minorHAnsi" w:hAnsi="Arial Narrow" w:cstheme="minorHAnsi"/>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DF7BE70" w14:textId="77777777" w:rsidR="00DD5C35" w:rsidRPr="004538F5" w:rsidRDefault="00DD5C35" w:rsidP="00C65237">
            <w:pPr>
              <w:keepLines/>
              <w:rPr>
                <w:rFonts w:ascii="Arial Narrow" w:hAnsi="Arial Narrow"/>
                <w:b/>
                <w:bCs/>
                <w:sz w:val="20"/>
                <w:szCs w:val="20"/>
              </w:rPr>
            </w:pPr>
            <w:r w:rsidRPr="004538F5">
              <w:rPr>
                <w:rFonts w:ascii="Arial Narrow" w:hAnsi="Arial Narrow"/>
                <w:b/>
                <w:bCs/>
                <w:sz w:val="20"/>
                <w:szCs w:val="20"/>
              </w:rPr>
              <w:t xml:space="preserve">Severity: </w:t>
            </w:r>
            <w:r w:rsidRPr="004538F5">
              <w:rPr>
                <w:rFonts w:ascii="Arial Narrow" w:hAnsi="Arial Narrow" w:cstheme="minorHAnsi"/>
                <w:sz w:val="20"/>
                <w:szCs w:val="20"/>
              </w:rPr>
              <w:t>Advanced</w:t>
            </w:r>
          </w:p>
        </w:tc>
      </w:tr>
      <w:tr w:rsidR="00DD5C35" w:rsidRPr="001C05C6" w14:paraId="6BC4EC81" w14:textId="77777777" w:rsidTr="004B1ED9">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010A2CB" w14:textId="77777777" w:rsidR="00DD5C35" w:rsidRPr="004538F5" w:rsidRDefault="00DD5C35" w:rsidP="00C65237">
            <w:pPr>
              <w:keepLines/>
              <w:jc w:val="center"/>
              <w:rPr>
                <w:rFonts w:ascii="Arial Narrow" w:eastAsiaTheme="minorHAnsi" w:hAnsi="Arial Narrow" w:cstheme="minorHAnsi"/>
                <w:sz w:val="20"/>
                <w:szCs w:val="20"/>
                <w:lang w:eastAsia="en-US"/>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4233AB" w14:textId="5E831E58" w:rsidR="00DD5C35" w:rsidRPr="004538F5" w:rsidRDefault="00DD5C35" w:rsidP="00C65237">
            <w:pPr>
              <w:keepLines/>
              <w:rPr>
                <w:rFonts w:ascii="Arial Narrow" w:hAnsi="Arial Narrow"/>
                <w:b/>
                <w:bCs/>
                <w:sz w:val="20"/>
                <w:szCs w:val="20"/>
              </w:rPr>
            </w:pPr>
            <w:r w:rsidRPr="004538F5">
              <w:rPr>
                <w:rFonts w:ascii="Arial Narrow" w:hAnsi="Arial Narrow"/>
                <w:b/>
                <w:bCs/>
                <w:sz w:val="20"/>
                <w:szCs w:val="20"/>
              </w:rPr>
              <w:t xml:space="preserve">Condition: </w:t>
            </w:r>
            <w:r w:rsidRPr="004538F5">
              <w:rPr>
                <w:rFonts w:ascii="Arial Narrow" w:hAnsi="Arial Narrow" w:cstheme="minorHAnsi"/>
                <w:sz w:val="20"/>
                <w:szCs w:val="20"/>
              </w:rPr>
              <w:t>Parkinson Disease</w:t>
            </w:r>
          </w:p>
        </w:tc>
      </w:tr>
      <w:tr w:rsidR="00DD5C35" w:rsidRPr="001C05C6" w14:paraId="2829C8FF"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CB1F257" w14:textId="3988B723" w:rsidR="00DD5C35" w:rsidRPr="004538F5" w:rsidRDefault="00DD5C35" w:rsidP="00C65237">
            <w:pPr>
              <w:keepLines/>
              <w:jc w:val="center"/>
              <w:rPr>
                <w:rFonts w:ascii="Arial Narrow" w:hAnsi="Arial Narrow"/>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AAFFF2" w14:textId="77777777" w:rsidR="00DD5C35" w:rsidRPr="004538F5" w:rsidRDefault="00DD5C35" w:rsidP="00C65237">
            <w:pPr>
              <w:keepLines/>
              <w:rPr>
                <w:rFonts w:ascii="Arial Narrow" w:hAnsi="Arial Narrow"/>
                <w:color w:val="333333"/>
                <w:sz w:val="20"/>
                <w:szCs w:val="20"/>
              </w:rPr>
            </w:pPr>
            <w:r w:rsidRPr="004538F5">
              <w:rPr>
                <w:rFonts w:ascii="Arial Narrow" w:hAnsi="Arial Narrow"/>
                <w:b/>
                <w:bCs/>
                <w:color w:val="333333"/>
                <w:sz w:val="20"/>
                <w:szCs w:val="20"/>
              </w:rPr>
              <w:t>Indication:</w:t>
            </w:r>
            <w:r w:rsidRPr="004538F5">
              <w:rPr>
                <w:rFonts w:ascii="Arial Narrow" w:hAnsi="Arial Narrow"/>
                <w:color w:val="333333"/>
                <w:sz w:val="20"/>
                <w:szCs w:val="20"/>
              </w:rPr>
              <w:t xml:space="preserve"> </w:t>
            </w:r>
            <w:r w:rsidRPr="004538F5">
              <w:rPr>
                <w:rFonts w:ascii="Arial Narrow" w:hAnsi="Arial Narrow" w:cstheme="minorHAnsi"/>
                <w:sz w:val="20"/>
                <w:szCs w:val="20"/>
              </w:rPr>
              <w:t>Advanced Parkinson disease</w:t>
            </w:r>
          </w:p>
        </w:tc>
      </w:tr>
      <w:tr w:rsidR="00DD5C35" w:rsidRPr="001C05C6" w14:paraId="13723DAD" w14:textId="77777777" w:rsidTr="004B1ED9">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10AF8F" w14:textId="77777777" w:rsidR="00DD5C35" w:rsidRPr="004538F5" w:rsidRDefault="00DD5C35" w:rsidP="00C65237">
            <w:pPr>
              <w:keepNext/>
              <w:jc w:val="center"/>
              <w:rPr>
                <w:rFonts w:ascii="Arial Narrow" w:hAnsi="Arial Narrow"/>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92BE162" w14:textId="68AF5841" w:rsidR="00DD5C35" w:rsidRPr="004538F5" w:rsidRDefault="00DD5C35" w:rsidP="00C65237">
            <w:pPr>
              <w:keepNext/>
              <w:rPr>
                <w:rFonts w:ascii="Arial Narrow" w:hAnsi="Arial Narrow"/>
                <w:b/>
                <w:bCs/>
                <w:color w:val="333333"/>
                <w:sz w:val="20"/>
                <w:szCs w:val="20"/>
              </w:rPr>
            </w:pPr>
            <w:r w:rsidRPr="004538F5">
              <w:rPr>
                <w:rFonts w:ascii="Arial Narrow" w:hAnsi="Arial Narrow"/>
                <w:b/>
                <w:bCs/>
                <w:color w:val="333333"/>
                <w:sz w:val="20"/>
                <w:szCs w:val="20"/>
              </w:rPr>
              <w:t xml:space="preserve">Treatment Phase: </w:t>
            </w:r>
            <w:r w:rsidRPr="004538F5">
              <w:rPr>
                <w:rFonts w:ascii="Arial Narrow" w:hAnsi="Arial Narrow"/>
                <w:color w:val="333333"/>
                <w:sz w:val="20"/>
                <w:szCs w:val="20"/>
              </w:rPr>
              <w:t>Maintenance therapy</w:t>
            </w:r>
          </w:p>
        </w:tc>
      </w:tr>
      <w:tr w:rsidR="00DD5C35" w:rsidRPr="001C05C6" w14:paraId="57B33C15"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B4DDDB" w14:textId="4CE679A1" w:rsidR="00DD5C35" w:rsidRPr="004538F5" w:rsidRDefault="00DD5C35" w:rsidP="00C65237">
            <w:pPr>
              <w:jc w:val="center"/>
              <w:rPr>
                <w:rFonts w:ascii="Arial Narrow" w:hAnsi="Arial Narrow"/>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5AFE363" w14:textId="77777777" w:rsidR="00DD5C35" w:rsidRPr="004538F5" w:rsidRDefault="00DD5C35" w:rsidP="00C65237">
            <w:pPr>
              <w:rPr>
                <w:rFonts w:ascii="Arial Narrow" w:hAnsi="Arial Narrow"/>
                <w:sz w:val="20"/>
                <w:szCs w:val="20"/>
              </w:rPr>
            </w:pPr>
            <w:r w:rsidRPr="004538F5">
              <w:rPr>
                <w:rFonts w:ascii="Arial Narrow" w:hAnsi="Arial Narrow"/>
                <w:b/>
                <w:bCs/>
                <w:sz w:val="20"/>
                <w:szCs w:val="20"/>
              </w:rPr>
              <w:t xml:space="preserve">Clinical criteria: </w:t>
            </w:r>
          </w:p>
        </w:tc>
      </w:tr>
      <w:tr w:rsidR="00DD5C35" w:rsidRPr="001C05C6" w14:paraId="4F70E735"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214D9C8" w14:textId="40D4ED01" w:rsidR="00DD5C35" w:rsidRPr="004538F5" w:rsidRDefault="00DD5C35" w:rsidP="00C65237">
            <w:pPr>
              <w:jc w:val="center"/>
              <w:rPr>
                <w:rFonts w:ascii="Arial Narrow" w:hAnsi="Arial Narrow"/>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4F39390" w14:textId="6FE2C414" w:rsidR="00DD5C35" w:rsidRPr="004538F5" w:rsidRDefault="0048153C" w:rsidP="00C65237">
            <w:pPr>
              <w:rPr>
                <w:rFonts w:ascii="Arial Narrow" w:hAnsi="Arial Narrow"/>
                <w:color w:val="333333"/>
                <w:sz w:val="20"/>
                <w:szCs w:val="20"/>
              </w:rPr>
            </w:pPr>
            <w:r w:rsidRPr="0048153C">
              <w:rPr>
                <w:rFonts w:ascii="Arial Narrow" w:hAnsi="Arial Narrow"/>
                <w:sz w:val="20"/>
                <w:szCs w:val="20"/>
              </w:rPr>
              <w:t>Patient must have severe disabling motor fluctuations not adequately controlled by at least one of: (i) oral therapy; (ii) intestinal gel formulation containing levodopa.</w:t>
            </w:r>
          </w:p>
        </w:tc>
      </w:tr>
      <w:tr w:rsidR="00DD5C35" w:rsidRPr="001C05C6" w14:paraId="27E45E3B" w14:textId="77777777" w:rsidTr="004B1ED9">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62CBAC" w14:textId="77777777" w:rsidR="00DD5C35" w:rsidRPr="004538F5" w:rsidRDefault="00DD5C35" w:rsidP="00C65237">
            <w:pPr>
              <w:jc w:val="center"/>
              <w:rPr>
                <w:rFonts w:ascii="Arial Narrow" w:hAnsi="Arial Narrow"/>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2C6326" w14:textId="77777777" w:rsidR="00DD5C35" w:rsidRPr="004538F5" w:rsidRDefault="00DD5C35" w:rsidP="00C65237">
            <w:pPr>
              <w:rPr>
                <w:rFonts w:ascii="Arial Narrow" w:hAnsi="Arial Narrow"/>
                <w:color w:val="333333"/>
                <w:sz w:val="20"/>
                <w:szCs w:val="20"/>
              </w:rPr>
            </w:pPr>
            <w:r w:rsidRPr="004538F5">
              <w:rPr>
                <w:rFonts w:ascii="Arial Narrow" w:hAnsi="Arial Narrow"/>
                <w:b/>
                <w:bCs/>
                <w:color w:val="333333"/>
                <w:sz w:val="20"/>
                <w:szCs w:val="20"/>
              </w:rPr>
              <w:t>AND</w:t>
            </w:r>
          </w:p>
        </w:tc>
      </w:tr>
      <w:tr w:rsidR="00DD5C35" w:rsidRPr="001C05C6" w14:paraId="4AD36E5A"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FFC476" w14:textId="43951F32" w:rsidR="00DD5C35" w:rsidRPr="004538F5" w:rsidRDefault="00DD5C35" w:rsidP="00C65237">
            <w:pPr>
              <w:jc w:val="center"/>
              <w:rPr>
                <w:rFonts w:ascii="Arial Narrow" w:hAnsi="Arial Narrow"/>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20EA90" w14:textId="77777777" w:rsidR="00DD5C35" w:rsidRPr="004538F5" w:rsidRDefault="00DD5C35" w:rsidP="00C65237">
            <w:pPr>
              <w:rPr>
                <w:rFonts w:ascii="Arial Narrow" w:hAnsi="Arial Narrow"/>
                <w:sz w:val="20"/>
                <w:szCs w:val="20"/>
              </w:rPr>
            </w:pPr>
            <w:r w:rsidRPr="004538F5">
              <w:rPr>
                <w:rFonts w:ascii="Arial Narrow" w:hAnsi="Arial Narrow"/>
                <w:b/>
                <w:bCs/>
                <w:sz w:val="20"/>
                <w:szCs w:val="20"/>
              </w:rPr>
              <w:t>Clinical criteria:</w:t>
            </w:r>
          </w:p>
        </w:tc>
      </w:tr>
      <w:tr w:rsidR="00DD5C35" w:rsidRPr="001C05C6" w14:paraId="70EA5F7E"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C3D5CF2" w14:textId="4ADAA737" w:rsidR="00DD5C35" w:rsidRPr="004538F5" w:rsidRDefault="00DD5C35" w:rsidP="00C65237">
            <w:pPr>
              <w:jc w:val="center"/>
              <w:rPr>
                <w:rFonts w:ascii="Arial Narrow" w:hAnsi="Arial Narrow"/>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23791E" w14:textId="4B1A7BD3" w:rsidR="00DD5C35" w:rsidRPr="004538F5" w:rsidRDefault="00DD5C35" w:rsidP="00C65237">
            <w:pPr>
              <w:rPr>
                <w:rFonts w:ascii="Arial Narrow" w:hAnsi="Arial Narrow"/>
                <w:sz w:val="20"/>
                <w:szCs w:val="20"/>
              </w:rPr>
            </w:pPr>
            <w:r w:rsidRPr="004538F5">
              <w:rPr>
                <w:rFonts w:ascii="Arial Narrow" w:hAnsi="Arial Narrow"/>
                <w:sz w:val="20"/>
                <w:szCs w:val="20"/>
              </w:rPr>
              <w:t>Patient must have been commenced on treatment in a hospital-based movement disorder clinic</w:t>
            </w:r>
          </w:p>
        </w:tc>
      </w:tr>
      <w:tr w:rsidR="00DD5C35" w:rsidRPr="001C05C6" w14:paraId="13EC8839" w14:textId="77777777" w:rsidTr="004B1ED9">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5E5EAE" w14:textId="77777777" w:rsidR="00DD5C35" w:rsidRPr="004538F5" w:rsidRDefault="00DD5C35" w:rsidP="00C65237">
            <w:pPr>
              <w:jc w:val="center"/>
              <w:rPr>
                <w:rFonts w:ascii="Arial Narrow" w:hAnsi="Arial Narrow"/>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163276E" w14:textId="77777777" w:rsidR="00DD5C35" w:rsidRPr="004538F5" w:rsidRDefault="00DD5C35" w:rsidP="00C65237">
            <w:pPr>
              <w:rPr>
                <w:rFonts w:ascii="Arial Narrow" w:hAnsi="Arial Narrow"/>
                <w:sz w:val="20"/>
                <w:szCs w:val="20"/>
              </w:rPr>
            </w:pPr>
            <w:r w:rsidRPr="004538F5">
              <w:rPr>
                <w:rFonts w:ascii="Arial Narrow" w:hAnsi="Arial Narrow"/>
                <w:b/>
                <w:bCs/>
                <w:color w:val="333333"/>
                <w:sz w:val="20"/>
                <w:szCs w:val="20"/>
              </w:rPr>
              <w:t>AND</w:t>
            </w:r>
          </w:p>
        </w:tc>
      </w:tr>
      <w:tr w:rsidR="00DD5C35" w:rsidRPr="001C05C6" w14:paraId="09E5EBAE"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329D57" w14:textId="414DD1F5" w:rsidR="00DD5C35" w:rsidRPr="004538F5" w:rsidRDefault="00DD5C35" w:rsidP="00C65237">
            <w:pPr>
              <w:jc w:val="center"/>
              <w:rPr>
                <w:rFonts w:ascii="Arial Narrow" w:hAnsi="Arial Narrow"/>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CAFA01" w14:textId="77777777" w:rsidR="00DD5C35" w:rsidRPr="004538F5" w:rsidRDefault="00DD5C35" w:rsidP="00C65237">
            <w:pPr>
              <w:rPr>
                <w:rFonts w:ascii="Arial Narrow" w:hAnsi="Arial Narrow"/>
                <w:sz w:val="20"/>
                <w:szCs w:val="20"/>
              </w:rPr>
            </w:pPr>
            <w:r w:rsidRPr="004538F5">
              <w:rPr>
                <w:rFonts w:ascii="Arial Narrow" w:hAnsi="Arial Narrow"/>
                <w:b/>
                <w:bCs/>
                <w:sz w:val="20"/>
                <w:szCs w:val="20"/>
              </w:rPr>
              <w:t>Clinical criteria:</w:t>
            </w:r>
          </w:p>
        </w:tc>
      </w:tr>
      <w:tr w:rsidR="00DD5C35" w:rsidRPr="001C05C6" w14:paraId="26197B8F"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8F3A97" w14:textId="617C69D6" w:rsidR="00DD5C35" w:rsidRPr="004538F5" w:rsidRDefault="00DD5C35" w:rsidP="00C65237">
            <w:pPr>
              <w:jc w:val="center"/>
              <w:rPr>
                <w:rFonts w:ascii="Arial Narrow" w:hAnsi="Arial Narrow"/>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C79E88" w14:textId="77777777" w:rsidR="00DD5C35" w:rsidRPr="004538F5" w:rsidRDefault="00DD5C35" w:rsidP="00C65237">
            <w:pPr>
              <w:rPr>
                <w:rFonts w:ascii="Arial Narrow" w:hAnsi="Arial Narrow"/>
                <w:sz w:val="20"/>
                <w:szCs w:val="20"/>
              </w:rPr>
            </w:pPr>
            <w:r w:rsidRPr="004538F5">
              <w:rPr>
                <w:rFonts w:ascii="Arial Narrow" w:hAnsi="Arial Narrow"/>
                <w:sz w:val="20"/>
                <w:szCs w:val="20"/>
              </w:rPr>
              <w:t>Patient must require continuous administration of levodopa without an overnight break; or</w:t>
            </w:r>
          </w:p>
        </w:tc>
      </w:tr>
      <w:tr w:rsidR="00DD5C35" w:rsidRPr="001C05C6" w14:paraId="7AA203D6"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A5E09C" w14:textId="7CF51BAB" w:rsidR="00DD5C35" w:rsidRPr="004538F5" w:rsidRDefault="00DD5C35" w:rsidP="00C65237">
            <w:pPr>
              <w:jc w:val="center"/>
              <w:rPr>
                <w:rFonts w:ascii="Arial Narrow" w:hAnsi="Arial Narrow"/>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8A69B57" w14:textId="77777777" w:rsidR="00DD5C35" w:rsidRPr="004538F5" w:rsidRDefault="00DD5C35" w:rsidP="00C65237">
            <w:pPr>
              <w:rPr>
                <w:rFonts w:ascii="Arial Narrow" w:hAnsi="Arial Narrow"/>
                <w:sz w:val="20"/>
                <w:szCs w:val="20"/>
              </w:rPr>
            </w:pPr>
            <w:r w:rsidRPr="004538F5">
              <w:rPr>
                <w:rFonts w:ascii="Arial Narrow" w:hAnsi="Arial Narrow"/>
                <w:sz w:val="20"/>
                <w:szCs w:val="20"/>
              </w:rPr>
              <w:t>Patient must require a total daily dose of more than 940 mg of levodopa</w:t>
            </w:r>
          </w:p>
        </w:tc>
      </w:tr>
      <w:tr w:rsidR="00496E18" w:rsidRPr="001C05C6" w14:paraId="6F75B54E" w14:textId="77777777" w:rsidTr="008403BF">
        <w:trPr>
          <w:cantSplit/>
          <w:trHeight w:val="332"/>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801441" w14:textId="623362A9" w:rsidR="00496E18" w:rsidRPr="004538F5" w:rsidRDefault="00496E18" w:rsidP="00496E18">
            <w:pPr>
              <w:jc w:val="center"/>
              <w:rPr>
                <w:rFonts w:ascii="Arial Narrow" w:hAnsi="Arial Narrow"/>
                <w:color w:val="333333"/>
                <w:sz w:val="20"/>
                <w:szCs w:val="20"/>
              </w:rPr>
            </w:pPr>
          </w:p>
        </w:tc>
        <w:tc>
          <w:tcPr>
            <w:tcW w:w="7739" w:type="dxa"/>
            <w:gridSpan w:val="7"/>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595D0BD" w14:textId="3B1890F1" w:rsidR="00496E18" w:rsidRPr="004538F5" w:rsidRDefault="00496E18" w:rsidP="00496E18">
            <w:pPr>
              <w:rPr>
                <w:rFonts w:ascii="Arial Narrow" w:hAnsi="Arial Narrow"/>
                <w:color w:val="333333"/>
                <w:sz w:val="20"/>
                <w:szCs w:val="20"/>
              </w:rPr>
            </w:pPr>
            <w:r w:rsidRPr="004B1ED9">
              <w:rPr>
                <w:rFonts w:ascii="Arial Narrow" w:hAnsi="Arial Narrow"/>
                <w:b/>
                <w:bCs/>
                <w:sz w:val="20"/>
                <w:szCs w:val="20"/>
              </w:rPr>
              <w:t>Administrative advice:</w:t>
            </w:r>
            <w:r>
              <w:rPr>
                <w:rFonts w:ascii="Arial Narrow" w:hAnsi="Arial Narrow"/>
                <w:sz w:val="20"/>
                <w:szCs w:val="20"/>
              </w:rPr>
              <w:t xml:space="preserve"> </w:t>
            </w:r>
            <w:r w:rsidRPr="004538F5">
              <w:rPr>
                <w:rFonts w:ascii="Arial Narrow" w:hAnsi="Arial Narrow"/>
                <w:sz w:val="20"/>
                <w:szCs w:val="20"/>
              </w:rPr>
              <w:t xml:space="preserve">Patient </w:t>
            </w:r>
            <w:r>
              <w:rPr>
                <w:rFonts w:ascii="Arial Narrow" w:hAnsi="Arial Narrow"/>
                <w:sz w:val="20"/>
                <w:szCs w:val="20"/>
              </w:rPr>
              <w:t>should</w:t>
            </w:r>
            <w:r w:rsidRPr="004538F5">
              <w:rPr>
                <w:rFonts w:ascii="Arial Narrow" w:hAnsi="Arial Narrow"/>
                <w:sz w:val="20"/>
                <w:szCs w:val="20"/>
              </w:rPr>
              <w:t xml:space="preserve"> have adequate cognitive function to manage administration with a portable continuous infusion pump.</w:t>
            </w:r>
          </w:p>
        </w:tc>
      </w:tr>
    </w:tbl>
    <w:p w14:paraId="6AD2BE3F" w14:textId="15050D3B" w:rsidR="00FA5B70" w:rsidRDefault="006749F9" w:rsidP="0096593B">
      <w:pPr>
        <w:pStyle w:val="3-BodyText"/>
        <w:spacing w:before="120"/>
      </w:pPr>
      <w:r w:rsidRPr="001C05C6">
        <w:t xml:space="preserve">The </w:t>
      </w:r>
      <w:r>
        <w:t>re</w:t>
      </w:r>
      <w:r w:rsidRPr="001C05C6">
        <w:t xml:space="preserve">submission requested </w:t>
      </w:r>
      <w:r>
        <w:t xml:space="preserve">an </w:t>
      </w:r>
      <w:r w:rsidRPr="001C05C6">
        <w:t>ex-manufacturer price</w:t>
      </w:r>
      <w:r>
        <w:t xml:space="preserve"> for LECIG ($</w:t>
      </w:r>
      <w:r w:rsidR="00DE2396" w:rsidRPr="00B743AB">
        <w:rPr>
          <w:color w:val="000000"/>
          <w:w w:val="60"/>
          <w:shd w:val="solid" w:color="000000" w:fill="000000"/>
          <w:fitText w:val="470" w:id="-893134845"/>
          <w14:textFill>
            <w14:solidFill>
              <w14:srgbClr w14:val="000000">
                <w14:alpha w14:val="100000"/>
              </w14:srgbClr>
            </w14:solidFill>
          </w14:textFill>
        </w:rPr>
        <w:t>|||  |||</w:t>
      </w:r>
      <w:r>
        <w:t xml:space="preserve">) that is </w:t>
      </w:r>
      <w:r w:rsidR="00DE2396" w:rsidRPr="00B743AB">
        <w:rPr>
          <w:color w:val="000000"/>
          <w:w w:val="64"/>
          <w:shd w:val="solid" w:color="000000" w:fill="000000"/>
          <w:fitText w:val="500" w:id="-893134843"/>
          <w14:textFill>
            <w14:solidFill>
              <w14:srgbClr w14:val="000000">
                <w14:alpha w14:val="100000"/>
              </w14:srgbClr>
            </w14:solidFill>
          </w14:textFill>
        </w:rPr>
        <w:t>|||  |||</w:t>
      </w:r>
      <w:r>
        <w:t xml:space="preserve">% lower than the approved ex-manufacturer price (AEMP) for </w:t>
      </w:r>
      <w:r w:rsidR="007F0312" w:rsidRPr="001C05C6">
        <w:t xml:space="preserve">Levodopa, carbidopa monohydrate intestinal gel </w:t>
      </w:r>
      <w:r w:rsidR="007F0312">
        <w:t>(</w:t>
      </w:r>
      <w:r w:rsidRPr="001C05C6">
        <w:t>LCIG</w:t>
      </w:r>
      <w:r w:rsidR="007F0312">
        <w:t>)</w:t>
      </w:r>
      <w:r w:rsidRPr="001C05C6">
        <w:t xml:space="preserve"> ($1,442</w:t>
      </w:r>
      <w:r>
        <w:t>.00</w:t>
      </w:r>
      <w:r w:rsidRPr="001C05C6">
        <w:t>)</w:t>
      </w:r>
      <w:r>
        <w:t xml:space="preserve">. The resubmission stated </w:t>
      </w:r>
      <w:r w:rsidR="00FA5B70">
        <w:t>that</w:t>
      </w:r>
      <w:r>
        <w:t xml:space="preserve"> LECIG price is based on the equi-effective dose of LECIG and </w:t>
      </w:r>
      <w:r w:rsidR="00FA5B70">
        <w:t xml:space="preserve">LCIG and that the price reduction aimed to make LECIG cost neutral to the PBS. The resubmission also </w:t>
      </w:r>
      <w:r w:rsidRPr="001C05C6">
        <w:t xml:space="preserve">acknowledged that, as LCIG has a Special Pricing Arrangement (SPA), the AEMP of LECIG based on effective prices will be lower. </w:t>
      </w:r>
    </w:p>
    <w:p w14:paraId="7BFAB1AE" w14:textId="0DB0B155" w:rsidR="00B73216" w:rsidRPr="005654F7" w:rsidRDefault="006749F9" w:rsidP="006749F9">
      <w:pPr>
        <w:pStyle w:val="3-BodyText"/>
      </w:pPr>
      <w:r w:rsidRPr="001C05C6">
        <w:t>The listing provide</w:t>
      </w:r>
      <w:r w:rsidR="007F0312">
        <w:t>d</w:t>
      </w:r>
      <w:r w:rsidRPr="001C05C6">
        <w:t xml:space="preserve"> for either 4 or 8 packs of 7 cartridges, allowing for 1 or 2 vials per day respectively over 28 days. With 5 repeats this would permit 6 months of therapy. </w:t>
      </w:r>
      <w:r w:rsidRPr="005654F7">
        <w:t>This is in line with the LCIG PBS listing.</w:t>
      </w:r>
    </w:p>
    <w:p w14:paraId="4B562A7F" w14:textId="71297BBC" w:rsidR="005654F7" w:rsidRPr="007F0312" w:rsidRDefault="005654F7" w:rsidP="007F0312">
      <w:pPr>
        <w:pStyle w:val="3-BodyText"/>
        <w:numPr>
          <w:ilvl w:val="0"/>
          <w:numId w:val="0"/>
        </w:numPr>
        <w:ind w:left="720"/>
        <w:rPr>
          <w:rFonts w:cstheme="minorHAnsi"/>
          <w:i/>
          <w:iCs/>
        </w:rPr>
      </w:pPr>
      <w:r w:rsidRPr="005654F7">
        <w:rPr>
          <w:rFonts w:cstheme="minorHAnsi"/>
          <w:i/>
          <w:iCs/>
        </w:rPr>
        <w:t xml:space="preserve">For more detail on PBAC’s view, see section </w:t>
      </w:r>
      <w:r w:rsidR="002115F1">
        <w:rPr>
          <w:rFonts w:cstheme="minorHAnsi"/>
          <w:i/>
          <w:iCs/>
        </w:rPr>
        <w:t>5</w:t>
      </w:r>
      <w:r w:rsidRPr="005654F7">
        <w:rPr>
          <w:rFonts w:cstheme="minorHAnsi"/>
          <w:i/>
          <w:iCs/>
        </w:rPr>
        <w:t xml:space="preserve"> PBAC outcome.</w:t>
      </w:r>
    </w:p>
    <w:p w14:paraId="18B1D487" w14:textId="77777777" w:rsidR="00B7496F" w:rsidRPr="00642CEF" w:rsidRDefault="00B7496F" w:rsidP="00B7496F">
      <w:pPr>
        <w:pStyle w:val="2-SectionHeading"/>
      </w:pPr>
      <w:r w:rsidRPr="00642CEF">
        <w:t>Consideration of the evidence</w:t>
      </w:r>
    </w:p>
    <w:p w14:paraId="45D366BD" w14:textId="77777777" w:rsidR="005654F7" w:rsidRPr="006E1229" w:rsidRDefault="005654F7" w:rsidP="005654F7">
      <w:pPr>
        <w:pStyle w:val="4-SubsectionHeading"/>
      </w:pPr>
      <w:r w:rsidRPr="006E1229">
        <w:t>Sponsor hearing</w:t>
      </w:r>
    </w:p>
    <w:p w14:paraId="143999EF" w14:textId="30661105" w:rsidR="005654F7" w:rsidRPr="005654F7" w:rsidRDefault="005654F7" w:rsidP="005654F7">
      <w:pPr>
        <w:pStyle w:val="3-BodyText"/>
      </w:pPr>
      <w:r w:rsidRPr="005654F7">
        <w:t>There was no hearing for this item.</w:t>
      </w:r>
    </w:p>
    <w:p w14:paraId="3FFC93EF" w14:textId="77777777" w:rsidR="005654F7" w:rsidRPr="006E1229" w:rsidRDefault="005654F7" w:rsidP="005654F7">
      <w:pPr>
        <w:pStyle w:val="4-SubsectionHeading"/>
      </w:pPr>
      <w:r w:rsidRPr="006E1229">
        <w:t>Consumer comments</w:t>
      </w:r>
    </w:p>
    <w:p w14:paraId="1A6F2B4F" w14:textId="02335E32" w:rsidR="005654F7" w:rsidRPr="00DE1E86" w:rsidRDefault="005654F7" w:rsidP="005654F7">
      <w:pPr>
        <w:pStyle w:val="3-BodyText"/>
      </w:pPr>
      <w:r w:rsidRPr="00DE1E86">
        <w:t>The PBAC noted and welcomed the input from individuals (</w:t>
      </w:r>
      <w:r w:rsidR="007F0312" w:rsidRPr="00DE1E86">
        <w:t>2</w:t>
      </w:r>
      <w:r w:rsidRPr="00DE1E86">
        <w:t>)</w:t>
      </w:r>
      <w:r w:rsidR="007F0312" w:rsidRPr="00DE1E86">
        <w:t xml:space="preserve"> </w:t>
      </w:r>
      <w:r w:rsidRPr="00DE1E86">
        <w:t xml:space="preserve">via the Consumer Comments facility on the PBS website. </w:t>
      </w:r>
      <w:r w:rsidR="00DE1E86" w:rsidRPr="00DE1E86">
        <w:t xml:space="preserve">The PBAC noted </w:t>
      </w:r>
      <w:r w:rsidR="00B94032">
        <w:t>that, consistent with the Cons</w:t>
      </w:r>
      <w:r w:rsidR="00DC70FE">
        <w:t xml:space="preserve">umer </w:t>
      </w:r>
      <w:r w:rsidR="00B94032">
        <w:t xml:space="preserve">input for the March 2024 submission, </w:t>
      </w:r>
      <w:r w:rsidR="00DE1E86" w:rsidRPr="00DE1E86">
        <w:t xml:space="preserve">the input focused on a treatment other than LECIG, but was useful in emphasising the impact of advanced Parkinson’s Disease on people with the condition. </w:t>
      </w:r>
      <w:r w:rsidR="00DC70FE">
        <w:t xml:space="preserve">In addition, the July 2024 input discussed the benefits of </w:t>
      </w:r>
      <w:r w:rsidR="00CE77D0">
        <w:t xml:space="preserve">dose </w:t>
      </w:r>
      <w:r w:rsidR="00DC70FE">
        <w:t xml:space="preserve">administration across an extended period over oral therapy where regular dosing is required. </w:t>
      </w:r>
    </w:p>
    <w:p w14:paraId="79330F5D" w14:textId="7C2B0BC3" w:rsidR="00B7496F" w:rsidRPr="00642CEF" w:rsidRDefault="00B7496F" w:rsidP="00B7496F">
      <w:pPr>
        <w:pStyle w:val="4-SubsectionHeading"/>
      </w:pPr>
      <w:r w:rsidRPr="00642CEF">
        <w:t>Clinical evidence</w:t>
      </w:r>
    </w:p>
    <w:p w14:paraId="533D7ECC" w14:textId="6D831729" w:rsidR="0048153C" w:rsidRDefault="00B7496F" w:rsidP="00B7496F">
      <w:pPr>
        <w:pStyle w:val="3-BodyText"/>
      </w:pPr>
      <w:r>
        <w:t xml:space="preserve">No new clinical evidence was presented in the resubmission. </w:t>
      </w:r>
    </w:p>
    <w:p w14:paraId="4F42B2FF" w14:textId="38A3FE7A" w:rsidR="004A0730" w:rsidRDefault="004A0730" w:rsidP="004A0730">
      <w:pPr>
        <w:pStyle w:val="3-BodyText"/>
        <w:rPr>
          <w:color w:val="0066FF"/>
        </w:rPr>
      </w:pPr>
      <w:r w:rsidRPr="007F0649">
        <w:t xml:space="preserve">The </w:t>
      </w:r>
      <w:r>
        <w:t xml:space="preserve">March 2024 </w:t>
      </w:r>
      <w:r w:rsidRPr="007F0649">
        <w:t>submission was based on one head-to-head study comparing LECIG to LCIG (n=11), the LSM-003 study. Additionally, an unanchored, unadjusted indirect comparison was carried out between the single arm ELEGANCE, GLORIA, and DUOGLOBE studies</w:t>
      </w:r>
      <w:r>
        <w:t xml:space="preserve"> (paragraph 6.3, </w:t>
      </w:r>
      <w:r w:rsidRPr="004A0730">
        <w:t xml:space="preserve">levodopa with carbidopa and entacapone </w:t>
      </w:r>
      <w:r w:rsidR="00161CA4">
        <w:t>Public Summary Document [</w:t>
      </w:r>
      <w:r w:rsidR="00C50162">
        <w:t>PSD</w:t>
      </w:r>
      <w:r w:rsidR="00161CA4">
        <w:t>]</w:t>
      </w:r>
      <w:r w:rsidRPr="004A0730">
        <w:t>, March 2024 PBAC Meeting</w:t>
      </w:r>
      <w:r>
        <w:t>)</w:t>
      </w:r>
      <w:r w:rsidRPr="007F0649">
        <w:t>.</w:t>
      </w:r>
      <w:r w:rsidRPr="001C05C6">
        <w:rPr>
          <w:color w:val="0066FF"/>
        </w:rPr>
        <w:t xml:space="preserve"> </w:t>
      </w:r>
    </w:p>
    <w:p w14:paraId="65555075" w14:textId="3F241F8D" w:rsidR="00B7496F" w:rsidRPr="004A0730" w:rsidRDefault="004A0730" w:rsidP="004A0730">
      <w:pPr>
        <w:pStyle w:val="3-BodyText"/>
      </w:pPr>
      <w:bookmarkStart w:id="2" w:name="_Ref172653746"/>
      <w:r>
        <w:lastRenderedPageBreak/>
        <w:t xml:space="preserve">In March 2024, </w:t>
      </w:r>
      <w:r>
        <w:rPr>
          <w:snapToGrid w:val="0"/>
        </w:rPr>
        <w:t>t</w:t>
      </w:r>
      <w:r w:rsidR="00B7496F" w:rsidRPr="004A0730">
        <w:rPr>
          <w:snapToGrid w:val="0"/>
        </w:rPr>
        <w:t>he PBAC noted that while the clinical claim was that LECIG was non-inferior in terms of both efficacy and safety compared to LCIG, Study LSM-003’s primary outcome was a pharmacokinetic measure of systemic exposure to levodopa (AUC</w:t>
      </w:r>
      <w:r w:rsidR="00B7496F" w:rsidRPr="004A0730">
        <w:rPr>
          <w:snapToGrid w:val="0"/>
          <w:vertAlign w:val="subscript"/>
        </w:rPr>
        <w:t>0-14 hr</w:t>
      </w:r>
      <w:r w:rsidR="00B7496F" w:rsidRPr="004A0730">
        <w:rPr>
          <w:snapToGrid w:val="0"/>
        </w:rPr>
        <w:t xml:space="preserve">), with the Treatment Response Scale outcome considered an exploratory outcome. </w:t>
      </w:r>
      <w:r>
        <w:rPr>
          <w:snapToGrid w:val="0"/>
        </w:rPr>
        <w:t>At that time, t</w:t>
      </w:r>
      <w:r w:rsidR="00B7496F" w:rsidRPr="004A0730">
        <w:rPr>
          <w:snapToGrid w:val="0"/>
        </w:rPr>
        <w:t xml:space="preserve">he PBAC agreed with the evaluation that Study LSM-003 was not appropriately designed to rule out differences in clinical effectiveness outcomes such as the Treatment Response Scale across arms. </w:t>
      </w:r>
      <w:r>
        <w:rPr>
          <w:snapToGrid w:val="0"/>
        </w:rPr>
        <w:t>In March 2024, t</w:t>
      </w:r>
      <w:r w:rsidR="00B7496F" w:rsidRPr="004A0730">
        <w:rPr>
          <w:snapToGrid w:val="0"/>
        </w:rPr>
        <w:t xml:space="preserve">he PBAC also noted that the trial was open label, meaning bias in assessment of clinical effectiveness outcomes could not be minimised to the extent likely with a blinded trial design. The PBAC did note the view put forward in the submission that pharmacodynamic effects of LECIG closely follow plasma levodopa levels. </w:t>
      </w:r>
      <w:r>
        <w:rPr>
          <w:snapToGrid w:val="0"/>
        </w:rPr>
        <w:t>At that time, t</w:t>
      </w:r>
      <w:r w:rsidR="00B7496F" w:rsidRPr="004A0730">
        <w:rPr>
          <w:snapToGrid w:val="0"/>
        </w:rPr>
        <w:t>he PBAC was unconvinced that this was the optimal approach for any study pivotal to the demonstration of the clinical claims made in the submission, because LECIG is not a generic version of LCIG (e.g. includes an additional active ingredient, entacapone, a COMT inhibitor), but did accept that pharmacokinetic outcomes from Study LSM-003 helped inform the clinical claim of non-inferior effectiveness</w:t>
      </w:r>
      <w:r>
        <w:rPr>
          <w:snapToGrid w:val="0"/>
        </w:rPr>
        <w:t xml:space="preserve"> (paragraph 7.5, </w:t>
      </w:r>
      <w:r w:rsidRPr="004A0730">
        <w:t xml:space="preserve">levodopa with carbidopa and entacapone </w:t>
      </w:r>
      <w:r w:rsidR="00C50162">
        <w:t>PSD</w:t>
      </w:r>
      <w:r w:rsidRPr="004A0730">
        <w:t>, March</w:t>
      </w:r>
      <w:r w:rsidR="00487C65">
        <w:t> </w:t>
      </w:r>
      <w:r w:rsidRPr="004A0730">
        <w:t>2024 PBAC Meeting</w:t>
      </w:r>
      <w:r>
        <w:t>)</w:t>
      </w:r>
      <w:r w:rsidR="00B7496F" w:rsidRPr="004A0730">
        <w:rPr>
          <w:snapToGrid w:val="0"/>
        </w:rPr>
        <w:t>.</w:t>
      </w:r>
      <w:bookmarkEnd w:id="2"/>
    </w:p>
    <w:p w14:paraId="629C1444" w14:textId="6FBCD3F1" w:rsidR="00B7496F" w:rsidRDefault="004A0730" w:rsidP="00B7496F">
      <w:pPr>
        <w:pStyle w:val="3-BodyText"/>
        <w:rPr>
          <w:snapToGrid w:val="0"/>
        </w:rPr>
      </w:pPr>
      <w:r>
        <w:rPr>
          <w:snapToGrid w:val="0"/>
        </w:rPr>
        <w:t>In March 2024, t</w:t>
      </w:r>
      <w:r w:rsidR="00B7496F" w:rsidRPr="007F0649">
        <w:rPr>
          <w:snapToGrid w:val="0"/>
        </w:rPr>
        <w:t>he PBAC noted the submission’s presentation of additional LECIG data from the single-arm study ELEGANCE, and single-arm trials of LCIG (DUOGLOBE, GLORIA), however considered that these studies were also relatively uninformative for the purpose of decision-making. Because of the studies’ single-arm designs, comparisons between LECIG and LCIG were unanchored, as well as being unadjusted despite likely differences across the trial populations</w:t>
      </w:r>
      <w:r>
        <w:rPr>
          <w:snapToGrid w:val="0"/>
        </w:rPr>
        <w:t xml:space="preserve"> (paragraph 7.6, </w:t>
      </w:r>
      <w:r w:rsidRPr="004A0730">
        <w:t xml:space="preserve">levodopa with carbidopa and entacapone </w:t>
      </w:r>
      <w:r w:rsidR="00C50162">
        <w:t>PSD</w:t>
      </w:r>
      <w:r w:rsidRPr="004A0730">
        <w:t>, March 2024 PBAC Meeting</w:t>
      </w:r>
      <w:r>
        <w:t>)</w:t>
      </w:r>
      <w:r w:rsidR="00B7496F" w:rsidRPr="007F0649">
        <w:rPr>
          <w:snapToGrid w:val="0"/>
        </w:rPr>
        <w:t>.</w:t>
      </w:r>
    </w:p>
    <w:p w14:paraId="596B53E6" w14:textId="61035DD9" w:rsidR="0013691E" w:rsidRPr="0013691E" w:rsidRDefault="0013691E" w:rsidP="0013691E">
      <w:pPr>
        <w:pStyle w:val="3-BodyText"/>
        <w:rPr>
          <w:color w:val="0066FF"/>
        </w:rPr>
      </w:pPr>
      <w:bookmarkStart w:id="3" w:name="_Ref172654974"/>
      <w:r>
        <w:t>The PBAC noted that in Study LSM-003 patients received LECIG morning doses corresponding to 80% (n = 5) or 90% (n = 6) of their individual morning dose of LCIG, 80% of the LCIG maintenance dose, and 80% of extra doses (Senek 2017).</w:t>
      </w:r>
      <w:bookmarkEnd w:id="3"/>
    </w:p>
    <w:p w14:paraId="32577444" w14:textId="575AA725" w:rsidR="00B7496F" w:rsidRPr="00B7496F" w:rsidRDefault="00B7496F" w:rsidP="00B7496F">
      <w:pPr>
        <w:pStyle w:val="4-SubsectionHeading"/>
      </w:pPr>
      <w:r w:rsidRPr="00B7496F">
        <w:t>Clinical claim</w:t>
      </w:r>
    </w:p>
    <w:p w14:paraId="6E73E752" w14:textId="0CC134C7" w:rsidR="009335C1" w:rsidRPr="009335C1" w:rsidRDefault="004A0730" w:rsidP="009335C1">
      <w:pPr>
        <w:pStyle w:val="3-BodyText"/>
        <w:rPr>
          <w:snapToGrid w:val="0"/>
        </w:rPr>
      </w:pPr>
      <w:r>
        <w:rPr>
          <w:snapToGrid w:val="0"/>
        </w:rPr>
        <w:t>In March 2024, t</w:t>
      </w:r>
      <w:r w:rsidR="00B7496F" w:rsidRPr="00B7496F">
        <w:rPr>
          <w:snapToGrid w:val="0"/>
        </w:rPr>
        <w:t>he PBAC considered the clinical evidence that was presented in the submission (to support the clinical claim of non-inferior effectiveness of LECIG relative to LCIG) to have significant limitations, but on balance agreed with ESC and concluded that the clinical claim was likely reasonable</w:t>
      </w:r>
      <w:r>
        <w:rPr>
          <w:snapToGrid w:val="0"/>
        </w:rPr>
        <w:t xml:space="preserve"> (paragraph 7.7, </w:t>
      </w:r>
      <w:r w:rsidRPr="004A0730">
        <w:t xml:space="preserve">levodopa with carbidopa and entacapone </w:t>
      </w:r>
      <w:r w:rsidR="00C50162">
        <w:t>PSD</w:t>
      </w:r>
      <w:r w:rsidRPr="004A0730">
        <w:t>, March 2024 PBAC Meeting</w:t>
      </w:r>
      <w:r>
        <w:t>)</w:t>
      </w:r>
      <w:r w:rsidRPr="007F0649">
        <w:rPr>
          <w:snapToGrid w:val="0"/>
        </w:rPr>
        <w:t>.</w:t>
      </w:r>
      <w:r>
        <w:rPr>
          <w:snapToGrid w:val="0"/>
        </w:rPr>
        <w:t xml:space="preserve"> In March 2024 the PBAC also considered that the claim of non-inferior comparative safety was likely reasonable (paragraph 7.8, </w:t>
      </w:r>
      <w:r w:rsidRPr="004A0730">
        <w:t xml:space="preserve">levodopa with carbidopa and entacapone </w:t>
      </w:r>
      <w:r w:rsidR="00C50162">
        <w:t>PSD</w:t>
      </w:r>
      <w:r w:rsidRPr="004A0730">
        <w:t>, March 2024 PBAC Meeting</w:t>
      </w:r>
      <w:r>
        <w:t>)</w:t>
      </w:r>
      <w:r w:rsidRPr="007F0649">
        <w:rPr>
          <w:snapToGrid w:val="0"/>
        </w:rPr>
        <w:t>.</w:t>
      </w:r>
      <w:r w:rsidR="009335C1">
        <w:rPr>
          <w:snapToGrid w:val="0"/>
        </w:rPr>
        <w:t xml:space="preserve"> </w:t>
      </w:r>
      <w:bookmarkStart w:id="4" w:name="_Hlk76376200"/>
      <w:r w:rsidR="009335C1">
        <w:rPr>
          <w:iCs/>
          <w:snapToGrid w:val="0"/>
        </w:rPr>
        <w:t xml:space="preserve">The PBAC reaffirmed its March 2024 advice regarding the claim of non-inferior comparative effectiveness and safety. </w:t>
      </w:r>
    </w:p>
    <w:p w14:paraId="2CDD8FBF" w14:textId="77777777" w:rsidR="006960B0" w:rsidRDefault="006960B0" w:rsidP="006960B0">
      <w:pPr>
        <w:keepNext/>
        <w:spacing w:before="120" w:after="120"/>
        <w:outlineLvl w:val="1"/>
        <w:rPr>
          <w:rFonts w:asciiTheme="minorHAnsi" w:eastAsia="Calibri" w:hAnsiTheme="minorHAnsi" w:cstheme="majorBidi"/>
          <w:b/>
          <w:i/>
          <w:spacing w:val="5"/>
          <w:kern w:val="28"/>
          <w:sz w:val="28"/>
          <w:szCs w:val="20"/>
        </w:rPr>
      </w:pPr>
      <w:bookmarkStart w:id="5" w:name="_Toc156818663"/>
      <w:bookmarkEnd w:id="4"/>
      <w:r w:rsidRPr="006960B0">
        <w:rPr>
          <w:rFonts w:asciiTheme="minorHAnsi" w:eastAsiaTheme="majorEastAsia" w:hAnsiTheme="minorHAnsi" w:cstheme="majorBidi"/>
          <w:b/>
          <w:i/>
          <w:spacing w:val="5"/>
          <w:kern w:val="28"/>
          <w:sz w:val="28"/>
          <w:szCs w:val="36"/>
        </w:rPr>
        <w:lastRenderedPageBreak/>
        <w:t>Economic analysis</w:t>
      </w:r>
      <w:bookmarkEnd w:id="5"/>
      <w:r w:rsidRPr="006960B0">
        <w:rPr>
          <w:rFonts w:asciiTheme="minorHAnsi" w:eastAsia="Calibri" w:hAnsiTheme="minorHAnsi" w:cstheme="majorBidi"/>
          <w:b/>
          <w:i/>
          <w:spacing w:val="5"/>
          <w:kern w:val="28"/>
          <w:sz w:val="28"/>
          <w:szCs w:val="20"/>
        </w:rPr>
        <w:t xml:space="preserve"> </w:t>
      </w:r>
    </w:p>
    <w:p w14:paraId="35901AE1" w14:textId="3B84C6D8" w:rsidR="009510A8" w:rsidRPr="0096593B" w:rsidRDefault="00F54ECA" w:rsidP="0096593B">
      <w:pPr>
        <w:pStyle w:val="3-BodyText"/>
        <w:rPr>
          <w:snapToGrid w:val="0"/>
        </w:rPr>
      </w:pPr>
      <w:bookmarkStart w:id="6" w:name="_Ref172620225"/>
      <w:r>
        <w:rPr>
          <w:snapToGrid w:val="0"/>
        </w:rPr>
        <w:t>In March 2024, t</w:t>
      </w:r>
      <w:r w:rsidRPr="007F0649">
        <w:rPr>
          <w:snapToGrid w:val="0"/>
        </w:rPr>
        <w:t xml:space="preserve">he PBAC noted the cost-minimisation approach (CMA) proposed by the submission was based on </w:t>
      </w:r>
      <w:r w:rsidRPr="00F54ECA">
        <w:rPr>
          <w:snapToGrid w:val="0"/>
        </w:rPr>
        <w:t>steady state dose-adjusted plasma levodopa concentrations observed in the LSM-003 study</w:t>
      </w:r>
      <w:r w:rsidRPr="007F0649">
        <w:rPr>
          <w:snapToGrid w:val="0"/>
        </w:rPr>
        <w:t xml:space="preserve"> and assumed one cartridge of LECIG per day was equivalent to one cassette of LCIG per day (i.e. 1:1). </w:t>
      </w:r>
      <w:r>
        <w:rPr>
          <w:snapToGrid w:val="0"/>
        </w:rPr>
        <w:t>At that time, t</w:t>
      </w:r>
      <w:r w:rsidRPr="007F0649">
        <w:rPr>
          <w:snapToGrid w:val="0"/>
        </w:rPr>
        <w:t xml:space="preserve">he PBAC agreed with the ESC that the submission’s proposed equi-effective dose of </w:t>
      </w:r>
      <w:r w:rsidRPr="008403BF">
        <w:rPr>
          <w:snapToGrid w:val="0"/>
        </w:rPr>
        <w:t xml:space="preserve">1:1 </w:t>
      </w:r>
      <w:r w:rsidRPr="007F0649">
        <w:rPr>
          <w:snapToGrid w:val="0"/>
        </w:rPr>
        <w:t xml:space="preserve">was not reasonable, and underestimated use of LECIG cartridges relative to LCIG cassettes. </w:t>
      </w:r>
      <w:r w:rsidR="004F4D4D">
        <w:rPr>
          <w:snapToGrid w:val="0"/>
        </w:rPr>
        <w:t>In March 2024, t</w:t>
      </w:r>
      <w:r w:rsidRPr="007F0649">
        <w:rPr>
          <w:snapToGrid w:val="0"/>
        </w:rPr>
        <w:t xml:space="preserve">he PBAC noted the impact of the different equi-effective doses </w:t>
      </w:r>
      <w:r w:rsidR="004F4D4D">
        <w:rPr>
          <w:snapToGrid w:val="0"/>
        </w:rPr>
        <w:t>(</w:t>
      </w:r>
      <w:r w:rsidR="004F4D4D">
        <w:rPr>
          <w:snapToGrid w:val="0"/>
        </w:rPr>
        <w:fldChar w:fldCharType="begin" w:fldLock="1"/>
      </w:r>
      <w:r w:rsidR="004F4D4D">
        <w:rPr>
          <w:snapToGrid w:val="0"/>
        </w:rPr>
        <w:instrText xml:space="preserve"> REF _Ref168852023 \h  \* MERGEFORMAT </w:instrText>
      </w:r>
      <w:r w:rsidR="004F4D4D">
        <w:rPr>
          <w:snapToGrid w:val="0"/>
        </w:rPr>
      </w:r>
      <w:r w:rsidR="004F4D4D">
        <w:rPr>
          <w:snapToGrid w:val="0"/>
        </w:rPr>
        <w:fldChar w:fldCharType="separate"/>
      </w:r>
      <w:r w:rsidR="004F4D4D" w:rsidRPr="004F4D4D">
        <w:rPr>
          <w:snapToGrid w:val="0"/>
        </w:rPr>
        <w:t>Table 3</w:t>
      </w:r>
      <w:r w:rsidR="004F4D4D">
        <w:rPr>
          <w:snapToGrid w:val="0"/>
        </w:rPr>
        <w:fldChar w:fldCharType="end"/>
      </w:r>
      <w:r w:rsidR="004F4D4D">
        <w:rPr>
          <w:snapToGrid w:val="0"/>
        </w:rPr>
        <w:t xml:space="preserve">) </w:t>
      </w:r>
      <w:r w:rsidRPr="007F0649">
        <w:rPr>
          <w:snapToGrid w:val="0"/>
        </w:rPr>
        <w:t>on the CMA in the sensitivity analyses</w:t>
      </w:r>
      <w:r w:rsidR="00826910">
        <w:rPr>
          <w:snapToGrid w:val="0"/>
        </w:rPr>
        <w:t xml:space="preserve"> presented.</w:t>
      </w:r>
      <w:r w:rsidRPr="007F0649">
        <w:rPr>
          <w:snapToGrid w:val="0"/>
        </w:rPr>
        <w:t xml:space="preserve"> The PBAC noted the Pre-Sub-Committee Response (PSCR) argument for using the ELEGANCE trial to inform dose comparison with LCIG, given its larger sample size than Study LSM-003. </w:t>
      </w:r>
      <w:r>
        <w:rPr>
          <w:snapToGrid w:val="0"/>
        </w:rPr>
        <w:t>In March 2024, t</w:t>
      </w:r>
      <w:r w:rsidRPr="007F0649">
        <w:rPr>
          <w:snapToGrid w:val="0"/>
        </w:rPr>
        <w:t xml:space="preserve">he PBAC did not accept the equi-effective dosing put forward in the PSCR and agreed with the ESC that this approach may still be an underestimate. </w:t>
      </w:r>
      <w:r w:rsidR="004F4D4D">
        <w:rPr>
          <w:snapToGrid w:val="0"/>
        </w:rPr>
        <w:t>At that time, t</w:t>
      </w:r>
      <w:r w:rsidRPr="007F0649">
        <w:rPr>
          <w:snapToGrid w:val="0"/>
        </w:rPr>
        <w:t>he PBAC considered that, in the context of a claim of non-inferiority supported by clinical evidence with significant limitations, a more conservative approach to calculation of the equi-effective dose was required. However, the PBAC found the submission’s initial equi-effective dose suggestion to lack face validity, and found no reliable basis to arrive at a more accurate view of the equi-effective dose</w:t>
      </w:r>
      <w:r w:rsidR="004F4D4D">
        <w:rPr>
          <w:snapToGrid w:val="0"/>
        </w:rPr>
        <w:t xml:space="preserve"> (paragraph 7.9, </w:t>
      </w:r>
      <w:r w:rsidR="004F4D4D" w:rsidRPr="004A0730">
        <w:t xml:space="preserve">levodopa with carbidopa and entacapone </w:t>
      </w:r>
      <w:r w:rsidR="00C50162">
        <w:t>PSD</w:t>
      </w:r>
      <w:r w:rsidR="004F4D4D" w:rsidRPr="004A0730">
        <w:t>, March 2024 PBAC Meeting</w:t>
      </w:r>
      <w:r w:rsidR="004F4D4D">
        <w:t>)</w:t>
      </w:r>
      <w:r w:rsidR="004F4D4D" w:rsidRPr="007F0649">
        <w:rPr>
          <w:snapToGrid w:val="0"/>
        </w:rPr>
        <w:t>.</w:t>
      </w:r>
      <w:bookmarkEnd w:id="6"/>
      <w:r w:rsidR="00B00534">
        <w:rPr>
          <w:snapToGrid w:val="0"/>
        </w:rPr>
        <w:t xml:space="preserve"> </w:t>
      </w:r>
    </w:p>
    <w:p w14:paraId="79FB62B5" w14:textId="6C1F7422" w:rsidR="00EF4BA4" w:rsidRPr="00EF4BA4" w:rsidRDefault="00EF4BA4" w:rsidP="009510A8">
      <w:pPr>
        <w:pStyle w:val="Caption"/>
        <w:keepNext/>
        <w:spacing w:after="0"/>
        <w:rPr>
          <w:rFonts w:ascii="Arial Narrow" w:eastAsiaTheme="majorEastAsia" w:hAnsi="Arial Narrow" w:cstheme="majorBidi"/>
          <w:b/>
          <w:bCs/>
          <w:i w:val="0"/>
          <w:iCs w:val="0"/>
          <w:color w:val="auto"/>
          <w:sz w:val="20"/>
          <w:szCs w:val="24"/>
        </w:rPr>
      </w:pPr>
      <w:bookmarkStart w:id="7" w:name="_Ref168852023"/>
      <w:r w:rsidRPr="00EF4BA4">
        <w:rPr>
          <w:rFonts w:ascii="Arial Narrow" w:eastAsiaTheme="majorEastAsia" w:hAnsi="Arial Narrow" w:cstheme="majorBidi"/>
          <w:b/>
          <w:bCs/>
          <w:i w:val="0"/>
          <w:iCs w:val="0"/>
          <w:color w:val="auto"/>
          <w:sz w:val="20"/>
          <w:szCs w:val="24"/>
        </w:rPr>
        <w:lastRenderedPageBreak/>
        <w:t xml:space="preserve">Table </w:t>
      </w:r>
      <w:r w:rsidRPr="00EF4BA4">
        <w:rPr>
          <w:rFonts w:ascii="Arial Narrow" w:eastAsiaTheme="majorEastAsia" w:hAnsi="Arial Narrow" w:cstheme="majorBidi"/>
          <w:b/>
          <w:bCs/>
          <w:i w:val="0"/>
          <w:iCs w:val="0"/>
          <w:color w:val="auto"/>
          <w:sz w:val="20"/>
          <w:szCs w:val="24"/>
        </w:rPr>
        <w:fldChar w:fldCharType="begin" w:fldLock="1"/>
      </w:r>
      <w:r w:rsidRPr="00EF4BA4">
        <w:rPr>
          <w:rFonts w:ascii="Arial Narrow" w:eastAsiaTheme="majorEastAsia" w:hAnsi="Arial Narrow" w:cstheme="majorBidi"/>
          <w:b/>
          <w:bCs/>
          <w:i w:val="0"/>
          <w:iCs w:val="0"/>
          <w:color w:val="auto"/>
          <w:sz w:val="20"/>
          <w:szCs w:val="24"/>
        </w:rPr>
        <w:instrText xml:space="preserve"> SEQ Table \* ARABIC </w:instrText>
      </w:r>
      <w:r w:rsidRPr="00EF4BA4">
        <w:rPr>
          <w:rFonts w:ascii="Arial Narrow" w:eastAsiaTheme="majorEastAsia" w:hAnsi="Arial Narrow" w:cstheme="majorBidi"/>
          <w:b/>
          <w:bCs/>
          <w:i w:val="0"/>
          <w:iCs w:val="0"/>
          <w:color w:val="auto"/>
          <w:sz w:val="20"/>
          <w:szCs w:val="24"/>
        </w:rPr>
        <w:fldChar w:fldCharType="separate"/>
      </w:r>
      <w:r w:rsidR="00576931">
        <w:rPr>
          <w:rFonts w:ascii="Arial Narrow" w:eastAsiaTheme="majorEastAsia" w:hAnsi="Arial Narrow" w:cstheme="majorBidi"/>
          <w:b/>
          <w:bCs/>
          <w:i w:val="0"/>
          <w:iCs w:val="0"/>
          <w:noProof/>
          <w:color w:val="auto"/>
          <w:sz w:val="20"/>
          <w:szCs w:val="24"/>
        </w:rPr>
        <w:t>3</w:t>
      </w:r>
      <w:r w:rsidRPr="00EF4BA4">
        <w:rPr>
          <w:rFonts w:ascii="Arial Narrow" w:eastAsiaTheme="majorEastAsia" w:hAnsi="Arial Narrow" w:cstheme="majorBidi"/>
          <w:b/>
          <w:bCs/>
          <w:i w:val="0"/>
          <w:iCs w:val="0"/>
          <w:color w:val="auto"/>
          <w:sz w:val="20"/>
          <w:szCs w:val="24"/>
        </w:rPr>
        <w:fldChar w:fldCharType="end"/>
      </w:r>
      <w:bookmarkEnd w:id="7"/>
      <w:r w:rsidRPr="00EF4BA4">
        <w:rPr>
          <w:rFonts w:ascii="Arial Narrow" w:eastAsiaTheme="majorEastAsia" w:hAnsi="Arial Narrow" w:cstheme="majorBidi"/>
          <w:b/>
          <w:bCs/>
          <w:i w:val="0"/>
          <w:iCs w:val="0"/>
          <w:color w:val="auto"/>
          <w:sz w:val="20"/>
          <w:szCs w:val="24"/>
        </w:rPr>
        <w:t xml:space="preserve"> Summary of the equi-effective doses</w:t>
      </w:r>
      <w:r w:rsidR="00F06638">
        <w:rPr>
          <w:rFonts w:ascii="Arial Narrow" w:eastAsiaTheme="majorEastAsia" w:hAnsi="Arial Narrow" w:cstheme="majorBidi"/>
          <w:b/>
          <w:bCs/>
          <w:i w:val="0"/>
          <w:iCs w:val="0"/>
          <w:color w:val="auto"/>
          <w:sz w:val="20"/>
          <w:szCs w:val="24"/>
        </w:rPr>
        <w:t xml:space="preserve"> presented </w:t>
      </w:r>
    </w:p>
    <w:tbl>
      <w:tblPr>
        <w:tblStyle w:val="TableGrid"/>
        <w:tblW w:w="0" w:type="auto"/>
        <w:tblInd w:w="-5" w:type="dxa"/>
        <w:tblLook w:val="04A0" w:firstRow="1" w:lastRow="0" w:firstColumn="1" w:lastColumn="0" w:noHBand="0" w:noVBand="1"/>
      </w:tblPr>
      <w:tblGrid>
        <w:gridCol w:w="1276"/>
        <w:gridCol w:w="1418"/>
        <w:gridCol w:w="1341"/>
        <w:gridCol w:w="2220"/>
        <w:gridCol w:w="2766"/>
      </w:tblGrid>
      <w:tr w:rsidR="00EF4BA4" w:rsidRPr="001C05C6" w14:paraId="7A202915" w14:textId="77777777" w:rsidTr="00784219">
        <w:tc>
          <w:tcPr>
            <w:tcW w:w="1276" w:type="dxa"/>
          </w:tcPr>
          <w:p w14:paraId="3C06B28A" w14:textId="77777777" w:rsidR="00EF4BA4" w:rsidRPr="001C05C6" w:rsidRDefault="00EF4BA4" w:rsidP="009510A8">
            <w:pPr>
              <w:pStyle w:val="TableText"/>
              <w:rPr>
                <w:b/>
                <w:bCs w:val="0"/>
              </w:rPr>
            </w:pPr>
          </w:p>
        </w:tc>
        <w:tc>
          <w:tcPr>
            <w:tcW w:w="1418" w:type="dxa"/>
            <w:vAlign w:val="center"/>
          </w:tcPr>
          <w:p w14:paraId="67FC2A7A" w14:textId="77777777" w:rsidR="00EF4BA4" w:rsidRPr="001C05C6" w:rsidRDefault="00EF4BA4" w:rsidP="009510A8">
            <w:pPr>
              <w:pStyle w:val="TableText"/>
              <w:rPr>
                <w:b/>
                <w:bCs w:val="0"/>
              </w:rPr>
            </w:pPr>
            <w:r w:rsidRPr="001C05C6">
              <w:rPr>
                <w:b/>
                <w:bCs w:val="0"/>
              </w:rPr>
              <w:t>LECIG dose per day</w:t>
            </w:r>
          </w:p>
        </w:tc>
        <w:tc>
          <w:tcPr>
            <w:tcW w:w="1341" w:type="dxa"/>
            <w:vAlign w:val="center"/>
          </w:tcPr>
          <w:p w14:paraId="4FF67C10" w14:textId="77777777" w:rsidR="00EF4BA4" w:rsidRPr="001C05C6" w:rsidRDefault="00EF4BA4" w:rsidP="009510A8">
            <w:pPr>
              <w:pStyle w:val="TableText"/>
              <w:rPr>
                <w:b/>
                <w:bCs w:val="0"/>
              </w:rPr>
            </w:pPr>
            <w:r w:rsidRPr="001C05C6">
              <w:rPr>
                <w:b/>
                <w:bCs w:val="0"/>
              </w:rPr>
              <w:t>LCIG dose per day</w:t>
            </w:r>
          </w:p>
        </w:tc>
        <w:tc>
          <w:tcPr>
            <w:tcW w:w="2220" w:type="dxa"/>
            <w:vAlign w:val="center"/>
          </w:tcPr>
          <w:p w14:paraId="3E024150" w14:textId="77777777" w:rsidR="00EF4BA4" w:rsidRPr="001C05C6" w:rsidRDefault="00EF4BA4" w:rsidP="009510A8">
            <w:pPr>
              <w:pStyle w:val="TableText"/>
              <w:jc w:val="center"/>
              <w:rPr>
                <w:b/>
                <w:bCs w:val="0"/>
              </w:rPr>
            </w:pPr>
            <w:r w:rsidRPr="001C05C6">
              <w:rPr>
                <w:b/>
                <w:bCs w:val="0"/>
              </w:rPr>
              <w:t>Source</w:t>
            </w:r>
          </w:p>
        </w:tc>
        <w:tc>
          <w:tcPr>
            <w:tcW w:w="2766" w:type="dxa"/>
            <w:vAlign w:val="center"/>
          </w:tcPr>
          <w:p w14:paraId="7790692F" w14:textId="77777777" w:rsidR="00EF4BA4" w:rsidRPr="001C05C6" w:rsidRDefault="00EF4BA4" w:rsidP="009510A8">
            <w:pPr>
              <w:pStyle w:val="TableText"/>
              <w:jc w:val="center"/>
              <w:rPr>
                <w:b/>
                <w:bCs w:val="0"/>
              </w:rPr>
            </w:pPr>
            <w:r w:rsidRPr="001C05C6">
              <w:rPr>
                <w:b/>
                <w:bCs w:val="0"/>
              </w:rPr>
              <w:t>Comment</w:t>
            </w:r>
          </w:p>
        </w:tc>
      </w:tr>
      <w:tr w:rsidR="00EF4BA4" w:rsidRPr="001C05C6" w14:paraId="33C7099F" w14:textId="77777777" w:rsidTr="00784219">
        <w:tc>
          <w:tcPr>
            <w:tcW w:w="1276" w:type="dxa"/>
          </w:tcPr>
          <w:p w14:paraId="595429E2" w14:textId="07992323" w:rsidR="00EF4BA4" w:rsidRPr="001868CC" w:rsidRDefault="001868CC" w:rsidP="009510A8">
            <w:pPr>
              <w:pStyle w:val="TableText"/>
            </w:pPr>
            <w:r w:rsidRPr="001868CC">
              <w:t xml:space="preserve">Resubmission </w:t>
            </w:r>
            <w:r>
              <w:t>base case</w:t>
            </w:r>
          </w:p>
        </w:tc>
        <w:tc>
          <w:tcPr>
            <w:tcW w:w="1418" w:type="dxa"/>
            <w:vAlign w:val="center"/>
          </w:tcPr>
          <w:p w14:paraId="0CD7A616" w14:textId="011BC022" w:rsidR="00EF4BA4" w:rsidRPr="00C965A1" w:rsidRDefault="001868CC" w:rsidP="009510A8">
            <w:pPr>
              <w:pStyle w:val="TableText"/>
              <w:rPr>
                <w:highlight w:val="yellow"/>
              </w:rPr>
            </w:pPr>
            <w:r w:rsidRPr="008403BF">
              <w:t>1.31 cartridges</w:t>
            </w:r>
          </w:p>
        </w:tc>
        <w:tc>
          <w:tcPr>
            <w:tcW w:w="1341" w:type="dxa"/>
            <w:vAlign w:val="center"/>
          </w:tcPr>
          <w:p w14:paraId="480B4B72" w14:textId="2FB40665" w:rsidR="00EF4BA4" w:rsidRPr="00C965A1" w:rsidRDefault="001868CC" w:rsidP="009510A8">
            <w:pPr>
              <w:pStyle w:val="TableText"/>
              <w:rPr>
                <w:b/>
                <w:bCs w:val="0"/>
                <w:highlight w:val="yellow"/>
              </w:rPr>
            </w:pPr>
            <w:r w:rsidRPr="001B7667">
              <w:t>1.15 cassette</w:t>
            </w:r>
          </w:p>
        </w:tc>
        <w:tc>
          <w:tcPr>
            <w:tcW w:w="2220" w:type="dxa"/>
            <w:vAlign w:val="center"/>
          </w:tcPr>
          <w:p w14:paraId="745A29C1" w14:textId="14AA329F" w:rsidR="00EF4BA4" w:rsidRPr="001868CC" w:rsidRDefault="001868CC" w:rsidP="009510A8">
            <w:pPr>
              <w:pStyle w:val="TableText"/>
              <w:jc w:val="center"/>
            </w:pPr>
            <w:r w:rsidRPr="001C05C6">
              <w:t>ELEGANCE, GLORIA and Phase III Program.</w:t>
            </w:r>
          </w:p>
        </w:tc>
        <w:tc>
          <w:tcPr>
            <w:tcW w:w="2766" w:type="dxa"/>
          </w:tcPr>
          <w:p w14:paraId="4200CD0B" w14:textId="31057077" w:rsidR="00EF4BA4" w:rsidRPr="004F4D4D" w:rsidRDefault="001868CC" w:rsidP="009510A8">
            <w:pPr>
              <w:pStyle w:val="TableText"/>
            </w:pPr>
            <w:r w:rsidRPr="004F4D4D">
              <w:t xml:space="preserve">The LECIG dosing </w:t>
            </w:r>
            <w:r w:rsidR="004F4D4D">
              <w:t xml:space="preserve">data reflects the average number of cartridges per day at 12 months of treatment. </w:t>
            </w:r>
          </w:p>
        </w:tc>
      </w:tr>
      <w:tr w:rsidR="004F4D4D" w:rsidRPr="001C05C6" w14:paraId="10537AA1" w14:textId="77777777" w:rsidTr="00784219">
        <w:tc>
          <w:tcPr>
            <w:tcW w:w="1276" w:type="dxa"/>
            <w:shd w:val="clear" w:color="auto" w:fill="B8CCE4" w:themeFill="accent1" w:themeFillTint="66"/>
            <w:vAlign w:val="center"/>
          </w:tcPr>
          <w:p w14:paraId="3ED4F1F5" w14:textId="3A908385" w:rsidR="00EF4BA4" w:rsidRPr="001C05C6" w:rsidRDefault="00EF4BA4" w:rsidP="009510A8">
            <w:pPr>
              <w:pStyle w:val="TableText"/>
            </w:pPr>
            <w:r>
              <w:t xml:space="preserve">March 2024 </w:t>
            </w:r>
            <w:r w:rsidRPr="001C05C6">
              <w:t>Submission’s base case</w:t>
            </w:r>
          </w:p>
        </w:tc>
        <w:tc>
          <w:tcPr>
            <w:tcW w:w="1418" w:type="dxa"/>
            <w:shd w:val="clear" w:color="auto" w:fill="B8CCE4" w:themeFill="accent1" w:themeFillTint="66"/>
            <w:vAlign w:val="center"/>
          </w:tcPr>
          <w:p w14:paraId="0A530A11" w14:textId="3186F4C5" w:rsidR="00EF4BA4" w:rsidRPr="00C965A1" w:rsidRDefault="009E6D02" w:rsidP="009510A8">
            <w:pPr>
              <w:pStyle w:val="TableText"/>
              <w:rPr>
                <w:highlight w:val="yellow"/>
              </w:rPr>
            </w:pPr>
            <w:r w:rsidRPr="002B3507">
              <w:t>1.00</w:t>
            </w:r>
            <w:r w:rsidR="00EF4BA4" w:rsidRPr="002B3507">
              <w:t xml:space="preserve"> cartridge</w:t>
            </w:r>
          </w:p>
        </w:tc>
        <w:tc>
          <w:tcPr>
            <w:tcW w:w="1341" w:type="dxa"/>
            <w:shd w:val="clear" w:color="auto" w:fill="B8CCE4" w:themeFill="accent1" w:themeFillTint="66"/>
            <w:vAlign w:val="center"/>
          </w:tcPr>
          <w:p w14:paraId="2EB5DB49" w14:textId="0DE8501F" w:rsidR="00EF4BA4" w:rsidRPr="00C965A1" w:rsidRDefault="009E6D02" w:rsidP="009510A8">
            <w:pPr>
              <w:pStyle w:val="TableText"/>
              <w:rPr>
                <w:highlight w:val="yellow"/>
              </w:rPr>
            </w:pPr>
            <w:r w:rsidRPr="002B3507">
              <w:t>1.00</w:t>
            </w:r>
            <w:r w:rsidR="00EF4BA4" w:rsidRPr="002B3507">
              <w:t xml:space="preserve"> cassette</w:t>
            </w:r>
          </w:p>
        </w:tc>
        <w:tc>
          <w:tcPr>
            <w:tcW w:w="2220" w:type="dxa"/>
            <w:shd w:val="clear" w:color="auto" w:fill="B8CCE4" w:themeFill="accent1" w:themeFillTint="66"/>
            <w:vAlign w:val="center"/>
          </w:tcPr>
          <w:p w14:paraId="11AA4056" w14:textId="77777777" w:rsidR="00EF4BA4" w:rsidRPr="001C05C6" w:rsidRDefault="00EF4BA4" w:rsidP="009510A8">
            <w:pPr>
              <w:pStyle w:val="TableText"/>
            </w:pPr>
            <w:r w:rsidRPr="001C05C6">
              <w:t xml:space="preserve">Mean levodopa dose per day from the LSM-003, ELEGANCE, GLORIA, DUOGLOBE studies. </w:t>
            </w:r>
          </w:p>
        </w:tc>
        <w:tc>
          <w:tcPr>
            <w:tcW w:w="2766" w:type="dxa"/>
            <w:shd w:val="clear" w:color="auto" w:fill="B8CCE4" w:themeFill="accent1" w:themeFillTint="66"/>
            <w:vAlign w:val="center"/>
          </w:tcPr>
          <w:p w14:paraId="4B72DB4A" w14:textId="77777777" w:rsidR="00EF4BA4" w:rsidRPr="001C05C6" w:rsidRDefault="00EF4BA4" w:rsidP="009510A8">
            <w:pPr>
              <w:pStyle w:val="TableText"/>
            </w:pPr>
            <w:r w:rsidRPr="001C05C6">
              <w:t xml:space="preserve">The mean dose does not accurately account for all patients requiring at least one cartridge of LECIG and a proportion requiring a partial second cartridge per </w:t>
            </w:r>
            <w:proofErr w:type="spellStart"/>
            <w:r w:rsidRPr="001C05C6">
              <w:t>day.</w:t>
            </w:r>
            <w:r w:rsidRPr="001C05C6">
              <w:rPr>
                <w:vertAlign w:val="superscript"/>
              </w:rPr>
              <w:t>a</w:t>
            </w:r>
            <w:proofErr w:type="spellEnd"/>
            <w:r w:rsidRPr="001C05C6">
              <w:t xml:space="preserve">   </w:t>
            </w:r>
          </w:p>
        </w:tc>
      </w:tr>
      <w:tr w:rsidR="004F4D4D" w:rsidRPr="001C05C6" w14:paraId="34A71716" w14:textId="77777777" w:rsidTr="00784219">
        <w:tc>
          <w:tcPr>
            <w:tcW w:w="1276" w:type="dxa"/>
            <w:shd w:val="clear" w:color="auto" w:fill="B8CCE4" w:themeFill="accent1" w:themeFillTint="66"/>
            <w:vAlign w:val="center"/>
          </w:tcPr>
          <w:p w14:paraId="6D9436AC" w14:textId="576FF947" w:rsidR="00EF4BA4" w:rsidRPr="001C05C6" w:rsidRDefault="00EF4BA4" w:rsidP="009510A8">
            <w:pPr>
              <w:pStyle w:val="TableText"/>
            </w:pPr>
            <w:r>
              <w:t xml:space="preserve">March 2024 </w:t>
            </w:r>
            <w:r w:rsidRPr="001C05C6">
              <w:t>Evaluation’s sensitivity analysis</w:t>
            </w:r>
          </w:p>
        </w:tc>
        <w:tc>
          <w:tcPr>
            <w:tcW w:w="1418" w:type="dxa"/>
            <w:shd w:val="clear" w:color="auto" w:fill="B8CCE4" w:themeFill="accent1" w:themeFillTint="66"/>
            <w:vAlign w:val="center"/>
          </w:tcPr>
          <w:p w14:paraId="6A02498F" w14:textId="77777777" w:rsidR="00EF4BA4" w:rsidRPr="00C965A1" w:rsidRDefault="00EF4BA4" w:rsidP="009510A8">
            <w:pPr>
              <w:pStyle w:val="TableText"/>
              <w:rPr>
                <w:highlight w:val="yellow"/>
              </w:rPr>
            </w:pPr>
            <w:r w:rsidRPr="002B3507">
              <w:t>1.13 cartridges</w:t>
            </w:r>
          </w:p>
        </w:tc>
        <w:tc>
          <w:tcPr>
            <w:tcW w:w="1341" w:type="dxa"/>
            <w:shd w:val="clear" w:color="auto" w:fill="B8CCE4" w:themeFill="accent1" w:themeFillTint="66"/>
            <w:vAlign w:val="center"/>
          </w:tcPr>
          <w:p w14:paraId="74CCF47F" w14:textId="77777777" w:rsidR="00EF4BA4" w:rsidRPr="00C965A1" w:rsidRDefault="00EF4BA4" w:rsidP="009510A8">
            <w:pPr>
              <w:pStyle w:val="TableText"/>
              <w:rPr>
                <w:highlight w:val="yellow"/>
              </w:rPr>
            </w:pPr>
            <w:r w:rsidRPr="00F80469">
              <w:t>1.00 cassette</w:t>
            </w:r>
          </w:p>
        </w:tc>
        <w:tc>
          <w:tcPr>
            <w:tcW w:w="2220" w:type="dxa"/>
            <w:shd w:val="clear" w:color="auto" w:fill="B8CCE4" w:themeFill="accent1" w:themeFillTint="66"/>
            <w:vAlign w:val="center"/>
          </w:tcPr>
          <w:p w14:paraId="75CCAE82" w14:textId="77777777" w:rsidR="00EF4BA4" w:rsidRPr="001C05C6" w:rsidRDefault="00EF4BA4" w:rsidP="009510A8">
            <w:pPr>
              <w:pStyle w:val="TableText"/>
            </w:pPr>
            <w:r w:rsidRPr="001C05C6">
              <w:t xml:space="preserve">Assuming </w:t>
            </w:r>
            <w:r w:rsidRPr="003C6D3F">
              <w:t>50</w:t>
            </w:r>
            <w:r w:rsidRPr="001C05C6">
              <w:t xml:space="preserve">% of patients used one LECIG cartridge (in line with the median levodopa dose in LSM-003) and </w:t>
            </w:r>
            <w:r w:rsidRPr="003C6D3F">
              <w:t>50</w:t>
            </w:r>
            <w:r w:rsidRPr="001C05C6">
              <w:t xml:space="preserve">% had the maximum dose reported in LSM-003. </w:t>
            </w:r>
          </w:p>
        </w:tc>
        <w:tc>
          <w:tcPr>
            <w:tcW w:w="2766" w:type="dxa"/>
            <w:shd w:val="clear" w:color="auto" w:fill="B8CCE4" w:themeFill="accent1" w:themeFillTint="66"/>
            <w:vAlign w:val="center"/>
          </w:tcPr>
          <w:p w14:paraId="484FB387" w14:textId="77777777" w:rsidR="00EF4BA4" w:rsidRPr="001C05C6" w:rsidRDefault="00EF4BA4" w:rsidP="009510A8">
            <w:pPr>
              <w:pStyle w:val="TableText"/>
            </w:pPr>
            <w:r w:rsidRPr="001C05C6">
              <w:t>This appropriately represented the proportion of patients using only one cartridge. However, for patients who require more, this might slightly overestimate the amount of levodopa used in the second cartridge and, thus, overestimate the number of LECIG cartridges required per day</w:t>
            </w:r>
            <w:r>
              <w:t xml:space="preserve">. </w:t>
            </w:r>
            <w:r w:rsidRPr="001C05C6">
              <w:t xml:space="preserve">  </w:t>
            </w:r>
          </w:p>
        </w:tc>
      </w:tr>
      <w:tr w:rsidR="004F4D4D" w:rsidRPr="001C05C6" w14:paraId="6606576E" w14:textId="77777777" w:rsidTr="00784219">
        <w:tc>
          <w:tcPr>
            <w:tcW w:w="1276" w:type="dxa"/>
            <w:shd w:val="clear" w:color="auto" w:fill="B8CCE4" w:themeFill="accent1" w:themeFillTint="66"/>
            <w:vAlign w:val="center"/>
          </w:tcPr>
          <w:p w14:paraId="092D870E" w14:textId="6AA38DD7" w:rsidR="00EF4BA4" w:rsidRPr="001C05C6" w:rsidRDefault="00EF4BA4" w:rsidP="009510A8">
            <w:pPr>
              <w:pStyle w:val="TableText"/>
            </w:pPr>
            <w:r>
              <w:t xml:space="preserve">March 2024 </w:t>
            </w:r>
            <w:r w:rsidRPr="001C05C6">
              <w:t xml:space="preserve">Evaluation’s sensitivity analysis </w:t>
            </w:r>
          </w:p>
        </w:tc>
        <w:tc>
          <w:tcPr>
            <w:tcW w:w="1418" w:type="dxa"/>
            <w:shd w:val="clear" w:color="auto" w:fill="B8CCE4" w:themeFill="accent1" w:themeFillTint="66"/>
            <w:vAlign w:val="center"/>
          </w:tcPr>
          <w:p w14:paraId="32A2D251" w14:textId="77777777" w:rsidR="00EF4BA4" w:rsidRPr="008E2D5C" w:rsidRDefault="00EF4BA4" w:rsidP="009510A8">
            <w:pPr>
              <w:pStyle w:val="TableText"/>
            </w:pPr>
            <w:r w:rsidRPr="008E2D5C">
              <w:t>1.07 cartridges</w:t>
            </w:r>
          </w:p>
        </w:tc>
        <w:tc>
          <w:tcPr>
            <w:tcW w:w="1341" w:type="dxa"/>
            <w:shd w:val="clear" w:color="auto" w:fill="B8CCE4" w:themeFill="accent1" w:themeFillTint="66"/>
            <w:vAlign w:val="center"/>
          </w:tcPr>
          <w:p w14:paraId="2B6B4A0A" w14:textId="77777777" w:rsidR="00EF4BA4" w:rsidRPr="008E2D5C" w:rsidRDefault="00EF4BA4" w:rsidP="009510A8">
            <w:pPr>
              <w:pStyle w:val="TableText"/>
            </w:pPr>
            <w:r w:rsidRPr="008E2D5C">
              <w:t>1.00 cassette</w:t>
            </w:r>
          </w:p>
        </w:tc>
        <w:tc>
          <w:tcPr>
            <w:tcW w:w="2220" w:type="dxa"/>
            <w:shd w:val="clear" w:color="auto" w:fill="B8CCE4" w:themeFill="accent1" w:themeFillTint="66"/>
            <w:vAlign w:val="center"/>
          </w:tcPr>
          <w:p w14:paraId="4E042897" w14:textId="77777777" w:rsidR="00EF4BA4" w:rsidRPr="001C05C6" w:rsidRDefault="00EF4BA4" w:rsidP="009510A8">
            <w:pPr>
              <w:pStyle w:val="TableText"/>
            </w:pPr>
            <w:r w:rsidRPr="001C05C6">
              <w:t xml:space="preserve">Assuming normal distribution of levodopa dosing, based on the mean, SD and maximum dose reported in the LSM-003 study. </w:t>
            </w:r>
          </w:p>
        </w:tc>
        <w:tc>
          <w:tcPr>
            <w:tcW w:w="2766" w:type="dxa"/>
            <w:shd w:val="clear" w:color="auto" w:fill="B8CCE4" w:themeFill="accent1" w:themeFillTint="66"/>
            <w:vAlign w:val="center"/>
          </w:tcPr>
          <w:p w14:paraId="10960339" w14:textId="77777777" w:rsidR="00EF4BA4" w:rsidRPr="001C05C6" w:rsidRDefault="00EF4BA4" w:rsidP="009510A8">
            <w:pPr>
              <w:pStyle w:val="TableText"/>
            </w:pPr>
            <w:r w:rsidRPr="001C05C6">
              <w:t>The normal distribution likely underestimated the levodopa dosing for patients receiving LECIG in the LSM-003 study and, thus, underestimated the number of LECIG cartridges required per day</w:t>
            </w:r>
            <w:r>
              <w:t xml:space="preserve">. </w:t>
            </w:r>
          </w:p>
        </w:tc>
      </w:tr>
      <w:tr w:rsidR="004F4D4D" w:rsidRPr="001C05C6" w14:paraId="6CF386C3" w14:textId="77777777" w:rsidTr="00784219">
        <w:trPr>
          <w:trHeight w:val="229"/>
        </w:trPr>
        <w:tc>
          <w:tcPr>
            <w:tcW w:w="1276" w:type="dxa"/>
            <w:shd w:val="clear" w:color="auto" w:fill="B8CCE4" w:themeFill="accent1" w:themeFillTint="66"/>
            <w:vAlign w:val="center"/>
          </w:tcPr>
          <w:p w14:paraId="1C54F9DE" w14:textId="3EBFA546" w:rsidR="00EF4BA4" w:rsidRPr="001C05C6" w:rsidRDefault="00EF4BA4" w:rsidP="009510A8">
            <w:pPr>
              <w:pStyle w:val="TableText"/>
            </w:pPr>
            <w:r>
              <w:t xml:space="preserve">March 2024 </w:t>
            </w:r>
            <w:r w:rsidRPr="001C05C6">
              <w:t>Evaluation’s sensitivity analysis</w:t>
            </w:r>
          </w:p>
        </w:tc>
        <w:tc>
          <w:tcPr>
            <w:tcW w:w="1418" w:type="dxa"/>
            <w:shd w:val="clear" w:color="auto" w:fill="B8CCE4" w:themeFill="accent1" w:themeFillTint="66"/>
            <w:vAlign w:val="center"/>
          </w:tcPr>
          <w:p w14:paraId="03028A80" w14:textId="77777777" w:rsidR="00EF4BA4" w:rsidRPr="008E2D5C" w:rsidRDefault="00EF4BA4" w:rsidP="009510A8">
            <w:pPr>
              <w:pStyle w:val="TableText"/>
            </w:pPr>
            <w:r w:rsidRPr="008E2D5C">
              <w:t>1.24 cartridges</w:t>
            </w:r>
          </w:p>
        </w:tc>
        <w:tc>
          <w:tcPr>
            <w:tcW w:w="1341" w:type="dxa"/>
            <w:shd w:val="clear" w:color="auto" w:fill="B8CCE4" w:themeFill="accent1" w:themeFillTint="66"/>
            <w:vAlign w:val="center"/>
          </w:tcPr>
          <w:p w14:paraId="1388039B" w14:textId="67FF81DE" w:rsidR="00EF4BA4" w:rsidRPr="008E2D5C" w:rsidRDefault="00EF4BA4" w:rsidP="009510A8">
            <w:pPr>
              <w:pStyle w:val="TableText"/>
              <w:rPr>
                <w:vertAlign w:val="superscript"/>
              </w:rPr>
            </w:pPr>
            <w:r w:rsidRPr="008E2D5C">
              <w:t>1.15 cassette</w:t>
            </w:r>
            <w:r w:rsidR="004F4D4D" w:rsidRPr="008E2D5C">
              <w:t xml:space="preserve"> </w:t>
            </w:r>
            <w:r w:rsidRPr="008E2D5C">
              <w:rPr>
                <w:vertAlign w:val="superscript"/>
              </w:rPr>
              <w:t>b</w:t>
            </w:r>
          </w:p>
        </w:tc>
        <w:tc>
          <w:tcPr>
            <w:tcW w:w="2220" w:type="dxa"/>
            <w:shd w:val="clear" w:color="auto" w:fill="B8CCE4" w:themeFill="accent1" w:themeFillTint="66"/>
            <w:vAlign w:val="center"/>
          </w:tcPr>
          <w:p w14:paraId="63FF0024" w14:textId="77777777" w:rsidR="00EF4BA4" w:rsidRPr="001C05C6" w:rsidRDefault="00EF4BA4" w:rsidP="009510A8">
            <w:pPr>
              <w:pStyle w:val="TableText"/>
            </w:pPr>
            <w:r w:rsidRPr="001C05C6">
              <w:t>ELEGANCE, GLORIA and Phase III Program.</w:t>
            </w:r>
          </w:p>
        </w:tc>
        <w:tc>
          <w:tcPr>
            <w:tcW w:w="2766" w:type="dxa"/>
            <w:shd w:val="clear" w:color="auto" w:fill="B8CCE4" w:themeFill="accent1" w:themeFillTint="66"/>
            <w:vAlign w:val="center"/>
          </w:tcPr>
          <w:p w14:paraId="48B543B6" w14:textId="373B860F" w:rsidR="00EF4BA4" w:rsidRPr="001C05C6" w:rsidRDefault="00EF4BA4" w:rsidP="009510A8">
            <w:pPr>
              <w:pStyle w:val="TableText"/>
            </w:pPr>
            <w:r w:rsidRPr="001C05C6">
              <w:t>The LECIG dosing data reflects Day 1 of treatment and levodopa doses are expected to increase once reaching steady state</w:t>
            </w:r>
            <w:r>
              <w:t xml:space="preserve">. </w:t>
            </w:r>
            <w:r w:rsidRPr="001C05C6">
              <w:t xml:space="preserve">The </w:t>
            </w:r>
            <w:r w:rsidR="00826910">
              <w:t>March 2024 p</w:t>
            </w:r>
            <w:r w:rsidRPr="001C05C6">
              <w:t xml:space="preserve">re-PBAC response (p2) clarified that the value of </w:t>
            </w:r>
            <w:r w:rsidRPr="008E2D5C">
              <w:t>1.24</w:t>
            </w:r>
            <w:r w:rsidRPr="001C05C6">
              <w:t xml:space="preserve"> cartridges per day for LECIG includes patients on infusion times of &gt;18 hrs over the day.</w:t>
            </w:r>
          </w:p>
        </w:tc>
      </w:tr>
      <w:tr w:rsidR="004F4D4D" w:rsidRPr="001C05C6" w14:paraId="2247CE01" w14:textId="77777777" w:rsidTr="00784219">
        <w:trPr>
          <w:trHeight w:val="229"/>
        </w:trPr>
        <w:tc>
          <w:tcPr>
            <w:tcW w:w="1276" w:type="dxa"/>
            <w:shd w:val="clear" w:color="auto" w:fill="B8CCE4" w:themeFill="accent1" w:themeFillTint="66"/>
            <w:vAlign w:val="center"/>
          </w:tcPr>
          <w:p w14:paraId="5585EB63" w14:textId="6FFA1670" w:rsidR="00EF4BA4" w:rsidRPr="001C05C6" w:rsidRDefault="00EF4BA4" w:rsidP="009510A8">
            <w:pPr>
              <w:pStyle w:val="TableText"/>
            </w:pPr>
            <w:r w:rsidRPr="001C05C6">
              <w:t xml:space="preserve">Approach referenced in </w:t>
            </w:r>
            <w:r>
              <w:t xml:space="preserve">March 2024 </w:t>
            </w:r>
            <w:r w:rsidRPr="001C05C6">
              <w:t>submission</w:t>
            </w:r>
          </w:p>
        </w:tc>
        <w:tc>
          <w:tcPr>
            <w:tcW w:w="1418" w:type="dxa"/>
            <w:shd w:val="clear" w:color="auto" w:fill="B8CCE4" w:themeFill="accent1" w:themeFillTint="66"/>
            <w:vAlign w:val="center"/>
          </w:tcPr>
          <w:p w14:paraId="0DA41B3F" w14:textId="2456758D" w:rsidR="00EF4BA4" w:rsidRPr="008E2D5C" w:rsidRDefault="00EF4BA4" w:rsidP="009510A8">
            <w:pPr>
              <w:pStyle w:val="TableText"/>
            </w:pPr>
            <w:r w:rsidRPr="008E2D5C">
              <w:t>1.5</w:t>
            </w:r>
            <w:r w:rsidR="009E6D02" w:rsidRPr="008E2D5C">
              <w:t>0</w:t>
            </w:r>
            <w:r w:rsidRPr="008E2D5C">
              <w:t xml:space="preserve"> cartridges</w:t>
            </w:r>
          </w:p>
        </w:tc>
        <w:tc>
          <w:tcPr>
            <w:tcW w:w="1341" w:type="dxa"/>
            <w:shd w:val="clear" w:color="auto" w:fill="B8CCE4" w:themeFill="accent1" w:themeFillTint="66"/>
            <w:vAlign w:val="center"/>
          </w:tcPr>
          <w:p w14:paraId="6BB5F10A" w14:textId="717181F6" w:rsidR="00EF4BA4" w:rsidRPr="008E2D5C" w:rsidRDefault="00EF4BA4" w:rsidP="009510A8">
            <w:pPr>
              <w:pStyle w:val="TableText"/>
            </w:pPr>
            <w:r w:rsidRPr="008E2D5C">
              <w:t>1</w:t>
            </w:r>
            <w:r w:rsidR="009E6D02" w:rsidRPr="008E2D5C">
              <w:t>.00</w:t>
            </w:r>
            <w:r w:rsidRPr="008E2D5C">
              <w:t xml:space="preserve"> cassette</w:t>
            </w:r>
          </w:p>
        </w:tc>
        <w:tc>
          <w:tcPr>
            <w:tcW w:w="2220" w:type="dxa"/>
            <w:shd w:val="clear" w:color="auto" w:fill="B8CCE4" w:themeFill="accent1" w:themeFillTint="66"/>
            <w:vAlign w:val="center"/>
          </w:tcPr>
          <w:p w14:paraId="3DECEC77" w14:textId="77777777" w:rsidR="00EF4BA4" w:rsidRPr="001C05C6" w:rsidRDefault="00EF4BA4" w:rsidP="009510A8">
            <w:pPr>
              <w:pStyle w:val="TableText"/>
            </w:pPr>
            <w:r w:rsidRPr="001C05C6">
              <w:t xml:space="preserve">Submission’s analysis of patients using more than 1 cartridge of LECIG per day </w:t>
            </w:r>
          </w:p>
        </w:tc>
        <w:tc>
          <w:tcPr>
            <w:tcW w:w="2766" w:type="dxa"/>
            <w:shd w:val="clear" w:color="auto" w:fill="B8CCE4" w:themeFill="accent1" w:themeFillTint="66"/>
            <w:vAlign w:val="center"/>
          </w:tcPr>
          <w:p w14:paraId="4538775C" w14:textId="77777777" w:rsidR="00EF4BA4" w:rsidRPr="001C05C6" w:rsidRDefault="00EF4BA4" w:rsidP="009510A8">
            <w:pPr>
              <w:pStyle w:val="TableText"/>
            </w:pPr>
            <w:r w:rsidRPr="001C05C6">
              <w:t>May overestimate LECIG dosing if applied to all patients.</w:t>
            </w:r>
          </w:p>
        </w:tc>
      </w:tr>
    </w:tbl>
    <w:p w14:paraId="37B6BE14" w14:textId="75CFB399" w:rsidR="00EF4BA4" w:rsidRPr="001C05C6" w:rsidRDefault="00EF4BA4" w:rsidP="009510A8">
      <w:pPr>
        <w:pStyle w:val="FooterTableFigure"/>
        <w:keepNext/>
      </w:pPr>
      <w:r w:rsidRPr="001C05C6">
        <w:t xml:space="preserve">Source: </w:t>
      </w:r>
      <w:r w:rsidR="004F4D4D">
        <w:t xml:space="preserve">Table 3.1 of the resubmission, </w:t>
      </w:r>
      <w:r w:rsidR="0083071D">
        <w:t xml:space="preserve">Table 10, levodopa with carbidopa and entacapone </w:t>
      </w:r>
      <w:r w:rsidR="00C50162">
        <w:t>PSD</w:t>
      </w:r>
      <w:r w:rsidR="0083071D">
        <w:t xml:space="preserve">, March 2024 PBAC meeting. </w:t>
      </w:r>
    </w:p>
    <w:p w14:paraId="78A6C434" w14:textId="5B3BC90E" w:rsidR="00EF4BA4" w:rsidRDefault="00EF4BA4" w:rsidP="009510A8">
      <w:pPr>
        <w:pStyle w:val="FooterTableFigure"/>
        <w:keepNext/>
      </w:pPr>
      <w:r w:rsidRPr="001C05C6">
        <w:t>LCIG = levodopa, carbidopa monohydrate intestinal gel; LECIG = levodopa, carbidopa monohydrate and entacapone intestinal gel</w:t>
      </w:r>
    </w:p>
    <w:p w14:paraId="25EB083C" w14:textId="64B3FA54" w:rsidR="00A21080" w:rsidRPr="001C05C6" w:rsidRDefault="00A21080" w:rsidP="009510A8">
      <w:pPr>
        <w:pStyle w:val="FooterTableFigure"/>
        <w:keepNext/>
      </w:pPr>
      <w:r>
        <w:t xml:space="preserve">Blue shading </w:t>
      </w:r>
      <w:r w:rsidRPr="00A21080">
        <w:t>indicates data previously seen by the PBAC</w:t>
      </w:r>
      <w:r>
        <w:t xml:space="preserve">. </w:t>
      </w:r>
    </w:p>
    <w:p w14:paraId="30C1EEE9" w14:textId="77777777" w:rsidR="00EF4BA4" w:rsidRPr="001C05C6" w:rsidRDefault="00EF4BA4" w:rsidP="009510A8">
      <w:pPr>
        <w:pStyle w:val="FooterTableFigure"/>
        <w:keepNext/>
      </w:pPr>
      <w:r w:rsidRPr="001C05C6">
        <w:rPr>
          <w:vertAlign w:val="superscript"/>
        </w:rPr>
        <w:t>a</w:t>
      </w:r>
      <w:r w:rsidRPr="001C05C6">
        <w:t xml:space="preserve"> As LECIG cartridges have a shelf-life of 24 hours once opened, the second LECIG cartridge opened later that day can be used for the next day.</w:t>
      </w:r>
    </w:p>
    <w:p w14:paraId="4C666AA5" w14:textId="62222263" w:rsidR="00AA7B1D" w:rsidRDefault="00EF4BA4" w:rsidP="00487C65">
      <w:pPr>
        <w:pStyle w:val="FooterTableFigure"/>
      </w:pPr>
      <w:r w:rsidRPr="001C05C6">
        <w:rPr>
          <w:vertAlign w:val="superscript"/>
        </w:rPr>
        <w:t>b</w:t>
      </w:r>
      <w:r w:rsidRPr="001C05C6">
        <w:t xml:space="preserve"> Partial LCIG cartridges are the result of weighting the proportion of patients who require one and two cassettes a day of LCIG (not partial cartridges being consumed per day)</w:t>
      </w:r>
      <w:r>
        <w:t xml:space="preserve">. </w:t>
      </w:r>
    </w:p>
    <w:p w14:paraId="7D28ED56" w14:textId="5C4B6225" w:rsidR="00493C57" w:rsidRDefault="00F06638" w:rsidP="00F06638">
      <w:pPr>
        <w:pStyle w:val="3-BodyText"/>
        <w:rPr>
          <w:snapToGrid w:val="0"/>
        </w:rPr>
      </w:pPr>
      <w:bookmarkStart w:id="8" w:name="_Ref172619682"/>
      <w:r w:rsidRPr="00F06638">
        <w:rPr>
          <w:snapToGrid w:val="0"/>
        </w:rPr>
        <w:t>The resubmission</w:t>
      </w:r>
      <w:r>
        <w:rPr>
          <w:snapToGrid w:val="0"/>
        </w:rPr>
        <w:t xml:space="preserve"> proposed </w:t>
      </w:r>
      <w:r w:rsidR="00493C57">
        <w:rPr>
          <w:snapToGrid w:val="0"/>
        </w:rPr>
        <w:t xml:space="preserve">the following </w:t>
      </w:r>
      <w:r>
        <w:rPr>
          <w:snapToGrid w:val="0"/>
        </w:rPr>
        <w:t>equi-effective dosing</w:t>
      </w:r>
      <w:r w:rsidR="00493C57">
        <w:rPr>
          <w:snapToGrid w:val="0"/>
        </w:rPr>
        <w:t>:</w:t>
      </w:r>
      <w:bookmarkEnd w:id="8"/>
    </w:p>
    <w:p w14:paraId="320A42C1" w14:textId="66816CAF" w:rsidR="00493C57" w:rsidRPr="00493C57" w:rsidRDefault="00493C57" w:rsidP="00C459F9">
      <w:pPr>
        <w:pStyle w:val="ListParagraph"/>
        <w:numPr>
          <w:ilvl w:val="0"/>
          <w:numId w:val="2"/>
        </w:numPr>
      </w:pPr>
      <w:r w:rsidRPr="00161CA4">
        <w:t>1.31</w:t>
      </w:r>
      <w:r w:rsidRPr="00F25FDD">
        <w:t xml:space="preserve"> </w:t>
      </w:r>
      <w:r w:rsidRPr="00493C57">
        <w:t>cartridge of LECIG (each cartridge contains 47 mL with a total of 940</w:t>
      </w:r>
      <w:r w:rsidR="00487C65">
        <w:t> </w:t>
      </w:r>
      <w:r w:rsidRPr="00493C57">
        <w:t>mg of levodopa)</w:t>
      </w:r>
    </w:p>
    <w:p w14:paraId="78C9F0C3" w14:textId="0F035EF8" w:rsidR="00493C57" w:rsidRDefault="00493C57" w:rsidP="00C459F9">
      <w:pPr>
        <w:pStyle w:val="3-BodyText"/>
        <w:numPr>
          <w:ilvl w:val="0"/>
          <w:numId w:val="2"/>
        </w:numPr>
        <w:rPr>
          <w:snapToGrid w:val="0"/>
        </w:rPr>
      </w:pPr>
      <w:r w:rsidRPr="00F25FDD">
        <w:rPr>
          <w:snapToGrid w:val="0"/>
        </w:rPr>
        <w:t xml:space="preserve">1.15 </w:t>
      </w:r>
      <w:r>
        <w:rPr>
          <w:snapToGrid w:val="0"/>
        </w:rPr>
        <w:t xml:space="preserve">cassette of LCIG (each cassette contains 100 mL with a total of 2,000 mg of levodopa). </w:t>
      </w:r>
    </w:p>
    <w:p w14:paraId="010BBD93" w14:textId="0BE47C66" w:rsidR="00F06638" w:rsidRPr="001C607C" w:rsidRDefault="00493C57" w:rsidP="0096593B">
      <w:pPr>
        <w:pStyle w:val="3-BodyText"/>
        <w:numPr>
          <w:ilvl w:val="0"/>
          <w:numId w:val="0"/>
        </w:numPr>
        <w:ind w:left="720"/>
        <w:rPr>
          <w:i/>
          <w:iCs/>
          <w:snapToGrid w:val="0"/>
        </w:rPr>
      </w:pPr>
      <w:r>
        <w:rPr>
          <w:snapToGrid w:val="0"/>
        </w:rPr>
        <w:lastRenderedPageBreak/>
        <w:t xml:space="preserve">For </w:t>
      </w:r>
      <w:r w:rsidR="00BD1A90">
        <w:rPr>
          <w:snapToGrid w:val="0"/>
        </w:rPr>
        <w:t xml:space="preserve">LECIG </w:t>
      </w:r>
      <w:r>
        <w:rPr>
          <w:snapToGrid w:val="0"/>
        </w:rPr>
        <w:t>this was</w:t>
      </w:r>
      <w:r w:rsidR="00F06638">
        <w:rPr>
          <w:snapToGrid w:val="0"/>
        </w:rPr>
        <w:t xml:space="preserve"> based on </w:t>
      </w:r>
      <w:r w:rsidR="00AA7B1D">
        <w:rPr>
          <w:snapToGrid w:val="0"/>
        </w:rPr>
        <w:t xml:space="preserve">updated </w:t>
      </w:r>
      <w:r w:rsidR="00F06638">
        <w:rPr>
          <w:snapToGrid w:val="0"/>
        </w:rPr>
        <w:t xml:space="preserve">dosing data from the ELEGANCE study which reports an average of </w:t>
      </w:r>
      <w:r w:rsidR="00F06638" w:rsidRPr="00F25FDD">
        <w:rPr>
          <w:snapToGrid w:val="0"/>
        </w:rPr>
        <w:t xml:space="preserve">1.31 </w:t>
      </w:r>
      <w:r w:rsidR="00F06638">
        <w:rPr>
          <w:snapToGrid w:val="0"/>
        </w:rPr>
        <w:t>cartridges per day of LECIG at 12 months of treatment (</w:t>
      </w:r>
      <w:r w:rsidR="00A70026">
        <w:rPr>
          <w:snapToGrid w:val="0"/>
        </w:rPr>
        <w:t>m</w:t>
      </w:r>
      <w:r w:rsidR="00DB3E29">
        <w:rPr>
          <w:snapToGrid w:val="0"/>
        </w:rPr>
        <w:t xml:space="preserve">ean observed at baseline </w:t>
      </w:r>
      <w:r w:rsidR="00DB3E29" w:rsidRPr="00F25FDD">
        <w:rPr>
          <w:snapToGrid w:val="0"/>
        </w:rPr>
        <w:t>[1.22</w:t>
      </w:r>
      <w:r w:rsidR="00DB3E29">
        <w:rPr>
          <w:snapToGrid w:val="0"/>
        </w:rPr>
        <w:t>] plus change from baseline at visit 3 [</w:t>
      </w:r>
      <w:r w:rsidR="00DB3E29" w:rsidRPr="00F25FDD">
        <w:rPr>
          <w:snapToGrid w:val="0"/>
        </w:rPr>
        <w:t>0.09</w:t>
      </w:r>
      <w:r w:rsidR="00DB3E29">
        <w:rPr>
          <w:snapToGrid w:val="0"/>
        </w:rPr>
        <w:t xml:space="preserve">], </w:t>
      </w:r>
      <w:r w:rsidR="009E6D02">
        <w:rPr>
          <w:snapToGrid w:val="0"/>
        </w:rPr>
        <w:fldChar w:fldCharType="begin" w:fldLock="1"/>
      </w:r>
      <w:r w:rsidR="009E6D02">
        <w:rPr>
          <w:snapToGrid w:val="0"/>
        </w:rPr>
        <w:instrText xml:space="preserve"> REF _Ref168854237 \h  \* MERGEFORMAT </w:instrText>
      </w:r>
      <w:r w:rsidR="009E6D02">
        <w:rPr>
          <w:snapToGrid w:val="0"/>
        </w:rPr>
      </w:r>
      <w:r w:rsidR="009E6D02">
        <w:rPr>
          <w:snapToGrid w:val="0"/>
        </w:rPr>
        <w:fldChar w:fldCharType="separate"/>
      </w:r>
      <w:r w:rsidR="009E6D02" w:rsidRPr="009E6D02">
        <w:rPr>
          <w:snapToGrid w:val="0"/>
        </w:rPr>
        <w:t>Table 4</w:t>
      </w:r>
      <w:r w:rsidR="009E6D02">
        <w:rPr>
          <w:snapToGrid w:val="0"/>
        </w:rPr>
        <w:fldChar w:fldCharType="end"/>
      </w:r>
      <w:r w:rsidR="00F06638">
        <w:rPr>
          <w:snapToGrid w:val="0"/>
        </w:rPr>
        <w:t xml:space="preserve">). </w:t>
      </w:r>
      <w:r w:rsidR="00914ACA">
        <w:rPr>
          <w:snapToGrid w:val="0"/>
        </w:rPr>
        <w:t xml:space="preserve">The resubmission stated it was unlikely that patients would need to increase levodopa dose after 12 months of treatment. </w:t>
      </w:r>
      <w:r w:rsidR="00BD1A90" w:rsidRPr="005654F7">
        <w:rPr>
          <w:snapToGrid w:val="0"/>
        </w:rPr>
        <w:t>A source for the updated dosing data from the ELEGANCE study was not provided.</w:t>
      </w:r>
      <w:r w:rsidR="00DB3E29" w:rsidRPr="005654F7">
        <w:rPr>
          <w:snapToGrid w:val="0"/>
        </w:rPr>
        <w:t xml:space="preserve"> </w:t>
      </w:r>
      <w:r w:rsidR="0066546F">
        <w:rPr>
          <w:snapToGrid w:val="0"/>
        </w:rPr>
        <w:t>The pre-PBAC response provided an interim analysis of the updated dosing data from the ELEGANCE study</w:t>
      </w:r>
      <w:r w:rsidR="00DB3E29" w:rsidRPr="0066546F">
        <w:rPr>
          <w:snapToGrid w:val="0"/>
        </w:rPr>
        <w:t>.</w:t>
      </w:r>
      <w:r w:rsidR="0066546F">
        <w:rPr>
          <w:snapToGrid w:val="0"/>
        </w:rPr>
        <w:t xml:space="preserve"> The pre-PBAC response argued that the equi-effective dosing from the ELEGANCE interim analysis were </w:t>
      </w:r>
      <w:r w:rsidR="00077E51">
        <w:rPr>
          <w:snapToGrid w:val="0"/>
        </w:rPr>
        <w:t>supported by</w:t>
      </w:r>
      <w:r w:rsidR="0066546F">
        <w:rPr>
          <w:snapToGrid w:val="0"/>
        </w:rPr>
        <w:t xml:space="preserve"> other published data and clinical protocols</w:t>
      </w:r>
      <w:r w:rsidR="00077E51">
        <w:rPr>
          <w:snapToGrid w:val="0"/>
        </w:rPr>
        <w:t xml:space="preserve"> that reported a smaller maintenance dose requirement for LECIG compared to LCIG</w:t>
      </w:r>
      <w:r w:rsidR="0066546F">
        <w:rPr>
          <w:snapToGrid w:val="0"/>
        </w:rPr>
        <w:t>.</w:t>
      </w:r>
      <w:r w:rsidR="00F06638" w:rsidRPr="005654F7">
        <w:rPr>
          <w:snapToGrid w:val="0"/>
        </w:rPr>
        <w:t xml:space="preserve"> </w:t>
      </w:r>
      <w:r w:rsidR="00BD1A90" w:rsidRPr="005654F7">
        <w:rPr>
          <w:snapToGrid w:val="0"/>
        </w:rPr>
        <w:t>For LCIG, t</w:t>
      </w:r>
      <w:r w:rsidRPr="005654F7">
        <w:rPr>
          <w:snapToGrid w:val="0"/>
        </w:rPr>
        <w:t>he</w:t>
      </w:r>
      <w:r w:rsidR="00BD1A90" w:rsidRPr="005654F7">
        <w:rPr>
          <w:snapToGrid w:val="0"/>
        </w:rPr>
        <w:t xml:space="preserve"> resubmission suggested the use of </w:t>
      </w:r>
      <w:r w:rsidR="00BD1A90" w:rsidRPr="00F25FDD">
        <w:rPr>
          <w:snapToGrid w:val="0"/>
        </w:rPr>
        <w:t>1.15</w:t>
      </w:r>
      <w:r w:rsidR="00BD1A90" w:rsidRPr="005654F7">
        <w:rPr>
          <w:snapToGrid w:val="0"/>
        </w:rPr>
        <w:t xml:space="preserve"> cassettes per day based on the </w:t>
      </w:r>
      <w:r w:rsidR="00247188" w:rsidRPr="005654F7">
        <w:rPr>
          <w:snapToGrid w:val="0"/>
        </w:rPr>
        <w:t xml:space="preserve">weighted mean number of LCIG cassettes used per day from the </w:t>
      </w:r>
      <w:r w:rsidR="001C607C" w:rsidRPr="005654F7">
        <w:rPr>
          <w:snapToGrid w:val="0"/>
        </w:rPr>
        <w:t xml:space="preserve">GLORIA and </w:t>
      </w:r>
      <w:r w:rsidR="00BD1A90" w:rsidRPr="005654F7">
        <w:rPr>
          <w:snapToGrid w:val="0"/>
        </w:rPr>
        <w:t xml:space="preserve">Phase III Program. </w:t>
      </w:r>
      <w:bookmarkStart w:id="9" w:name="_Hlk169680057"/>
      <w:r w:rsidR="001C607C" w:rsidRPr="005654F7">
        <w:rPr>
          <w:snapToGrid w:val="0"/>
        </w:rPr>
        <w:t xml:space="preserve">As per </w:t>
      </w:r>
      <w:r w:rsidR="001C607C" w:rsidRPr="005654F7">
        <w:rPr>
          <w:snapToGrid w:val="0"/>
        </w:rPr>
        <w:fldChar w:fldCharType="begin" w:fldLock="1"/>
      </w:r>
      <w:r w:rsidR="001C607C" w:rsidRPr="005654F7">
        <w:rPr>
          <w:snapToGrid w:val="0"/>
        </w:rPr>
        <w:instrText xml:space="preserve"> REF _Ref168852023 \h  \* MERGEFORMAT </w:instrText>
      </w:r>
      <w:r w:rsidR="001C607C" w:rsidRPr="005654F7">
        <w:rPr>
          <w:snapToGrid w:val="0"/>
        </w:rPr>
      </w:r>
      <w:r w:rsidR="001C607C" w:rsidRPr="005654F7">
        <w:rPr>
          <w:snapToGrid w:val="0"/>
        </w:rPr>
        <w:fldChar w:fldCharType="separate"/>
      </w:r>
      <w:r w:rsidR="001C607C" w:rsidRPr="005654F7">
        <w:rPr>
          <w:snapToGrid w:val="0"/>
        </w:rPr>
        <w:t>Table 3</w:t>
      </w:r>
      <w:r w:rsidR="001C607C" w:rsidRPr="005654F7">
        <w:rPr>
          <w:snapToGrid w:val="0"/>
        </w:rPr>
        <w:fldChar w:fldCharType="end"/>
      </w:r>
      <w:r w:rsidR="001C607C" w:rsidRPr="005654F7">
        <w:rPr>
          <w:snapToGrid w:val="0"/>
        </w:rPr>
        <w:t xml:space="preserve">, the March 2024 evaluation had included LCIG dosing of </w:t>
      </w:r>
      <w:r w:rsidR="001C607C" w:rsidRPr="00F25FDD">
        <w:rPr>
          <w:snapToGrid w:val="0"/>
        </w:rPr>
        <w:t>1.15</w:t>
      </w:r>
      <w:r w:rsidR="001C607C" w:rsidRPr="005654F7">
        <w:rPr>
          <w:snapToGrid w:val="0"/>
        </w:rPr>
        <w:t xml:space="preserve"> cassettes in a sensitivity analysis. </w:t>
      </w:r>
      <w:r w:rsidR="00EB2CA4" w:rsidRPr="005654F7">
        <w:rPr>
          <w:snapToGrid w:val="0"/>
        </w:rPr>
        <w:t xml:space="preserve">Data on the PBS </w:t>
      </w:r>
      <w:r w:rsidR="001E2B15" w:rsidRPr="005654F7">
        <w:rPr>
          <w:snapToGrid w:val="0"/>
        </w:rPr>
        <w:t xml:space="preserve">mean and median </w:t>
      </w:r>
      <w:r w:rsidR="00EB2CA4" w:rsidRPr="005654F7">
        <w:rPr>
          <w:snapToGrid w:val="0"/>
        </w:rPr>
        <w:t>quantit</w:t>
      </w:r>
      <w:r w:rsidR="001E2B15" w:rsidRPr="005654F7">
        <w:rPr>
          <w:snapToGrid w:val="0"/>
        </w:rPr>
        <w:t>ies</w:t>
      </w:r>
      <w:r w:rsidR="00EB2CA4" w:rsidRPr="005654F7">
        <w:rPr>
          <w:snapToGrid w:val="0"/>
        </w:rPr>
        <w:t xml:space="preserve"> dispensed </w:t>
      </w:r>
      <w:r w:rsidR="001E2B15" w:rsidRPr="005654F7">
        <w:rPr>
          <w:snapToGrid w:val="0"/>
        </w:rPr>
        <w:t>per day</w:t>
      </w:r>
      <w:r w:rsidR="00EB2CA4" w:rsidRPr="005654F7">
        <w:rPr>
          <w:snapToGrid w:val="0"/>
        </w:rPr>
        <w:t xml:space="preserve"> for LCIG item codes</w:t>
      </w:r>
      <w:r w:rsidR="00EB2CA4" w:rsidRPr="005654F7">
        <w:rPr>
          <w:rStyle w:val="FootnoteReference"/>
          <w:snapToGrid w:val="0"/>
        </w:rPr>
        <w:footnoteReference w:id="2"/>
      </w:r>
      <w:r w:rsidR="00EB2CA4" w:rsidRPr="005654F7">
        <w:rPr>
          <w:snapToGrid w:val="0"/>
        </w:rPr>
        <w:t xml:space="preserve"> </w:t>
      </w:r>
      <w:r w:rsidR="001E2B15" w:rsidRPr="005654F7">
        <w:rPr>
          <w:snapToGrid w:val="0"/>
        </w:rPr>
        <w:t>were calculated</w:t>
      </w:r>
      <w:r w:rsidR="00EB2CA4" w:rsidRPr="005654F7">
        <w:rPr>
          <w:snapToGrid w:val="0"/>
        </w:rPr>
        <w:t xml:space="preserve"> by the DUSC Secretariat</w:t>
      </w:r>
      <w:r w:rsidR="001E2B15" w:rsidRPr="005654F7">
        <w:rPr>
          <w:snapToGrid w:val="0"/>
        </w:rPr>
        <w:t xml:space="preserve">. This was done using a lookback period to the first listing date </w:t>
      </w:r>
      <w:r w:rsidR="007337E0" w:rsidRPr="005654F7">
        <w:rPr>
          <w:snapToGrid w:val="0"/>
        </w:rPr>
        <w:t xml:space="preserve">(May 2011) </w:t>
      </w:r>
      <w:r w:rsidR="001E2B15" w:rsidRPr="005654F7">
        <w:rPr>
          <w:snapToGrid w:val="0"/>
        </w:rPr>
        <w:t xml:space="preserve">to identify the first ever initiation for each patient. First initiations after 1 January 2019 were retained (n=491 patients). The total time of supply in days for each patient was calculated as the time between the first date of initiation and the date of the last supply of LCIG. The total PBS quantity supplied over the total time of supply was derived and the average quantity per day was calculated as the total PBS quantity divided by the total time of supply. The mean and median average daily LCIG quantities were </w:t>
      </w:r>
      <w:r w:rsidR="001E2B15" w:rsidRPr="00F6244E">
        <w:rPr>
          <w:snapToGrid w:val="0"/>
        </w:rPr>
        <w:t>1.6</w:t>
      </w:r>
      <w:r w:rsidR="001E2B15" w:rsidRPr="005654F7">
        <w:rPr>
          <w:snapToGrid w:val="0"/>
        </w:rPr>
        <w:t xml:space="preserve"> cassettes and </w:t>
      </w:r>
      <w:r w:rsidR="001E2B15" w:rsidRPr="00F6244E">
        <w:rPr>
          <w:snapToGrid w:val="0"/>
        </w:rPr>
        <w:t xml:space="preserve">1.2 </w:t>
      </w:r>
      <w:r w:rsidR="001E2B15" w:rsidRPr="005654F7">
        <w:rPr>
          <w:snapToGrid w:val="0"/>
        </w:rPr>
        <w:t xml:space="preserve">cassettes respectively. </w:t>
      </w:r>
      <w:r w:rsidR="00247188" w:rsidRPr="005654F7">
        <w:rPr>
          <w:snapToGrid w:val="0"/>
        </w:rPr>
        <w:t>The mean daily LCIG quantity from the PBS data (</w:t>
      </w:r>
      <w:r w:rsidR="00247188" w:rsidRPr="00F6244E">
        <w:rPr>
          <w:snapToGrid w:val="0"/>
        </w:rPr>
        <w:t xml:space="preserve">1.6 cassettes) is higher than that proposed in the resubmission from trial data (1.15 </w:t>
      </w:r>
      <w:r w:rsidR="00247188" w:rsidRPr="005654F7">
        <w:rPr>
          <w:snapToGrid w:val="0"/>
        </w:rPr>
        <w:t xml:space="preserve">cassettes). </w:t>
      </w:r>
      <w:r w:rsidR="007337E0" w:rsidRPr="005654F7">
        <w:rPr>
          <w:snapToGrid w:val="0"/>
        </w:rPr>
        <w:t xml:space="preserve">The characteristics of patients included in the PBS data are unknown. </w:t>
      </w:r>
      <w:r w:rsidR="00247188" w:rsidRPr="005654F7">
        <w:rPr>
          <w:snapToGrid w:val="0"/>
        </w:rPr>
        <w:t xml:space="preserve">It is possible that in clinical practice </w:t>
      </w:r>
      <w:r w:rsidR="007337E0" w:rsidRPr="005654F7">
        <w:rPr>
          <w:snapToGrid w:val="0"/>
        </w:rPr>
        <w:t xml:space="preserve">some </w:t>
      </w:r>
      <w:r w:rsidR="00247188" w:rsidRPr="005654F7">
        <w:rPr>
          <w:snapToGrid w:val="0"/>
        </w:rPr>
        <w:t xml:space="preserve">patients need higher doses of LCIG than a trial setting </w:t>
      </w:r>
      <w:r w:rsidR="007337E0" w:rsidRPr="005654F7">
        <w:rPr>
          <w:snapToGrid w:val="0"/>
        </w:rPr>
        <w:t xml:space="preserve">(hence the higher mean than median reported) </w:t>
      </w:r>
      <w:r w:rsidR="00247188" w:rsidRPr="005654F7">
        <w:rPr>
          <w:snapToGrid w:val="0"/>
        </w:rPr>
        <w:t>and likely that the same would apply to LECIG.</w:t>
      </w:r>
      <w:r w:rsidR="00247188">
        <w:rPr>
          <w:i/>
          <w:iCs/>
          <w:snapToGrid w:val="0"/>
        </w:rPr>
        <w:t xml:space="preserve"> </w:t>
      </w:r>
      <w:bookmarkEnd w:id="9"/>
    </w:p>
    <w:p w14:paraId="40049B51" w14:textId="52D093CB" w:rsidR="00493C57" w:rsidRPr="00493C57" w:rsidRDefault="00493C57" w:rsidP="00493C57">
      <w:pPr>
        <w:pStyle w:val="Caption"/>
        <w:spacing w:after="0"/>
        <w:rPr>
          <w:rFonts w:ascii="Arial Narrow" w:eastAsiaTheme="majorEastAsia" w:hAnsi="Arial Narrow" w:cstheme="majorBidi"/>
          <w:b/>
          <w:bCs/>
          <w:i w:val="0"/>
          <w:iCs w:val="0"/>
          <w:color w:val="auto"/>
          <w:sz w:val="20"/>
          <w:szCs w:val="24"/>
        </w:rPr>
      </w:pPr>
      <w:bookmarkStart w:id="10" w:name="_Ref168854237"/>
      <w:r w:rsidRPr="00493C57">
        <w:rPr>
          <w:rFonts w:ascii="Arial Narrow" w:eastAsiaTheme="majorEastAsia" w:hAnsi="Arial Narrow" w:cstheme="majorBidi"/>
          <w:b/>
          <w:bCs/>
          <w:i w:val="0"/>
          <w:iCs w:val="0"/>
          <w:color w:val="auto"/>
          <w:sz w:val="20"/>
          <w:szCs w:val="24"/>
        </w:rPr>
        <w:t xml:space="preserve">Table </w:t>
      </w:r>
      <w:r w:rsidRPr="00493C57">
        <w:rPr>
          <w:rFonts w:ascii="Arial Narrow" w:eastAsiaTheme="majorEastAsia" w:hAnsi="Arial Narrow" w:cstheme="majorBidi"/>
          <w:b/>
          <w:bCs/>
          <w:i w:val="0"/>
          <w:iCs w:val="0"/>
          <w:color w:val="auto"/>
          <w:sz w:val="20"/>
          <w:szCs w:val="24"/>
        </w:rPr>
        <w:fldChar w:fldCharType="begin" w:fldLock="1"/>
      </w:r>
      <w:r w:rsidRPr="00493C57">
        <w:rPr>
          <w:rFonts w:ascii="Arial Narrow" w:eastAsiaTheme="majorEastAsia" w:hAnsi="Arial Narrow" w:cstheme="majorBidi"/>
          <w:b/>
          <w:bCs/>
          <w:i w:val="0"/>
          <w:iCs w:val="0"/>
          <w:color w:val="auto"/>
          <w:sz w:val="20"/>
          <w:szCs w:val="24"/>
        </w:rPr>
        <w:instrText xml:space="preserve"> SEQ Table \* ARABIC </w:instrText>
      </w:r>
      <w:r w:rsidRPr="00493C57">
        <w:rPr>
          <w:rFonts w:ascii="Arial Narrow" w:eastAsiaTheme="majorEastAsia" w:hAnsi="Arial Narrow" w:cstheme="majorBidi"/>
          <w:b/>
          <w:bCs/>
          <w:i w:val="0"/>
          <w:iCs w:val="0"/>
          <w:color w:val="auto"/>
          <w:sz w:val="20"/>
          <w:szCs w:val="24"/>
        </w:rPr>
        <w:fldChar w:fldCharType="separate"/>
      </w:r>
      <w:r w:rsidR="00576931">
        <w:rPr>
          <w:rFonts w:ascii="Arial Narrow" w:eastAsiaTheme="majorEastAsia" w:hAnsi="Arial Narrow" w:cstheme="majorBidi"/>
          <w:b/>
          <w:bCs/>
          <w:i w:val="0"/>
          <w:iCs w:val="0"/>
          <w:noProof/>
          <w:color w:val="auto"/>
          <w:sz w:val="20"/>
          <w:szCs w:val="24"/>
        </w:rPr>
        <w:t>4</w:t>
      </w:r>
      <w:r w:rsidRPr="00493C57">
        <w:rPr>
          <w:rFonts w:ascii="Arial Narrow" w:eastAsiaTheme="majorEastAsia" w:hAnsi="Arial Narrow" w:cstheme="majorBidi"/>
          <w:b/>
          <w:bCs/>
          <w:i w:val="0"/>
          <w:iCs w:val="0"/>
          <w:color w:val="auto"/>
          <w:sz w:val="20"/>
          <w:szCs w:val="24"/>
        </w:rPr>
        <w:fldChar w:fldCharType="end"/>
      </w:r>
      <w:bookmarkEnd w:id="10"/>
      <w:r w:rsidRPr="00493C57">
        <w:rPr>
          <w:rFonts w:ascii="Arial Narrow" w:eastAsiaTheme="majorEastAsia" w:hAnsi="Arial Narrow" w:cstheme="majorBidi"/>
          <w:b/>
          <w:bCs/>
          <w:i w:val="0"/>
          <w:iCs w:val="0"/>
          <w:color w:val="auto"/>
          <w:sz w:val="20"/>
          <w:szCs w:val="24"/>
        </w:rPr>
        <w:t xml:space="preserve"> Average daily number of cartridges from ELEGANCE study</w:t>
      </w:r>
    </w:p>
    <w:tbl>
      <w:tblPr>
        <w:tblStyle w:val="TableGrid"/>
        <w:tblW w:w="0" w:type="auto"/>
        <w:tblLook w:val="04A0" w:firstRow="1" w:lastRow="0" w:firstColumn="1" w:lastColumn="0" w:noHBand="0" w:noVBand="1"/>
      </w:tblPr>
      <w:tblGrid>
        <w:gridCol w:w="3589"/>
        <w:gridCol w:w="888"/>
        <w:gridCol w:w="906"/>
        <w:gridCol w:w="894"/>
        <w:gridCol w:w="910"/>
        <w:gridCol w:w="913"/>
        <w:gridCol w:w="916"/>
      </w:tblGrid>
      <w:tr w:rsidR="009E6D02" w14:paraId="698A690C" w14:textId="77777777" w:rsidTr="009E6D02">
        <w:tc>
          <w:tcPr>
            <w:tcW w:w="3964" w:type="dxa"/>
            <w:shd w:val="clear" w:color="auto" w:fill="auto"/>
          </w:tcPr>
          <w:p w14:paraId="19C54B8D" w14:textId="77777777" w:rsidR="00493C57" w:rsidRPr="00493C57" w:rsidRDefault="00493C57" w:rsidP="007B3289">
            <w:pPr>
              <w:rPr>
                <w:rFonts w:ascii="Arial Narrow" w:hAnsi="Arial Narrow"/>
                <w:b/>
                <w:bCs/>
                <w:sz w:val="20"/>
                <w:szCs w:val="20"/>
              </w:rPr>
            </w:pPr>
            <w:r w:rsidRPr="00493C57">
              <w:rPr>
                <w:rFonts w:ascii="Arial Narrow" w:hAnsi="Arial Narrow"/>
                <w:b/>
                <w:bCs/>
                <w:sz w:val="20"/>
                <w:szCs w:val="20"/>
              </w:rPr>
              <w:t>Statistic</w:t>
            </w:r>
          </w:p>
        </w:tc>
        <w:tc>
          <w:tcPr>
            <w:tcW w:w="944" w:type="dxa"/>
            <w:shd w:val="clear" w:color="auto" w:fill="auto"/>
          </w:tcPr>
          <w:p w14:paraId="40F015CC" w14:textId="77777777" w:rsidR="00493C57" w:rsidRPr="00493C57" w:rsidRDefault="00493C57" w:rsidP="007B3289">
            <w:pPr>
              <w:rPr>
                <w:rFonts w:ascii="Arial Narrow" w:hAnsi="Arial Narrow"/>
                <w:b/>
                <w:bCs/>
                <w:sz w:val="20"/>
                <w:szCs w:val="20"/>
              </w:rPr>
            </w:pPr>
            <w:r w:rsidRPr="00493C57">
              <w:rPr>
                <w:rFonts w:ascii="Arial Narrow" w:hAnsi="Arial Narrow"/>
                <w:b/>
                <w:bCs/>
                <w:sz w:val="20"/>
                <w:szCs w:val="20"/>
              </w:rPr>
              <w:t>N</w:t>
            </w:r>
          </w:p>
        </w:tc>
        <w:tc>
          <w:tcPr>
            <w:tcW w:w="944" w:type="dxa"/>
            <w:shd w:val="clear" w:color="auto" w:fill="auto"/>
          </w:tcPr>
          <w:p w14:paraId="55810814" w14:textId="77777777" w:rsidR="00493C57" w:rsidRPr="00493C57" w:rsidRDefault="00493C57" w:rsidP="007B3289">
            <w:pPr>
              <w:rPr>
                <w:rFonts w:ascii="Arial Narrow" w:hAnsi="Arial Narrow"/>
                <w:b/>
                <w:bCs/>
                <w:sz w:val="20"/>
                <w:szCs w:val="20"/>
              </w:rPr>
            </w:pPr>
            <w:r w:rsidRPr="00493C57">
              <w:rPr>
                <w:rFonts w:ascii="Arial Narrow" w:hAnsi="Arial Narrow"/>
                <w:b/>
                <w:bCs/>
                <w:sz w:val="20"/>
                <w:szCs w:val="20"/>
              </w:rPr>
              <w:t>Mean</w:t>
            </w:r>
          </w:p>
        </w:tc>
        <w:tc>
          <w:tcPr>
            <w:tcW w:w="944" w:type="dxa"/>
            <w:shd w:val="clear" w:color="auto" w:fill="auto"/>
          </w:tcPr>
          <w:p w14:paraId="521FC05B" w14:textId="5BB78BE9" w:rsidR="00493C57" w:rsidRPr="00493C57" w:rsidRDefault="00493C57" w:rsidP="007B3289">
            <w:pPr>
              <w:rPr>
                <w:rFonts w:ascii="Arial Narrow" w:hAnsi="Arial Narrow"/>
                <w:b/>
                <w:bCs/>
                <w:sz w:val="20"/>
                <w:szCs w:val="20"/>
              </w:rPr>
            </w:pPr>
            <w:r w:rsidRPr="00493C57">
              <w:rPr>
                <w:rFonts w:ascii="Arial Narrow" w:hAnsi="Arial Narrow"/>
                <w:b/>
                <w:bCs/>
                <w:sz w:val="20"/>
                <w:szCs w:val="20"/>
              </w:rPr>
              <w:t>S</w:t>
            </w:r>
            <w:r w:rsidR="009E6D02">
              <w:rPr>
                <w:rFonts w:ascii="Arial Narrow" w:hAnsi="Arial Narrow"/>
                <w:b/>
                <w:bCs/>
                <w:sz w:val="20"/>
                <w:szCs w:val="20"/>
              </w:rPr>
              <w:t>D</w:t>
            </w:r>
          </w:p>
        </w:tc>
        <w:tc>
          <w:tcPr>
            <w:tcW w:w="944" w:type="dxa"/>
            <w:shd w:val="clear" w:color="auto" w:fill="auto"/>
          </w:tcPr>
          <w:p w14:paraId="27233BC7" w14:textId="77777777" w:rsidR="00493C57" w:rsidRPr="00493C57" w:rsidRDefault="00493C57" w:rsidP="007B3289">
            <w:pPr>
              <w:rPr>
                <w:rFonts w:ascii="Arial Narrow" w:hAnsi="Arial Narrow"/>
                <w:b/>
                <w:bCs/>
                <w:sz w:val="20"/>
                <w:szCs w:val="20"/>
              </w:rPr>
            </w:pPr>
            <w:r w:rsidRPr="00493C57">
              <w:rPr>
                <w:rFonts w:ascii="Arial Narrow" w:hAnsi="Arial Narrow"/>
                <w:b/>
                <w:bCs/>
                <w:sz w:val="20"/>
                <w:szCs w:val="20"/>
              </w:rPr>
              <w:t>LCLM</w:t>
            </w:r>
          </w:p>
        </w:tc>
        <w:tc>
          <w:tcPr>
            <w:tcW w:w="944" w:type="dxa"/>
            <w:shd w:val="clear" w:color="auto" w:fill="auto"/>
          </w:tcPr>
          <w:p w14:paraId="0DB8F72B" w14:textId="77777777" w:rsidR="00493C57" w:rsidRPr="00493C57" w:rsidRDefault="00493C57" w:rsidP="007B3289">
            <w:pPr>
              <w:rPr>
                <w:rFonts w:ascii="Arial Narrow" w:hAnsi="Arial Narrow"/>
                <w:b/>
                <w:bCs/>
                <w:sz w:val="20"/>
                <w:szCs w:val="20"/>
              </w:rPr>
            </w:pPr>
            <w:r w:rsidRPr="00493C57">
              <w:rPr>
                <w:rFonts w:ascii="Arial Narrow" w:hAnsi="Arial Narrow"/>
                <w:b/>
                <w:bCs/>
                <w:sz w:val="20"/>
                <w:szCs w:val="20"/>
              </w:rPr>
              <w:t>UCLM</w:t>
            </w:r>
          </w:p>
        </w:tc>
        <w:tc>
          <w:tcPr>
            <w:tcW w:w="944" w:type="dxa"/>
            <w:shd w:val="clear" w:color="auto" w:fill="auto"/>
          </w:tcPr>
          <w:p w14:paraId="0BEEF71A" w14:textId="77777777" w:rsidR="00493C57" w:rsidRPr="00493C57" w:rsidRDefault="00493C57" w:rsidP="007B3289">
            <w:pPr>
              <w:rPr>
                <w:rFonts w:ascii="Arial Narrow" w:hAnsi="Arial Narrow"/>
                <w:b/>
                <w:bCs/>
                <w:sz w:val="20"/>
                <w:szCs w:val="20"/>
              </w:rPr>
            </w:pPr>
            <w:r w:rsidRPr="00493C57">
              <w:rPr>
                <w:rFonts w:ascii="Arial Narrow" w:hAnsi="Arial Narrow"/>
                <w:b/>
                <w:bCs/>
                <w:sz w:val="20"/>
                <w:szCs w:val="20"/>
              </w:rPr>
              <w:t>p-value</w:t>
            </w:r>
          </w:p>
        </w:tc>
      </w:tr>
      <w:tr w:rsidR="00493C57" w14:paraId="64A011BD" w14:textId="77777777" w:rsidTr="007B3289">
        <w:tc>
          <w:tcPr>
            <w:tcW w:w="3964" w:type="dxa"/>
          </w:tcPr>
          <w:p w14:paraId="7DECF1EF" w14:textId="77777777" w:rsidR="00493C57" w:rsidRPr="00493C57" w:rsidRDefault="00493C57" w:rsidP="007B3289">
            <w:pPr>
              <w:rPr>
                <w:rFonts w:ascii="Arial Narrow" w:hAnsi="Arial Narrow"/>
                <w:sz w:val="20"/>
                <w:szCs w:val="20"/>
              </w:rPr>
            </w:pPr>
            <w:r w:rsidRPr="00493C57">
              <w:rPr>
                <w:rFonts w:ascii="Arial Narrow" w:hAnsi="Arial Narrow"/>
                <w:sz w:val="20"/>
                <w:szCs w:val="20"/>
              </w:rPr>
              <w:t>Observed at baseline</w:t>
            </w:r>
          </w:p>
        </w:tc>
        <w:tc>
          <w:tcPr>
            <w:tcW w:w="944" w:type="dxa"/>
          </w:tcPr>
          <w:p w14:paraId="060A5257" w14:textId="77777777" w:rsidR="00493C57" w:rsidRPr="00493C57" w:rsidRDefault="00493C57" w:rsidP="007B3289">
            <w:pPr>
              <w:jc w:val="right"/>
              <w:rPr>
                <w:rFonts w:ascii="Arial Narrow" w:hAnsi="Arial Narrow"/>
                <w:sz w:val="20"/>
                <w:szCs w:val="20"/>
              </w:rPr>
            </w:pPr>
            <w:r w:rsidRPr="00493C57">
              <w:rPr>
                <w:rFonts w:ascii="Arial Narrow" w:hAnsi="Arial Narrow"/>
                <w:sz w:val="20"/>
                <w:szCs w:val="20"/>
              </w:rPr>
              <w:t>163</w:t>
            </w:r>
          </w:p>
        </w:tc>
        <w:tc>
          <w:tcPr>
            <w:tcW w:w="944" w:type="dxa"/>
          </w:tcPr>
          <w:p w14:paraId="55059877"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1.22</w:t>
            </w:r>
          </w:p>
        </w:tc>
        <w:tc>
          <w:tcPr>
            <w:tcW w:w="944" w:type="dxa"/>
          </w:tcPr>
          <w:p w14:paraId="52B6E44C" w14:textId="77777777" w:rsidR="00493C57" w:rsidRPr="0065773E" w:rsidRDefault="00493C57" w:rsidP="007B3289">
            <w:pPr>
              <w:spacing w:line="276" w:lineRule="auto"/>
              <w:jc w:val="right"/>
              <w:rPr>
                <w:rFonts w:ascii="Arial Narrow" w:hAnsi="Arial Narrow"/>
                <w:sz w:val="20"/>
                <w:szCs w:val="20"/>
              </w:rPr>
            </w:pPr>
            <w:r w:rsidRPr="0065773E">
              <w:rPr>
                <w:rFonts w:ascii="Arial Narrow" w:hAnsi="Arial Narrow"/>
                <w:sz w:val="20"/>
                <w:szCs w:val="20"/>
              </w:rPr>
              <w:t>0.31</w:t>
            </w:r>
          </w:p>
        </w:tc>
        <w:tc>
          <w:tcPr>
            <w:tcW w:w="944" w:type="dxa"/>
          </w:tcPr>
          <w:p w14:paraId="4D6113FF"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1.17</w:t>
            </w:r>
          </w:p>
        </w:tc>
        <w:tc>
          <w:tcPr>
            <w:tcW w:w="944" w:type="dxa"/>
          </w:tcPr>
          <w:p w14:paraId="2048F60E"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1.27</w:t>
            </w:r>
          </w:p>
        </w:tc>
        <w:tc>
          <w:tcPr>
            <w:tcW w:w="944" w:type="dxa"/>
          </w:tcPr>
          <w:p w14:paraId="2A143773" w14:textId="77777777" w:rsidR="00493C57" w:rsidRPr="00493C57" w:rsidRDefault="00493C57" w:rsidP="007B3289">
            <w:pPr>
              <w:jc w:val="right"/>
              <w:rPr>
                <w:rFonts w:ascii="Arial Narrow" w:hAnsi="Arial Narrow"/>
                <w:sz w:val="20"/>
                <w:szCs w:val="20"/>
              </w:rPr>
            </w:pPr>
            <w:r w:rsidRPr="00493C57">
              <w:rPr>
                <w:rFonts w:ascii="Arial Narrow" w:hAnsi="Arial Narrow"/>
                <w:sz w:val="20"/>
                <w:szCs w:val="20"/>
              </w:rPr>
              <w:t>-</w:t>
            </w:r>
          </w:p>
        </w:tc>
      </w:tr>
      <w:tr w:rsidR="00493C57" w14:paraId="21BAD621" w14:textId="77777777" w:rsidTr="007B3289">
        <w:tc>
          <w:tcPr>
            <w:tcW w:w="3964" w:type="dxa"/>
          </w:tcPr>
          <w:p w14:paraId="6BD56D21" w14:textId="77777777" w:rsidR="00493C57" w:rsidRPr="00493C57" w:rsidRDefault="00493C57" w:rsidP="007B3289">
            <w:pPr>
              <w:rPr>
                <w:rFonts w:ascii="Arial Narrow" w:hAnsi="Arial Narrow"/>
                <w:sz w:val="20"/>
                <w:szCs w:val="20"/>
              </w:rPr>
            </w:pPr>
            <w:r w:rsidRPr="00493C57">
              <w:rPr>
                <w:rFonts w:ascii="Arial Narrow" w:hAnsi="Arial Narrow"/>
                <w:sz w:val="20"/>
                <w:szCs w:val="20"/>
              </w:rPr>
              <w:t>Change from baseline at visit 2 (3-6-months)</w:t>
            </w:r>
          </w:p>
        </w:tc>
        <w:tc>
          <w:tcPr>
            <w:tcW w:w="944" w:type="dxa"/>
          </w:tcPr>
          <w:p w14:paraId="75C87349" w14:textId="77777777" w:rsidR="00493C57" w:rsidRPr="00493C57" w:rsidRDefault="00493C57" w:rsidP="007B3289">
            <w:pPr>
              <w:jc w:val="right"/>
              <w:rPr>
                <w:rFonts w:ascii="Arial Narrow" w:hAnsi="Arial Narrow"/>
                <w:sz w:val="20"/>
                <w:szCs w:val="20"/>
              </w:rPr>
            </w:pPr>
            <w:r w:rsidRPr="00493C57">
              <w:rPr>
                <w:rFonts w:ascii="Arial Narrow" w:hAnsi="Arial Narrow"/>
                <w:sz w:val="20"/>
                <w:szCs w:val="20"/>
              </w:rPr>
              <w:t>150</w:t>
            </w:r>
          </w:p>
        </w:tc>
        <w:tc>
          <w:tcPr>
            <w:tcW w:w="944" w:type="dxa"/>
          </w:tcPr>
          <w:p w14:paraId="25FBB1BB"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0.03</w:t>
            </w:r>
          </w:p>
        </w:tc>
        <w:tc>
          <w:tcPr>
            <w:tcW w:w="944" w:type="dxa"/>
          </w:tcPr>
          <w:p w14:paraId="43DE104D"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0.24</w:t>
            </w:r>
          </w:p>
        </w:tc>
        <w:tc>
          <w:tcPr>
            <w:tcW w:w="944" w:type="dxa"/>
          </w:tcPr>
          <w:p w14:paraId="39242ABF" w14:textId="77777777" w:rsidR="00493C57" w:rsidRPr="0065773E" w:rsidRDefault="00493C57" w:rsidP="007B3289">
            <w:pPr>
              <w:spacing w:line="276" w:lineRule="auto"/>
              <w:jc w:val="right"/>
              <w:rPr>
                <w:rFonts w:ascii="Arial Narrow" w:hAnsi="Arial Narrow"/>
                <w:sz w:val="20"/>
                <w:szCs w:val="20"/>
              </w:rPr>
            </w:pPr>
            <w:r w:rsidRPr="0065773E">
              <w:rPr>
                <w:rFonts w:ascii="Arial Narrow" w:hAnsi="Arial Narrow"/>
                <w:sz w:val="20"/>
                <w:szCs w:val="20"/>
              </w:rPr>
              <w:t>-0.01</w:t>
            </w:r>
          </w:p>
        </w:tc>
        <w:tc>
          <w:tcPr>
            <w:tcW w:w="944" w:type="dxa"/>
          </w:tcPr>
          <w:p w14:paraId="3B88B3E2"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0.07</w:t>
            </w:r>
          </w:p>
        </w:tc>
        <w:tc>
          <w:tcPr>
            <w:tcW w:w="944" w:type="dxa"/>
          </w:tcPr>
          <w:p w14:paraId="0669BE6C" w14:textId="77777777" w:rsidR="00493C57" w:rsidRPr="00493C57" w:rsidRDefault="00493C57" w:rsidP="007B3289">
            <w:pPr>
              <w:jc w:val="right"/>
              <w:rPr>
                <w:rFonts w:ascii="Arial Narrow" w:hAnsi="Arial Narrow"/>
                <w:sz w:val="20"/>
                <w:szCs w:val="20"/>
              </w:rPr>
            </w:pPr>
            <w:r w:rsidRPr="00493C57">
              <w:rPr>
                <w:rFonts w:ascii="Arial Narrow" w:hAnsi="Arial Narrow"/>
                <w:sz w:val="20"/>
                <w:szCs w:val="20"/>
              </w:rPr>
              <w:t>0.1286</w:t>
            </w:r>
          </w:p>
        </w:tc>
      </w:tr>
      <w:tr w:rsidR="00493C57" w14:paraId="0CC4E4CF" w14:textId="77777777" w:rsidTr="007B3289">
        <w:tc>
          <w:tcPr>
            <w:tcW w:w="3964" w:type="dxa"/>
          </w:tcPr>
          <w:p w14:paraId="17B57FDD" w14:textId="77777777" w:rsidR="00493C57" w:rsidRPr="00493C57" w:rsidRDefault="00493C57" w:rsidP="007B3289">
            <w:pPr>
              <w:rPr>
                <w:rFonts w:ascii="Arial Narrow" w:hAnsi="Arial Narrow"/>
                <w:sz w:val="20"/>
                <w:szCs w:val="20"/>
              </w:rPr>
            </w:pPr>
            <w:r w:rsidRPr="00493C57">
              <w:rPr>
                <w:rFonts w:ascii="Arial Narrow" w:hAnsi="Arial Narrow"/>
                <w:sz w:val="20"/>
                <w:szCs w:val="20"/>
              </w:rPr>
              <w:t>Change from baseline at visit 3 (6-12-months)</w:t>
            </w:r>
          </w:p>
        </w:tc>
        <w:tc>
          <w:tcPr>
            <w:tcW w:w="944" w:type="dxa"/>
          </w:tcPr>
          <w:p w14:paraId="28F70CE4" w14:textId="77777777" w:rsidR="00493C57" w:rsidRPr="00493C57" w:rsidRDefault="00493C57" w:rsidP="007B3289">
            <w:pPr>
              <w:jc w:val="right"/>
              <w:rPr>
                <w:rFonts w:ascii="Arial Narrow" w:hAnsi="Arial Narrow"/>
                <w:sz w:val="20"/>
                <w:szCs w:val="20"/>
              </w:rPr>
            </w:pPr>
            <w:r w:rsidRPr="00493C57">
              <w:rPr>
                <w:rFonts w:ascii="Arial Narrow" w:hAnsi="Arial Narrow"/>
                <w:sz w:val="20"/>
                <w:szCs w:val="20"/>
              </w:rPr>
              <w:t>72</w:t>
            </w:r>
          </w:p>
        </w:tc>
        <w:tc>
          <w:tcPr>
            <w:tcW w:w="944" w:type="dxa"/>
          </w:tcPr>
          <w:p w14:paraId="28B644DF"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0.09</w:t>
            </w:r>
          </w:p>
        </w:tc>
        <w:tc>
          <w:tcPr>
            <w:tcW w:w="944" w:type="dxa"/>
          </w:tcPr>
          <w:p w14:paraId="737CE1C5"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0.28</w:t>
            </w:r>
          </w:p>
        </w:tc>
        <w:tc>
          <w:tcPr>
            <w:tcW w:w="944" w:type="dxa"/>
          </w:tcPr>
          <w:p w14:paraId="18EE3CB4"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0.02</w:t>
            </w:r>
          </w:p>
        </w:tc>
        <w:tc>
          <w:tcPr>
            <w:tcW w:w="944" w:type="dxa"/>
          </w:tcPr>
          <w:p w14:paraId="069B7BDE" w14:textId="77777777" w:rsidR="00493C57" w:rsidRPr="0065773E" w:rsidRDefault="00493C57" w:rsidP="007B3289">
            <w:pPr>
              <w:jc w:val="right"/>
              <w:rPr>
                <w:rFonts w:ascii="Arial Narrow" w:hAnsi="Arial Narrow"/>
                <w:sz w:val="20"/>
                <w:szCs w:val="20"/>
              </w:rPr>
            </w:pPr>
            <w:r w:rsidRPr="0065773E">
              <w:rPr>
                <w:rFonts w:ascii="Arial Narrow" w:hAnsi="Arial Narrow"/>
                <w:sz w:val="20"/>
                <w:szCs w:val="20"/>
              </w:rPr>
              <w:t>0.16</w:t>
            </w:r>
          </w:p>
        </w:tc>
        <w:tc>
          <w:tcPr>
            <w:tcW w:w="944" w:type="dxa"/>
          </w:tcPr>
          <w:p w14:paraId="15EBA926" w14:textId="77777777" w:rsidR="00493C57" w:rsidRPr="00493C57" w:rsidRDefault="00493C57" w:rsidP="007B3289">
            <w:pPr>
              <w:jc w:val="right"/>
              <w:rPr>
                <w:rFonts w:ascii="Arial Narrow" w:hAnsi="Arial Narrow"/>
                <w:sz w:val="20"/>
                <w:szCs w:val="20"/>
              </w:rPr>
            </w:pPr>
            <w:r w:rsidRPr="00493C57">
              <w:rPr>
                <w:rFonts w:ascii="Arial Narrow" w:hAnsi="Arial Narrow"/>
                <w:sz w:val="20"/>
                <w:szCs w:val="20"/>
              </w:rPr>
              <w:t>0.0084</w:t>
            </w:r>
          </w:p>
        </w:tc>
      </w:tr>
    </w:tbl>
    <w:p w14:paraId="1CAF0811" w14:textId="77777777" w:rsidR="00493C57" w:rsidRDefault="00493C57" w:rsidP="00493C57">
      <w:pPr>
        <w:pStyle w:val="FooterTableFigure"/>
      </w:pPr>
      <w:r>
        <w:t xml:space="preserve">Source: Table 3.3, the resubmission. </w:t>
      </w:r>
    </w:p>
    <w:p w14:paraId="0AE7C790" w14:textId="358ADAE7" w:rsidR="009E6D02" w:rsidRDefault="00493C57" w:rsidP="0049000E">
      <w:pPr>
        <w:pStyle w:val="FooterTableFigure"/>
      </w:pPr>
      <w:r w:rsidRPr="00493C57">
        <w:t>Abbreviations: N: number of patients, S</w:t>
      </w:r>
      <w:r w:rsidR="009E6D02">
        <w:t>D</w:t>
      </w:r>
      <w:r w:rsidRPr="00493C57">
        <w:t>: standard deviation, LCLM: lower confidence interval, UCLM: upper confidence interval.</w:t>
      </w:r>
    </w:p>
    <w:p w14:paraId="1E8C3236" w14:textId="6A5C4F10" w:rsidR="00B73216" w:rsidRDefault="00AA7B1D" w:rsidP="00B73216">
      <w:pPr>
        <w:pStyle w:val="3-BodyText"/>
      </w:pPr>
      <w:r>
        <w:t xml:space="preserve">As per the March 2024 submission, no additional costs or cost offsets were included in the CMA. </w:t>
      </w:r>
    </w:p>
    <w:p w14:paraId="5093F746" w14:textId="6AD5A6AC" w:rsidR="00103DFC" w:rsidRPr="005654F7" w:rsidRDefault="005C02D4" w:rsidP="00B73216">
      <w:pPr>
        <w:pStyle w:val="3-BodyText"/>
      </w:pPr>
      <w:r w:rsidRPr="001C05C6">
        <w:t xml:space="preserve">The </w:t>
      </w:r>
      <w:r>
        <w:t>re</w:t>
      </w:r>
      <w:r w:rsidRPr="001C05C6">
        <w:t xml:space="preserve">submission requested </w:t>
      </w:r>
      <w:r>
        <w:t xml:space="preserve">an </w:t>
      </w:r>
      <w:r w:rsidRPr="001C05C6">
        <w:t>ex-manufacturer price</w:t>
      </w:r>
      <w:r>
        <w:t xml:space="preserve"> for LECIG of $</w:t>
      </w:r>
      <w:r w:rsidR="00DE2396" w:rsidRPr="00B743AB">
        <w:rPr>
          <w:color w:val="000000"/>
          <w:w w:val="60"/>
          <w:shd w:val="solid" w:color="000000" w:fill="000000"/>
          <w:fitText w:val="470" w:id="-893134842"/>
          <w14:textFill>
            <w14:solidFill>
              <w14:srgbClr w14:val="000000">
                <w14:alpha w14:val="100000"/>
              </w14:srgbClr>
            </w14:solidFill>
          </w14:textFill>
        </w:rPr>
        <w:t>|||  |||</w:t>
      </w:r>
      <w:r>
        <w:t xml:space="preserve">, stating that it was based on the equi-effective dose of LECIG and LCIG. </w:t>
      </w:r>
      <w:r w:rsidR="005B2851">
        <w:t xml:space="preserve">The </w:t>
      </w:r>
      <w:r w:rsidR="005A618D">
        <w:t xml:space="preserve">ex-manufacturer price calculated by the resubmission was based on the average dispensed price. The </w:t>
      </w:r>
      <w:r w:rsidR="005A618D">
        <w:lastRenderedPageBreak/>
        <w:t>resubmission calculated this by applying two weights to the dispensed price for maximum quantity (DPMQ) price per cassette: proportion of PBS items with a maximum quantity of 4 (</w:t>
      </w:r>
      <w:r w:rsidR="005A618D" w:rsidRPr="008403BF">
        <w:t>24.1</w:t>
      </w:r>
      <w:r w:rsidR="005A618D">
        <w:t>%) and 8 packs (</w:t>
      </w:r>
      <w:r w:rsidR="005A618D" w:rsidRPr="008D650D">
        <w:t>75.9</w:t>
      </w:r>
      <w:r w:rsidR="005A618D">
        <w:t xml:space="preserve">%); and the proportion of each program code for each maximum quantity (4 and 8 packs). </w:t>
      </w:r>
      <w:r w:rsidRPr="005654F7">
        <w:t>Using the published AEMP of LCIG an ex-manufacturer price for LECIG of $</w:t>
      </w:r>
      <w:r w:rsidR="00DE2396" w:rsidRPr="00491515">
        <w:rPr>
          <w:color w:val="000000"/>
          <w:w w:val="15"/>
          <w:shd w:val="solid" w:color="000000" w:fill="000000"/>
          <w:fitText w:val="-20" w:id="-893134841"/>
          <w14:textFill>
            <w14:solidFill>
              <w14:srgbClr w14:val="000000">
                <w14:alpha w14:val="100000"/>
              </w14:srgbClr>
            </w14:solidFill>
          </w14:textFill>
        </w:rPr>
        <w:t xml:space="preserve">|  </w:t>
      </w:r>
      <w:r w:rsidR="00DE2396" w:rsidRPr="00491515">
        <w:rPr>
          <w:color w:val="000000"/>
          <w:spacing w:val="-69"/>
          <w:w w:val="15"/>
          <w:shd w:val="solid" w:color="000000" w:fill="000000"/>
          <w:fitText w:val="-20" w:id="-893134841"/>
          <w14:textFill>
            <w14:solidFill>
              <w14:srgbClr w14:val="000000">
                <w14:alpha w14:val="100000"/>
              </w14:srgbClr>
            </w14:solidFill>
          </w14:textFill>
        </w:rPr>
        <w:t>|</w:t>
      </w:r>
      <w:r w:rsidRPr="005654F7">
        <w:t xml:space="preserve"> was calculated using LECIG:LCIG equi-effective doses of </w:t>
      </w:r>
      <w:r w:rsidRPr="00F37694">
        <w:t xml:space="preserve">1.31:1.15 </w:t>
      </w:r>
      <w:r w:rsidRPr="005654F7">
        <w:t>(</w:t>
      </w:r>
      <w:r w:rsidRPr="005654F7">
        <w:fldChar w:fldCharType="begin" w:fldLock="1"/>
      </w:r>
      <w:r w:rsidRPr="005654F7">
        <w:instrText xml:space="preserve"> REF _Ref153988393 \h  \* MERGEFORMAT </w:instrText>
      </w:r>
      <w:r w:rsidRPr="005654F7">
        <w:fldChar w:fldCharType="separate"/>
      </w:r>
      <w:r w:rsidRPr="005654F7">
        <w:t>Table 5</w:t>
      </w:r>
      <w:r w:rsidRPr="005654F7">
        <w:fldChar w:fldCharType="end"/>
      </w:r>
      <w:r w:rsidRPr="005654F7">
        <w:t xml:space="preserve">). </w:t>
      </w:r>
    </w:p>
    <w:p w14:paraId="7E37FC6F" w14:textId="578288E3" w:rsidR="00EA1437" w:rsidRPr="0096593B" w:rsidRDefault="00EA1437" w:rsidP="0096593B">
      <w:pPr>
        <w:rPr>
          <w:rFonts w:ascii="Arial Narrow" w:eastAsiaTheme="majorEastAsia" w:hAnsi="Arial Narrow" w:cstheme="majorBidi"/>
          <w:b/>
          <w:sz w:val="20"/>
        </w:rPr>
      </w:pPr>
      <w:bookmarkStart w:id="11" w:name="_Ref153988393"/>
      <w:r w:rsidRPr="0096593B">
        <w:rPr>
          <w:rFonts w:ascii="Arial Narrow" w:eastAsiaTheme="majorEastAsia" w:hAnsi="Arial Narrow" w:cstheme="majorBidi"/>
          <w:b/>
          <w:sz w:val="20"/>
        </w:rPr>
        <w:t xml:space="preserve">Table </w:t>
      </w:r>
      <w:r w:rsidRPr="0096593B">
        <w:rPr>
          <w:rFonts w:ascii="Arial Narrow" w:eastAsiaTheme="majorEastAsia" w:hAnsi="Arial Narrow" w:cstheme="majorBidi"/>
          <w:b/>
          <w:sz w:val="20"/>
        </w:rPr>
        <w:fldChar w:fldCharType="begin" w:fldLock="1"/>
      </w:r>
      <w:r w:rsidRPr="0096593B">
        <w:rPr>
          <w:rFonts w:ascii="Arial Narrow" w:eastAsiaTheme="majorEastAsia" w:hAnsi="Arial Narrow" w:cstheme="majorBidi"/>
          <w:b/>
          <w:sz w:val="20"/>
        </w:rPr>
        <w:instrText xml:space="preserve"> SEQ Table \* ARABIC </w:instrText>
      </w:r>
      <w:r w:rsidRPr="0096593B">
        <w:rPr>
          <w:rFonts w:ascii="Arial Narrow" w:eastAsiaTheme="majorEastAsia" w:hAnsi="Arial Narrow" w:cstheme="majorBidi"/>
          <w:b/>
          <w:sz w:val="20"/>
        </w:rPr>
        <w:fldChar w:fldCharType="separate"/>
      </w:r>
      <w:r w:rsidR="00576931" w:rsidRPr="0096593B">
        <w:rPr>
          <w:rFonts w:ascii="Arial Narrow" w:eastAsiaTheme="majorEastAsia" w:hAnsi="Arial Narrow" w:cstheme="majorBidi"/>
          <w:b/>
          <w:noProof/>
          <w:sz w:val="20"/>
        </w:rPr>
        <w:t>5</w:t>
      </w:r>
      <w:r w:rsidRPr="0096593B">
        <w:rPr>
          <w:rFonts w:ascii="Arial Narrow" w:eastAsiaTheme="majorEastAsia" w:hAnsi="Arial Narrow" w:cstheme="majorBidi"/>
          <w:b/>
          <w:sz w:val="20"/>
        </w:rPr>
        <w:fldChar w:fldCharType="end"/>
      </w:r>
      <w:bookmarkEnd w:id="11"/>
      <w:r w:rsidRPr="0096593B">
        <w:rPr>
          <w:rFonts w:ascii="Arial Narrow" w:eastAsiaTheme="majorEastAsia" w:hAnsi="Arial Narrow" w:cstheme="majorBidi"/>
          <w:b/>
          <w:sz w:val="20"/>
        </w:rPr>
        <w:t xml:space="preserve"> Results of the cost-minimisation approach based on the published AEMP of LCIG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992"/>
        <w:gridCol w:w="2992"/>
      </w:tblGrid>
      <w:tr w:rsidR="00EA1437" w:rsidRPr="001C05C6" w14:paraId="2BF83B9F" w14:textId="77777777" w:rsidTr="00782EA8">
        <w:tc>
          <w:tcPr>
            <w:tcW w:w="3038" w:type="dxa"/>
          </w:tcPr>
          <w:p w14:paraId="44DC3678" w14:textId="77777777" w:rsidR="00EA1437" w:rsidRPr="007F0649" w:rsidRDefault="00EA1437" w:rsidP="00782EA8">
            <w:pPr>
              <w:pStyle w:val="In-tableHeading"/>
              <w:rPr>
                <w:lang w:val="en-AU"/>
              </w:rPr>
            </w:pPr>
            <w:r w:rsidRPr="007F0649">
              <w:rPr>
                <w:lang w:val="en-AU"/>
              </w:rPr>
              <w:t>Component</w:t>
            </w:r>
          </w:p>
        </w:tc>
        <w:tc>
          <w:tcPr>
            <w:tcW w:w="2992" w:type="dxa"/>
          </w:tcPr>
          <w:p w14:paraId="4F227515" w14:textId="77777777" w:rsidR="00EA1437" w:rsidRPr="007F0649" w:rsidRDefault="00EA1437" w:rsidP="00782EA8">
            <w:pPr>
              <w:pStyle w:val="In-tableHeading"/>
              <w:jc w:val="center"/>
              <w:rPr>
                <w:lang w:val="en-AU"/>
              </w:rPr>
            </w:pPr>
            <w:r w:rsidRPr="007F0649">
              <w:rPr>
                <w:lang w:val="en-AU"/>
              </w:rPr>
              <w:t>LECIG</w:t>
            </w:r>
          </w:p>
        </w:tc>
        <w:tc>
          <w:tcPr>
            <w:tcW w:w="2992" w:type="dxa"/>
          </w:tcPr>
          <w:p w14:paraId="77F27826" w14:textId="77777777" w:rsidR="00EA1437" w:rsidRPr="007F0649" w:rsidRDefault="00EA1437" w:rsidP="00782EA8">
            <w:pPr>
              <w:pStyle w:val="In-tableHeading"/>
              <w:jc w:val="center"/>
              <w:rPr>
                <w:lang w:val="en-AU"/>
              </w:rPr>
            </w:pPr>
            <w:r w:rsidRPr="007F0649">
              <w:rPr>
                <w:lang w:val="en-AU"/>
              </w:rPr>
              <w:t>LCIG</w:t>
            </w:r>
          </w:p>
        </w:tc>
      </w:tr>
      <w:tr w:rsidR="00EA1437" w:rsidRPr="001C05C6" w14:paraId="67C0116D" w14:textId="77777777" w:rsidTr="00782EA8">
        <w:tc>
          <w:tcPr>
            <w:tcW w:w="3038" w:type="dxa"/>
          </w:tcPr>
          <w:p w14:paraId="6D14194D" w14:textId="77777777" w:rsidR="00EA1437" w:rsidRPr="001C05C6" w:rsidRDefault="00EA1437" w:rsidP="00782EA8">
            <w:pPr>
              <w:pStyle w:val="TableText"/>
            </w:pPr>
            <w:r w:rsidRPr="001C05C6">
              <w:t>Proposed AEMP/AEMP per pack</w:t>
            </w:r>
          </w:p>
        </w:tc>
        <w:tc>
          <w:tcPr>
            <w:tcW w:w="2992" w:type="dxa"/>
            <w:vAlign w:val="center"/>
          </w:tcPr>
          <w:p w14:paraId="371B974F" w14:textId="0A918AA0" w:rsidR="00EA1437" w:rsidRPr="003C0235" w:rsidRDefault="00EA1437" w:rsidP="00782EA8">
            <w:pPr>
              <w:pStyle w:val="TableText"/>
              <w:jc w:val="center"/>
              <w:rPr>
                <w:highlight w:val="yellow"/>
              </w:rPr>
            </w:pPr>
            <w:r w:rsidRPr="008403BF">
              <w:t>$</w:t>
            </w:r>
            <w:r w:rsidR="00DE2396" w:rsidRPr="00DE2396">
              <w:rPr>
                <w:color w:val="000000"/>
                <w:shd w:val="solid" w:color="000000" w:fill="000000"/>
                <w14:textFill>
                  <w14:solidFill>
                    <w14:srgbClr w14:val="000000">
                      <w14:alpha w14:val="100000"/>
                    </w14:srgbClr>
                  </w14:solidFill>
                </w14:textFill>
              </w:rPr>
              <w:t>|</w:t>
            </w:r>
          </w:p>
        </w:tc>
        <w:tc>
          <w:tcPr>
            <w:tcW w:w="2992" w:type="dxa"/>
            <w:vAlign w:val="center"/>
          </w:tcPr>
          <w:p w14:paraId="388880C0" w14:textId="77777777" w:rsidR="00EA1437" w:rsidRPr="00FB4C90" w:rsidRDefault="00EA1437" w:rsidP="00782EA8">
            <w:pPr>
              <w:pStyle w:val="TableText"/>
              <w:jc w:val="center"/>
            </w:pPr>
            <w:r w:rsidRPr="00FB4C90">
              <w:t>$1,442</w:t>
            </w:r>
          </w:p>
        </w:tc>
      </w:tr>
      <w:tr w:rsidR="00EA1437" w:rsidRPr="001C05C6" w14:paraId="2284D93D" w14:textId="77777777" w:rsidTr="00782EA8">
        <w:tc>
          <w:tcPr>
            <w:tcW w:w="3038" w:type="dxa"/>
          </w:tcPr>
          <w:p w14:paraId="4E696DF8" w14:textId="77777777" w:rsidR="00EA1437" w:rsidRPr="001C05C6" w:rsidRDefault="00EA1437" w:rsidP="00782EA8">
            <w:pPr>
              <w:pStyle w:val="TableText"/>
            </w:pPr>
            <w:r w:rsidRPr="001C05C6">
              <w:t>Cartridges/cassettes per pack</w:t>
            </w:r>
          </w:p>
        </w:tc>
        <w:tc>
          <w:tcPr>
            <w:tcW w:w="2992" w:type="dxa"/>
            <w:vAlign w:val="center"/>
          </w:tcPr>
          <w:p w14:paraId="3DACA819" w14:textId="77777777" w:rsidR="00EA1437" w:rsidRPr="003C0235" w:rsidRDefault="00EA1437" w:rsidP="00782EA8">
            <w:pPr>
              <w:pStyle w:val="TableText"/>
              <w:jc w:val="center"/>
              <w:rPr>
                <w:highlight w:val="yellow"/>
              </w:rPr>
            </w:pPr>
            <w:r w:rsidRPr="0085419F">
              <w:t>7</w:t>
            </w:r>
          </w:p>
        </w:tc>
        <w:tc>
          <w:tcPr>
            <w:tcW w:w="2992" w:type="dxa"/>
            <w:vAlign w:val="center"/>
          </w:tcPr>
          <w:p w14:paraId="23B99B3B" w14:textId="77777777" w:rsidR="00EA1437" w:rsidRPr="00FB4C90" w:rsidRDefault="00EA1437" w:rsidP="00782EA8">
            <w:pPr>
              <w:pStyle w:val="TableText"/>
              <w:jc w:val="center"/>
            </w:pPr>
            <w:r w:rsidRPr="00FB4C90">
              <w:t>7</w:t>
            </w:r>
          </w:p>
        </w:tc>
      </w:tr>
      <w:tr w:rsidR="00EA1437" w:rsidRPr="001C05C6" w14:paraId="106F629A" w14:textId="77777777" w:rsidTr="00782EA8">
        <w:tc>
          <w:tcPr>
            <w:tcW w:w="3038" w:type="dxa"/>
          </w:tcPr>
          <w:p w14:paraId="5D8EB27B" w14:textId="77777777" w:rsidR="00EA1437" w:rsidRPr="001C05C6" w:rsidRDefault="00EA1437" w:rsidP="00782EA8">
            <w:pPr>
              <w:pStyle w:val="TableText"/>
            </w:pPr>
            <w:r w:rsidRPr="001C05C6">
              <w:t>Cost per cartridge/cassette</w:t>
            </w:r>
          </w:p>
        </w:tc>
        <w:tc>
          <w:tcPr>
            <w:tcW w:w="2992" w:type="dxa"/>
            <w:vAlign w:val="center"/>
          </w:tcPr>
          <w:p w14:paraId="4661F0CD" w14:textId="2139475B" w:rsidR="00EA1437" w:rsidRPr="003C0235" w:rsidRDefault="00EA1437" w:rsidP="00782EA8">
            <w:pPr>
              <w:pStyle w:val="TableText"/>
              <w:jc w:val="center"/>
              <w:rPr>
                <w:highlight w:val="yellow"/>
              </w:rPr>
            </w:pPr>
            <w:r w:rsidRPr="004A2DA2">
              <w:t>$</w:t>
            </w:r>
            <w:r w:rsidR="00DE2396" w:rsidRPr="00DE2396">
              <w:rPr>
                <w:color w:val="000000"/>
                <w:shd w:val="solid" w:color="000000" w:fill="000000"/>
                <w14:textFill>
                  <w14:solidFill>
                    <w14:srgbClr w14:val="000000">
                      <w14:alpha w14:val="100000"/>
                    </w14:srgbClr>
                  </w14:solidFill>
                </w14:textFill>
              </w:rPr>
              <w:t>|</w:t>
            </w:r>
          </w:p>
        </w:tc>
        <w:tc>
          <w:tcPr>
            <w:tcW w:w="2992" w:type="dxa"/>
            <w:vAlign w:val="center"/>
          </w:tcPr>
          <w:p w14:paraId="365FB354" w14:textId="77777777" w:rsidR="00EA1437" w:rsidRPr="00FB4C90" w:rsidRDefault="00EA1437" w:rsidP="00782EA8">
            <w:pPr>
              <w:pStyle w:val="TableText"/>
              <w:jc w:val="center"/>
            </w:pPr>
            <w:r w:rsidRPr="00FB4C90">
              <w:t>$206</w:t>
            </w:r>
          </w:p>
        </w:tc>
      </w:tr>
      <w:tr w:rsidR="00EA1437" w:rsidRPr="001C05C6" w14:paraId="593153C7" w14:textId="77777777" w:rsidTr="00782EA8">
        <w:tc>
          <w:tcPr>
            <w:tcW w:w="3038" w:type="dxa"/>
          </w:tcPr>
          <w:p w14:paraId="1C26738E" w14:textId="77777777" w:rsidR="00EA1437" w:rsidRPr="001C05C6" w:rsidRDefault="00EA1437" w:rsidP="00782EA8">
            <w:pPr>
              <w:pStyle w:val="TableText"/>
            </w:pPr>
            <w:r w:rsidRPr="001C05C6">
              <w:t>Cartridge/cassette used per day</w:t>
            </w:r>
          </w:p>
        </w:tc>
        <w:tc>
          <w:tcPr>
            <w:tcW w:w="2992" w:type="dxa"/>
            <w:vAlign w:val="center"/>
          </w:tcPr>
          <w:p w14:paraId="0A2BDE9D" w14:textId="71A25C47" w:rsidR="00EA1437" w:rsidRPr="003C0235" w:rsidRDefault="00EA1437" w:rsidP="00782EA8">
            <w:pPr>
              <w:pStyle w:val="TableText"/>
              <w:jc w:val="center"/>
              <w:rPr>
                <w:highlight w:val="yellow"/>
              </w:rPr>
            </w:pPr>
            <w:r w:rsidRPr="004A2DA2">
              <w:t>1</w:t>
            </w:r>
            <w:r w:rsidR="00FE57B2" w:rsidRPr="004A2DA2">
              <w:t>.31</w:t>
            </w:r>
          </w:p>
        </w:tc>
        <w:tc>
          <w:tcPr>
            <w:tcW w:w="2992" w:type="dxa"/>
            <w:vAlign w:val="center"/>
          </w:tcPr>
          <w:p w14:paraId="5007E036" w14:textId="1A6749DF" w:rsidR="00EA1437" w:rsidRPr="00FB4C90" w:rsidRDefault="00EA1437" w:rsidP="00782EA8">
            <w:pPr>
              <w:pStyle w:val="TableText"/>
              <w:jc w:val="center"/>
            </w:pPr>
            <w:r w:rsidRPr="00ED0CB6">
              <w:t>1.15</w:t>
            </w:r>
          </w:p>
        </w:tc>
      </w:tr>
      <w:tr w:rsidR="00EA1437" w:rsidRPr="001C05C6" w14:paraId="77F7F6A7" w14:textId="77777777" w:rsidTr="00782EA8">
        <w:tc>
          <w:tcPr>
            <w:tcW w:w="3038" w:type="dxa"/>
          </w:tcPr>
          <w:p w14:paraId="5467E32A" w14:textId="77777777" w:rsidR="00EA1437" w:rsidRPr="001C05C6" w:rsidRDefault="00EA1437" w:rsidP="00782EA8">
            <w:pPr>
              <w:pStyle w:val="TableText"/>
            </w:pPr>
            <w:r w:rsidRPr="001C05C6">
              <w:t>Cost per day</w:t>
            </w:r>
          </w:p>
        </w:tc>
        <w:tc>
          <w:tcPr>
            <w:tcW w:w="2992" w:type="dxa"/>
            <w:vAlign w:val="center"/>
          </w:tcPr>
          <w:p w14:paraId="3082B559" w14:textId="666B1C8F" w:rsidR="00EA1437" w:rsidRPr="00ED6D02" w:rsidRDefault="00EA1437" w:rsidP="00782EA8">
            <w:pPr>
              <w:pStyle w:val="TableText"/>
              <w:jc w:val="center"/>
            </w:pPr>
            <w:r w:rsidRPr="00ED6D02">
              <w:t>$</w:t>
            </w:r>
            <w:r w:rsidR="00DE2396" w:rsidRPr="00DE2396">
              <w:rPr>
                <w:color w:val="000000"/>
                <w:shd w:val="solid" w:color="000000" w:fill="000000"/>
                <w14:textFill>
                  <w14:solidFill>
                    <w14:srgbClr w14:val="000000">
                      <w14:alpha w14:val="100000"/>
                    </w14:srgbClr>
                  </w14:solidFill>
                </w14:textFill>
              </w:rPr>
              <w:t>|</w:t>
            </w:r>
          </w:p>
        </w:tc>
        <w:tc>
          <w:tcPr>
            <w:tcW w:w="2992" w:type="dxa"/>
            <w:vAlign w:val="center"/>
          </w:tcPr>
          <w:p w14:paraId="2173F12C" w14:textId="2F1BD50F" w:rsidR="00EA1437" w:rsidRPr="00ED6D02" w:rsidRDefault="00EA1437" w:rsidP="00782EA8">
            <w:pPr>
              <w:pStyle w:val="TableText"/>
              <w:jc w:val="center"/>
            </w:pPr>
            <w:r w:rsidRPr="00ED6D02">
              <w:t>$</w:t>
            </w:r>
            <w:r w:rsidR="00DE2396" w:rsidRPr="00DE2396">
              <w:rPr>
                <w:color w:val="000000"/>
                <w:shd w:val="solid" w:color="000000" w:fill="000000"/>
                <w14:textFill>
                  <w14:solidFill>
                    <w14:srgbClr w14:val="000000">
                      <w14:alpha w14:val="100000"/>
                    </w14:srgbClr>
                  </w14:solidFill>
                </w14:textFill>
              </w:rPr>
              <w:t>|</w:t>
            </w:r>
          </w:p>
        </w:tc>
      </w:tr>
      <w:tr w:rsidR="00EA1437" w:rsidRPr="001C05C6" w14:paraId="7187C790" w14:textId="77777777" w:rsidTr="00782EA8">
        <w:tc>
          <w:tcPr>
            <w:tcW w:w="3038" w:type="dxa"/>
          </w:tcPr>
          <w:p w14:paraId="7EBE646B" w14:textId="77777777" w:rsidR="00EA1437" w:rsidRPr="001C05C6" w:rsidRDefault="00EA1437" w:rsidP="00782EA8">
            <w:pPr>
              <w:pStyle w:val="TableText"/>
            </w:pPr>
            <w:r w:rsidRPr="001C05C6">
              <w:t>Difference in cost per day</w:t>
            </w:r>
          </w:p>
        </w:tc>
        <w:tc>
          <w:tcPr>
            <w:tcW w:w="5984" w:type="dxa"/>
            <w:gridSpan w:val="2"/>
            <w:vAlign w:val="center"/>
          </w:tcPr>
          <w:p w14:paraId="691F5188" w14:textId="77777777" w:rsidR="00EA1437" w:rsidRPr="001C05C6" w:rsidRDefault="00EA1437" w:rsidP="00782EA8">
            <w:pPr>
              <w:pStyle w:val="TableText"/>
              <w:jc w:val="center"/>
            </w:pPr>
            <w:r w:rsidRPr="001C05C6">
              <w:t>$0</w:t>
            </w:r>
          </w:p>
        </w:tc>
      </w:tr>
    </w:tbl>
    <w:p w14:paraId="00FFD481" w14:textId="4B6311B9" w:rsidR="00EA1437" w:rsidRPr="001C05C6" w:rsidRDefault="00EA1437" w:rsidP="00EA1437">
      <w:pPr>
        <w:pStyle w:val="FooterTableFigure"/>
      </w:pPr>
      <w:r w:rsidRPr="001C05C6">
        <w:t xml:space="preserve">Source: Constructed during the </w:t>
      </w:r>
      <w:r w:rsidR="005C02D4">
        <w:t xml:space="preserve">preparation of the Submission Overview. </w:t>
      </w:r>
    </w:p>
    <w:p w14:paraId="142D1D26" w14:textId="61A3A20C" w:rsidR="0049000E" w:rsidRDefault="00EA1437" w:rsidP="00EA1437">
      <w:pPr>
        <w:pStyle w:val="FooterTableFigure"/>
      </w:pPr>
      <w:r w:rsidRPr="001C05C6">
        <w:t xml:space="preserve">AEMP = approved ex-manufacturer price; LCIG = levodopa, carbidopa monohydrate intestinal gel; LECIG = levodopa, carbidopa monohydrate and entacapone intestinal gel. </w:t>
      </w:r>
    </w:p>
    <w:p w14:paraId="0E7CADB6" w14:textId="0DCDE2D5" w:rsidR="00201B69" w:rsidRPr="005654F7" w:rsidRDefault="00784219" w:rsidP="00784219">
      <w:pPr>
        <w:pStyle w:val="3-BodyText"/>
        <w:rPr>
          <w:snapToGrid w:val="0"/>
        </w:rPr>
      </w:pPr>
      <w:bookmarkStart w:id="12" w:name="_Ref172631814"/>
      <w:r w:rsidRPr="00784219">
        <w:t xml:space="preserve">In March 2024, the PBAC suggested that a conservative approach could acknowledge that </w:t>
      </w:r>
      <w:r>
        <w:t xml:space="preserve">2 cartridges of LECIG contain 1880 mg levodopa whereas 1 cassette of LCIG contains 2000 mg levodopa, and that addition of entacapone has only a moderate impact on the PK of levodopa, so equi-effective dosing should be much closer to </w:t>
      </w:r>
      <w:r w:rsidRPr="005E2BD4">
        <w:t>2</w:t>
      </w:r>
      <w:r w:rsidR="00623172" w:rsidRPr="005E2BD4">
        <w:t> </w:t>
      </w:r>
      <w:r w:rsidRPr="005E2BD4">
        <w:t xml:space="preserve">LECIG cartridges: 1 LCIG cassette </w:t>
      </w:r>
      <w:r>
        <w:t>(</w:t>
      </w:r>
      <w:r w:rsidRPr="00784219">
        <w:t xml:space="preserve">paragraph 7.12, </w:t>
      </w:r>
      <w:r w:rsidRPr="004A0730">
        <w:t xml:space="preserve">levodopa with carbidopa and entacapone </w:t>
      </w:r>
      <w:r w:rsidR="00C50162">
        <w:t>PSD</w:t>
      </w:r>
      <w:r w:rsidRPr="004A0730">
        <w:t>, March 2024 PBAC Meeting</w:t>
      </w:r>
      <w:r>
        <w:t xml:space="preserve">). The resubmission acknowledged the conservative approach suggested by the PBAC. However, the resubmission also acknowledged that a dosing approach close to </w:t>
      </w:r>
      <w:r w:rsidRPr="00517F42">
        <w:t>2</w:t>
      </w:r>
      <w:r w:rsidRPr="005A6367">
        <w:t xml:space="preserve"> LECIG cartridges:</w:t>
      </w:r>
      <w:r w:rsidR="00623172">
        <w:t xml:space="preserve"> </w:t>
      </w:r>
      <w:r w:rsidRPr="00517F42">
        <w:t>1</w:t>
      </w:r>
      <w:r w:rsidR="00623172">
        <w:t> </w:t>
      </w:r>
      <w:r w:rsidRPr="005A6367">
        <w:t>LCIG cassette</w:t>
      </w:r>
      <w:r>
        <w:t xml:space="preserve"> would result in an assumption of </w:t>
      </w:r>
      <w:r w:rsidRPr="00B4700B">
        <w:t>6</w:t>
      </w:r>
      <w:r>
        <w:t xml:space="preserve">% reduction of levodopa with LECIG compared to LCIG (from 2,000 mg to 1,880 mg) whereas the </w:t>
      </w:r>
      <w:r w:rsidRPr="00EF4A5B">
        <w:t>LSM-003 study</w:t>
      </w:r>
      <w:r>
        <w:t xml:space="preserve"> has shown a reduction of </w:t>
      </w:r>
      <w:r w:rsidRPr="00D9298B">
        <w:t>23</w:t>
      </w:r>
      <w:r>
        <w:t xml:space="preserve">% (mean levodopa dose per day: LECIG = </w:t>
      </w:r>
      <w:r w:rsidRPr="00BB17F1">
        <w:t>875</w:t>
      </w:r>
      <w:r>
        <w:t xml:space="preserve"> mg, LCIG = </w:t>
      </w:r>
      <w:r w:rsidRPr="007129F8">
        <w:t xml:space="preserve">1,142 </w:t>
      </w:r>
      <w:r>
        <w:t>mg)</w:t>
      </w:r>
      <w:r w:rsidRPr="00784219">
        <w:t>.</w:t>
      </w:r>
      <w:r w:rsidR="00201B69">
        <w:t xml:space="preserve"> </w:t>
      </w:r>
      <w:r w:rsidR="00201B69" w:rsidRPr="005654F7">
        <w:t xml:space="preserve">An equi-effective dose of </w:t>
      </w:r>
      <w:r w:rsidR="00201B69" w:rsidRPr="00BB17F1">
        <w:t xml:space="preserve">1.31 </w:t>
      </w:r>
      <w:r w:rsidR="00201B69" w:rsidRPr="005654F7">
        <w:t>cartridges of LECIG:</w:t>
      </w:r>
      <w:r w:rsidR="00201B69" w:rsidRPr="00BB17F1">
        <w:rPr>
          <w:snapToGrid w:val="0"/>
        </w:rPr>
        <w:t xml:space="preserve">1.15 </w:t>
      </w:r>
      <w:r w:rsidR="00201B69" w:rsidRPr="005654F7">
        <w:rPr>
          <w:snapToGrid w:val="0"/>
        </w:rPr>
        <w:t xml:space="preserve">cassettes of LCIG is equivalent to </w:t>
      </w:r>
      <w:r w:rsidR="00201B69" w:rsidRPr="0036231F">
        <w:rPr>
          <w:snapToGrid w:val="0"/>
        </w:rPr>
        <w:t xml:space="preserve">1.14 </w:t>
      </w:r>
      <w:r w:rsidR="00201B69" w:rsidRPr="005654F7">
        <w:rPr>
          <w:snapToGrid w:val="0"/>
        </w:rPr>
        <w:t>cartridges of LECIG:</w:t>
      </w:r>
      <w:r w:rsidR="00201B69" w:rsidRPr="0036231F">
        <w:rPr>
          <w:snapToGrid w:val="0"/>
        </w:rPr>
        <w:t>1</w:t>
      </w:r>
      <w:r w:rsidR="00201B69" w:rsidRPr="005654F7">
        <w:rPr>
          <w:snapToGrid w:val="0"/>
        </w:rPr>
        <w:t xml:space="preserve"> cassette of LCIG</w:t>
      </w:r>
      <w:r w:rsidR="00B57CD8">
        <w:rPr>
          <w:snapToGrid w:val="0"/>
        </w:rPr>
        <w:t xml:space="preserve"> which is equivalent to a </w:t>
      </w:r>
      <w:r w:rsidR="00B57CD8" w:rsidRPr="00D9298B">
        <w:rPr>
          <w:snapToGrid w:val="0"/>
        </w:rPr>
        <w:t>46</w:t>
      </w:r>
      <w:r w:rsidR="00B57CD8">
        <w:rPr>
          <w:snapToGrid w:val="0"/>
        </w:rPr>
        <w:t>% reduction in the levodopa dose and</w:t>
      </w:r>
      <w:r w:rsidR="00201B69" w:rsidRPr="005654F7">
        <w:rPr>
          <w:snapToGrid w:val="0"/>
        </w:rPr>
        <w:t xml:space="preserve"> is very different to an equi-effective dose of </w:t>
      </w:r>
      <w:r w:rsidR="00201B69" w:rsidRPr="0036231F">
        <w:rPr>
          <w:snapToGrid w:val="0"/>
        </w:rPr>
        <w:t>2</w:t>
      </w:r>
      <w:r w:rsidR="00201B69" w:rsidRPr="005654F7">
        <w:rPr>
          <w:snapToGrid w:val="0"/>
        </w:rPr>
        <w:t xml:space="preserve"> cartridges of LECIG:</w:t>
      </w:r>
      <w:r w:rsidR="00201B69" w:rsidRPr="0036231F">
        <w:rPr>
          <w:snapToGrid w:val="0"/>
        </w:rPr>
        <w:t>1</w:t>
      </w:r>
      <w:r w:rsidR="00201B69" w:rsidRPr="005654F7">
        <w:rPr>
          <w:snapToGrid w:val="0"/>
        </w:rPr>
        <w:t xml:space="preserve"> cassette of LCIG. The impact of use of </w:t>
      </w:r>
      <w:r w:rsidR="00077E51">
        <w:rPr>
          <w:snapToGrid w:val="0"/>
        </w:rPr>
        <w:t xml:space="preserve">the published price of LCIG and </w:t>
      </w:r>
      <w:r w:rsidR="00201B69" w:rsidRPr="005654F7">
        <w:rPr>
          <w:snapToGrid w:val="0"/>
        </w:rPr>
        <w:t xml:space="preserve">an equi-effective dose of </w:t>
      </w:r>
      <w:r w:rsidR="00201B69" w:rsidRPr="0036231F">
        <w:rPr>
          <w:snapToGrid w:val="0"/>
        </w:rPr>
        <w:t>2</w:t>
      </w:r>
      <w:r w:rsidR="00201B69" w:rsidRPr="005654F7">
        <w:rPr>
          <w:snapToGrid w:val="0"/>
        </w:rPr>
        <w:t xml:space="preserve"> cartridges of LECIG:</w:t>
      </w:r>
      <w:r w:rsidR="00201B69" w:rsidRPr="0036231F">
        <w:rPr>
          <w:snapToGrid w:val="0"/>
        </w:rPr>
        <w:t>1</w:t>
      </w:r>
      <w:r w:rsidR="00201B69" w:rsidRPr="005654F7">
        <w:rPr>
          <w:snapToGrid w:val="0"/>
        </w:rPr>
        <w:t xml:space="preserve"> cassette of LCIG are reported in the sensitivity analysis in </w:t>
      </w:r>
      <w:r w:rsidR="00201B69" w:rsidRPr="005654F7">
        <w:rPr>
          <w:snapToGrid w:val="0"/>
        </w:rPr>
        <w:fldChar w:fldCharType="begin" w:fldLock="1"/>
      </w:r>
      <w:r w:rsidR="00201B69" w:rsidRPr="005654F7">
        <w:rPr>
          <w:snapToGrid w:val="0"/>
        </w:rPr>
        <w:instrText xml:space="preserve"> REF _Ref169445155 \h  \* MERGEFORMAT </w:instrText>
      </w:r>
      <w:r w:rsidR="00201B69" w:rsidRPr="005654F7">
        <w:rPr>
          <w:snapToGrid w:val="0"/>
        </w:rPr>
      </w:r>
      <w:r w:rsidR="00201B69" w:rsidRPr="005654F7">
        <w:rPr>
          <w:snapToGrid w:val="0"/>
        </w:rPr>
        <w:fldChar w:fldCharType="separate"/>
      </w:r>
      <w:r w:rsidR="00201B69" w:rsidRPr="005654F7">
        <w:rPr>
          <w:snapToGrid w:val="0"/>
        </w:rPr>
        <w:t>Table 6</w:t>
      </w:r>
      <w:r w:rsidR="00201B69" w:rsidRPr="005654F7">
        <w:rPr>
          <w:snapToGrid w:val="0"/>
        </w:rPr>
        <w:fldChar w:fldCharType="end"/>
      </w:r>
      <w:r w:rsidR="00201B69" w:rsidRPr="005654F7">
        <w:rPr>
          <w:snapToGrid w:val="0"/>
        </w:rPr>
        <w:t>.</w:t>
      </w:r>
      <w:bookmarkEnd w:id="12"/>
    </w:p>
    <w:p w14:paraId="5A82AEAF" w14:textId="74525CD9" w:rsidR="00201B69" w:rsidRPr="005654F7" w:rsidRDefault="00201B69" w:rsidP="0096593B">
      <w:pPr>
        <w:keepNext/>
        <w:rPr>
          <w:rFonts w:ascii="Arial Narrow" w:eastAsiaTheme="majorEastAsia" w:hAnsi="Arial Narrow" w:cstheme="majorBidi"/>
          <w:b/>
          <w:sz w:val="20"/>
        </w:rPr>
      </w:pPr>
      <w:bookmarkStart w:id="13" w:name="_Ref169445155"/>
      <w:r w:rsidRPr="005654F7">
        <w:rPr>
          <w:rFonts w:ascii="Arial Narrow" w:eastAsiaTheme="majorEastAsia" w:hAnsi="Arial Narrow" w:cstheme="majorBidi"/>
          <w:b/>
          <w:sz w:val="20"/>
        </w:rPr>
        <w:t xml:space="preserve">Table </w:t>
      </w:r>
      <w:r w:rsidRPr="005654F7">
        <w:rPr>
          <w:rFonts w:ascii="Arial Narrow" w:eastAsiaTheme="majorEastAsia" w:hAnsi="Arial Narrow" w:cstheme="majorBidi"/>
          <w:b/>
          <w:sz w:val="20"/>
        </w:rPr>
        <w:fldChar w:fldCharType="begin" w:fldLock="1"/>
      </w:r>
      <w:r w:rsidRPr="005654F7">
        <w:rPr>
          <w:rFonts w:ascii="Arial Narrow" w:eastAsiaTheme="majorEastAsia" w:hAnsi="Arial Narrow" w:cstheme="majorBidi"/>
          <w:b/>
          <w:sz w:val="20"/>
        </w:rPr>
        <w:instrText xml:space="preserve"> SEQ Table \* ARABIC </w:instrText>
      </w:r>
      <w:r w:rsidRPr="005654F7">
        <w:rPr>
          <w:rFonts w:ascii="Arial Narrow" w:eastAsiaTheme="majorEastAsia" w:hAnsi="Arial Narrow" w:cstheme="majorBidi"/>
          <w:b/>
          <w:sz w:val="20"/>
        </w:rPr>
        <w:fldChar w:fldCharType="separate"/>
      </w:r>
      <w:r w:rsidRPr="005654F7">
        <w:rPr>
          <w:rFonts w:ascii="Arial Narrow" w:eastAsiaTheme="majorEastAsia" w:hAnsi="Arial Narrow" w:cstheme="majorBidi"/>
          <w:b/>
          <w:noProof/>
          <w:sz w:val="20"/>
        </w:rPr>
        <w:t>6</w:t>
      </w:r>
      <w:r w:rsidRPr="005654F7">
        <w:rPr>
          <w:rFonts w:ascii="Arial Narrow" w:eastAsiaTheme="majorEastAsia" w:hAnsi="Arial Narrow" w:cstheme="majorBidi"/>
          <w:b/>
          <w:sz w:val="20"/>
        </w:rPr>
        <w:fldChar w:fldCharType="end"/>
      </w:r>
      <w:bookmarkEnd w:id="13"/>
      <w:r w:rsidRPr="005654F7">
        <w:rPr>
          <w:rFonts w:ascii="Arial Narrow" w:eastAsiaTheme="majorEastAsia" w:hAnsi="Arial Narrow" w:cstheme="majorBidi"/>
          <w:b/>
          <w:sz w:val="20"/>
        </w:rPr>
        <w:t xml:space="preserve"> </w:t>
      </w:r>
      <w:r w:rsidR="008164DF" w:rsidRPr="005654F7">
        <w:rPr>
          <w:rFonts w:ascii="Arial Narrow" w:eastAsiaTheme="majorEastAsia" w:hAnsi="Arial Narrow" w:cstheme="majorBidi"/>
          <w:b/>
          <w:sz w:val="20"/>
        </w:rPr>
        <w:t xml:space="preserve">Sensitivity analysis </w:t>
      </w:r>
      <w:r w:rsidRPr="005654F7">
        <w:rPr>
          <w:rFonts w:ascii="Arial Narrow" w:eastAsiaTheme="majorEastAsia" w:hAnsi="Arial Narrow" w:cstheme="majorBidi"/>
          <w:b/>
          <w:sz w:val="20"/>
        </w:rPr>
        <w:t>based on the published AEMP of LCIG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2992"/>
        <w:gridCol w:w="2992"/>
      </w:tblGrid>
      <w:tr w:rsidR="00201B69" w:rsidRPr="005654F7" w14:paraId="20856A87" w14:textId="77777777" w:rsidTr="00F34583">
        <w:tc>
          <w:tcPr>
            <w:tcW w:w="3038" w:type="dxa"/>
          </w:tcPr>
          <w:p w14:paraId="62745B18" w14:textId="77777777" w:rsidR="00201B69" w:rsidRPr="005654F7" w:rsidRDefault="00201B69" w:rsidP="0096593B">
            <w:pPr>
              <w:pStyle w:val="In-tableHeading"/>
              <w:rPr>
                <w:lang w:val="en-AU"/>
              </w:rPr>
            </w:pPr>
            <w:r w:rsidRPr="005654F7">
              <w:rPr>
                <w:lang w:val="en-AU"/>
              </w:rPr>
              <w:t>Component</w:t>
            </w:r>
          </w:p>
        </w:tc>
        <w:tc>
          <w:tcPr>
            <w:tcW w:w="2992" w:type="dxa"/>
          </w:tcPr>
          <w:p w14:paraId="24D79AA9" w14:textId="77777777" w:rsidR="00201B69" w:rsidRPr="005654F7" w:rsidRDefault="00201B69" w:rsidP="0096593B">
            <w:pPr>
              <w:pStyle w:val="In-tableHeading"/>
              <w:jc w:val="center"/>
              <w:rPr>
                <w:lang w:val="en-AU"/>
              </w:rPr>
            </w:pPr>
            <w:r w:rsidRPr="005654F7">
              <w:rPr>
                <w:lang w:val="en-AU"/>
              </w:rPr>
              <w:t>LECIG</w:t>
            </w:r>
          </w:p>
        </w:tc>
        <w:tc>
          <w:tcPr>
            <w:tcW w:w="2992" w:type="dxa"/>
          </w:tcPr>
          <w:p w14:paraId="7E55114B" w14:textId="77777777" w:rsidR="00201B69" w:rsidRPr="005654F7" w:rsidRDefault="00201B69" w:rsidP="0096593B">
            <w:pPr>
              <w:pStyle w:val="In-tableHeading"/>
              <w:jc w:val="center"/>
              <w:rPr>
                <w:lang w:val="en-AU"/>
              </w:rPr>
            </w:pPr>
            <w:r w:rsidRPr="005654F7">
              <w:rPr>
                <w:lang w:val="en-AU"/>
              </w:rPr>
              <w:t>LCIG</w:t>
            </w:r>
          </w:p>
        </w:tc>
      </w:tr>
      <w:tr w:rsidR="00201B69" w:rsidRPr="005654F7" w14:paraId="31955308" w14:textId="77777777" w:rsidTr="00F34583">
        <w:tc>
          <w:tcPr>
            <w:tcW w:w="3038" w:type="dxa"/>
          </w:tcPr>
          <w:p w14:paraId="39546F52" w14:textId="77777777" w:rsidR="00201B69" w:rsidRPr="005654F7" w:rsidRDefault="00201B69" w:rsidP="0096593B">
            <w:pPr>
              <w:pStyle w:val="TableText"/>
            </w:pPr>
            <w:r w:rsidRPr="005654F7">
              <w:t>Proposed AEMP/AEMP per pack</w:t>
            </w:r>
          </w:p>
        </w:tc>
        <w:tc>
          <w:tcPr>
            <w:tcW w:w="2992" w:type="dxa"/>
            <w:vAlign w:val="center"/>
          </w:tcPr>
          <w:p w14:paraId="773F720E" w14:textId="43F82D23" w:rsidR="00201B69" w:rsidRPr="007F2F58" w:rsidRDefault="00201B69" w:rsidP="0096593B">
            <w:pPr>
              <w:pStyle w:val="TableText"/>
              <w:jc w:val="center"/>
              <w:rPr>
                <w:highlight w:val="yellow"/>
              </w:rPr>
            </w:pPr>
            <w:r w:rsidRPr="005503B7">
              <w:t>$</w:t>
            </w:r>
            <w:r w:rsidR="00DE2396" w:rsidRPr="00DE2396">
              <w:rPr>
                <w:color w:val="000000"/>
                <w:shd w:val="solid" w:color="000000" w:fill="000000"/>
                <w14:textFill>
                  <w14:solidFill>
                    <w14:srgbClr w14:val="000000">
                      <w14:alpha w14:val="100000"/>
                    </w14:srgbClr>
                  </w14:solidFill>
                </w14:textFill>
              </w:rPr>
              <w:t>|</w:t>
            </w:r>
          </w:p>
        </w:tc>
        <w:tc>
          <w:tcPr>
            <w:tcW w:w="2992" w:type="dxa"/>
            <w:vAlign w:val="center"/>
          </w:tcPr>
          <w:p w14:paraId="5807780C" w14:textId="3CF280CF" w:rsidR="00201B69" w:rsidRPr="005654F7" w:rsidRDefault="00201B69" w:rsidP="0096593B">
            <w:pPr>
              <w:pStyle w:val="TableText"/>
              <w:jc w:val="center"/>
            </w:pPr>
            <w:r w:rsidRPr="005654F7">
              <w:t>$</w:t>
            </w:r>
            <w:r w:rsidR="00DE2396" w:rsidRPr="00DE2396">
              <w:rPr>
                <w:color w:val="000000"/>
                <w:shd w:val="solid" w:color="000000" w:fill="000000"/>
                <w14:textFill>
                  <w14:solidFill>
                    <w14:srgbClr w14:val="000000">
                      <w14:alpha w14:val="100000"/>
                    </w14:srgbClr>
                  </w14:solidFill>
                </w14:textFill>
              </w:rPr>
              <w:t>|</w:t>
            </w:r>
          </w:p>
        </w:tc>
      </w:tr>
      <w:tr w:rsidR="00201B69" w:rsidRPr="005654F7" w14:paraId="01BC7BEB" w14:textId="77777777" w:rsidTr="00F34583">
        <w:tc>
          <w:tcPr>
            <w:tcW w:w="3038" w:type="dxa"/>
          </w:tcPr>
          <w:p w14:paraId="489F183F" w14:textId="77777777" w:rsidR="00201B69" w:rsidRPr="005654F7" w:rsidRDefault="00201B69" w:rsidP="0096593B">
            <w:pPr>
              <w:pStyle w:val="TableText"/>
            </w:pPr>
            <w:r w:rsidRPr="005654F7">
              <w:t>Cartridges/cassettes per pack</w:t>
            </w:r>
          </w:p>
        </w:tc>
        <w:tc>
          <w:tcPr>
            <w:tcW w:w="2992" w:type="dxa"/>
            <w:vAlign w:val="center"/>
          </w:tcPr>
          <w:p w14:paraId="1A720786" w14:textId="77777777" w:rsidR="00201B69" w:rsidRPr="007F2F58" w:rsidRDefault="00201B69" w:rsidP="0096593B">
            <w:pPr>
              <w:pStyle w:val="TableText"/>
              <w:jc w:val="center"/>
              <w:rPr>
                <w:highlight w:val="yellow"/>
              </w:rPr>
            </w:pPr>
            <w:r w:rsidRPr="005105C0">
              <w:t>7</w:t>
            </w:r>
          </w:p>
        </w:tc>
        <w:tc>
          <w:tcPr>
            <w:tcW w:w="2992" w:type="dxa"/>
            <w:vAlign w:val="center"/>
          </w:tcPr>
          <w:p w14:paraId="239762F8" w14:textId="77777777" w:rsidR="00201B69" w:rsidRPr="005654F7" w:rsidRDefault="00201B69" w:rsidP="0096593B">
            <w:pPr>
              <w:pStyle w:val="TableText"/>
              <w:jc w:val="center"/>
            </w:pPr>
            <w:r w:rsidRPr="005654F7">
              <w:t>7</w:t>
            </w:r>
          </w:p>
        </w:tc>
      </w:tr>
      <w:tr w:rsidR="00201B69" w:rsidRPr="005654F7" w14:paraId="4E70EE97" w14:textId="77777777" w:rsidTr="00F34583">
        <w:tc>
          <w:tcPr>
            <w:tcW w:w="3038" w:type="dxa"/>
          </w:tcPr>
          <w:p w14:paraId="36EAA636" w14:textId="77777777" w:rsidR="00201B69" w:rsidRPr="005654F7" w:rsidRDefault="00201B69" w:rsidP="0096593B">
            <w:pPr>
              <w:pStyle w:val="TableText"/>
            </w:pPr>
            <w:r w:rsidRPr="005654F7">
              <w:t>Cost per cartridge/cassette</w:t>
            </w:r>
          </w:p>
        </w:tc>
        <w:tc>
          <w:tcPr>
            <w:tcW w:w="2992" w:type="dxa"/>
            <w:vAlign w:val="center"/>
          </w:tcPr>
          <w:p w14:paraId="62F7362A" w14:textId="4F32CEEB" w:rsidR="00201B69" w:rsidRPr="007F2F58" w:rsidRDefault="00201B69" w:rsidP="0096593B">
            <w:pPr>
              <w:pStyle w:val="TableText"/>
              <w:jc w:val="center"/>
              <w:rPr>
                <w:highlight w:val="yellow"/>
              </w:rPr>
            </w:pPr>
            <w:r w:rsidRPr="00027E00">
              <w:t>$</w:t>
            </w:r>
            <w:r w:rsidR="00DE2396" w:rsidRPr="00DE2396">
              <w:rPr>
                <w:color w:val="000000"/>
                <w:shd w:val="solid" w:color="000000" w:fill="000000"/>
                <w14:textFill>
                  <w14:solidFill>
                    <w14:srgbClr w14:val="000000">
                      <w14:alpha w14:val="100000"/>
                    </w14:srgbClr>
                  </w14:solidFill>
                </w14:textFill>
              </w:rPr>
              <w:t>|</w:t>
            </w:r>
          </w:p>
        </w:tc>
        <w:tc>
          <w:tcPr>
            <w:tcW w:w="2992" w:type="dxa"/>
            <w:vAlign w:val="center"/>
          </w:tcPr>
          <w:p w14:paraId="40E5E437" w14:textId="6FFA3E98" w:rsidR="00201B69" w:rsidRPr="005654F7" w:rsidRDefault="00201B69" w:rsidP="0096593B">
            <w:pPr>
              <w:pStyle w:val="TableText"/>
              <w:jc w:val="center"/>
            </w:pPr>
            <w:r w:rsidRPr="005654F7">
              <w:t>$</w:t>
            </w:r>
            <w:r w:rsidR="00DE2396" w:rsidRPr="00DE2396">
              <w:rPr>
                <w:color w:val="000000"/>
                <w:shd w:val="solid" w:color="000000" w:fill="000000"/>
                <w14:textFill>
                  <w14:solidFill>
                    <w14:srgbClr w14:val="000000">
                      <w14:alpha w14:val="100000"/>
                    </w14:srgbClr>
                  </w14:solidFill>
                </w14:textFill>
              </w:rPr>
              <w:t>|</w:t>
            </w:r>
          </w:p>
        </w:tc>
      </w:tr>
      <w:tr w:rsidR="00201B69" w:rsidRPr="005654F7" w14:paraId="21E573CC" w14:textId="77777777" w:rsidTr="00F34583">
        <w:tc>
          <w:tcPr>
            <w:tcW w:w="3038" w:type="dxa"/>
          </w:tcPr>
          <w:p w14:paraId="5D7E042D" w14:textId="77777777" w:rsidR="00201B69" w:rsidRPr="005654F7" w:rsidRDefault="00201B69" w:rsidP="0096593B">
            <w:pPr>
              <w:pStyle w:val="TableText"/>
            </w:pPr>
            <w:r w:rsidRPr="005654F7">
              <w:t>Cartridge/cassette used per day</w:t>
            </w:r>
          </w:p>
        </w:tc>
        <w:tc>
          <w:tcPr>
            <w:tcW w:w="2992" w:type="dxa"/>
            <w:vAlign w:val="center"/>
          </w:tcPr>
          <w:p w14:paraId="46730CB6" w14:textId="60726907" w:rsidR="00201B69" w:rsidRPr="007F2F58" w:rsidRDefault="008164DF" w:rsidP="0096593B">
            <w:pPr>
              <w:pStyle w:val="TableText"/>
              <w:jc w:val="center"/>
              <w:rPr>
                <w:highlight w:val="yellow"/>
              </w:rPr>
            </w:pPr>
            <w:r w:rsidRPr="00027E00">
              <w:t>2</w:t>
            </w:r>
          </w:p>
        </w:tc>
        <w:tc>
          <w:tcPr>
            <w:tcW w:w="2992" w:type="dxa"/>
            <w:vAlign w:val="center"/>
          </w:tcPr>
          <w:p w14:paraId="46BB7E34" w14:textId="2E074EEE" w:rsidR="00201B69" w:rsidRPr="007F2F58" w:rsidRDefault="00201B69" w:rsidP="0096593B">
            <w:pPr>
              <w:pStyle w:val="TableText"/>
              <w:jc w:val="center"/>
              <w:rPr>
                <w:highlight w:val="yellow"/>
              </w:rPr>
            </w:pPr>
            <w:r w:rsidRPr="00027E00">
              <w:t>1</w:t>
            </w:r>
          </w:p>
        </w:tc>
      </w:tr>
      <w:tr w:rsidR="00201B69" w:rsidRPr="005654F7" w14:paraId="797D39C1" w14:textId="77777777" w:rsidTr="00F34583">
        <w:tc>
          <w:tcPr>
            <w:tcW w:w="3038" w:type="dxa"/>
          </w:tcPr>
          <w:p w14:paraId="7A9829F4" w14:textId="77777777" w:rsidR="00201B69" w:rsidRPr="005654F7" w:rsidRDefault="00201B69" w:rsidP="0096593B">
            <w:pPr>
              <w:pStyle w:val="TableText"/>
            </w:pPr>
            <w:r w:rsidRPr="005654F7">
              <w:t>Cost per day</w:t>
            </w:r>
          </w:p>
        </w:tc>
        <w:tc>
          <w:tcPr>
            <w:tcW w:w="2992" w:type="dxa"/>
            <w:vAlign w:val="center"/>
          </w:tcPr>
          <w:p w14:paraId="3A8E7578" w14:textId="1206109C" w:rsidR="00201B69" w:rsidRPr="005503B7" w:rsidRDefault="00201B69" w:rsidP="0096593B">
            <w:pPr>
              <w:pStyle w:val="TableText"/>
              <w:jc w:val="center"/>
            </w:pPr>
            <w:r w:rsidRPr="005503B7">
              <w:t>$</w:t>
            </w:r>
            <w:r w:rsidR="00DE2396" w:rsidRPr="00DE2396">
              <w:rPr>
                <w:color w:val="000000"/>
                <w:shd w:val="solid" w:color="000000" w:fill="000000"/>
                <w14:textFill>
                  <w14:solidFill>
                    <w14:srgbClr w14:val="000000">
                      <w14:alpha w14:val="100000"/>
                    </w14:srgbClr>
                  </w14:solidFill>
                </w14:textFill>
              </w:rPr>
              <w:t>|</w:t>
            </w:r>
          </w:p>
        </w:tc>
        <w:tc>
          <w:tcPr>
            <w:tcW w:w="2992" w:type="dxa"/>
            <w:vAlign w:val="center"/>
          </w:tcPr>
          <w:p w14:paraId="063D51F1" w14:textId="770AE4FB" w:rsidR="00201B69" w:rsidRPr="005503B7" w:rsidRDefault="00201B69" w:rsidP="0096593B">
            <w:pPr>
              <w:pStyle w:val="TableText"/>
              <w:jc w:val="center"/>
            </w:pPr>
            <w:r w:rsidRPr="005503B7">
              <w:t>$</w:t>
            </w:r>
            <w:r w:rsidR="00DE2396" w:rsidRPr="00DE2396">
              <w:rPr>
                <w:color w:val="000000"/>
                <w:shd w:val="solid" w:color="000000" w:fill="000000"/>
                <w14:textFill>
                  <w14:solidFill>
                    <w14:srgbClr w14:val="000000">
                      <w14:alpha w14:val="100000"/>
                    </w14:srgbClr>
                  </w14:solidFill>
                </w14:textFill>
              </w:rPr>
              <w:t>|</w:t>
            </w:r>
          </w:p>
        </w:tc>
      </w:tr>
      <w:tr w:rsidR="00201B69" w:rsidRPr="005654F7" w14:paraId="45DEEE0D" w14:textId="77777777" w:rsidTr="00F34583">
        <w:tc>
          <w:tcPr>
            <w:tcW w:w="3038" w:type="dxa"/>
          </w:tcPr>
          <w:p w14:paraId="541D8B96" w14:textId="77777777" w:rsidR="00201B69" w:rsidRPr="005654F7" w:rsidRDefault="00201B69" w:rsidP="0096593B">
            <w:pPr>
              <w:pStyle w:val="TableText"/>
            </w:pPr>
            <w:r w:rsidRPr="005654F7">
              <w:t>Difference in cost per day</w:t>
            </w:r>
          </w:p>
        </w:tc>
        <w:tc>
          <w:tcPr>
            <w:tcW w:w="5984" w:type="dxa"/>
            <w:gridSpan w:val="2"/>
            <w:vAlign w:val="center"/>
          </w:tcPr>
          <w:p w14:paraId="0C80D7AE" w14:textId="77777777" w:rsidR="00201B69" w:rsidRPr="005654F7" w:rsidRDefault="00201B69" w:rsidP="0096593B">
            <w:pPr>
              <w:pStyle w:val="TableText"/>
              <w:jc w:val="center"/>
            </w:pPr>
            <w:r w:rsidRPr="005654F7">
              <w:t>$0</w:t>
            </w:r>
          </w:p>
        </w:tc>
      </w:tr>
    </w:tbl>
    <w:p w14:paraId="145F3946" w14:textId="77777777" w:rsidR="00201B69" w:rsidRPr="001C05C6" w:rsidRDefault="00201B69" w:rsidP="0096593B">
      <w:pPr>
        <w:pStyle w:val="FooterTableFigure"/>
        <w:keepNext/>
      </w:pPr>
      <w:r w:rsidRPr="001C05C6">
        <w:t xml:space="preserve">Source: Constructed during the </w:t>
      </w:r>
      <w:r>
        <w:t xml:space="preserve">preparation of the Submission Overview. </w:t>
      </w:r>
    </w:p>
    <w:p w14:paraId="0C068051" w14:textId="5D8C8EE2" w:rsidR="008164DF" w:rsidRPr="001C05C6" w:rsidRDefault="00201B69" w:rsidP="00623172">
      <w:pPr>
        <w:pStyle w:val="FooterTableFigure"/>
      </w:pPr>
      <w:r w:rsidRPr="001C05C6">
        <w:t xml:space="preserve">AEMP = approved ex-manufacturer price; LCIG = levodopa, carbidopa monohydrate intestinal gel; LECIG = levodopa, carbidopa monohydrate and entacapone intestinal gel. </w:t>
      </w:r>
    </w:p>
    <w:p w14:paraId="30D88A22" w14:textId="257DFDBF" w:rsidR="00EA1437" w:rsidRPr="002C633F" w:rsidRDefault="004857C0" w:rsidP="00161CA4">
      <w:pPr>
        <w:pStyle w:val="4-SubsectionHeading"/>
        <w:keepNext/>
      </w:pPr>
      <w:r w:rsidRPr="00642CEF">
        <w:lastRenderedPageBreak/>
        <w:t>Estimated PBS usage and financial implications</w:t>
      </w:r>
    </w:p>
    <w:p w14:paraId="557857C5" w14:textId="49001156" w:rsidR="004857C0" w:rsidRPr="001C05C6" w:rsidRDefault="004857C0" w:rsidP="004857C0">
      <w:pPr>
        <w:pStyle w:val="3-BodyText"/>
      </w:pPr>
      <w:r>
        <w:rPr>
          <w:snapToGrid w:val="0"/>
        </w:rPr>
        <w:t>In March 2024, t</w:t>
      </w:r>
      <w:r w:rsidRPr="007F0649">
        <w:rPr>
          <w:snapToGrid w:val="0"/>
        </w:rPr>
        <w:t xml:space="preserve">he PBAC did not accept the financial estimates presented as it did not accept the equi-effective dosing assumptions on which they were based. </w:t>
      </w:r>
      <w:r>
        <w:rPr>
          <w:snapToGrid w:val="0"/>
        </w:rPr>
        <w:t>At that time, t</w:t>
      </w:r>
      <w:r w:rsidRPr="007F0649">
        <w:rPr>
          <w:snapToGrid w:val="0"/>
        </w:rPr>
        <w:t>he PBAC considered that revised financial estimates based on a more conservative approach to calculation of the equi-effective dose were required</w:t>
      </w:r>
      <w:r>
        <w:rPr>
          <w:snapToGrid w:val="0"/>
        </w:rPr>
        <w:t xml:space="preserve"> (paragraph 7.10, </w:t>
      </w:r>
      <w:r w:rsidRPr="004A0730">
        <w:t xml:space="preserve">levodopa with carbidopa and entacapone </w:t>
      </w:r>
      <w:r w:rsidR="00C50162">
        <w:t>PSD</w:t>
      </w:r>
      <w:r w:rsidRPr="004A0730">
        <w:t>, March 2024 PBAC Meeting</w:t>
      </w:r>
      <w:r>
        <w:t>)</w:t>
      </w:r>
      <w:r w:rsidRPr="007F0649">
        <w:rPr>
          <w:snapToGrid w:val="0"/>
        </w:rPr>
        <w:t xml:space="preserve">. </w:t>
      </w:r>
    </w:p>
    <w:p w14:paraId="548C4D92" w14:textId="51B4F68F" w:rsidR="00B73216" w:rsidRPr="002C633F" w:rsidRDefault="00B73216" w:rsidP="00B73216">
      <w:pPr>
        <w:pStyle w:val="3-BodyText"/>
        <w:rPr>
          <w:rFonts w:eastAsiaTheme="minorEastAsia"/>
        </w:rPr>
      </w:pPr>
      <w:r w:rsidRPr="002C633F">
        <w:t xml:space="preserve">The </w:t>
      </w:r>
      <w:r w:rsidR="004857C0">
        <w:t>resubmission presented revised financial estimates using the revised LECIG price</w:t>
      </w:r>
      <w:r w:rsidR="00EF51D0">
        <w:t xml:space="preserve"> of $</w:t>
      </w:r>
      <w:r w:rsidR="00DE2396" w:rsidRPr="00491515">
        <w:rPr>
          <w:color w:val="000000"/>
          <w:w w:val="15"/>
          <w:shd w:val="solid" w:color="000000" w:fill="000000"/>
          <w:fitText w:val="-20" w:id="-893134840"/>
          <w14:textFill>
            <w14:solidFill>
              <w14:srgbClr w14:val="000000">
                <w14:alpha w14:val="100000"/>
              </w14:srgbClr>
            </w14:solidFill>
          </w14:textFill>
        </w:rPr>
        <w:t xml:space="preserve">|  </w:t>
      </w:r>
      <w:r w:rsidR="00DE2396" w:rsidRPr="00491515">
        <w:rPr>
          <w:color w:val="000000"/>
          <w:spacing w:val="-69"/>
          <w:w w:val="15"/>
          <w:shd w:val="solid" w:color="000000" w:fill="000000"/>
          <w:fitText w:val="-20" w:id="-893134840"/>
          <w14:textFill>
            <w14:solidFill>
              <w14:srgbClr w14:val="000000">
                <w14:alpha w14:val="100000"/>
              </w14:srgbClr>
            </w14:solidFill>
          </w14:textFill>
        </w:rPr>
        <w:t>|</w:t>
      </w:r>
      <w:r w:rsidR="00161CA4">
        <w:t xml:space="preserve"> a</w:t>
      </w:r>
      <w:r w:rsidR="00EF51D0">
        <w:t xml:space="preserve">nd </w:t>
      </w:r>
      <w:r w:rsidR="009A26E4">
        <w:t xml:space="preserve">a substitution rate </w:t>
      </w:r>
      <w:r w:rsidR="00D9401A">
        <w:t>based on the</w:t>
      </w:r>
      <w:r w:rsidR="009A26E4">
        <w:t xml:space="preserve"> </w:t>
      </w:r>
      <w:r w:rsidR="00D9401A">
        <w:t xml:space="preserve">proposed equi-effective doses of </w:t>
      </w:r>
      <w:r w:rsidR="00D9401A" w:rsidRPr="00705D53">
        <w:t>1.31:1.15</w:t>
      </w:r>
      <w:r w:rsidR="00D9401A">
        <w:t xml:space="preserve"> for LECIG and LCIG respectively and reported a</w:t>
      </w:r>
      <w:r w:rsidR="00EF51D0">
        <w:t xml:space="preserve"> </w:t>
      </w:r>
      <w:r w:rsidR="00307EC9">
        <w:t>cost saving</w:t>
      </w:r>
      <w:r w:rsidR="00EF51D0">
        <w:t xml:space="preserve"> to the PBS</w:t>
      </w:r>
      <w:r w:rsidR="00307EC9">
        <w:t>/RPBS</w:t>
      </w:r>
      <w:r w:rsidR="00EF51D0">
        <w:t xml:space="preserve">. </w:t>
      </w:r>
      <w:r w:rsidR="00EF51D0" w:rsidRPr="005654F7">
        <w:t xml:space="preserve">The financial estimates reported in </w:t>
      </w:r>
      <w:r w:rsidR="00EF51D0" w:rsidRPr="005654F7">
        <w:fldChar w:fldCharType="begin" w:fldLock="1"/>
      </w:r>
      <w:r w:rsidR="00EF51D0" w:rsidRPr="005654F7">
        <w:instrText xml:space="preserve"> REF _Ref169013506 \h  \* MERGEFORMAT </w:instrText>
      </w:r>
      <w:r w:rsidR="00EF51D0" w:rsidRPr="005654F7">
        <w:fldChar w:fldCharType="separate"/>
      </w:r>
      <w:r w:rsidR="009A26E4" w:rsidRPr="005654F7">
        <w:t>Table 7</w:t>
      </w:r>
      <w:r w:rsidR="00EF51D0" w:rsidRPr="005654F7">
        <w:fldChar w:fldCharType="end"/>
      </w:r>
      <w:r w:rsidR="00EF51D0" w:rsidRPr="005654F7">
        <w:t xml:space="preserve"> were updated with an ex-manufacturer price for LECIG of $</w:t>
      </w:r>
      <w:r w:rsidR="00DE2396" w:rsidRPr="00491515">
        <w:rPr>
          <w:color w:val="000000"/>
          <w:w w:val="15"/>
          <w:shd w:val="solid" w:color="000000" w:fill="000000"/>
          <w:fitText w:val="-20" w:id="-893134839"/>
          <w14:textFill>
            <w14:solidFill>
              <w14:srgbClr w14:val="000000">
                <w14:alpha w14:val="100000"/>
              </w14:srgbClr>
            </w14:solidFill>
          </w14:textFill>
        </w:rPr>
        <w:t xml:space="preserve">|  </w:t>
      </w:r>
      <w:r w:rsidR="00DE2396" w:rsidRPr="00491515">
        <w:rPr>
          <w:color w:val="000000"/>
          <w:spacing w:val="-69"/>
          <w:w w:val="15"/>
          <w:shd w:val="solid" w:color="000000" w:fill="000000"/>
          <w:fitText w:val="-20" w:id="-893134839"/>
          <w14:textFill>
            <w14:solidFill>
              <w14:srgbClr w14:val="000000">
                <w14:alpha w14:val="100000"/>
              </w14:srgbClr>
            </w14:solidFill>
          </w14:textFill>
        </w:rPr>
        <w:t>|</w:t>
      </w:r>
      <w:r w:rsidR="00EF51D0" w:rsidRPr="005654F7">
        <w:t xml:space="preserve"> and have returned a net cost of </w:t>
      </w:r>
      <w:r w:rsidR="009D1C50" w:rsidRPr="009D1C50">
        <w:t>$0 to &lt; $10 million</w:t>
      </w:r>
      <w:r w:rsidR="00B00087">
        <w:t xml:space="preserve"> </w:t>
      </w:r>
      <w:r w:rsidR="00EF51D0" w:rsidRPr="005654F7">
        <w:t xml:space="preserve">in Year 1 increasing to </w:t>
      </w:r>
      <w:r w:rsidR="009D1C50" w:rsidRPr="009D1C50">
        <w:t>$0 to &lt; $10 million</w:t>
      </w:r>
      <w:r w:rsidR="00B00087">
        <w:t xml:space="preserve"> </w:t>
      </w:r>
      <w:r w:rsidR="00EF51D0" w:rsidRPr="005654F7">
        <w:t xml:space="preserve">in Year 6. </w:t>
      </w:r>
      <w:r w:rsidR="00A927CB" w:rsidRPr="005654F7">
        <w:t>The differences occur as the substitution rate means additional scripts for LECIG and hence additional mark-ups. When the CMA is based on DPMQ (as per the resubmission) the financial estimates are close to cost neutral. When the CMA is based on AEMP a net cost to the PBS/RPBS is reported.</w:t>
      </w:r>
      <w:r w:rsidR="00A927CB">
        <w:rPr>
          <w:i/>
          <w:iCs/>
        </w:rPr>
        <w:t xml:space="preserve"> </w:t>
      </w:r>
    </w:p>
    <w:p w14:paraId="1E31FB06" w14:textId="75E2DD06" w:rsidR="00576931" w:rsidRPr="00576931" w:rsidRDefault="00576931" w:rsidP="00161CA4">
      <w:pPr>
        <w:pStyle w:val="Caption"/>
        <w:keepNext/>
        <w:keepLines/>
        <w:spacing w:after="0"/>
        <w:rPr>
          <w:rFonts w:ascii="Arial Narrow" w:eastAsiaTheme="majorEastAsia" w:hAnsi="Arial Narrow" w:cstheme="majorBidi"/>
          <w:b/>
          <w:bCs/>
          <w:i w:val="0"/>
          <w:iCs w:val="0"/>
          <w:color w:val="auto"/>
          <w:sz w:val="20"/>
          <w:szCs w:val="32"/>
        </w:rPr>
      </w:pPr>
      <w:bookmarkStart w:id="14" w:name="_Ref169013506"/>
      <w:r w:rsidRPr="00576931">
        <w:rPr>
          <w:rFonts w:ascii="Arial Narrow" w:eastAsiaTheme="majorEastAsia" w:hAnsi="Arial Narrow" w:cstheme="majorBidi"/>
          <w:b/>
          <w:bCs/>
          <w:i w:val="0"/>
          <w:iCs w:val="0"/>
          <w:color w:val="auto"/>
          <w:sz w:val="20"/>
          <w:szCs w:val="32"/>
        </w:rPr>
        <w:lastRenderedPageBreak/>
        <w:t xml:space="preserve">Table </w:t>
      </w:r>
      <w:r w:rsidRPr="00576931">
        <w:rPr>
          <w:rFonts w:ascii="Arial Narrow" w:eastAsiaTheme="majorEastAsia" w:hAnsi="Arial Narrow" w:cstheme="majorBidi"/>
          <w:b/>
          <w:bCs/>
          <w:i w:val="0"/>
          <w:iCs w:val="0"/>
          <w:color w:val="auto"/>
          <w:sz w:val="20"/>
          <w:szCs w:val="32"/>
        </w:rPr>
        <w:fldChar w:fldCharType="begin" w:fldLock="1"/>
      </w:r>
      <w:r w:rsidRPr="00576931">
        <w:rPr>
          <w:rFonts w:ascii="Arial Narrow" w:eastAsiaTheme="majorEastAsia" w:hAnsi="Arial Narrow" w:cstheme="majorBidi"/>
          <w:b/>
          <w:bCs/>
          <w:i w:val="0"/>
          <w:iCs w:val="0"/>
          <w:color w:val="auto"/>
          <w:sz w:val="20"/>
          <w:szCs w:val="32"/>
        </w:rPr>
        <w:instrText xml:space="preserve"> SEQ Table \* ARABIC </w:instrText>
      </w:r>
      <w:r w:rsidRPr="00576931">
        <w:rPr>
          <w:rFonts w:ascii="Arial Narrow" w:eastAsiaTheme="majorEastAsia" w:hAnsi="Arial Narrow" w:cstheme="majorBidi"/>
          <w:b/>
          <w:bCs/>
          <w:i w:val="0"/>
          <w:iCs w:val="0"/>
          <w:color w:val="auto"/>
          <w:sz w:val="20"/>
          <w:szCs w:val="32"/>
        </w:rPr>
        <w:fldChar w:fldCharType="separate"/>
      </w:r>
      <w:r w:rsidR="008164DF">
        <w:rPr>
          <w:rFonts w:ascii="Arial Narrow" w:eastAsiaTheme="majorEastAsia" w:hAnsi="Arial Narrow" w:cstheme="majorBidi"/>
          <w:b/>
          <w:bCs/>
          <w:i w:val="0"/>
          <w:iCs w:val="0"/>
          <w:noProof/>
          <w:color w:val="auto"/>
          <w:sz w:val="20"/>
          <w:szCs w:val="32"/>
        </w:rPr>
        <w:t>7</w:t>
      </w:r>
      <w:r w:rsidRPr="00576931">
        <w:rPr>
          <w:rFonts w:ascii="Arial Narrow" w:eastAsiaTheme="majorEastAsia" w:hAnsi="Arial Narrow" w:cstheme="majorBidi"/>
          <w:b/>
          <w:bCs/>
          <w:i w:val="0"/>
          <w:iCs w:val="0"/>
          <w:color w:val="auto"/>
          <w:sz w:val="20"/>
          <w:szCs w:val="32"/>
        </w:rPr>
        <w:fldChar w:fldCharType="end"/>
      </w:r>
      <w:bookmarkEnd w:id="14"/>
      <w:r w:rsidRPr="00576931">
        <w:rPr>
          <w:rFonts w:ascii="Arial Narrow" w:eastAsiaTheme="majorEastAsia" w:hAnsi="Arial Narrow" w:cstheme="majorBidi"/>
          <w:b/>
          <w:bCs/>
          <w:i w:val="0"/>
          <w:iCs w:val="0"/>
          <w:color w:val="auto"/>
          <w:sz w:val="20"/>
          <w:szCs w:val="32"/>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121"/>
        <w:gridCol w:w="981"/>
        <w:gridCol w:w="983"/>
        <w:gridCol w:w="981"/>
        <w:gridCol w:w="983"/>
        <w:gridCol w:w="981"/>
        <w:gridCol w:w="986"/>
      </w:tblGrid>
      <w:tr w:rsidR="00576931" w:rsidRPr="007F0649" w14:paraId="1776B561" w14:textId="77777777" w:rsidTr="005E2782">
        <w:trPr>
          <w:tblHeader/>
        </w:trPr>
        <w:tc>
          <w:tcPr>
            <w:tcW w:w="1731" w:type="pct"/>
            <w:shd w:val="clear" w:color="auto" w:fill="auto"/>
            <w:vAlign w:val="center"/>
          </w:tcPr>
          <w:p w14:paraId="17C07812" w14:textId="77777777" w:rsidR="00576931" w:rsidRPr="007F0649" w:rsidRDefault="00576931" w:rsidP="00161CA4">
            <w:pPr>
              <w:pStyle w:val="In-tableHeading"/>
              <w:keepLines/>
              <w:jc w:val="center"/>
              <w:rPr>
                <w:lang w:val="en-AU"/>
              </w:rPr>
            </w:pPr>
          </w:p>
        </w:tc>
        <w:tc>
          <w:tcPr>
            <w:tcW w:w="544" w:type="pct"/>
            <w:shd w:val="clear" w:color="auto" w:fill="auto"/>
            <w:vAlign w:val="center"/>
          </w:tcPr>
          <w:p w14:paraId="4DCB086E" w14:textId="1D8A8E58" w:rsidR="00576931" w:rsidRPr="007F0649" w:rsidRDefault="00576931" w:rsidP="00161CA4">
            <w:pPr>
              <w:pStyle w:val="In-tableHeading"/>
              <w:keepLines/>
              <w:jc w:val="center"/>
              <w:rPr>
                <w:lang w:val="en-AU"/>
              </w:rPr>
            </w:pPr>
            <w:r w:rsidRPr="007F0649">
              <w:rPr>
                <w:lang w:val="en-AU"/>
              </w:rPr>
              <w:t>202</w:t>
            </w:r>
            <w:r>
              <w:rPr>
                <w:lang w:val="en-AU"/>
              </w:rPr>
              <w:t>4</w:t>
            </w:r>
          </w:p>
        </w:tc>
        <w:tc>
          <w:tcPr>
            <w:tcW w:w="545" w:type="pct"/>
            <w:shd w:val="clear" w:color="auto" w:fill="auto"/>
            <w:vAlign w:val="center"/>
          </w:tcPr>
          <w:p w14:paraId="010F3F27" w14:textId="3DEA4D24" w:rsidR="00576931" w:rsidRPr="007F0649" w:rsidRDefault="00576931" w:rsidP="00161CA4">
            <w:pPr>
              <w:pStyle w:val="In-tableHeading"/>
              <w:keepLines/>
              <w:jc w:val="center"/>
              <w:rPr>
                <w:lang w:val="en-AU"/>
              </w:rPr>
            </w:pPr>
            <w:r w:rsidRPr="007F0649">
              <w:rPr>
                <w:lang w:val="en-AU"/>
              </w:rPr>
              <w:t>202</w:t>
            </w:r>
            <w:r>
              <w:rPr>
                <w:lang w:val="en-AU"/>
              </w:rPr>
              <w:t>5</w:t>
            </w:r>
          </w:p>
        </w:tc>
        <w:tc>
          <w:tcPr>
            <w:tcW w:w="544" w:type="pct"/>
            <w:shd w:val="clear" w:color="auto" w:fill="auto"/>
            <w:vAlign w:val="center"/>
          </w:tcPr>
          <w:p w14:paraId="40F670D1" w14:textId="30CB646F" w:rsidR="00576931" w:rsidRPr="007F0649" w:rsidRDefault="00576931" w:rsidP="00161CA4">
            <w:pPr>
              <w:pStyle w:val="In-tableHeading"/>
              <w:keepLines/>
              <w:jc w:val="center"/>
              <w:rPr>
                <w:lang w:val="en-AU"/>
              </w:rPr>
            </w:pPr>
            <w:r w:rsidRPr="007F0649">
              <w:rPr>
                <w:lang w:val="en-AU"/>
              </w:rPr>
              <w:t>202</w:t>
            </w:r>
            <w:r>
              <w:rPr>
                <w:lang w:val="en-AU"/>
              </w:rPr>
              <w:t>6</w:t>
            </w:r>
          </w:p>
        </w:tc>
        <w:tc>
          <w:tcPr>
            <w:tcW w:w="545" w:type="pct"/>
            <w:shd w:val="clear" w:color="auto" w:fill="auto"/>
            <w:vAlign w:val="center"/>
          </w:tcPr>
          <w:p w14:paraId="4952DDDD" w14:textId="65BFFA94" w:rsidR="00576931" w:rsidRPr="007F0649" w:rsidRDefault="00576931" w:rsidP="00161CA4">
            <w:pPr>
              <w:pStyle w:val="In-tableHeading"/>
              <w:keepLines/>
              <w:jc w:val="center"/>
              <w:rPr>
                <w:lang w:val="en-AU"/>
              </w:rPr>
            </w:pPr>
            <w:r w:rsidRPr="007F0649">
              <w:rPr>
                <w:lang w:val="en-AU"/>
              </w:rPr>
              <w:t>202</w:t>
            </w:r>
            <w:r>
              <w:rPr>
                <w:lang w:val="en-AU"/>
              </w:rPr>
              <w:t>7</w:t>
            </w:r>
          </w:p>
        </w:tc>
        <w:tc>
          <w:tcPr>
            <w:tcW w:w="544" w:type="pct"/>
            <w:shd w:val="clear" w:color="auto" w:fill="auto"/>
            <w:vAlign w:val="center"/>
          </w:tcPr>
          <w:p w14:paraId="0B1647B9" w14:textId="546D84D8" w:rsidR="00576931" w:rsidRPr="007F0649" w:rsidRDefault="00576931" w:rsidP="00161CA4">
            <w:pPr>
              <w:pStyle w:val="In-tableHeading"/>
              <w:keepLines/>
              <w:jc w:val="center"/>
              <w:rPr>
                <w:lang w:val="en-AU"/>
              </w:rPr>
            </w:pPr>
            <w:r w:rsidRPr="007F0649">
              <w:rPr>
                <w:lang w:val="en-AU"/>
              </w:rPr>
              <w:t>202</w:t>
            </w:r>
            <w:r>
              <w:rPr>
                <w:lang w:val="en-AU"/>
              </w:rPr>
              <w:t>8</w:t>
            </w:r>
          </w:p>
        </w:tc>
        <w:tc>
          <w:tcPr>
            <w:tcW w:w="547" w:type="pct"/>
          </w:tcPr>
          <w:p w14:paraId="70CA2EEA" w14:textId="517D41EA" w:rsidR="00576931" w:rsidRPr="007F0649" w:rsidRDefault="00576931" w:rsidP="00161CA4">
            <w:pPr>
              <w:pStyle w:val="In-tableHeading"/>
              <w:keepLines/>
              <w:jc w:val="center"/>
              <w:rPr>
                <w:lang w:val="en-AU"/>
              </w:rPr>
            </w:pPr>
            <w:r w:rsidRPr="007F0649">
              <w:rPr>
                <w:lang w:val="en-AU"/>
              </w:rPr>
              <w:t>202</w:t>
            </w:r>
            <w:r>
              <w:rPr>
                <w:lang w:val="en-AU"/>
              </w:rPr>
              <w:t>9</w:t>
            </w:r>
          </w:p>
        </w:tc>
      </w:tr>
      <w:tr w:rsidR="00576931" w:rsidRPr="007F0649" w14:paraId="1D00422B" w14:textId="77777777" w:rsidTr="00782EA8">
        <w:tc>
          <w:tcPr>
            <w:tcW w:w="5000" w:type="pct"/>
            <w:gridSpan w:val="7"/>
            <w:shd w:val="clear" w:color="auto" w:fill="auto"/>
            <w:vAlign w:val="center"/>
          </w:tcPr>
          <w:p w14:paraId="40191325" w14:textId="77777777" w:rsidR="00576931" w:rsidRPr="007F0649" w:rsidRDefault="00576931" w:rsidP="00161CA4">
            <w:pPr>
              <w:pStyle w:val="In-tableHeading"/>
              <w:keepLines/>
              <w:rPr>
                <w:bCs/>
                <w:color w:val="000000"/>
                <w:lang w:val="en-AU"/>
              </w:rPr>
            </w:pPr>
            <w:r w:rsidRPr="007F0649">
              <w:rPr>
                <w:bCs/>
                <w:color w:val="000000"/>
                <w:lang w:val="en-AU"/>
              </w:rPr>
              <w:t xml:space="preserve">Projected number of advanced Parkinson’s disease intestinal gel market </w:t>
            </w:r>
          </w:p>
        </w:tc>
      </w:tr>
      <w:tr w:rsidR="00645DFD" w:rsidRPr="001C05C6" w14:paraId="5643265E" w14:textId="77777777" w:rsidTr="00B21842">
        <w:trPr>
          <w:trHeight w:val="137"/>
        </w:trPr>
        <w:tc>
          <w:tcPr>
            <w:tcW w:w="1731" w:type="pct"/>
            <w:shd w:val="clear" w:color="auto" w:fill="auto"/>
            <w:vAlign w:val="center"/>
          </w:tcPr>
          <w:p w14:paraId="2DF7294A" w14:textId="56A84F44" w:rsidR="00645DFD" w:rsidRPr="001C05C6" w:rsidRDefault="00645DFD" w:rsidP="00161CA4">
            <w:pPr>
              <w:pStyle w:val="TableText"/>
              <w:keepLines/>
              <w:rPr>
                <w:vertAlign w:val="superscript"/>
              </w:rPr>
            </w:pPr>
            <w:r w:rsidRPr="001C05C6">
              <w:t xml:space="preserve">Maximum quantity of </w:t>
            </w:r>
            <w:r w:rsidR="007C5E8B">
              <w:t>4</w:t>
            </w:r>
            <w:r w:rsidRPr="001C05C6">
              <w:t xml:space="preserve"> (pk) </w:t>
            </w:r>
            <w:r w:rsidR="00E316EE">
              <w:t xml:space="preserve">LCIG </w:t>
            </w:r>
            <w:r w:rsidRPr="001C05C6">
              <w:t>scripts</w:t>
            </w:r>
          </w:p>
        </w:tc>
        <w:tc>
          <w:tcPr>
            <w:tcW w:w="544" w:type="pct"/>
            <w:shd w:val="clear" w:color="auto" w:fill="auto"/>
          </w:tcPr>
          <w:p w14:paraId="7DF7C229" w14:textId="0A319BA2" w:rsidR="00645DFD" w:rsidRPr="001C05C6" w:rsidRDefault="00645DFD" w:rsidP="00161CA4">
            <w:pPr>
              <w:pStyle w:val="TableText"/>
              <w:keepLines/>
              <w:jc w:val="center"/>
            </w:pPr>
            <w:r w:rsidRPr="00135FE4">
              <w:t>-</w:t>
            </w:r>
            <w:r w:rsidR="00DE2396" w:rsidRPr="00B743AB">
              <w:rPr>
                <w:rFonts w:hint="eastAsia"/>
                <w:color w:val="000000"/>
                <w:w w:val="31"/>
                <w:shd w:val="solid" w:color="000000" w:fill="000000"/>
                <w:fitText w:val="140" w:id="-893134838"/>
                <w14:textFill>
                  <w14:solidFill>
                    <w14:srgbClr w14:val="000000">
                      <w14:alpha w14:val="100000"/>
                    </w14:srgbClr>
                  </w14:solidFill>
                </w14:textFill>
              </w:rPr>
              <w:t xml:space="preserve">　</w:t>
            </w:r>
            <w:r w:rsidR="00DE2396" w:rsidRPr="00B743AB">
              <w:rPr>
                <w:color w:val="000000"/>
                <w:w w:val="31"/>
                <w:shd w:val="solid" w:color="000000" w:fill="000000"/>
                <w:fitText w:val="140" w:id="-893134838"/>
                <w14:textFill>
                  <w14:solidFill>
                    <w14:srgbClr w14:val="000000">
                      <w14:alpha w14:val="100000"/>
                    </w14:srgbClr>
                  </w14:solidFill>
                </w14:textFill>
              </w:rPr>
              <w:t>|</w:t>
            </w:r>
            <w:r w:rsidR="00DE2396" w:rsidRPr="00B743AB">
              <w:rPr>
                <w:rFonts w:hint="eastAsia"/>
                <w:color w:val="000000"/>
                <w:w w:val="31"/>
                <w:shd w:val="solid" w:color="000000" w:fill="000000"/>
                <w:fitText w:val="140" w:id="-893134838"/>
                <w14:textFill>
                  <w14:solidFill>
                    <w14:srgbClr w14:val="000000">
                      <w14:alpha w14:val="100000"/>
                    </w14:srgbClr>
                  </w14:solidFill>
                </w14:textFill>
              </w:rPr>
              <w:t xml:space="preserve">　</w:t>
            </w:r>
            <w:r w:rsidR="003E4BBF" w:rsidRPr="008403BF">
              <w:rPr>
                <w:vertAlign w:val="superscript"/>
              </w:rPr>
              <w:t>1</w:t>
            </w:r>
          </w:p>
        </w:tc>
        <w:tc>
          <w:tcPr>
            <w:tcW w:w="545" w:type="pct"/>
            <w:shd w:val="clear" w:color="auto" w:fill="auto"/>
          </w:tcPr>
          <w:p w14:paraId="24E0ADA3" w14:textId="18482DEB" w:rsidR="00645DFD" w:rsidRPr="001C05C6" w:rsidRDefault="00645DFD" w:rsidP="00161CA4">
            <w:pPr>
              <w:pStyle w:val="TableText"/>
              <w:keepLines/>
              <w:jc w:val="center"/>
            </w:pPr>
            <w:r w:rsidRPr="00135FE4">
              <w:t>-</w:t>
            </w:r>
            <w:r w:rsidR="00DE2396" w:rsidRPr="00B743AB">
              <w:rPr>
                <w:rFonts w:hint="eastAsia"/>
                <w:color w:val="000000"/>
                <w:w w:val="31"/>
                <w:shd w:val="solid" w:color="000000" w:fill="000000"/>
                <w:fitText w:val="140" w:id="-893134837"/>
                <w14:textFill>
                  <w14:solidFill>
                    <w14:srgbClr w14:val="000000">
                      <w14:alpha w14:val="100000"/>
                    </w14:srgbClr>
                  </w14:solidFill>
                </w14:textFill>
              </w:rPr>
              <w:t xml:space="preserve">　</w:t>
            </w:r>
            <w:r w:rsidR="00DE2396" w:rsidRPr="00B743AB">
              <w:rPr>
                <w:color w:val="000000"/>
                <w:w w:val="31"/>
                <w:shd w:val="solid" w:color="000000" w:fill="000000"/>
                <w:fitText w:val="140" w:id="-893134837"/>
                <w14:textFill>
                  <w14:solidFill>
                    <w14:srgbClr w14:val="000000">
                      <w14:alpha w14:val="100000"/>
                    </w14:srgbClr>
                  </w14:solidFill>
                </w14:textFill>
              </w:rPr>
              <w:t>|</w:t>
            </w:r>
            <w:r w:rsidR="00DE2396" w:rsidRPr="00B743AB">
              <w:rPr>
                <w:rFonts w:hint="eastAsia"/>
                <w:color w:val="000000"/>
                <w:w w:val="31"/>
                <w:shd w:val="solid" w:color="000000" w:fill="000000"/>
                <w:fitText w:val="140" w:id="-893134837"/>
                <w14:textFill>
                  <w14:solidFill>
                    <w14:srgbClr w14:val="000000">
                      <w14:alpha w14:val="100000"/>
                    </w14:srgbClr>
                  </w14:solidFill>
                </w14:textFill>
              </w:rPr>
              <w:t xml:space="preserve">　</w:t>
            </w:r>
            <w:r w:rsidR="003E4BBF" w:rsidRPr="00B71856">
              <w:rPr>
                <w:vertAlign w:val="superscript"/>
              </w:rPr>
              <w:t>1</w:t>
            </w:r>
          </w:p>
        </w:tc>
        <w:tc>
          <w:tcPr>
            <w:tcW w:w="544" w:type="pct"/>
            <w:shd w:val="clear" w:color="auto" w:fill="auto"/>
          </w:tcPr>
          <w:p w14:paraId="5A71FABD" w14:textId="3BDE3734" w:rsidR="00645DFD" w:rsidRPr="001C05C6" w:rsidRDefault="00645DFD" w:rsidP="00161CA4">
            <w:pPr>
              <w:pStyle w:val="TableText"/>
              <w:keepLines/>
              <w:jc w:val="center"/>
            </w:pPr>
            <w:r w:rsidRPr="00135FE4">
              <w:t>-</w:t>
            </w:r>
            <w:r w:rsidR="00DE2396" w:rsidRPr="00161CA4">
              <w:rPr>
                <w:rFonts w:hint="eastAsia"/>
                <w:color w:val="000000"/>
                <w:w w:val="24"/>
                <w:shd w:val="solid" w:color="000000" w:fill="000000"/>
                <w:fitText w:val="110" w:id="-893134836"/>
                <w14:textFill>
                  <w14:solidFill>
                    <w14:srgbClr w14:val="000000">
                      <w14:alpha w14:val="100000"/>
                    </w14:srgbClr>
                  </w14:solidFill>
                </w14:textFill>
              </w:rPr>
              <w:t xml:space="preserve">　</w:t>
            </w:r>
            <w:r w:rsidR="00DE2396" w:rsidRPr="00161CA4">
              <w:rPr>
                <w:color w:val="000000"/>
                <w:w w:val="24"/>
                <w:shd w:val="solid" w:color="000000" w:fill="000000"/>
                <w:fitText w:val="110" w:id="-893134836"/>
                <w14:textFill>
                  <w14:solidFill>
                    <w14:srgbClr w14:val="000000">
                      <w14:alpha w14:val="100000"/>
                    </w14:srgbClr>
                  </w14:solidFill>
                </w14:textFill>
              </w:rPr>
              <w:t>|</w:t>
            </w:r>
            <w:r w:rsidR="00DE2396" w:rsidRPr="00161CA4">
              <w:rPr>
                <w:rFonts w:hint="eastAsia"/>
                <w:color w:val="000000"/>
                <w:w w:val="24"/>
                <w:shd w:val="solid" w:color="000000" w:fill="000000"/>
                <w:fitText w:val="110" w:id="-893134836"/>
                <w14:textFill>
                  <w14:solidFill>
                    <w14:srgbClr w14:val="000000">
                      <w14:alpha w14:val="100000"/>
                    </w14:srgbClr>
                  </w14:solidFill>
                </w14:textFill>
              </w:rPr>
              <w:t xml:space="preserve">　</w:t>
            </w:r>
            <w:r w:rsidR="00161CA4">
              <w:rPr>
                <w:color w:val="000000"/>
                <w:shd w:val="solid" w:color="000000" w:fill="000000"/>
                <w14:textFill>
                  <w14:solidFill>
                    <w14:srgbClr w14:val="000000">
                      <w14:alpha w14:val="100000"/>
                    </w14:srgbClr>
                  </w14:solidFill>
                </w14:textFill>
              </w:rPr>
              <w:t xml:space="preserve"> </w:t>
            </w:r>
            <w:r w:rsidR="00161CA4">
              <w:rPr>
                <w:vertAlign w:val="superscript"/>
              </w:rPr>
              <w:t>6</w:t>
            </w:r>
          </w:p>
        </w:tc>
        <w:tc>
          <w:tcPr>
            <w:tcW w:w="545" w:type="pct"/>
            <w:shd w:val="clear" w:color="auto" w:fill="auto"/>
          </w:tcPr>
          <w:p w14:paraId="61AD0B29" w14:textId="25CE11D5" w:rsidR="00645DFD" w:rsidRPr="001C05C6" w:rsidRDefault="00161CA4" w:rsidP="00161CA4">
            <w:pPr>
              <w:pStyle w:val="TableText"/>
              <w:keepLines/>
              <w:jc w:val="center"/>
            </w:pPr>
            <w:r w:rsidRPr="00135FE4">
              <w:t>-</w:t>
            </w:r>
            <w:r w:rsidRPr="00161CA4">
              <w:rPr>
                <w:rFonts w:hint="eastAsia"/>
                <w:color w:val="000000"/>
                <w:w w:val="24"/>
                <w:shd w:val="solid" w:color="000000" w:fill="000000"/>
                <w:fitText w:val="110" w:id="-893134836"/>
                <w14:textFill>
                  <w14:solidFill>
                    <w14:srgbClr w14:val="000000">
                      <w14:alpha w14:val="100000"/>
                    </w14:srgbClr>
                  </w14:solidFill>
                </w14:textFill>
              </w:rPr>
              <w:t xml:space="preserve">　</w:t>
            </w:r>
            <w:r w:rsidRPr="00161CA4">
              <w:rPr>
                <w:color w:val="000000"/>
                <w:w w:val="24"/>
                <w:shd w:val="solid" w:color="000000" w:fill="000000"/>
                <w:fitText w:val="110" w:id="-893134836"/>
                <w14:textFill>
                  <w14:solidFill>
                    <w14:srgbClr w14:val="000000">
                      <w14:alpha w14:val="100000"/>
                    </w14:srgbClr>
                  </w14:solidFill>
                </w14:textFill>
              </w:rPr>
              <w:t>|</w:t>
            </w:r>
            <w:r w:rsidRPr="00161CA4">
              <w:rPr>
                <w:rFonts w:hint="eastAsia"/>
                <w:color w:val="000000"/>
                <w:w w:val="24"/>
                <w:shd w:val="solid" w:color="000000" w:fill="000000"/>
                <w:fitText w:val="110" w:id="-893134836"/>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r>
              <w:rPr>
                <w:vertAlign w:val="superscript"/>
              </w:rPr>
              <w:t>6</w:t>
            </w:r>
          </w:p>
        </w:tc>
        <w:tc>
          <w:tcPr>
            <w:tcW w:w="544" w:type="pct"/>
            <w:shd w:val="clear" w:color="auto" w:fill="auto"/>
          </w:tcPr>
          <w:p w14:paraId="46921051" w14:textId="1A93FDB5" w:rsidR="00645DFD" w:rsidRPr="001C05C6" w:rsidRDefault="00161CA4" w:rsidP="00161CA4">
            <w:pPr>
              <w:pStyle w:val="TableText"/>
              <w:keepLines/>
              <w:jc w:val="center"/>
            </w:pPr>
            <w:r w:rsidRPr="00135FE4">
              <w:t>-</w:t>
            </w:r>
            <w:r w:rsidRPr="00161CA4">
              <w:rPr>
                <w:rFonts w:hint="eastAsia"/>
                <w:color w:val="000000"/>
                <w:w w:val="24"/>
                <w:shd w:val="solid" w:color="000000" w:fill="000000"/>
                <w:fitText w:val="110" w:id="-893134836"/>
                <w14:textFill>
                  <w14:solidFill>
                    <w14:srgbClr w14:val="000000">
                      <w14:alpha w14:val="100000"/>
                    </w14:srgbClr>
                  </w14:solidFill>
                </w14:textFill>
              </w:rPr>
              <w:t xml:space="preserve">　</w:t>
            </w:r>
            <w:r w:rsidRPr="00161CA4">
              <w:rPr>
                <w:color w:val="000000"/>
                <w:w w:val="24"/>
                <w:shd w:val="solid" w:color="000000" w:fill="000000"/>
                <w:fitText w:val="110" w:id="-893134836"/>
                <w14:textFill>
                  <w14:solidFill>
                    <w14:srgbClr w14:val="000000">
                      <w14:alpha w14:val="100000"/>
                    </w14:srgbClr>
                  </w14:solidFill>
                </w14:textFill>
              </w:rPr>
              <w:t>|</w:t>
            </w:r>
            <w:r w:rsidRPr="00161CA4">
              <w:rPr>
                <w:rFonts w:hint="eastAsia"/>
                <w:color w:val="000000"/>
                <w:w w:val="24"/>
                <w:shd w:val="solid" w:color="000000" w:fill="000000"/>
                <w:fitText w:val="110" w:id="-893134836"/>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r>
              <w:rPr>
                <w:vertAlign w:val="superscript"/>
              </w:rPr>
              <w:t>6</w:t>
            </w:r>
          </w:p>
        </w:tc>
        <w:tc>
          <w:tcPr>
            <w:tcW w:w="547" w:type="pct"/>
          </w:tcPr>
          <w:p w14:paraId="6C88C6E5" w14:textId="462D25D8" w:rsidR="00645DFD" w:rsidRPr="001C05C6" w:rsidRDefault="00161CA4" w:rsidP="00161CA4">
            <w:pPr>
              <w:pStyle w:val="TableText"/>
              <w:keepLines/>
              <w:jc w:val="center"/>
            </w:pPr>
            <w:r w:rsidRPr="00135FE4">
              <w:t>-</w:t>
            </w:r>
            <w:r w:rsidRPr="00161CA4">
              <w:rPr>
                <w:rFonts w:hint="eastAsia"/>
                <w:color w:val="000000"/>
                <w:w w:val="24"/>
                <w:shd w:val="solid" w:color="000000" w:fill="000000"/>
                <w:fitText w:val="110" w:id="-893134836"/>
                <w14:textFill>
                  <w14:solidFill>
                    <w14:srgbClr w14:val="000000">
                      <w14:alpha w14:val="100000"/>
                    </w14:srgbClr>
                  </w14:solidFill>
                </w14:textFill>
              </w:rPr>
              <w:t xml:space="preserve">　</w:t>
            </w:r>
            <w:r w:rsidRPr="00161CA4">
              <w:rPr>
                <w:color w:val="000000"/>
                <w:w w:val="24"/>
                <w:shd w:val="solid" w:color="000000" w:fill="000000"/>
                <w:fitText w:val="110" w:id="-893134836"/>
                <w14:textFill>
                  <w14:solidFill>
                    <w14:srgbClr w14:val="000000">
                      <w14:alpha w14:val="100000"/>
                    </w14:srgbClr>
                  </w14:solidFill>
                </w14:textFill>
              </w:rPr>
              <w:t>|</w:t>
            </w:r>
            <w:r w:rsidRPr="00161CA4">
              <w:rPr>
                <w:rFonts w:hint="eastAsia"/>
                <w:color w:val="000000"/>
                <w:w w:val="24"/>
                <w:shd w:val="solid" w:color="000000" w:fill="000000"/>
                <w:fitText w:val="110" w:id="-893134836"/>
                <w14:textFill>
                  <w14:solidFill>
                    <w14:srgbClr w14:val="000000">
                      <w14:alpha w14:val="100000"/>
                    </w14:srgbClr>
                  </w14:solidFill>
                </w14:textFill>
              </w:rPr>
              <w:t xml:space="preserve">　</w:t>
            </w:r>
            <w:r>
              <w:rPr>
                <w:color w:val="000000"/>
                <w:shd w:val="solid" w:color="000000" w:fill="000000"/>
                <w14:textFill>
                  <w14:solidFill>
                    <w14:srgbClr w14:val="000000">
                      <w14:alpha w14:val="100000"/>
                    </w14:srgbClr>
                  </w14:solidFill>
                </w14:textFill>
              </w:rPr>
              <w:t xml:space="preserve"> </w:t>
            </w:r>
            <w:r>
              <w:rPr>
                <w:vertAlign w:val="superscript"/>
              </w:rPr>
              <w:t>6</w:t>
            </w:r>
          </w:p>
        </w:tc>
      </w:tr>
      <w:tr w:rsidR="00645DFD" w:rsidRPr="001C05C6" w14:paraId="32CBB765" w14:textId="77777777" w:rsidTr="007D37D5">
        <w:tc>
          <w:tcPr>
            <w:tcW w:w="1731" w:type="pct"/>
            <w:shd w:val="clear" w:color="auto" w:fill="auto"/>
            <w:vAlign w:val="center"/>
          </w:tcPr>
          <w:p w14:paraId="6923C2A1" w14:textId="3BF98049" w:rsidR="00645DFD" w:rsidRPr="001C05C6" w:rsidRDefault="00645DFD" w:rsidP="00161CA4">
            <w:pPr>
              <w:pStyle w:val="TableText"/>
              <w:keepLines/>
              <w:rPr>
                <w:vertAlign w:val="superscript"/>
              </w:rPr>
            </w:pPr>
            <w:r w:rsidRPr="001C05C6">
              <w:t xml:space="preserve">Maximum quantity of </w:t>
            </w:r>
            <w:r w:rsidR="007C5E8B">
              <w:t>8</w:t>
            </w:r>
            <w:r w:rsidRPr="001C05C6">
              <w:t xml:space="preserve"> (</w:t>
            </w:r>
            <w:r w:rsidR="007C5E8B">
              <w:t>p</w:t>
            </w:r>
            <w:r w:rsidRPr="001C05C6">
              <w:t xml:space="preserve">k) </w:t>
            </w:r>
            <w:r w:rsidR="00E316EE">
              <w:t xml:space="preserve">LCIG </w:t>
            </w:r>
            <w:r w:rsidRPr="001C05C6">
              <w:t>scripts</w:t>
            </w:r>
          </w:p>
        </w:tc>
        <w:tc>
          <w:tcPr>
            <w:tcW w:w="544" w:type="pct"/>
            <w:shd w:val="clear" w:color="auto" w:fill="auto"/>
          </w:tcPr>
          <w:p w14:paraId="1BEE9C91" w14:textId="1AB9DAB7" w:rsidR="00645DFD" w:rsidRPr="001C05C6" w:rsidRDefault="00645DFD" w:rsidP="00161CA4">
            <w:pPr>
              <w:pStyle w:val="TableText"/>
              <w:keepLines/>
              <w:jc w:val="center"/>
            </w:pPr>
            <w:r w:rsidRPr="00702E25">
              <w:t>-</w:t>
            </w:r>
            <w:r w:rsidR="00DE2396" w:rsidRPr="00B743AB">
              <w:rPr>
                <w:rFonts w:hint="eastAsia"/>
                <w:color w:val="000000"/>
                <w:w w:val="31"/>
                <w:shd w:val="solid" w:color="000000" w:fill="000000"/>
                <w:fitText w:val="140" w:id="-893134832"/>
                <w14:textFill>
                  <w14:solidFill>
                    <w14:srgbClr w14:val="000000">
                      <w14:alpha w14:val="100000"/>
                    </w14:srgbClr>
                  </w14:solidFill>
                </w14:textFill>
              </w:rPr>
              <w:t xml:space="preserve">　</w:t>
            </w:r>
            <w:r w:rsidR="00DE2396" w:rsidRPr="00B743AB">
              <w:rPr>
                <w:color w:val="000000"/>
                <w:w w:val="31"/>
                <w:shd w:val="solid" w:color="000000" w:fill="000000"/>
                <w:fitText w:val="140" w:id="-893134832"/>
                <w14:textFill>
                  <w14:solidFill>
                    <w14:srgbClr w14:val="000000">
                      <w14:alpha w14:val="100000"/>
                    </w14:srgbClr>
                  </w14:solidFill>
                </w14:textFill>
              </w:rPr>
              <w:t>|</w:t>
            </w:r>
            <w:r w:rsidR="00DE2396" w:rsidRPr="00B743AB">
              <w:rPr>
                <w:rFonts w:hint="eastAsia"/>
                <w:color w:val="000000"/>
                <w:w w:val="31"/>
                <w:shd w:val="solid" w:color="000000" w:fill="000000"/>
                <w:fitText w:val="140" w:id="-893134832"/>
                <w14:textFill>
                  <w14:solidFill>
                    <w14:srgbClr w14:val="000000">
                      <w14:alpha w14:val="100000"/>
                    </w14:srgbClr>
                  </w14:solidFill>
                </w14:textFill>
              </w:rPr>
              <w:t xml:space="preserve">　</w:t>
            </w:r>
            <w:r w:rsidR="003E4BBF" w:rsidRPr="00B71856">
              <w:rPr>
                <w:vertAlign w:val="superscript"/>
              </w:rPr>
              <w:t>1</w:t>
            </w:r>
          </w:p>
        </w:tc>
        <w:tc>
          <w:tcPr>
            <w:tcW w:w="545" w:type="pct"/>
            <w:shd w:val="clear" w:color="auto" w:fill="auto"/>
          </w:tcPr>
          <w:p w14:paraId="2BF926BE" w14:textId="1E3F8836" w:rsidR="00645DFD" w:rsidRPr="001C05C6" w:rsidRDefault="00645DFD" w:rsidP="00161CA4">
            <w:pPr>
              <w:pStyle w:val="TableText"/>
              <w:keepLines/>
              <w:jc w:val="center"/>
            </w:pPr>
            <w:r w:rsidRPr="00702E25">
              <w:t>-</w:t>
            </w:r>
            <w:r w:rsidR="00DE2396" w:rsidRPr="00DE2396">
              <w:rPr>
                <w:rFonts w:hint="eastAsia"/>
                <w:color w:val="000000"/>
                <w:spacing w:val="30"/>
                <w:w w:val="15"/>
                <w:shd w:val="solid" w:color="000000" w:fill="000000"/>
                <w:fitText w:val="60" w:id="-893134848"/>
                <w14:textFill>
                  <w14:solidFill>
                    <w14:srgbClr w14:val="000000">
                      <w14:alpha w14:val="100000"/>
                    </w14:srgbClr>
                  </w14:solidFill>
                </w14:textFill>
              </w:rPr>
              <w:t xml:space="preserve">　</w:t>
            </w:r>
            <w:r w:rsidR="00DE2396" w:rsidRPr="00DE2396">
              <w:rPr>
                <w:rFonts w:hint="eastAsia"/>
                <w:color w:val="000000"/>
                <w:spacing w:val="79"/>
                <w:w w:val="31"/>
                <w:shd w:val="solid" w:color="000000" w:fill="000000"/>
                <w:fitText w:val="140" w:id="-893134847"/>
                <w14:textFill>
                  <w14:solidFill>
                    <w14:srgbClr w14:val="000000">
                      <w14:alpha w14:val="100000"/>
                    </w14:srgbClr>
                  </w14:solidFill>
                </w14:textFill>
              </w:rPr>
              <w:t xml:space="preserve">　</w:t>
            </w:r>
            <w:r w:rsidR="00DE2396" w:rsidRPr="00B743AB">
              <w:rPr>
                <w:color w:val="000000"/>
                <w:spacing w:val="194"/>
                <w:shd w:val="solid" w:color="000000" w:fill="000000"/>
                <w:fitText w:val="280" w:id="-893134846"/>
                <w14:textFill>
                  <w14:solidFill>
                    <w14:srgbClr w14:val="000000">
                      <w14:alpha w14:val="100000"/>
                    </w14:srgbClr>
                  </w14:solidFill>
                </w14:textFill>
              </w:rPr>
              <w:t>|</w:t>
            </w:r>
            <w:r w:rsidR="00DE2396" w:rsidRPr="00B743AB">
              <w:rPr>
                <w:color w:val="000000"/>
                <w:shd w:val="solid" w:color="000000" w:fill="000000"/>
                <w:fitText w:val="280" w:id="-893134846"/>
                <w14:textFill>
                  <w14:solidFill>
                    <w14:srgbClr w14:val="000000">
                      <w14:alpha w14:val="100000"/>
                    </w14:srgbClr>
                  </w14:solidFill>
                </w14:textFill>
              </w:rPr>
              <w:t>|</w:t>
            </w:r>
            <w:r w:rsidR="003E4BBF" w:rsidRPr="00B71856">
              <w:rPr>
                <w:vertAlign w:val="superscript"/>
              </w:rPr>
              <w:t>1</w:t>
            </w:r>
          </w:p>
        </w:tc>
        <w:tc>
          <w:tcPr>
            <w:tcW w:w="544" w:type="pct"/>
            <w:shd w:val="clear" w:color="auto" w:fill="auto"/>
          </w:tcPr>
          <w:p w14:paraId="1050061E" w14:textId="7A72B0EC" w:rsidR="00645DFD" w:rsidRPr="001C05C6" w:rsidRDefault="00645DFD" w:rsidP="00161CA4">
            <w:pPr>
              <w:pStyle w:val="TableText"/>
              <w:keepLines/>
              <w:jc w:val="center"/>
            </w:pPr>
            <w:r w:rsidRPr="00702E25">
              <w:t>-</w:t>
            </w:r>
            <w:r w:rsidR="00DE2396" w:rsidRPr="00B743AB">
              <w:rPr>
                <w:rFonts w:hint="eastAsia"/>
                <w:color w:val="000000"/>
                <w:w w:val="31"/>
                <w:shd w:val="solid" w:color="000000" w:fill="000000"/>
                <w:fitText w:val="140" w:id="-893134844"/>
                <w14:textFill>
                  <w14:solidFill>
                    <w14:srgbClr w14:val="000000">
                      <w14:alpha w14:val="100000"/>
                    </w14:srgbClr>
                  </w14:solidFill>
                </w14:textFill>
              </w:rPr>
              <w:t xml:space="preserve">　</w:t>
            </w:r>
            <w:r w:rsidR="00DE2396" w:rsidRPr="00B743AB">
              <w:rPr>
                <w:color w:val="000000"/>
                <w:w w:val="31"/>
                <w:shd w:val="solid" w:color="000000" w:fill="000000"/>
                <w:fitText w:val="140" w:id="-893134844"/>
                <w14:textFill>
                  <w14:solidFill>
                    <w14:srgbClr w14:val="000000">
                      <w14:alpha w14:val="100000"/>
                    </w14:srgbClr>
                  </w14:solidFill>
                </w14:textFill>
              </w:rPr>
              <w:t>|</w:t>
            </w:r>
            <w:r w:rsidR="00DE2396" w:rsidRPr="00B743AB">
              <w:rPr>
                <w:rFonts w:hint="eastAsia"/>
                <w:color w:val="000000"/>
                <w:w w:val="31"/>
                <w:shd w:val="solid" w:color="000000" w:fill="000000"/>
                <w:fitText w:val="140" w:id="-893134844"/>
                <w14:textFill>
                  <w14:solidFill>
                    <w14:srgbClr w14:val="000000">
                      <w14:alpha w14:val="100000"/>
                    </w14:srgbClr>
                  </w14:solidFill>
                </w14:textFill>
              </w:rPr>
              <w:t xml:space="preserve">　</w:t>
            </w:r>
            <w:r w:rsidR="003E4BBF" w:rsidRPr="00B71856">
              <w:rPr>
                <w:vertAlign w:val="superscript"/>
              </w:rPr>
              <w:t>1</w:t>
            </w:r>
          </w:p>
        </w:tc>
        <w:tc>
          <w:tcPr>
            <w:tcW w:w="545" w:type="pct"/>
            <w:shd w:val="clear" w:color="auto" w:fill="auto"/>
          </w:tcPr>
          <w:p w14:paraId="69075E20" w14:textId="4DAC9898" w:rsidR="00645DFD" w:rsidRPr="001C05C6" w:rsidRDefault="00645DFD" w:rsidP="00161CA4">
            <w:pPr>
              <w:pStyle w:val="TableText"/>
              <w:keepLines/>
              <w:jc w:val="center"/>
            </w:pPr>
            <w:r w:rsidRPr="00702E25">
              <w:t>-</w:t>
            </w:r>
            <w:r w:rsidR="00DE2396" w:rsidRPr="00B743AB">
              <w:rPr>
                <w:rFonts w:hint="eastAsia"/>
                <w:color w:val="000000"/>
                <w:w w:val="31"/>
                <w:shd w:val="solid" w:color="000000" w:fill="000000"/>
                <w:fitText w:val="140" w:id="-893134843"/>
                <w14:textFill>
                  <w14:solidFill>
                    <w14:srgbClr w14:val="000000">
                      <w14:alpha w14:val="100000"/>
                    </w14:srgbClr>
                  </w14:solidFill>
                </w14:textFill>
              </w:rPr>
              <w:t xml:space="preserve">　</w:t>
            </w:r>
            <w:r w:rsidR="00DE2396" w:rsidRPr="00B743AB">
              <w:rPr>
                <w:color w:val="000000"/>
                <w:w w:val="31"/>
                <w:shd w:val="solid" w:color="000000" w:fill="000000"/>
                <w:fitText w:val="140" w:id="-893134843"/>
                <w14:textFill>
                  <w14:solidFill>
                    <w14:srgbClr w14:val="000000">
                      <w14:alpha w14:val="100000"/>
                    </w14:srgbClr>
                  </w14:solidFill>
                </w14:textFill>
              </w:rPr>
              <w:t>|</w:t>
            </w:r>
            <w:r w:rsidR="00DE2396" w:rsidRPr="00B743AB">
              <w:rPr>
                <w:rFonts w:hint="eastAsia"/>
                <w:color w:val="000000"/>
                <w:w w:val="31"/>
                <w:shd w:val="solid" w:color="000000" w:fill="000000"/>
                <w:fitText w:val="140" w:id="-893134843"/>
                <w14:textFill>
                  <w14:solidFill>
                    <w14:srgbClr w14:val="000000">
                      <w14:alpha w14:val="100000"/>
                    </w14:srgbClr>
                  </w14:solidFill>
                </w14:textFill>
              </w:rPr>
              <w:t xml:space="preserve">　</w:t>
            </w:r>
            <w:r w:rsidR="003E4BBF" w:rsidRPr="00B71856">
              <w:rPr>
                <w:vertAlign w:val="superscript"/>
              </w:rPr>
              <w:t>1</w:t>
            </w:r>
          </w:p>
        </w:tc>
        <w:tc>
          <w:tcPr>
            <w:tcW w:w="544" w:type="pct"/>
            <w:shd w:val="clear" w:color="auto" w:fill="auto"/>
          </w:tcPr>
          <w:p w14:paraId="5AB2D86D" w14:textId="20CD7887" w:rsidR="00645DFD" w:rsidRPr="001C05C6" w:rsidRDefault="00645DFD" w:rsidP="00161CA4">
            <w:pPr>
              <w:pStyle w:val="TableText"/>
              <w:keepLines/>
              <w:jc w:val="center"/>
            </w:pPr>
            <w:r w:rsidRPr="00702E25">
              <w:t>-</w:t>
            </w:r>
            <w:r w:rsidR="00DE2396" w:rsidRPr="00B743AB">
              <w:rPr>
                <w:rFonts w:hint="eastAsia"/>
                <w:color w:val="000000"/>
                <w:w w:val="31"/>
                <w:shd w:val="solid" w:color="000000" w:fill="000000"/>
                <w:fitText w:val="140" w:id="-893134842"/>
                <w14:textFill>
                  <w14:solidFill>
                    <w14:srgbClr w14:val="000000">
                      <w14:alpha w14:val="100000"/>
                    </w14:srgbClr>
                  </w14:solidFill>
                </w14:textFill>
              </w:rPr>
              <w:t xml:space="preserve">　</w:t>
            </w:r>
            <w:r w:rsidR="00DE2396" w:rsidRPr="00B743AB">
              <w:rPr>
                <w:color w:val="000000"/>
                <w:w w:val="31"/>
                <w:shd w:val="solid" w:color="000000" w:fill="000000"/>
                <w:fitText w:val="140" w:id="-893134842"/>
                <w14:textFill>
                  <w14:solidFill>
                    <w14:srgbClr w14:val="000000">
                      <w14:alpha w14:val="100000"/>
                    </w14:srgbClr>
                  </w14:solidFill>
                </w14:textFill>
              </w:rPr>
              <w:t>|</w:t>
            </w:r>
            <w:r w:rsidR="00DE2396" w:rsidRPr="00B743AB">
              <w:rPr>
                <w:rFonts w:hint="eastAsia"/>
                <w:color w:val="000000"/>
                <w:w w:val="31"/>
                <w:shd w:val="solid" w:color="000000" w:fill="000000"/>
                <w:fitText w:val="140" w:id="-893134842"/>
                <w14:textFill>
                  <w14:solidFill>
                    <w14:srgbClr w14:val="000000">
                      <w14:alpha w14:val="100000"/>
                    </w14:srgbClr>
                  </w14:solidFill>
                </w14:textFill>
              </w:rPr>
              <w:t xml:space="preserve">　</w:t>
            </w:r>
            <w:r w:rsidR="003E4BBF" w:rsidRPr="00B71856">
              <w:rPr>
                <w:vertAlign w:val="superscript"/>
              </w:rPr>
              <w:t>1</w:t>
            </w:r>
          </w:p>
        </w:tc>
        <w:tc>
          <w:tcPr>
            <w:tcW w:w="547" w:type="pct"/>
          </w:tcPr>
          <w:p w14:paraId="1A25AF88" w14:textId="6E7BF018" w:rsidR="00645DFD" w:rsidRPr="001C05C6" w:rsidRDefault="00645DFD" w:rsidP="00161CA4">
            <w:pPr>
              <w:pStyle w:val="TableText"/>
              <w:keepLines/>
              <w:jc w:val="center"/>
            </w:pPr>
            <w:r w:rsidRPr="00702E25">
              <w:t>-</w:t>
            </w:r>
            <w:r w:rsidR="00DE2396" w:rsidRPr="00B743AB">
              <w:rPr>
                <w:rFonts w:hint="eastAsia"/>
                <w:color w:val="000000"/>
                <w:w w:val="31"/>
                <w:shd w:val="solid" w:color="000000" w:fill="000000"/>
                <w:fitText w:val="140" w:id="-893134841"/>
                <w14:textFill>
                  <w14:solidFill>
                    <w14:srgbClr w14:val="000000">
                      <w14:alpha w14:val="100000"/>
                    </w14:srgbClr>
                  </w14:solidFill>
                </w14:textFill>
              </w:rPr>
              <w:t xml:space="preserve">　</w:t>
            </w:r>
            <w:r w:rsidR="00DE2396" w:rsidRPr="00B743AB">
              <w:rPr>
                <w:color w:val="000000"/>
                <w:w w:val="31"/>
                <w:shd w:val="solid" w:color="000000" w:fill="000000"/>
                <w:fitText w:val="140" w:id="-893134841"/>
                <w14:textFill>
                  <w14:solidFill>
                    <w14:srgbClr w14:val="000000">
                      <w14:alpha w14:val="100000"/>
                    </w14:srgbClr>
                  </w14:solidFill>
                </w14:textFill>
              </w:rPr>
              <w:t>|</w:t>
            </w:r>
            <w:r w:rsidR="00DE2396" w:rsidRPr="00B743AB">
              <w:rPr>
                <w:rFonts w:hint="eastAsia"/>
                <w:color w:val="000000"/>
                <w:w w:val="31"/>
                <w:shd w:val="solid" w:color="000000" w:fill="000000"/>
                <w:fitText w:val="140" w:id="-893134841"/>
                <w14:textFill>
                  <w14:solidFill>
                    <w14:srgbClr w14:val="000000">
                      <w14:alpha w14:val="100000"/>
                    </w14:srgbClr>
                  </w14:solidFill>
                </w14:textFill>
              </w:rPr>
              <w:t xml:space="preserve">　</w:t>
            </w:r>
            <w:r w:rsidR="003E4BBF" w:rsidRPr="00B71856">
              <w:rPr>
                <w:vertAlign w:val="superscript"/>
              </w:rPr>
              <w:t>1</w:t>
            </w:r>
          </w:p>
        </w:tc>
      </w:tr>
      <w:tr w:rsidR="005E2782" w:rsidRPr="001C05C6" w14:paraId="27EB31F4" w14:textId="77777777" w:rsidTr="0052351F">
        <w:tc>
          <w:tcPr>
            <w:tcW w:w="1731" w:type="pct"/>
            <w:shd w:val="clear" w:color="auto" w:fill="auto"/>
            <w:vAlign w:val="center"/>
          </w:tcPr>
          <w:p w14:paraId="4C476001" w14:textId="77777777" w:rsidR="005E2782" w:rsidRPr="001C05C6" w:rsidRDefault="005E2782" w:rsidP="00161CA4">
            <w:pPr>
              <w:pStyle w:val="TableText"/>
              <w:keepLines/>
            </w:pPr>
            <w:r w:rsidRPr="001C05C6">
              <w:t>Market share of LECIG</w:t>
            </w:r>
          </w:p>
        </w:tc>
        <w:tc>
          <w:tcPr>
            <w:tcW w:w="544" w:type="pct"/>
            <w:shd w:val="clear" w:color="auto" w:fill="auto"/>
          </w:tcPr>
          <w:p w14:paraId="693AD6AF" w14:textId="27357BF1" w:rsidR="005E2782" w:rsidRPr="008403BF" w:rsidRDefault="00DE2396" w:rsidP="00161CA4">
            <w:pPr>
              <w:pStyle w:val="TableText"/>
              <w:keepLines/>
              <w:jc w:val="center"/>
            </w:pPr>
            <w:r w:rsidRPr="00B743AB">
              <w:rPr>
                <w:color w:val="000000"/>
                <w:spacing w:val="74"/>
                <w:shd w:val="solid" w:color="000000" w:fill="000000"/>
                <w:fitText w:val="160" w:id="-893134840"/>
                <w14:textFill>
                  <w14:solidFill>
                    <w14:srgbClr w14:val="000000">
                      <w14:alpha w14:val="100000"/>
                    </w14:srgbClr>
                  </w14:solidFill>
                </w14:textFill>
              </w:rPr>
              <w:t>|</w:t>
            </w:r>
            <w:r w:rsidRPr="00B743AB">
              <w:rPr>
                <w:color w:val="000000"/>
                <w:shd w:val="solid" w:color="000000" w:fill="000000"/>
                <w:fitText w:val="160" w:id="-893134840"/>
                <w14:textFill>
                  <w14:solidFill>
                    <w14:srgbClr w14:val="000000">
                      <w14:alpha w14:val="100000"/>
                    </w14:srgbClr>
                  </w14:solidFill>
                </w14:textFill>
              </w:rPr>
              <w:t>|</w:t>
            </w:r>
            <w:r w:rsidR="005E2782" w:rsidRPr="008403BF">
              <w:t>%</w:t>
            </w:r>
          </w:p>
        </w:tc>
        <w:tc>
          <w:tcPr>
            <w:tcW w:w="545" w:type="pct"/>
            <w:shd w:val="clear" w:color="auto" w:fill="auto"/>
          </w:tcPr>
          <w:p w14:paraId="114AECFD" w14:textId="5F04E48A" w:rsidR="005E2782" w:rsidRPr="008403BF" w:rsidRDefault="00DE2396" w:rsidP="00161CA4">
            <w:pPr>
              <w:pStyle w:val="TableText"/>
              <w:keepLines/>
              <w:jc w:val="center"/>
            </w:pPr>
            <w:r w:rsidRPr="00B743AB">
              <w:rPr>
                <w:color w:val="000000"/>
                <w:spacing w:val="74"/>
                <w:shd w:val="solid" w:color="000000" w:fill="000000"/>
                <w:fitText w:val="160" w:id="-893134839"/>
                <w14:textFill>
                  <w14:solidFill>
                    <w14:srgbClr w14:val="000000">
                      <w14:alpha w14:val="100000"/>
                    </w14:srgbClr>
                  </w14:solidFill>
                </w14:textFill>
              </w:rPr>
              <w:t>|</w:t>
            </w:r>
            <w:r w:rsidRPr="00B743AB">
              <w:rPr>
                <w:color w:val="000000"/>
                <w:shd w:val="solid" w:color="000000" w:fill="000000"/>
                <w:fitText w:val="160" w:id="-893134839"/>
                <w14:textFill>
                  <w14:solidFill>
                    <w14:srgbClr w14:val="000000">
                      <w14:alpha w14:val="100000"/>
                    </w14:srgbClr>
                  </w14:solidFill>
                </w14:textFill>
              </w:rPr>
              <w:t>|</w:t>
            </w:r>
            <w:r w:rsidR="005E2782" w:rsidRPr="008403BF">
              <w:t>%</w:t>
            </w:r>
          </w:p>
        </w:tc>
        <w:tc>
          <w:tcPr>
            <w:tcW w:w="544" w:type="pct"/>
            <w:shd w:val="clear" w:color="auto" w:fill="auto"/>
          </w:tcPr>
          <w:p w14:paraId="02727198" w14:textId="168EE4D0" w:rsidR="005E2782" w:rsidRPr="008403BF" w:rsidRDefault="00DE2396" w:rsidP="00161CA4">
            <w:pPr>
              <w:pStyle w:val="TableText"/>
              <w:keepLines/>
              <w:jc w:val="center"/>
            </w:pPr>
            <w:r w:rsidRPr="00B743AB">
              <w:rPr>
                <w:color w:val="000000"/>
                <w:spacing w:val="74"/>
                <w:shd w:val="solid" w:color="000000" w:fill="000000"/>
                <w:fitText w:val="160" w:id="-893134838"/>
                <w14:textFill>
                  <w14:solidFill>
                    <w14:srgbClr w14:val="000000">
                      <w14:alpha w14:val="100000"/>
                    </w14:srgbClr>
                  </w14:solidFill>
                </w14:textFill>
              </w:rPr>
              <w:t>|</w:t>
            </w:r>
            <w:r w:rsidRPr="00B743AB">
              <w:rPr>
                <w:color w:val="000000"/>
                <w:shd w:val="solid" w:color="000000" w:fill="000000"/>
                <w:fitText w:val="160" w:id="-893134838"/>
                <w14:textFill>
                  <w14:solidFill>
                    <w14:srgbClr w14:val="000000">
                      <w14:alpha w14:val="100000"/>
                    </w14:srgbClr>
                  </w14:solidFill>
                </w14:textFill>
              </w:rPr>
              <w:t>|</w:t>
            </w:r>
            <w:r w:rsidR="005E2782" w:rsidRPr="008403BF">
              <w:t>%</w:t>
            </w:r>
          </w:p>
        </w:tc>
        <w:tc>
          <w:tcPr>
            <w:tcW w:w="545" w:type="pct"/>
            <w:shd w:val="clear" w:color="auto" w:fill="auto"/>
          </w:tcPr>
          <w:p w14:paraId="7B7C72DC" w14:textId="51114BE7" w:rsidR="005E2782" w:rsidRPr="008403BF" w:rsidRDefault="00DE2396" w:rsidP="00161CA4">
            <w:pPr>
              <w:pStyle w:val="TableText"/>
              <w:keepLines/>
              <w:jc w:val="center"/>
            </w:pPr>
            <w:r w:rsidRPr="00B743AB">
              <w:rPr>
                <w:color w:val="000000"/>
                <w:spacing w:val="74"/>
                <w:shd w:val="solid" w:color="000000" w:fill="000000"/>
                <w:fitText w:val="160" w:id="-893134837"/>
                <w14:textFill>
                  <w14:solidFill>
                    <w14:srgbClr w14:val="000000">
                      <w14:alpha w14:val="100000"/>
                    </w14:srgbClr>
                  </w14:solidFill>
                </w14:textFill>
              </w:rPr>
              <w:t>|</w:t>
            </w:r>
            <w:r w:rsidRPr="00B743AB">
              <w:rPr>
                <w:color w:val="000000"/>
                <w:shd w:val="solid" w:color="000000" w:fill="000000"/>
                <w:fitText w:val="160" w:id="-893134837"/>
                <w14:textFill>
                  <w14:solidFill>
                    <w14:srgbClr w14:val="000000">
                      <w14:alpha w14:val="100000"/>
                    </w14:srgbClr>
                  </w14:solidFill>
                </w14:textFill>
              </w:rPr>
              <w:t>|</w:t>
            </w:r>
            <w:r w:rsidR="005E2782" w:rsidRPr="008403BF">
              <w:t>%</w:t>
            </w:r>
          </w:p>
        </w:tc>
        <w:tc>
          <w:tcPr>
            <w:tcW w:w="544" w:type="pct"/>
            <w:shd w:val="clear" w:color="auto" w:fill="auto"/>
          </w:tcPr>
          <w:p w14:paraId="704F6D4A" w14:textId="144D589F" w:rsidR="005E2782" w:rsidRPr="008403BF" w:rsidRDefault="00DE2396" w:rsidP="00161CA4">
            <w:pPr>
              <w:pStyle w:val="TableText"/>
              <w:keepLines/>
              <w:jc w:val="center"/>
            </w:pPr>
            <w:r w:rsidRPr="00B743AB">
              <w:rPr>
                <w:color w:val="000000"/>
                <w:spacing w:val="74"/>
                <w:shd w:val="solid" w:color="000000" w:fill="000000"/>
                <w:fitText w:val="160" w:id="-893134836"/>
                <w14:textFill>
                  <w14:solidFill>
                    <w14:srgbClr w14:val="000000">
                      <w14:alpha w14:val="100000"/>
                    </w14:srgbClr>
                  </w14:solidFill>
                </w14:textFill>
              </w:rPr>
              <w:t>|</w:t>
            </w:r>
            <w:r w:rsidRPr="00B743AB">
              <w:rPr>
                <w:color w:val="000000"/>
                <w:shd w:val="solid" w:color="000000" w:fill="000000"/>
                <w:fitText w:val="160" w:id="-893134836"/>
                <w14:textFill>
                  <w14:solidFill>
                    <w14:srgbClr w14:val="000000">
                      <w14:alpha w14:val="100000"/>
                    </w14:srgbClr>
                  </w14:solidFill>
                </w14:textFill>
              </w:rPr>
              <w:t>|</w:t>
            </w:r>
            <w:r w:rsidR="005E2782" w:rsidRPr="008403BF">
              <w:t>%</w:t>
            </w:r>
          </w:p>
        </w:tc>
        <w:tc>
          <w:tcPr>
            <w:tcW w:w="547" w:type="pct"/>
          </w:tcPr>
          <w:p w14:paraId="32209B1B" w14:textId="741ED7C4" w:rsidR="005E2782" w:rsidRPr="008403BF" w:rsidRDefault="00DE2396" w:rsidP="00161CA4">
            <w:pPr>
              <w:pStyle w:val="TableText"/>
              <w:keepLines/>
              <w:jc w:val="center"/>
            </w:pPr>
            <w:r w:rsidRPr="00B743AB">
              <w:rPr>
                <w:color w:val="000000"/>
                <w:spacing w:val="74"/>
                <w:shd w:val="solid" w:color="000000" w:fill="000000"/>
                <w:fitText w:val="160" w:id="-893134835"/>
                <w14:textFill>
                  <w14:solidFill>
                    <w14:srgbClr w14:val="000000">
                      <w14:alpha w14:val="100000"/>
                    </w14:srgbClr>
                  </w14:solidFill>
                </w14:textFill>
              </w:rPr>
              <w:t>|</w:t>
            </w:r>
            <w:r w:rsidRPr="00B743AB">
              <w:rPr>
                <w:color w:val="000000"/>
                <w:shd w:val="solid" w:color="000000" w:fill="000000"/>
                <w:fitText w:val="160" w:id="-893134835"/>
                <w14:textFill>
                  <w14:solidFill>
                    <w14:srgbClr w14:val="000000">
                      <w14:alpha w14:val="100000"/>
                    </w14:srgbClr>
                  </w14:solidFill>
                </w14:textFill>
              </w:rPr>
              <w:t>|</w:t>
            </w:r>
            <w:r w:rsidR="005E2782" w:rsidRPr="008403BF">
              <w:t>%</w:t>
            </w:r>
          </w:p>
        </w:tc>
      </w:tr>
      <w:tr w:rsidR="00990024" w:rsidRPr="001C05C6" w14:paraId="121F64B7" w14:textId="77777777" w:rsidTr="0052351F">
        <w:tc>
          <w:tcPr>
            <w:tcW w:w="1731" w:type="pct"/>
            <w:shd w:val="clear" w:color="auto" w:fill="auto"/>
            <w:vAlign w:val="center"/>
          </w:tcPr>
          <w:p w14:paraId="4D4B0AF3" w14:textId="2173D76E" w:rsidR="00990024" w:rsidRPr="00A9442F" w:rsidRDefault="00990024" w:rsidP="00161CA4">
            <w:pPr>
              <w:pStyle w:val="TableText"/>
              <w:keepLines/>
            </w:pPr>
            <w:r w:rsidRPr="00A9442F">
              <w:t>Substitution rate (</w:t>
            </w:r>
            <w:r w:rsidRPr="008403BF">
              <w:t>1.31/1.15</w:t>
            </w:r>
            <w:r w:rsidRPr="00A9442F">
              <w:t>)</w:t>
            </w:r>
          </w:p>
        </w:tc>
        <w:tc>
          <w:tcPr>
            <w:tcW w:w="544" w:type="pct"/>
            <w:shd w:val="clear" w:color="auto" w:fill="auto"/>
          </w:tcPr>
          <w:p w14:paraId="52EFF939" w14:textId="3F0007EC" w:rsidR="00990024" w:rsidRPr="008403BF" w:rsidRDefault="00990024" w:rsidP="00161CA4">
            <w:pPr>
              <w:pStyle w:val="TableText"/>
              <w:keepLines/>
              <w:jc w:val="center"/>
            </w:pPr>
            <w:r w:rsidRPr="008403BF">
              <w:t>1.1390</w:t>
            </w:r>
          </w:p>
        </w:tc>
        <w:tc>
          <w:tcPr>
            <w:tcW w:w="545" w:type="pct"/>
            <w:shd w:val="clear" w:color="auto" w:fill="auto"/>
          </w:tcPr>
          <w:p w14:paraId="5B38F498" w14:textId="56AB6DF9" w:rsidR="00990024" w:rsidRPr="008403BF" w:rsidRDefault="00990024" w:rsidP="00161CA4">
            <w:pPr>
              <w:pStyle w:val="TableText"/>
              <w:keepLines/>
              <w:jc w:val="center"/>
            </w:pPr>
            <w:r w:rsidRPr="008403BF">
              <w:t>1.1390</w:t>
            </w:r>
          </w:p>
        </w:tc>
        <w:tc>
          <w:tcPr>
            <w:tcW w:w="544" w:type="pct"/>
            <w:shd w:val="clear" w:color="auto" w:fill="auto"/>
          </w:tcPr>
          <w:p w14:paraId="330C52D8" w14:textId="09A6D030" w:rsidR="00990024" w:rsidRPr="008403BF" w:rsidRDefault="00990024" w:rsidP="00161CA4">
            <w:pPr>
              <w:pStyle w:val="TableText"/>
              <w:keepLines/>
              <w:jc w:val="center"/>
            </w:pPr>
            <w:r w:rsidRPr="008403BF">
              <w:t>1.1390</w:t>
            </w:r>
          </w:p>
        </w:tc>
        <w:tc>
          <w:tcPr>
            <w:tcW w:w="545" w:type="pct"/>
            <w:shd w:val="clear" w:color="auto" w:fill="auto"/>
          </w:tcPr>
          <w:p w14:paraId="7AD30A52" w14:textId="5F8D7609" w:rsidR="00990024" w:rsidRPr="008403BF" w:rsidRDefault="00990024" w:rsidP="00161CA4">
            <w:pPr>
              <w:pStyle w:val="TableText"/>
              <w:keepLines/>
              <w:jc w:val="center"/>
            </w:pPr>
            <w:r w:rsidRPr="008403BF">
              <w:t>1.1390</w:t>
            </w:r>
          </w:p>
        </w:tc>
        <w:tc>
          <w:tcPr>
            <w:tcW w:w="544" w:type="pct"/>
            <w:shd w:val="clear" w:color="auto" w:fill="auto"/>
          </w:tcPr>
          <w:p w14:paraId="0D3FF489" w14:textId="50F624BD" w:rsidR="00990024" w:rsidRPr="008403BF" w:rsidRDefault="00990024" w:rsidP="00161CA4">
            <w:pPr>
              <w:pStyle w:val="TableText"/>
              <w:keepLines/>
              <w:jc w:val="center"/>
            </w:pPr>
            <w:r w:rsidRPr="008403BF">
              <w:t>1.1390</w:t>
            </w:r>
          </w:p>
        </w:tc>
        <w:tc>
          <w:tcPr>
            <w:tcW w:w="547" w:type="pct"/>
          </w:tcPr>
          <w:p w14:paraId="6994F246" w14:textId="0DEC4EF7" w:rsidR="00990024" w:rsidRPr="008403BF" w:rsidRDefault="00990024" w:rsidP="00161CA4">
            <w:pPr>
              <w:pStyle w:val="TableText"/>
              <w:keepLines/>
              <w:jc w:val="center"/>
            </w:pPr>
            <w:r w:rsidRPr="008403BF">
              <w:t>1.1390</w:t>
            </w:r>
          </w:p>
        </w:tc>
      </w:tr>
      <w:tr w:rsidR="00E316EE" w:rsidRPr="001C05C6" w14:paraId="7808A019" w14:textId="77777777" w:rsidTr="007D66A7">
        <w:tc>
          <w:tcPr>
            <w:tcW w:w="1731" w:type="pct"/>
            <w:shd w:val="clear" w:color="auto" w:fill="auto"/>
            <w:vAlign w:val="center"/>
          </w:tcPr>
          <w:p w14:paraId="04E81AA3" w14:textId="55452F2E" w:rsidR="00E316EE" w:rsidRPr="001C05C6" w:rsidRDefault="00E316EE" w:rsidP="00161CA4">
            <w:pPr>
              <w:pStyle w:val="TableText"/>
              <w:keepLines/>
              <w:rPr>
                <w:vertAlign w:val="superscript"/>
              </w:rPr>
            </w:pPr>
            <w:r w:rsidRPr="001C05C6">
              <w:t xml:space="preserve">Maximum quantity of </w:t>
            </w:r>
            <w:r>
              <w:t>4</w:t>
            </w:r>
            <w:r w:rsidRPr="001C05C6">
              <w:t xml:space="preserve"> (p</w:t>
            </w:r>
            <w:r>
              <w:t>k</w:t>
            </w:r>
            <w:r w:rsidRPr="001C05C6">
              <w:t>) LECIG scripts</w:t>
            </w:r>
          </w:p>
        </w:tc>
        <w:tc>
          <w:tcPr>
            <w:tcW w:w="544" w:type="pct"/>
            <w:shd w:val="clear" w:color="auto" w:fill="auto"/>
          </w:tcPr>
          <w:p w14:paraId="57528D25" w14:textId="552B01C9" w:rsidR="00E316E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34"/>
                <w14:textFill>
                  <w14:solidFill>
                    <w14:srgbClr w14:val="000000">
                      <w14:alpha w14:val="100000"/>
                    </w14:srgbClr>
                  </w14:solidFill>
                </w14:textFill>
              </w:rPr>
              <w:t xml:space="preserve">　</w:t>
            </w:r>
            <w:r w:rsidRPr="00B743AB">
              <w:rPr>
                <w:color w:val="000000"/>
                <w:w w:val="27"/>
                <w:shd w:val="solid" w:color="000000" w:fill="000000"/>
                <w:fitText w:val="120" w:id="-893134834"/>
                <w14:textFill>
                  <w14:solidFill>
                    <w14:srgbClr w14:val="000000">
                      <w14:alpha w14:val="100000"/>
                    </w14:srgbClr>
                  </w14:solidFill>
                </w14:textFill>
              </w:rPr>
              <w:t>|</w:t>
            </w:r>
            <w:r w:rsidRPr="00B743AB">
              <w:rPr>
                <w:rFonts w:hint="eastAsia"/>
                <w:color w:val="000000"/>
                <w:w w:val="27"/>
                <w:shd w:val="solid" w:color="000000" w:fill="000000"/>
                <w:fitText w:val="120" w:id="-893134834"/>
                <w14:textFill>
                  <w14:solidFill>
                    <w14:srgbClr w14:val="000000">
                      <w14:alpha w14:val="100000"/>
                    </w14:srgbClr>
                  </w14:solidFill>
                </w14:textFill>
              </w:rPr>
              <w:t xml:space="preserve">　</w:t>
            </w:r>
            <w:r w:rsidR="006628A9" w:rsidRPr="00B71856">
              <w:rPr>
                <w:vertAlign w:val="superscript"/>
              </w:rPr>
              <w:t>1</w:t>
            </w:r>
          </w:p>
        </w:tc>
        <w:tc>
          <w:tcPr>
            <w:tcW w:w="545" w:type="pct"/>
            <w:shd w:val="clear" w:color="auto" w:fill="auto"/>
          </w:tcPr>
          <w:p w14:paraId="14FDAB8C" w14:textId="7269CEE9" w:rsidR="00E316EE" w:rsidRPr="008403BF" w:rsidRDefault="00DE2396" w:rsidP="00161CA4">
            <w:pPr>
              <w:pStyle w:val="TableText"/>
              <w:keepLines/>
              <w:jc w:val="center"/>
              <w:rPr>
                <w:highlight w:val="lightGray"/>
              </w:rPr>
            </w:pPr>
            <w:r w:rsidRPr="00B743AB">
              <w:rPr>
                <w:rFonts w:hint="eastAsia"/>
                <w:color w:val="000000"/>
                <w:w w:val="24"/>
                <w:shd w:val="solid" w:color="000000" w:fill="000000"/>
                <w:fitText w:val="110" w:id="-893134833"/>
                <w14:textFill>
                  <w14:solidFill>
                    <w14:srgbClr w14:val="000000">
                      <w14:alpha w14:val="100000"/>
                    </w14:srgbClr>
                  </w14:solidFill>
                </w14:textFill>
              </w:rPr>
              <w:t xml:space="preserve">　</w:t>
            </w:r>
            <w:r w:rsidRPr="00B743AB">
              <w:rPr>
                <w:color w:val="000000"/>
                <w:w w:val="24"/>
                <w:shd w:val="solid" w:color="000000" w:fill="000000"/>
                <w:fitText w:val="110" w:id="-893134833"/>
                <w14:textFill>
                  <w14:solidFill>
                    <w14:srgbClr w14:val="000000">
                      <w14:alpha w14:val="100000"/>
                    </w14:srgbClr>
                  </w14:solidFill>
                </w14:textFill>
              </w:rPr>
              <w:t>|</w:t>
            </w:r>
            <w:r w:rsidRPr="00B743AB">
              <w:rPr>
                <w:rFonts w:hint="eastAsia"/>
                <w:color w:val="000000"/>
                <w:w w:val="24"/>
                <w:shd w:val="solid" w:color="000000" w:fill="000000"/>
                <w:fitText w:val="110" w:id="-893134833"/>
                <w14:textFill>
                  <w14:solidFill>
                    <w14:srgbClr w14:val="000000">
                      <w14:alpha w14:val="100000"/>
                    </w14:srgbClr>
                  </w14:solidFill>
                </w14:textFill>
              </w:rPr>
              <w:t xml:space="preserve">　</w:t>
            </w:r>
            <w:r w:rsidR="006628A9" w:rsidRPr="00B71856">
              <w:rPr>
                <w:vertAlign w:val="superscript"/>
              </w:rPr>
              <w:t>1</w:t>
            </w:r>
          </w:p>
        </w:tc>
        <w:tc>
          <w:tcPr>
            <w:tcW w:w="544" w:type="pct"/>
            <w:shd w:val="clear" w:color="auto" w:fill="auto"/>
          </w:tcPr>
          <w:p w14:paraId="62AACAF0" w14:textId="6AA73417" w:rsidR="00E316E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32"/>
                <w14:textFill>
                  <w14:solidFill>
                    <w14:srgbClr w14:val="000000">
                      <w14:alpha w14:val="100000"/>
                    </w14:srgbClr>
                  </w14:solidFill>
                </w14:textFill>
              </w:rPr>
              <w:t xml:space="preserve">　</w:t>
            </w:r>
            <w:r w:rsidRPr="00B743AB">
              <w:rPr>
                <w:color w:val="000000"/>
                <w:w w:val="27"/>
                <w:shd w:val="solid" w:color="000000" w:fill="000000"/>
                <w:fitText w:val="120" w:id="-893134832"/>
                <w14:textFill>
                  <w14:solidFill>
                    <w14:srgbClr w14:val="000000">
                      <w14:alpha w14:val="100000"/>
                    </w14:srgbClr>
                  </w14:solidFill>
                </w14:textFill>
              </w:rPr>
              <w:t>|</w:t>
            </w:r>
            <w:r w:rsidRPr="00B743AB">
              <w:rPr>
                <w:rFonts w:hint="eastAsia"/>
                <w:color w:val="000000"/>
                <w:w w:val="27"/>
                <w:shd w:val="solid" w:color="000000" w:fill="000000"/>
                <w:fitText w:val="120" w:id="-893134832"/>
                <w14:textFill>
                  <w14:solidFill>
                    <w14:srgbClr w14:val="000000">
                      <w14:alpha w14:val="100000"/>
                    </w14:srgbClr>
                  </w14:solidFill>
                </w14:textFill>
              </w:rPr>
              <w:t xml:space="preserve">　</w:t>
            </w:r>
            <w:r w:rsidR="006628A9" w:rsidRPr="00B71856">
              <w:rPr>
                <w:vertAlign w:val="superscript"/>
              </w:rPr>
              <w:t>1</w:t>
            </w:r>
          </w:p>
        </w:tc>
        <w:tc>
          <w:tcPr>
            <w:tcW w:w="545" w:type="pct"/>
            <w:shd w:val="clear" w:color="auto" w:fill="auto"/>
          </w:tcPr>
          <w:p w14:paraId="4D38320D" w14:textId="5FD2595D" w:rsidR="00E316EE" w:rsidRPr="008403BF" w:rsidRDefault="00DE2396" w:rsidP="00161CA4">
            <w:pPr>
              <w:pStyle w:val="TableText"/>
              <w:keepLines/>
              <w:jc w:val="center"/>
              <w:rPr>
                <w:highlight w:val="lightGray"/>
              </w:rPr>
            </w:pPr>
            <w:r w:rsidRPr="00B743AB">
              <w:rPr>
                <w:rFonts w:hint="eastAsia"/>
                <w:color w:val="000000"/>
                <w:w w:val="24"/>
                <w:shd w:val="solid" w:color="000000" w:fill="000000"/>
                <w:fitText w:val="110" w:id="-893134848"/>
                <w14:textFill>
                  <w14:solidFill>
                    <w14:srgbClr w14:val="000000">
                      <w14:alpha w14:val="100000"/>
                    </w14:srgbClr>
                  </w14:solidFill>
                </w14:textFill>
              </w:rPr>
              <w:t xml:space="preserve">　</w:t>
            </w:r>
            <w:r w:rsidRPr="00B743AB">
              <w:rPr>
                <w:color w:val="000000"/>
                <w:w w:val="24"/>
                <w:shd w:val="solid" w:color="000000" w:fill="000000"/>
                <w:fitText w:val="110" w:id="-893134848"/>
                <w14:textFill>
                  <w14:solidFill>
                    <w14:srgbClr w14:val="000000">
                      <w14:alpha w14:val="100000"/>
                    </w14:srgbClr>
                  </w14:solidFill>
                </w14:textFill>
              </w:rPr>
              <w:t>|</w:t>
            </w:r>
            <w:r w:rsidRPr="00B743AB">
              <w:rPr>
                <w:rFonts w:hint="eastAsia"/>
                <w:color w:val="000000"/>
                <w:w w:val="24"/>
                <w:shd w:val="solid" w:color="000000" w:fill="000000"/>
                <w:fitText w:val="110" w:id="-893134848"/>
                <w14:textFill>
                  <w14:solidFill>
                    <w14:srgbClr w14:val="000000">
                      <w14:alpha w14:val="100000"/>
                    </w14:srgbClr>
                  </w14:solidFill>
                </w14:textFill>
              </w:rPr>
              <w:t xml:space="preserve">　</w:t>
            </w:r>
            <w:r w:rsidR="006628A9" w:rsidRPr="00B71856">
              <w:rPr>
                <w:vertAlign w:val="superscript"/>
              </w:rPr>
              <w:t>1</w:t>
            </w:r>
          </w:p>
        </w:tc>
        <w:tc>
          <w:tcPr>
            <w:tcW w:w="544" w:type="pct"/>
            <w:shd w:val="clear" w:color="auto" w:fill="auto"/>
          </w:tcPr>
          <w:p w14:paraId="7FE506E4" w14:textId="59E9846B" w:rsidR="00E316E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47"/>
                <w14:textFill>
                  <w14:solidFill>
                    <w14:srgbClr w14:val="000000">
                      <w14:alpha w14:val="100000"/>
                    </w14:srgbClr>
                  </w14:solidFill>
                </w14:textFill>
              </w:rPr>
              <w:t xml:space="preserve">　</w:t>
            </w:r>
            <w:r w:rsidRPr="00B743AB">
              <w:rPr>
                <w:color w:val="000000"/>
                <w:w w:val="27"/>
                <w:shd w:val="solid" w:color="000000" w:fill="000000"/>
                <w:fitText w:val="120" w:id="-893134847"/>
                <w14:textFill>
                  <w14:solidFill>
                    <w14:srgbClr w14:val="000000">
                      <w14:alpha w14:val="100000"/>
                    </w14:srgbClr>
                  </w14:solidFill>
                </w14:textFill>
              </w:rPr>
              <w:t>|</w:t>
            </w:r>
            <w:r w:rsidRPr="00B743AB">
              <w:rPr>
                <w:rFonts w:hint="eastAsia"/>
                <w:color w:val="000000"/>
                <w:w w:val="27"/>
                <w:shd w:val="solid" w:color="000000" w:fill="000000"/>
                <w:fitText w:val="120" w:id="-893134847"/>
                <w14:textFill>
                  <w14:solidFill>
                    <w14:srgbClr w14:val="000000">
                      <w14:alpha w14:val="100000"/>
                    </w14:srgbClr>
                  </w14:solidFill>
                </w14:textFill>
              </w:rPr>
              <w:t xml:space="preserve">　</w:t>
            </w:r>
            <w:r w:rsidR="006628A9" w:rsidRPr="00B71856">
              <w:rPr>
                <w:vertAlign w:val="superscript"/>
              </w:rPr>
              <w:t>1</w:t>
            </w:r>
          </w:p>
        </w:tc>
        <w:tc>
          <w:tcPr>
            <w:tcW w:w="547" w:type="pct"/>
          </w:tcPr>
          <w:p w14:paraId="104667CB" w14:textId="3657DB9A" w:rsidR="00E316EE" w:rsidRPr="008403BF" w:rsidRDefault="00DE2396" w:rsidP="00161CA4">
            <w:pPr>
              <w:pStyle w:val="TableText"/>
              <w:keepLines/>
              <w:jc w:val="center"/>
              <w:rPr>
                <w:highlight w:val="lightGray"/>
              </w:rPr>
            </w:pPr>
            <w:r w:rsidRPr="00B743AB">
              <w:rPr>
                <w:rFonts w:hint="eastAsia"/>
                <w:color w:val="000000"/>
                <w:w w:val="22"/>
                <w:shd w:val="solid" w:color="000000" w:fill="000000"/>
                <w:fitText w:val="100" w:id="-893134846"/>
                <w14:textFill>
                  <w14:solidFill>
                    <w14:srgbClr w14:val="000000">
                      <w14:alpha w14:val="100000"/>
                    </w14:srgbClr>
                  </w14:solidFill>
                </w14:textFill>
              </w:rPr>
              <w:t xml:space="preserve">　</w:t>
            </w:r>
            <w:r w:rsidRPr="00B743AB">
              <w:rPr>
                <w:color w:val="000000"/>
                <w:w w:val="22"/>
                <w:shd w:val="solid" w:color="000000" w:fill="000000"/>
                <w:fitText w:val="100" w:id="-893134846"/>
                <w14:textFill>
                  <w14:solidFill>
                    <w14:srgbClr w14:val="000000">
                      <w14:alpha w14:val="100000"/>
                    </w14:srgbClr>
                  </w14:solidFill>
                </w14:textFill>
              </w:rPr>
              <w:t>|</w:t>
            </w:r>
            <w:r w:rsidRPr="00B743AB">
              <w:rPr>
                <w:rFonts w:hint="eastAsia"/>
                <w:color w:val="000000"/>
                <w:w w:val="22"/>
                <w:shd w:val="solid" w:color="000000" w:fill="000000"/>
                <w:fitText w:val="100" w:id="-893134846"/>
                <w14:textFill>
                  <w14:solidFill>
                    <w14:srgbClr w14:val="000000">
                      <w14:alpha w14:val="100000"/>
                    </w14:srgbClr>
                  </w14:solidFill>
                </w14:textFill>
              </w:rPr>
              <w:t xml:space="preserve">　</w:t>
            </w:r>
            <w:r w:rsidR="00A5243C" w:rsidRPr="00B71856">
              <w:rPr>
                <w:vertAlign w:val="superscript"/>
              </w:rPr>
              <w:t>1</w:t>
            </w:r>
          </w:p>
        </w:tc>
      </w:tr>
      <w:tr w:rsidR="00E316EE" w:rsidRPr="001C05C6" w14:paraId="1D60AA75" w14:textId="77777777" w:rsidTr="005E2782">
        <w:tc>
          <w:tcPr>
            <w:tcW w:w="1731" w:type="pct"/>
            <w:shd w:val="clear" w:color="auto" w:fill="auto"/>
            <w:vAlign w:val="center"/>
          </w:tcPr>
          <w:p w14:paraId="7DF2D89D" w14:textId="52264BAA" w:rsidR="00E316EE" w:rsidRPr="001C05C6" w:rsidRDefault="00E316EE" w:rsidP="00161CA4">
            <w:pPr>
              <w:pStyle w:val="TableText"/>
              <w:keepLines/>
              <w:rPr>
                <w:vertAlign w:val="superscript"/>
              </w:rPr>
            </w:pPr>
            <w:r w:rsidRPr="001C05C6">
              <w:t xml:space="preserve">Maximum quantity of </w:t>
            </w:r>
            <w:r>
              <w:t>8</w:t>
            </w:r>
            <w:r w:rsidRPr="001C05C6">
              <w:t xml:space="preserve"> (p</w:t>
            </w:r>
            <w:r>
              <w:t>k</w:t>
            </w:r>
            <w:r w:rsidRPr="001C05C6">
              <w:t>) LECIG scripts</w:t>
            </w:r>
          </w:p>
        </w:tc>
        <w:tc>
          <w:tcPr>
            <w:tcW w:w="544" w:type="pct"/>
            <w:shd w:val="clear" w:color="auto" w:fill="auto"/>
          </w:tcPr>
          <w:p w14:paraId="686CF0D9" w14:textId="6CF5C845" w:rsidR="00E316E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45"/>
                <w14:textFill>
                  <w14:solidFill>
                    <w14:srgbClr w14:val="000000">
                      <w14:alpha w14:val="100000"/>
                    </w14:srgbClr>
                  </w14:solidFill>
                </w14:textFill>
              </w:rPr>
              <w:t xml:space="preserve">　</w:t>
            </w:r>
            <w:r w:rsidRPr="00B743AB">
              <w:rPr>
                <w:color w:val="000000"/>
                <w:w w:val="27"/>
                <w:shd w:val="solid" w:color="000000" w:fill="000000"/>
                <w:fitText w:val="120" w:id="-893134845"/>
                <w14:textFill>
                  <w14:solidFill>
                    <w14:srgbClr w14:val="000000">
                      <w14:alpha w14:val="100000"/>
                    </w14:srgbClr>
                  </w14:solidFill>
                </w14:textFill>
              </w:rPr>
              <w:t>|</w:t>
            </w:r>
            <w:r w:rsidRPr="00B743AB">
              <w:rPr>
                <w:rFonts w:hint="eastAsia"/>
                <w:color w:val="000000"/>
                <w:w w:val="27"/>
                <w:shd w:val="solid" w:color="000000" w:fill="000000"/>
                <w:fitText w:val="120" w:id="-893134845"/>
                <w14:textFill>
                  <w14:solidFill>
                    <w14:srgbClr w14:val="000000">
                      <w14:alpha w14:val="100000"/>
                    </w14:srgbClr>
                  </w14:solidFill>
                </w14:textFill>
              </w:rPr>
              <w:t xml:space="preserve">　</w:t>
            </w:r>
            <w:r w:rsidR="00A5243C" w:rsidRPr="00B71856">
              <w:rPr>
                <w:vertAlign w:val="superscript"/>
              </w:rPr>
              <w:t>1</w:t>
            </w:r>
          </w:p>
        </w:tc>
        <w:tc>
          <w:tcPr>
            <w:tcW w:w="545" w:type="pct"/>
            <w:shd w:val="clear" w:color="auto" w:fill="auto"/>
          </w:tcPr>
          <w:p w14:paraId="3660B1BD" w14:textId="7D2D5E23" w:rsidR="00E316EE" w:rsidRPr="008403BF" w:rsidRDefault="00DE2396" w:rsidP="00161CA4">
            <w:pPr>
              <w:pStyle w:val="TableText"/>
              <w:keepLines/>
              <w:jc w:val="center"/>
              <w:rPr>
                <w:highlight w:val="lightGray"/>
              </w:rPr>
            </w:pPr>
            <w:r w:rsidRPr="00B743AB">
              <w:rPr>
                <w:rFonts w:hint="eastAsia"/>
                <w:color w:val="000000"/>
                <w:w w:val="24"/>
                <w:shd w:val="solid" w:color="000000" w:fill="000000"/>
                <w:fitText w:val="110" w:id="-893134844"/>
                <w14:textFill>
                  <w14:solidFill>
                    <w14:srgbClr w14:val="000000">
                      <w14:alpha w14:val="100000"/>
                    </w14:srgbClr>
                  </w14:solidFill>
                </w14:textFill>
              </w:rPr>
              <w:t xml:space="preserve">　</w:t>
            </w:r>
            <w:r w:rsidRPr="00B743AB">
              <w:rPr>
                <w:color w:val="000000"/>
                <w:w w:val="24"/>
                <w:shd w:val="solid" w:color="000000" w:fill="000000"/>
                <w:fitText w:val="110" w:id="-893134844"/>
                <w14:textFill>
                  <w14:solidFill>
                    <w14:srgbClr w14:val="000000">
                      <w14:alpha w14:val="100000"/>
                    </w14:srgbClr>
                  </w14:solidFill>
                </w14:textFill>
              </w:rPr>
              <w:t>|</w:t>
            </w:r>
            <w:r w:rsidRPr="00B743AB">
              <w:rPr>
                <w:rFonts w:hint="eastAsia"/>
                <w:color w:val="000000"/>
                <w:w w:val="24"/>
                <w:shd w:val="solid" w:color="000000" w:fill="000000"/>
                <w:fitText w:val="110" w:id="-893134844"/>
                <w14:textFill>
                  <w14:solidFill>
                    <w14:srgbClr w14:val="000000">
                      <w14:alpha w14:val="100000"/>
                    </w14:srgbClr>
                  </w14:solidFill>
                </w14:textFill>
              </w:rPr>
              <w:t xml:space="preserve">　</w:t>
            </w:r>
            <w:r w:rsidR="00A5243C" w:rsidRPr="00B71856">
              <w:rPr>
                <w:vertAlign w:val="superscript"/>
              </w:rPr>
              <w:t>1</w:t>
            </w:r>
          </w:p>
        </w:tc>
        <w:tc>
          <w:tcPr>
            <w:tcW w:w="544" w:type="pct"/>
            <w:shd w:val="clear" w:color="auto" w:fill="auto"/>
          </w:tcPr>
          <w:p w14:paraId="368F71A2" w14:textId="1675BBD8" w:rsidR="00E316E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43"/>
                <w14:textFill>
                  <w14:solidFill>
                    <w14:srgbClr w14:val="000000">
                      <w14:alpha w14:val="100000"/>
                    </w14:srgbClr>
                  </w14:solidFill>
                </w14:textFill>
              </w:rPr>
              <w:t xml:space="preserve">　</w:t>
            </w:r>
            <w:r w:rsidRPr="00B743AB">
              <w:rPr>
                <w:color w:val="000000"/>
                <w:w w:val="27"/>
                <w:shd w:val="solid" w:color="000000" w:fill="000000"/>
                <w:fitText w:val="120" w:id="-893134843"/>
                <w14:textFill>
                  <w14:solidFill>
                    <w14:srgbClr w14:val="000000">
                      <w14:alpha w14:val="100000"/>
                    </w14:srgbClr>
                  </w14:solidFill>
                </w14:textFill>
              </w:rPr>
              <w:t>|</w:t>
            </w:r>
            <w:r w:rsidRPr="00B743AB">
              <w:rPr>
                <w:rFonts w:hint="eastAsia"/>
                <w:color w:val="000000"/>
                <w:w w:val="27"/>
                <w:shd w:val="solid" w:color="000000" w:fill="000000"/>
                <w:fitText w:val="120" w:id="-893134843"/>
                <w14:textFill>
                  <w14:solidFill>
                    <w14:srgbClr w14:val="000000">
                      <w14:alpha w14:val="100000"/>
                    </w14:srgbClr>
                  </w14:solidFill>
                </w14:textFill>
              </w:rPr>
              <w:t xml:space="preserve">　</w:t>
            </w:r>
            <w:r w:rsidR="00A5243C" w:rsidRPr="00B71856">
              <w:rPr>
                <w:vertAlign w:val="superscript"/>
              </w:rPr>
              <w:t>1</w:t>
            </w:r>
          </w:p>
        </w:tc>
        <w:tc>
          <w:tcPr>
            <w:tcW w:w="545" w:type="pct"/>
            <w:shd w:val="clear" w:color="auto" w:fill="auto"/>
          </w:tcPr>
          <w:p w14:paraId="380722C0" w14:textId="59481EA4" w:rsidR="00E316EE" w:rsidRPr="008403BF" w:rsidRDefault="00DE2396" w:rsidP="00161CA4">
            <w:pPr>
              <w:pStyle w:val="TableText"/>
              <w:keepLines/>
              <w:jc w:val="center"/>
              <w:rPr>
                <w:highlight w:val="lightGray"/>
              </w:rPr>
            </w:pPr>
            <w:r w:rsidRPr="00B743AB">
              <w:rPr>
                <w:rFonts w:hint="eastAsia"/>
                <w:color w:val="000000"/>
                <w:w w:val="24"/>
                <w:shd w:val="solid" w:color="000000" w:fill="000000"/>
                <w:fitText w:val="110" w:id="-893134842"/>
                <w14:textFill>
                  <w14:solidFill>
                    <w14:srgbClr w14:val="000000">
                      <w14:alpha w14:val="100000"/>
                    </w14:srgbClr>
                  </w14:solidFill>
                </w14:textFill>
              </w:rPr>
              <w:t xml:space="preserve">　</w:t>
            </w:r>
            <w:r w:rsidRPr="00B743AB">
              <w:rPr>
                <w:color w:val="000000"/>
                <w:w w:val="24"/>
                <w:shd w:val="solid" w:color="000000" w:fill="000000"/>
                <w:fitText w:val="110" w:id="-893134842"/>
                <w14:textFill>
                  <w14:solidFill>
                    <w14:srgbClr w14:val="000000">
                      <w14:alpha w14:val="100000"/>
                    </w14:srgbClr>
                  </w14:solidFill>
                </w14:textFill>
              </w:rPr>
              <w:t>|</w:t>
            </w:r>
            <w:r w:rsidRPr="00B743AB">
              <w:rPr>
                <w:rFonts w:hint="eastAsia"/>
                <w:color w:val="000000"/>
                <w:w w:val="24"/>
                <w:shd w:val="solid" w:color="000000" w:fill="000000"/>
                <w:fitText w:val="110" w:id="-893134842"/>
                <w14:textFill>
                  <w14:solidFill>
                    <w14:srgbClr w14:val="000000">
                      <w14:alpha w14:val="100000"/>
                    </w14:srgbClr>
                  </w14:solidFill>
                </w14:textFill>
              </w:rPr>
              <w:t xml:space="preserve">　</w:t>
            </w:r>
            <w:r w:rsidR="00A5243C" w:rsidRPr="00B71856">
              <w:rPr>
                <w:vertAlign w:val="superscript"/>
              </w:rPr>
              <w:t>1</w:t>
            </w:r>
          </w:p>
        </w:tc>
        <w:tc>
          <w:tcPr>
            <w:tcW w:w="544" w:type="pct"/>
            <w:shd w:val="clear" w:color="auto" w:fill="auto"/>
          </w:tcPr>
          <w:p w14:paraId="04CD03DC" w14:textId="156EEFE2" w:rsidR="00E316E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41"/>
                <w14:textFill>
                  <w14:solidFill>
                    <w14:srgbClr w14:val="000000">
                      <w14:alpha w14:val="100000"/>
                    </w14:srgbClr>
                  </w14:solidFill>
                </w14:textFill>
              </w:rPr>
              <w:t xml:space="preserve">　</w:t>
            </w:r>
            <w:r w:rsidRPr="00B743AB">
              <w:rPr>
                <w:color w:val="000000"/>
                <w:w w:val="27"/>
                <w:shd w:val="solid" w:color="000000" w:fill="000000"/>
                <w:fitText w:val="120" w:id="-893134841"/>
                <w14:textFill>
                  <w14:solidFill>
                    <w14:srgbClr w14:val="000000">
                      <w14:alpha w14:val="100000"/>
                    </w14:srgbClr>
                  </w14:solidFill>
                </w14:textFill>
              </w:rPr>
              <w:t>|</w:t>
            </w:r>
            <w:r w:rsidRPr="00B743AB">
              <w:rPr>
                <w:rFonts w:hint="eastAsia"/>
                <w:color w:val="000000"/>
                <w:w w:val="27"/>
                <w:shd w:val="solid" w:color="000000" w:fill="000000"/>
                <w:fitText w:val="120" w:id="-893134841"/>
                <w14:textFill>
                  <w14:solidFill>
                    <w14:srgbClr w14:val="000000">
                      <w14:alpha w14:val="100000"/>
                    </w14:srgbClr>
                  </w14:solidFill>
                </w14:textFill>
              </w:rPr>
              <w:t xml:space="preserve">　</w:t>
            </w:r>
            <w:r w:rsidR="00A5243C" w:rsidRPr="00B71856">
              <w:rPr>
                <w:vertAlign w:val="superscript"/>
              </w:rPr>
              <w:t>1</w:t>
            </w:r>
          </w:p>
        </w:tc>
        <w:tc>
          <w:tcPr>
            <w:tcW w:w="547" w:type="pct"/>
          </w:tcPr>
          <w:p w14:paraId="4819B5CF" w14:textId="08B767CA" w:rsidR="00E316EE" w:rsidRPr="008403BF" w:rsidRDefault="00DE2396" w:rsidP="00161CA4">
            <w:pPr>
              <w:pStyle w:val="TableText"/>
              <w:keepLines/>
              <w:jc w:val="center"/>
              <w:rPr>
                <w:highlight w:val="lightGray"/>
              </w:rPr>
            </w:pPr>
            <w:r w:rsidRPr="00B743AB">
              <w:rPr>
                <w:rFonts w:hint="eastAsia"/>
                <w:color w:val="000000"/>
                <w:w w:val="22"/>
                <w:shd w:val="solid" w:color="000000" w:fill="000000"/>
                <w:fitText w:val="100" w:id="-893134840"/>
                <w14:textFill>
                  <w14:solidFill>
                    <w14:srgbClr w14:val="000000">
                      <w14:alpha w14:val="100000"/>
                    </w14:srgbClr>
                  </w14:solidFill>
                </w14:textFill>
              </w:rPr>
              <w:t xml:space="preserve">　</w:t>
            </w:r>
            <w:r w:rsidRPr="00B743AB">
              <w:rPr>
                <w:color w:val="000000"/>
                <w:w w:val="22"/>
                <w:shd w:val="solid" w:color="000000" w:fill="000000"/>
                <w:fitText w:val="100" w:id="-893134840"/>
                <w14:textFill>
                  <w14:solidFill>
                    <w14:srgbClr w14:val="000000">
                      <w14:alpha w14:val="100000"/>
                    </w14:srgbClr>
                  </w14:solidFill>
                </w14:textFill>
              </w:rPr>
              <w:t>|</w:t>
            </w:r>
            <w:r w:rsidRPr="00B743AB">
              <w:rPr>
                <w:rFonts w:hint="eastAsia"/>
                <w:color w:val="000000"/>
                <w:w w:val="22"/>
                <w:shd w:val="solid" w:color="000000" w:fill="000000"/>
                <w:fitText w:val="100" w:id="-893134840"/>
                <w14:textFill>
                  <w14:solidFill>
                    <w14:srgbClr w14:val="000000">
                      <w14:alpha w14:val="100000"/>
                    </w14:srgbClr>
                  </w14:solidFill>
                </w14:textFill>
              </w:rPr>
              <w:t xml:space="preserve">　</w:t>
            </w:r>
            <w:r w:rsidR="00A5243C" w:rsidRPr="00B71856">
              <w:rPr>
                <w:vertAlign w:val="superscript"/>
              </w:rPr>
              <w:t>1</w:t>
            </w:r>
          </w:p>
        </w:tc>
      </w:tr>
      <w:tr w:rsidR="00576931" w:rsidRPr="001C05C6" w14:paraId="368B1587" w14:textId="77777777" w:rsidTr="00161CA4">
        <w:tc>
          <w:tcPr>
            <w:tcW w:w="5000" w:type="pct"/>
            <w:gridSpan w:val="7"/>
            <w:shd w:val="clear" w:color="auto" w:fill="auto"/>
            <w:vAlign w:val="center"/>
          </w:tcPr>
          <w:p w14:paraId="2077FF55" w14:textId="77777777" w:rsidR="00576931" w:rsidRPr="001C05C6" w:rsidRDefault="00576931" w:rsidP="00161CA4">
            <w:pPr>
              <w:pStyle w:val="TableText"/>
              <w:keepLines/>
              <w:rPr>
                <w:b/>
                <w:bCs w:val="0"/>
              </w:rPr>
            </w:pPr>
            <w:r w:rsidRPr="001C05C6">
              <w:rPr>
                <w:b/>
                <w:bCs w:val="0"/>
              </w:rPr>
              <w:t>Estimated financial implications of LECIG</w:t>
            </w:r>
          </w:p>
        </w:tc>
      </w:tr>
      <w:tr w:rsidR="0047284A" w:rsidRPr="001C05C6" w14:paraId="04490A8F" w14:textId="77777777" w:rsidTr="00E075B3">
        <w:tc>
          <w:tcPr>
            <w:tcW w:w="1731" w:type="pct"/>
            <w:shd w:val="clear" w:color="auto" w:fill="auto"/>
          </w:tcPr>
          <w:p w14:paraId="10C5B7FC" w14:textId="63C22F9E" w:rsidR="0047284A" w:rsidRPr="001C05C6" w:rsidRDefault="0047284A" w:rsidP="00161CA4">
            <w:pPr>
              <w:pStyle w:val="TableText"/>
              <w:keepLines/>
              <w:rPr>
                <w:vertAlign w:val="superscript"/>
              </w:rPr>
            </w:pPr>
            <w:r w:rsidRPr="00C20140">
              <w:t xml:space="preserve">Maximum quantity of </w:t>
            </w:r>
            <w:r>
              <w:t>4</w:t>
            </w:r>
            <w:r w:rsidRPr="00C20140">
              <w:t xml:space="preserve"> (p</w:t>
            </w:r>
            <w:r>
              <w:t>k</w:t>
            </w:r>
            <w:r w:rsidRPr="00C20140">
              <w:t>) LECIG scripts costs, less copayments</w:t>
            </w:r>
          </w:p>
        </w:tc>
        <w:tc>
          <w:tcPr>
            <w:tcW w:w="544" w:type="pct"/>
            <w:shd w:val="clear" w:color="auto" w:fill="auto"/>
          </w:tcPr>
          <w:p w14:paraId="0C2FED28" w14:textId="37335647" w:rsidR="0047284A" w:rsidRPr="008403BF" w:rsidRDefault="00DE2396" w:rsidP="00161CA4">
            <w:pPr>
              <w:pStyle w:val="TableText"/>
              <w:keepLines/>
              <w:jc w:val="center"/>
              <w:rPr>
                <w:i/>
                <w:iCs/>
                <w:highlight w:val="lightGray"/>
              </w:rPr>
            </w:pPr>
            <w:r w:rsidRPr="00DE2396">
              <w:rPr>
                <w:rFonts w:hint="eastAsia"/>
                <w:color w:val="000000"/>
                <w:spacing w:val="30"/>
                <w:w w:val="15"/>
                <w:shd w:val="solid" w:color="000000" w:fill="000000"/>
                <w:fitText w:val="60" w:id="-893134839"/>
                <w14:textFill>
                  <w14:solidFill>
                    <w14:srgbClr w14:val="000000">
                      <w14:alpha w14:val="100000"/>
                    </w14:srgbClr>
                  </w14:solidFill>
                </w14:textFill>
              </w:rPr>
              <w:t xml:space="preserve">　</w:t>
            </w:r>
            <w:r w:rsidRPr="00DE2396">
              <w:rPr>
                <w:rFonts w:hint="eastAsia"/>
                <w:color w:val="000000"/>
                <w:spacing w:val="79"/>
                <w:w w:val="31"/>
                <w:shd w:val="solid" w:color="000000" w:fill="000000"/>
                <w:fitText w:val="140" w:id="-893134838"/>
                <w14:textFill>
                  <w14:solidFill>
                    <w14:srgbClr w14:val="000000">
                      <w14:alpha w14:val="100000"/>
                    </w14:srgbClr>
                  </w14:solidFill>
                </w14:textFill>
              </w:rPr>
              <w:t xml:space="preserve">　</w:t>
            </w:r>
            <w:r w:rsidRPr="00B743AB">
              <w:rPr>
                <w:color w:val="000000"/>
                <w:spacing w:val="204"/>
                <w:shd w:val="solid" w:color="000000" w:fill="000000"/>
                <w:fitText w:val="290" w:id="-893134837"/>
                <w14:textFill>
                  <w14:solidFill>
                    <w14:srgbClr w14:val="000000">
                      <w14:alpha w14:val="100000"/>
                    </w14:srgbClr>
                  </w14:solidFill>
                </w14:textFill>
              </w:rPr>
              <w:t>|</w:t>
            </w:r>
            <w:r w:rsidRPr="00B743AB">
              <w:rPr>
                <w:color w:val="000000"/>
                <w:shd w:val="solid" w:color="000000" w:fill="000000"/>
                <w:fitText w:val="290" w:id="-893134837"/>
                <w14:textFill>
                  <w14:solidFill>
                    <w14:srgbClr w14:val="000000">
                      <w14:alpha w14:val="100000"/>
                    </w14:srgbClr>
                  </w14:solidFill>
                </w14:textFill>
              </w:rPr>
              <w:t>|</w:t>
            </w:r>
            <w:r w:rsidR="00940300" w:rsidRPr="008403BF">
              <w:rPr>
                <w:vertAlign w:val="superscript"/>
              </w:rPr>
              <w:t>2</w:t>
            </w:r>
          </w:p>
        </w:tc>
        <w:tc>
          <w:tcPr>
            <w:tcW w:w="545" w:type="pct"/>
            <w:shd w:val="clear" w:color="auto" w:fill="auto"/>
          </w:tcPr>
          <w:p w14:paraId="25A9CA42" w14:textId="2B03E80E" w:rsidR="0047284A" w:rsidRPr="008403BF" w:rsidRDefault="00DE2396" w:rsidP="00161CA4">
            <w:pPr>
              <w:pStyle w:val="TableText"/>
              <w:keepLines/>
              <w:jc w:val="center"/>
              <w:rPr>
                <w:i/>
                <w:iCs/>
                <w:highlight w:val="lightGray"/>
              </w:rPr>
            </w:pPr>
            <w:r w:rsidRPr="00B743AB">
              <w:rPr>
                <w:rFonts w:hint="eastAsia"/>
                <w:color w:val="000000"/>
                <w:w w:val="24"/>
                <w:shd w:val="solid" w:color="000000" w:fill="000000"/>
                <w:fitText w:val="110" w:id="-893134836"/>
                <w14:textFill>
                  <w14:solidFill>
                    <w14:srgbClr w14:val="000000">
                      <w14:alpha w14:val="100000"/>
                    </w14:srgbClr>
                  </w14:solidFill>
                </w14:textFill>
              </w:rPr>
              <w:t xml:space="preserve">　</w:t>
            </w:r>
            <w:r w:rsidRPr="00B743AB">
              <w:rPr>
                <w:color w:val="000000"/>
                <w:w w:val="24"/>
                <w:shd w:val="solid" w:color="000000" w:fill="000000"/>
                <w:fitText w:val="110" w:id="-893134836"/>
                <w14:textFill>
                  <w14:solidFill>
                    <w14:srgbClr w14:val="000000">
                      <w14:alpha w14:val="100000"/>
                    </w14:srgbClr>
                  </w14:solidFill>
                </w14:textFill>
              </w:rPr>
              <w:t>|</w:t>
            </w:r>
            <w:r w:rsidRPr="00B743AB">
              <w:rPr>
                <w:rFonts w:hint="eastAsia"/>
                <w:color w:val="000000"/>
                <w:w w:val="24"/>
                <w:shd w:val="solid" w:color="000000" w:fill="000000"/>
                <w:fitText w:val="110" w:id="-893134836"/>
                <w14:textFill>
                  <w14:solidFill>
                    <w14:srgbClr w14:val="000000">
                      <w14:alpha w14:val="100000"/>
                    </w14:srgbClr>
                  </w14:solidFill>
                </w14:textFill>
              </w:rPr>
              <w:t xml:space="preserve">　</w:t>
            </w:r>
            <w:r w:rsidR="00940300" w:rsidRPr="00B71856">
              <w:rPr>
                <w:vertAlign w:val="superscript"/>
              </w:rPr>
              <w:t>2</w:t>
            </w:r>
          </w:p>
        </w:tc>
        <w:tc>
          <w:tcPr>
            <w:tcW w:w="544" w:type="pct"/>
            <w:shd w:val="clear" w:color="auto" w:fill="auto"/>
          </w:tcPr>
          <w:p w14:paraId="7DC11EB0" w14:textId="0781B0FE" w:rsidR="0047284A" w:rsidRPr="008403BF" w:rsidRDefault="00DE2396" w:rsidP="00161CA4">
            <w:pPr>
              <w:pStyle w:val="TableText"/>
              <w:keepLines/>
              <w:jc w:val="center"/>
              <w:rPr>
                <w:i/>
                <w:iCs/>
                <w:highlight w:val="lightGray"/>
              </w:rPr>
            </w:pPr>
            <w:r w:rsidRPr="00B743AB">
              <w:rPr>
                <w:rFonts w:hint="eastAsia"/>
                <w:color w:val="000000"/>
                <w:w w:val="27"/>
                <w:shd w:val="solid" w:color="000000" w:fill="000000"/>
                <w:fitText w:val="120" w:id="-893134835"/>
                <w14:textFill>
                  <w14:solidFill>
                    <w14:srgbClr w14:val="000000">
                      <w14:alpha w14:val="100000"/>
                    </w14:srgbClr>
                  </w14:solidFill>
                </w14:textFill>
              </w:rPr>
              <w:t xml:space="preserve">　</w:t>
            </w:r>
            <w:r w:rsidRPr="00B743AB">
              <w:rPr>
                <w:color w:val="000000"/>
                <w:w w:val="27"/>
                <w:shd w:val="solid" w:color="000000" w:fill="000000"/>
                <w:fitText w:val="120" w:id="-893134835"/>
                <w14:textFill>
                  <w14:solidFill>
                    <w14:srgbClr w14:val="000000">
                      <w14:alpha w14:val="100000"/>
                    </w14:srgbClr>
                  </w14:solidFill>
                </w14:textFill>
              </w:rPr>
              <w:t>|</w:t>
            </w:r>
            <w:r w:rsidRPr="00B743AB">
              <w:rPr>
                <w:rFonts w:hint="eastAsia"/>
                <w:color w:val="000000"/>
                <w:w w:val="27"/>
                <w:shd w:val="solid" w:color="000000" w:fill="000000"/>
                <w:fitText w:val="120" w:id="-893134835"/>
                <w14:textFill>
                  <w14:solidFill>
                    <w14:srgbClr w14:val="000000">
                      <w14:alpha w14:val="100000"/>
                    </w14:srgbClr>
                  </w14:solidFill>
                </w14:textFill>
              </w:rPr>
              <w:t xml:space="preserve">　</w:t>
            </w:r>
            <w:r w:rsidR="001F2311" w:rsidRPr="008403BF">
              <w:rPr>
                <w:vertAlign w:val="superscript"/>
              </w:rPr>
              <w:t>3</w:t>
            </w:r>
          </w:p>
        </w:tc>
        <w:tc>
          <w:tcPr>
            <w:tcW w:w="545" w:type="pct"/>
            <w:shd w:val="clear" w:color="auto" w:fill="auto"/>
          </w:tcPr>
          <w:p w14:paraId="74C34889" w14:textId="4D19DCC5" w:rsidR="0047284A" w:rsidRPr="008403BF" w:rsidRDefault="00DE2396" w:rsidP="00161CA4">
            <w:pPr>
              <w:pStyle w:val="TableText"/>
              <w:keepLines/>
              <w:jc w:val="center"/>
              <w:rPr>
                <w:i/>
                <w:iCs/>
                <w:highlight w:val="lightGray"/>
              </w:rPr>
            </w:pPr>
            <w:r w:rsidRPr="00B743AB">
              <w:rPr>
                <w:rFonts w:hint="eastAsia"/>
                <w:color w:val="000000"/>
                <w:w w:val="24"/>
                <w:shd w:val="solid" w:color="000000" w:fill="000000"/>
                <w:fitText w:val="110" w:id="-893134834"/>
                <w14:textFill>
                  <w14:solidFill>
                    <w14:srgbClr w14:val="000000">
                      <w14:alpha w14:val="100000"/>
                    </w14:srgbClr>
                  </w14:solidFill>
                </w14:textFill>
              </w:rPr>
              <w:t xml:space="preserve">　</w:t>
            </w:r>
            <w:r w:rsidRPr="00B743AB">
              <w:rPr>
                <w:color w:val="000000"/>
                <w:w w:val="24"/>
                <w:shd w:val="solid" w:color="000000" w:fill="000000"/>
                <w:fitText w:val="110" w:id="-893134834"/>
                <w14:textFill>
                  <w14:solidFill>
                    <w14:srgbClr w14:val="000000">
                      <w14:alpha w14:val="100000"/>
                    </w14:srgbClr>
                  </w14:solidFill>
                </w14:textFill>
              </w:rPr>
              <w:t>|</w:t>
            </w:r>
            <w:r w:rsidRPr="00B743AB">
              <w:rPr>
                <w:rFonts w:hint="eastAsia"/>
                <w:color w:val="000000"/>
                <w:w w:val="24"/>
                <w:shd w:val="solid" w:color="000000" w:fill="000000"/>
                <w:fitText w:val="110" w:id="-893134834"/>
                <w14:textFill>
                  <w14:solidFill>
                    <w14:srgbClr w14:val="000000">
                      <w14:alpha w14:val="100000"/>
                    </w14:srgbClr>
                  </w14:solidFill>
                </w14:textFill>
              </w:rPr>
              <w:t xml:space="preserve">　</w:t>
            </w:r>
            <w:r w:rsidR="001F2311" w:rsidRPr="00B71856">
              <w:rPr>
                <w:vertAlign w:val="superscript"/>
              </w:rPr>
              <w:t>3</w:t>
            </w:r>
          </w:p>
        </w:tc>
        <w:tc>
          <w:tcPr>
            <w:tcW w:w="544" w:type="pct"/>
            <w:shd w:val="clear" w:color="auto" w:fill="auto"/>
          </w:tcPr>
          <w:p w14:paraId="02C2A0B1" w14:textId="6A1F6D61" w:rsidR="0047284A" w:rsidRPr="008403BF" w:rsidRDefault="00DE2396" w:rsidP="00161CA4">
            <w:pPr>
              <w:pStyle w:val="TableText"/>
              <w:keepLines/>
              <w:jc w:val="center"/>
              <w:rPr>
                <w:i/>
                <w:iCs/>
                <w:highlight w:val="lightGray"/>
              </w:rPr>
            </w:pPr>
            <w:r w:rsidRPr="00B743AB">
              <w:rPr>
                <w:rFonts w:hint="eastAsia"/>
                <w:color w:val="000000"/>
                <w:w w:val="27"/>
                <w:shd w:val="solid" w:color="000000" w:fill="000000"/>
                <w:fitText w:val="120" w:id="-893134833"/>
                <w14:textFill>
                  <w14:solidFill>
                    <w14:srgbClr w14:val="000000">
                      <w14:alpha w14:val="100000"/>
                    </w14:srgbClr>
                  </w14:solidFill>
                </w14:textFill>
              </w:rPr>
              <w:t xml:space="preserve">　</w:t>
            </w:r>
            <w:r w:rsidRPr="00B743AB">
              <w:rPr>
                <w:color w:val="000000"/>
                <w:w w:val="27"/>
                <w:shd w:val="solid" w:color="000000" w:fill="000000"/>
                <w:fitText w:val="120" w:id="-893134833"/>
                <w14:textFill>
                  <w14:solidFill>
                    <w14:srgbClr w14:val="000000">
                      <w14:alpha w14:val="100000"/>
                    </w14:srgbClr>
                  </w14:solidFill>
                </w14:textFill>
              </w:rPr>
              <w:t>|</w:t>
            </w:r>
            <w:r w:rsidRPr="00B743AB">
              <w:rPr>
                <w:rFonts w:hint="eastAsia"/>
                <w:color w:val="000000"/>
                <w:w w:val="27"/>
                <w:shd w:val="solid" w:color="000000" w:fill="000000"/>
                <w:fitText w:val="120" w:id="-893134833"/>
                <w14:textFill>
                  <w14:solidFill>
                    <w14:srgbClr w14:val="000000">
                      <w14:alpha w14:val="100000"/>
                    </w14:srgbClr>
                  </w14:solidFill>
                </w14:textFill>
              </w:rPr>
              <w:t xml:space="preserve">　</w:t>
            </w:r>
            <w:r w:rsidR="001F2311" w:rsidRPr="008403BF">
              <w:rPr>
                <w:vertAlign w:val="superscript"/>
              </w:rPr>
              <w:t>4</w:t>
            </w:r>
          </w:p>
        </w:tc>
        <w:tc>
          <w:tcPr>
            <w:tcW w:w="547" w:type="pct"/>
          </w:tcPr>
          <w:p w14:paraId="7F9B4F95" w14:textId="4B69DABC" w:rsidR="0047284A" w:rsidRPr="008403BF" w:rsidRDefault="00DE2396" w:rsidP="00161CA4">
            <w:pPr>
              <w:pStyle w:val="TableText"/>
              <w:keepLines/>
              <w:jc w:val="center"/>
              <w:rPr>
                <w:i/>
                <w:iCs/>
                <w:highlight w:val="lightGray"/>
              </w:rPr>
            </w:pPr>
            <w:r w:rsidRPr="00B743AB">
              <w:rPr>
                <w:rFonts w:hint="eastAsia"/>
                <w:color w:val="000000"/>
                <w:w w:val="22"/>
                <w:shd w:val="solid" w:color="000000" w:fill="000000"/>
                <w:fitText w:val="100" w:id="-893134832"/>
                <w14:textFill>
                  <w14:solidFill>
                    <w14:srgbClr w14:val="000000">
                      <w14:alpha w14:val="100000"/>
                    </w14:srgbClr>
                  </w14:solidFill>
                </w14:textFill>
              </w:rPr>
              <w:t xml:space="preserve">　</w:t>
            </w:r>
            <w:r w:rsidRPr="00B743AB">
              <w:rPr>
                <w:color w:val="000000"/>
                <w:w w:val="22"/>
                <w:shd w:val="solid" w:color="000000" w:fill="000000"/>
                <w:fitText w:val="100" w:id="-893134832"/>
                <w14:textFill>
                  <w14:solidFill>
                    <w14:srgbClr w14:val="000000">
                      <w14:alpha w14:val="100000"/>
                    </w14:srgbClr>
                  </w14:solidFill>
                </w14:textFill>
              </w:rPr>
              <w:t>|</w:t>
            </w:r>
            <w:r w:rsidRPr="00B743AB">
              <w:rPr>
                <w:rFonts w:hint="eastAsia"/>
                <w:color w:val="000000"/>
                <w:w w:val="22"/>
                <w:shd w:val="solid" w:color="000000" w:fill="000000"/>
                <w:fitText w:val="100" w:id="-893134832"/>
                <w14:textFill>
                  <w14:solidFill>
                    <w14:srgbClr w14:val="000000">
                      <w14:alpha w14:val="100000"/>
                    </w14:srgbClr>
                  </w14:solidFill>
                </w14:textFill>
              </w:rPr>
              <w:t xml:space="preserve">　</w:t>
            </w:r>
            <w:r w:rsidR="001F2311" w:rsidRPr="00B71856">
              <w:rPr>
                <w:vertAlign w:val="superscript"/>
              </w:rPr>
              <w:t>4</w:t>
            </w:r>
          </w:p>
        </w:tc>
      </w:tr>
      <w:tr w:rsidR="0047284A" w:rsidRPr="001C05C6" w14:paraId="724C75F5" w14:textId="77777777" w:rsidTr="00E075B3">
        <w:tc>
          <w:tcPr>
            <w:tcW w:w="1731" w:type="pct"/>
            <w:shd w:val="clear" w:color="auto" w:fill="auto"/>
          </w:tcPr>
          <w:p w14:paraId="0126CB12" w14:textId="4ED173BA" w:rsidR="0047284A" w:rsidRPr="001C05C6" w:rsidRDefault="0047284A" w:rsidP="00161CA4">
            <w:pPr>
              <w:pStyle w:val="TableText"/>
              <w:keepLines/>
              <w:rPr>
                <w:vertAlign w:val="superscript"/>
              </w:rPr>
            </w:pPr>
            <w:r w:rsidRPr="00C20140">
              <w:t xml:space="preserve">Maximum quantity of </w:t>
            </w:r>
            <w:r>
              <w:t>8</w:t>
            </w:r>
            <w:r w:rsidRPr="00C20140">
              <w:t xml:space="preserve"> (p</w:t>
            </w:r>
            <w:r>
              <w:t>k</w:t>
            </w:r>
            <w:r w:rsidRPr="00C20140">
              <w:t>) LECIG scripts costs, less copayments</w:t>
            </w:r>
          </w:p>
        </w:tc>
        <w:tc>
          <w:tcPr>
            <w:tcW w:w="544" w:type="pct"/>
            <w:shd w:val="clear" w:color="auto" w:fill="auto"/>
          </w:tcPr>
          <w:p w14:paraId="48493114" w14:textId="01211581" w:rsidR="0047284A" w:rsidRPr="008403BF" w:rsidRDefault="00DE2396" w:rsidP="00161CA4">
            <w:pPr>
              <w:pStyle w:val="TableText"/>
              <w:keepLines/>
              <w:jc w:val="center"/>
              <w:rPr>
                <w:i/>
                <w:iCs/>
                <w:highlight w:val="lightGray"/>
              </w:rPr>
            </w:pPr>
            <w:r w:rsidRPr="00DE2396">
              <w:rPr>
                <w:rFonts w:hint="eastAsia"/>
                <w:color w:val="000000"/>
                <w:spacing w:val="30"/>
                <w:w w:val="15"/>
                <w:shd w:val="solid" w:color="000000" w:fill="000000"/>
                <w:fitText w:val="60" w:id="-893134848"/>
                <w14:textFill>
                  <w14:solidFill>
                    <w14:srgbClr w14:val="000000">
                      <w14:alpha w14:val="100000"/>
                    </w14:srgbClr>
                  </w14:solidFill>
                </w14:textFill>
              </w:rPr>
              <w:t xml:space="preserve">　</w:t>
            </w:r>
            <w:r w:rsidRPr="00DE2396">
              <w:rPr>
                <w:rFonts w:hint="eastAsia"/>
                <w:color w:val="000000"/>
                <w:spacing w:val="79"/>
                <w:w w:val="31"/>
                <w:shd w:val="solid" w:color="000000" w:fill="000000"/>
                <w:fitText w:val="140" w:id="-893134847"/>
                <w14:textFill>
                  <w14:solidFill>
                    <w14:srgbClr w14:val="000000">
                      <w14:alpha w14:val="100000"/>
                    </w14:srgbClr>
                  </w14:solidFill>
                </w14:textFill>
              </w:rPr>
              <w:t xml:space="preserve">　</w:t>
            </w:r>
            <w:r w:rsidRPr="00B743AB">
              <w:rPr>
                <w:color w:val="000000"/>
                <w:spacing w:val="204"/>
                <w:shd w:val="solid" w:color="000000" w:fill="000000"/>
                <w:fitText w:val="290" w:id="-893134846"/>
                <w14:textFill>
                  <w14:solidFill>
                    <w14:srgbClr w14:val="000000">
                      <w14:alpha w14:val="100000"/>
                    </w14:srgbClr>
                  </w14:solidFill>
                </w14:textFill>
              </w:rPr>
              <w:t>|</w:t>
            </w:r>
            <w:r w:rsidRPr="00B743AB">
              <w:rPr>
                <w:color w:val="000000"/>
                <w:shd w:val="solid" w:color="000000" w:fill="000000"/>
                <w:fitText w:val="290" w:id="-893134846"/>
                <w14:textFill>
                  <w14:solidFill>
                    <w14:srgbClr w14:val="000000">
                      <w14:alpha w14:val="100000"/>
                    </w14:srgbClr>
                  </w14:solidFill>
                </w14:textFill>
              </w:rPr>
              <w:t>|</w:t>
            </w:r>
            <w:r w:rsidR="00940300" w:rsidRPr="00B71856">
              <w:rPr>
                <w:vertAlign w:val="superscript"/>
              </w:rPr>
              <w:t>2</w:t>
            </w:r>
          </w:p>
        </w:tc>
        <w:tc>
          <w:tcPr>
            <w:tcW w:w="545" w:type="pct"/>
            <w:shd w:val="clear" w:color="auto" w:fill="auto"/>
          </w:tcPr>
          <w:p w14:paraId="3AECA74E" w14:textId="56F55EE4" w:rsidR="0047284A" w:rsidRPr="008403BF" w:rsidRDefault="00DE2396" w:rsidP="00161CA4">
            <w:pPr>
              <w:pStyle w:val="TableText"/>
              <w:keepLines/>
              <w:jc w:val="center"/>
              <w:rPr>
                <w:i/>
                <w:iCs/>
                <w:highlight w:val="lightGray"/>
              </w:rPr>
            </w:pPr>
            <w:r w:rsidRPr="00B743AB">
              <w:rPr>
                <w:rFonts w:hint="eastAsia"/>
                <w:color w:val="000000"/>
                <w:w w:val="24"/>
                <w:shd w:val="solid" w:color="000000" w:fill="000000"/>
                <w:fitText w:val="110" w:id="-893134845"/>
                <w14:textFill>
                  <w14:solidFill>
                    <w14:srgbClr w14:val="000000">
                      <w14:alpha w14:val="100000"/>
                    </w14:srgbClr>
                  </w14:solidFill>
                </w14:textFill>
              </w:rPr>
              <w:t xml:space="preserve">　</w:t>
            </w:r>
            <w:r w:rsidRPr="00B743AB">
              <w:rPr>
                <w:color w:val="000000"/>
                <w:w w:val="24"/>
                <w:shd w:val="solid" w:color="000000" w:fill="000000"/>
                <w:fitText w:val="110" w:id="-893134845"/>
                <w14:textFill>
                  <w14:solidFill>
                    <w14:srgbClr w14:val="000000">
                      <w14:alpha w14:val="100000"/>
                    </w14:srgbClr>
                  </w14:solidFill>
                </w14:textFill>
              </w:rPr>
              <w:t>|</w:t>
            </w:r>
            <w:r w:rsidRPr="00B743AB">
              <w:rPr>
                <w:rFonts w:hint="eastAsia"/>
                <w:color w:val="000000"/>
                <w:w w:val="24"/>
                <w:shd w:val="solid" w:color="000000" w:fill="000000"/>
                <w:fitText w:val="110" w:id="-893134845"/>
                <w14:textFill>
                  <w14:solidFill>
                    <w14:srgbClr w14:val="000000">
                      <w14:alpha w14:val="100000"/>
                    </w14:srgbClr>
                  </w14:solidFill>
                </w14:textFill>
              </w:rPr>
              <w:t xml:space="preserve">　</w:t>
            </w:r>
            <w:r w:rsidR="00940300" w:rsidRPr="00B71856">
              <w:rPr>
                <w:vertAlign w:val="superscript"/>
              </w:rPr>
              <w:t>2</w:t>
            </w:r>
          </w:p>
        </w:tc>
        <w:tc>
          <w:tcPr>
            <w:tcW w:w="544" w:type="pct"/>
            <w:shd w:val="clear" w:color="auto" w:fill="auto"/>
          </w:tcPr>
          <w:p w14:paraId="23DB34E1" w14:textId="6B191C05" w:rsidR="0047284A" w:rsidRPr="008403BF" w:rsidRDefault="00DE2396" w:rsidP="00161CA4">
            <w:pPr>
              <w:pStyle w:val="TableText"/>
              <w:keepLines/>
              <w:jc w:val="center"/>
              <w:rPr>
                <w:i/>
                <w:iCs/>
                <w:highlight w:val="lightGray"/>
              </w:rPr>
            </w:pPr>
            <w:r w:rsidRPr="00B743AB">
              <w:rPr>
                <w:rFonts w:hint="eastAsia"/>
                <w:color w:val="000000"/>
                <w:w w:val="27"/>
                <w:shd w:val="solid" w:color="000000" w:fill="000000"/>
                <w:fitText w:val="120" w:id="-893134844"/>
                <w14:textFill>
                  <w14:solidFill>
                    <w14:srgbClr w14:val="000000">
                      <w14:alpha w14:val="100000"/>
                    </w14:srgbClr>
                  </w14:solidFill>
                </w14:textFill>
              </w:rPr>
              <w:t xml:space="preserve">　</w:t>
            </w:r>
            <w:r w:rsidRPr="00B743AB">
              <w:rPr>
                <w:color w:val="000000"/>
                <w:w w:val="27"/>
                <w:shd w:val="solid" w:color="000000" w:fill="000000"/>
                <w:fitText w:val="120" w:id="-893134844"/>
                <w14:textFill>
                  <w14:solidFill>
                    <w14:srgbClr w14:val="000000">
                      <w14:alpha w14:val="100000"/>
                    </w14:srgbClr>
                  </w14:solidFill>
                </w14:textFill>
              </w:rPr>
              <w:t>|</w:t>
            </w:r>
            <w:r w:rsidRPr="00B743AB">
              <w:rPr>
                <w:rFonts w:hint="eastAsia"/>
                <w:color w:val="000000"/>
                <w:w w:val="27"/>
                <w:shd w:val="solid" w:color="000000" w:fill="000000"/>
                <w:fitText w:val="120" w:id="-893134844"/>
                <w14:textFill>
                  <w14:solidFill>
                    <w14:srgbClr w14:val="000000">
                      <w14:alpha w14:val="100000"/>
                    </w14:srgbClr>
                  </w14:solidFill>
                </w14:textFill>
              </w:rPr>
              <w:t xml:space="preserve">　</w:t>
            </w:r>
            <w:r w:rsidR="00940300" w:rsidRPr="00B71856">
              <w:rPr>
                <w:vertAlign w:val="superscript"/>
              </w:rPr>
              <w:t>2</w:t>
            </w:r>
          </w:p>
        </w:tc>
        <w:tc>
          <w:tcPr>
            <w:tcW w:w="545" w:type="pct"/>
            <w:shd w:val="clear" w:color="auto" w:fill="auto"/>
          </w:tcPr>
          <w:p w14:paraId="2B88518A" w14:textId="630B075E" w:rsidR="0047284A" w:rsidRPr="008403BF" w:rsidRDefault="00DE2396" w:rsidP="00161CA4">
            <w:pPr>
              <w:pStyle w:val="TableText"/>
              <w:keepLines/>
              <w:jc w:val="center"/>
              <w:rPr>
                <w:i/>
                <w:iCs/>
                <w:highlight w:val="lightGray"/>
              </w:rPr>
            </w:pPr>
            <w:r w:rsidRPr="00B743AB">
              <w:rPr>
                <w:rFonts w:hint="eastAsia"/>
                <w:color w:val="000000"/>
                <w:w w:val="24"/>
                <w:shd w:val="solid" w:color="000000" w:fill="000000"/>
                <w:fitText w:val="110" w:id="-893134843"/>
                <w14:textFill>
                  <w14:solidFill>
                    <w14:srgbClr w14:val="000000">
                      <w14:alpha w14:val="100000"/>
                    </w14:srgbClr>
                  </w14:solidFill>
                </w14:textFill>
              </w:rPr>
              <w:t xml:space="preserve">　</w:t>
            </w:r>
            <w:r w:rsidRPr="00B743AB">
              <w:rPr>
                <w:color w:val="000000"/>
                <w:w w:val="24"/>
                <w:shd w:val="solid" w:color="000000" w:fill="000000"/>
                <w:fitText w:val="110" w:id="-893134843"/>
                <w14:textFill>
                  <w14:solidFill>
                    <w14:srgbClr w14:val="000000">
                      <w14:alpha w14:val="100000"/>
                    </w14:srgbClr>
                  </w14:solidFill>
                </w14:textFill>
              </w:rPr>
              <w:t>|</w:t>
            </w:r>
            <w:r w:rsidRPr="00B743AB">
              <w:rPr>
                <w:rFonts w:hint="eastAsia"/>
                <w:color w:val="000000"/>
                <w:w w:val="24"/>
                <w:shd w:val="solid" w:color="000000" w:fill="000000"/>
                <w:fitText w:val="110" w:id="-893134843"/>
                <w14:textFill>
                  <w14:solidFill>
                    <w14:srgbClr w14:val="000000">
                      <w14:alpha w14:val="100000"/>
                    </w14:srgbClr>
                  </w14:solidFill>
                </w14:textFill>
              </w:rPr>
              <w:t xml:space="preserve">　</w:t>
            </w:r>
            <w:r w:rsidR="00940300" w:rsidRPr="00B71856">
              <w:rPr>
                <w:vertAlign w:val="superscript"/>
              </w:rPr>
              <w:t>2</w:t>
            </w:r>
          </w:p>
        </w:tc>
        <w:tc>
          <w:tcPr>
            <w:tcW w:w="544" w:type="pct"/>
            <w:shd w:val="clear" w:color="auto" w:fill="auto"/>
          </w:tcPr>
          <w:p w14:paraId="27ACDEA5" w14:textId="3B8D3A40" w:rsidR="0047284A" w:rsidRPr="008403BF" w:rsidRDefault="00DE2396" w:rsidP="00161CA4">
            <w:pPr>
              <w:pStyle w:val="TableText"/>
              <w:keepLines/>
              <w:jc w:val="center"/>
              <w:rPr>
                <w:i/>
                <w:iCs/>
                <w:highlight w:val="lightGray"/>
              </w:rPr>
            </w:pPr>
            <w:r w:rsidRPr="00B743AB">
              <w:rPr>
                <w:rFonts w:hint="eastAsia"/>
                <w:color w:val="000000"/>
                <w:w w:val="27"/>
                <w:shd w:val="solid" w:color="000000" w:fill="000000"/>
                <w:fitText w:val="120" w:id="-893134842"/>
                <w14:textFill>
                  <w14:solidFill>
                    <w14:srgbClr w14:val="000000">
                      <w14:alpha w14:val="100000"/>
                    </w14:srgbClr>
                  </w14:solidFill>
                </w14:textFill>
              </w:rPr>
              <w:t xml:space="preserve">　</w:t>
            </w:r>
            <w:r w:rsidRPr="00B743AB">
              <w:rPr>
                <w:color w:val="000000"/>
                <w:w w:val="27"/>
                <w:shd w:val="solid" w:color="000000" w:fill="000000"/>
                <w:fitText w:val="120" w:id="-893134842"/>
                <w14:textFill>
                  <w14:solidFill>
                    <w14:srgbClr w14:val="000000">
                      <w14:alpha w14:val="100000"/>
                    </w14:srgbClr>
                  </w14:solidFill>
                </w14:textFill>
              </w:rPr>
              <w:t>|</w:t>
            </w:r>
            <w:r w:rsidRPr="00B743AB">
              <w:rPr>
                <w:rFonts w:hint="eastAsia"/>
                <w:color w:val="000000"/>
                <w:w w:val="27"/>
                <w:shd w:val="solid" w:color="000000" w:fill="000000"/>
                <w:fitText w:val="120" w:id="-893134842"/>
                <w14:textFill>
                  <w14:solidFill>
                    <w14:srgbClr w14:val="000000">
                      <w14:alpha w14:val="100000"/>
                    </w14:srgbClr>
                  </w14:solidFill>
                </w14:textFill>
              </w:rPr>
              <w:t xml:space="preserve">　</w:t>
            </w:r>
            <w:r w:rsidR="00940300" w:rsidRPr="00B71856">
              <w:rPr>
                <w:vertAlign w:val="superscript"/>
              </w:rPr>
              <w:t>2</w:t>
            </w:r>
          </w:p>
        </w:tc>
        <w:tc>
          <w:tcPr>
            <w:tcW w:w="547" w:type="pct"/>
          </w:tcPr>
          <w:p w14:paraId="2DE62CAB" w14:textId="2000A18E" w:rsidR="0047284A" w:rsidRPr="008403BF" w:rsidRDefault="00DE2396" w:rsidP="00161CA4">
            <w:pPr>
              <w:pStyle w:val="TableText"/>
              <w:keepLines/>
              <w:jc w:val="center"/>
              <w:rPr>
                <w:i/>
                <w:iCs/>
                <w:highlight w:val="lightGray"/>
              </w:rPr>
            </w:pPr>
            <w:r w:rsidRPr="00B743AB">
              <w:rPr>
                <w:rFonts w:hint="eastAsia"/>
                <w:color w:val="000000"/>
                <w:w w:val="22"/>
                <w:shd w:val="solid" w:color="000000" w:fill="000000"/>
                <w:fitText w:val="100" w:id="-893134841"/>
                <w14:textFill>
                  <w14:solidFill>
                    <w14:srgbClr w14:val="000000">
                      <w14:alpha w14:val="100000"/>
                    </w14:srgbClr>
                  </w14:solidFill>
                </w14:textFill>
              </w:rPr>
              <w:t xml:space="preserve">　</w:t>
            </w:r>
            <w:r w:rsidRPr="00B743AB">
              <w:rPr>
                <w:color w:val="000000"/>
                <w:w w:val="22"/>
                <w:shd w:val="solid" w:color="000000" w:fill="000000"/>
                <w:fitText w:val="100" w:id="-893134841"/>
                <w14:textFill>
                  <w14:solidFill>
                    <w14:srgbClr w14:val="000000">
                      <w14:alpha w14:val="100000"/>
                    </w14:srgbClr>
                  </w14:solidFill>
                </w14:textFill>
              </w:rPr>
              <w:t>|</w:t>
            </w:r>
            <w:r w:rsidRPr="00B743AB">
              <w:rPr>
                <w:rFonts w:hint="eastAsia"/>
                <w:color w:val="000000"/>
                <w:w w:val="22"/>
                <w:shd w:val="solid" w:color="000000" w:fill="000000"/>
                <w:fitText w:val="100" w:id="-893134841"/>
                <w14:textFill>
                  <w14:solidFill>
                    <w14:srgbClr w14:val="000000">
                      <w14:alpha w14:val="100000"/>
                    </w14:srgbClr>
                  </w14:solidFill>
                </w14:textFill>
              </w:rPr>
              <w:t xml:space="preserve">　</w:t>
            </w:r>
            <w:r w:rsidR="00940300" w:rsidRPr="00B71856">
              <w:rPr>
                <w:vertAlign w:val="superscript"/>
              </w:rPr>
              <w:t>2</w:t>
            </w:r>
          </w:p>
        </w:tc>
      </w:tr>
      <w:tr w:rsidR="0049000E" w:rsidRPr="001C05C6" w14:paraId="4976C5BC" w14:textId="77777777" w:rsidTr="00CF5A2E">
        <w:tc>
          <w:tcPr>
            <w:tcW w:w="1731" w:type="pct"/>
            <w:shd w:val="clear" w:color="auto" w:fill="auto"/>
          </w:tcPr>
          <w:p w14:paraId="1D9B439A" w14:textId="4BA5B5B9" w:rsidR="0049000E" w:rsidRPr="001C05C6" w:rsidRDefault="0049000E" w:rsidP="00161CA4">
            <w:pPr>
              <w:pStyle w:val="TableText"/>
              <w:keepLines/>
            </w:pPr>
            <w:r w:rsidRPr="00601F9F">
              <w:t xml:space="preserve">Maximum quantity of </w:t>
            </w:r>
            <w:r w:rsidR="007C5E8B">
              <w:t>4</w:t>
            </w:r>
            <w:r w:rsidRPr="00601F9F">
              <w:t xml:space="preserve"> (p</w:t>
            </w:r>
            <w:r w:rsidR="007C5E8B">
              <w:t>k</w:t>
            </w:r>
            <w:r w:rsidRPr="00601F9F">
              <w:t xml:space="preserve">) LECIG scripts costs, less copayments </w:t>
            </w:r>
            <w:r w:rsidR="009A5A5C">
              <w:t>–</w:t>
            </w:r>
            <w:r w:rsidRPr="00601F9F">
              <w:t xml:space="preserve"> revised</w:t>
            </w:r>
            <w:r w:rsidR="009A5A5C">
              <w:t xml:space="preserve"> *</w:t>
            </w:r>
          </w:p>
        </w:tc>
        <w:tc>
          <w:tcPr>
            <w:tcW w:w="544" w:type="pct"/>
            <w:shd w:val="clear" w:color="auto" w:fill="auto"/>
          </w:tcPr>
          <w:p w14:paraId="687D20D1" w14:textId="15E7B387" w:rsidR="0049000E" w:rsidRPr="008403BF" w:rsidRDefault="00DE2396" w:rsidP="00161CA4">
            <w:pPr>
              <w:pStyle w:val="TableText"/>
              <w:keepLines/>
              <w:jc w:val="center"/>
              <w:rPr>
                <w:highlight w:val="lightGray"/>
              </w:rPr>
            </w:pPr>
            <w:r w:rsidRPr="00DE2396">
              <w:rPr>
                <w:rFonts w:hint="eastAsia"/>
                <w:color w:val="000000"/>
                <w:spacing w:val="30"/>
                <w:w w:val="15"/>
                <w:shd w:val="solid" w:color="000000" w:fill="000000"/>
                <w:fitText w:val="60" w:id="-893134840"/>
                <w14:textFill>
                  <w14:solidFill>
                    <w14:srgbClr w14:val="000000">
                      <w14:alpha w14:val="100000"/>
                    </w14:srgbClr>
                  </w14:solidFill>
                </w14:textFill>
              </w:rPr>
              <w:t xml:space="preserve">　</w:t>
            </w:r>
            <w:r w:rsidRPr="00DE2396">
              <w:rPr>
                <w:rFonts w:hint="eastAsia"/>
                <w:color w:val="000000"/>
                <w:spacing w:val="79"/>
                <w:w w:val="31"/>
                <w:shd w:val="solid" w:color="000000" w:fill="000000"/>
                <w:fitText w:val="140" w:id="-893134839"/>
                <w14:textFill>
                  <w14:solidFill>
                    <w14:srgbClr w14:val="000000">
                      <w14:alpha w14:val="100000"/>
                    </w14:srgbClr>
                  </w14:solidFill>
                </w14:textFill>
              </w:rPr>
              <w:t xml:space="preserve">　</w:t>
            </w:r>
            <w:r w:rsidRPr="00B743AB">
              <w:rPr>
                <w:color w:val="000000"/>
                <w:spacing w:val="204"/>
                <w:shd w:val="solid" w:color="000000" w:fill="000000"/>
                <w:fitText w:val="290" w:id="-893134838"/>
                <w14:textFill>
                  <w14:solidFill>
                    <w14:srgbClr w14:val="000000">
                      <w14:alpha w14:val="100000"/>
                    </w14:srgbClr>
                  </w14:solidFill>
                </w14:textFill>
              </w:rPr>
              <w:t>|</w:t>
            </w:r>
            <w:r w:rsidRPr="00B743AB">
              <w:rPr>
                <w:color w:val="000000"/>
                <w:shd w:val="solid" w:color="000000" w:fill="000000"/>
                <w:fitText w:val="290" w:id="-893134838"/>
                <w14:textFill>
                  <w14:solidFill>
                    <w14:srgbClr w14:val="000000">
                      <w14:alpha w14:val="100000"/>
                    </w14:srgbClr>
                  </w14:solidFill>
                </w14:textFill>
              </w:rPr>
              <w:t>|</w:t>
            </w:r>
            <w:r w:rsidR="00940300" w:rsidRPr="00B71856">
              <w:rPr>
                <w:vertAlign w:val="superscript"/>
              </w:rPr>
              <w:t>2</w:t>
            </w:r>
          </w:p>
        </w:tc>
        <w:tc>
          <w:tcPr>
            <w:tcW w:w="545" w:type="pct"/>
            <w:shd w:val="clear" w:color="auto" w:fill="auto"/>
          </w:tcPr>
          <w:p w14:paraId="2360E2C5" w14:textId="4318E1FD" w:rsidR="0049000E" w:rsidRPr="008403BF" w:rsidRDefault="00DE2396" w:rsidP="00161CA4">
            <w:pPr>
              <w:pStyle w:val="TableText"/>
              <w:keepLines/>
              <w:jc w:val="center"/>
              <w:rPr>
                <w:highlight w:val="lightGray"/>
              </w:rPr>
            </w:pPr>
            <w:r w:rsidRPr="00B743AB">
              <w:rPr>
                <w:rFonts w:hint="eastAsia"/>
                <w:color w:val="000000"/>
                <w:w w:val="24"/>
                <w:shd w:val="solid" w:color="000000" w:fill="000000"/>
                <w:fitText w:val="110" w:id="-893134837"/>
                <w14:textFill>
                  <w14:solidFill>
                    <w14:srgbClr w14:val="000000">
                      <w14:alpha w14:val="100000"/>
                    </w14:srgbClr>
                  </w14:solidFill>
                </w14:textFill>
              </w:rPr>
              <w:t xml:space="preserve">　</w:t>
            </w:r>
            <w:r w:rsidRPr="00B743AB">
              <w:rPr>
                <w:color w:val="000000"/>
                <w:w w:val="24"/>
                <w:shd w:val="solid" w:color="000000" w:fill="000000"/>
                <w:fitText w:val="110" w:id="-893134837"/>
                <w14:textFill>
                  <w14:solidFill>
                    <w14:srgbClr w14:val="000000">
                      <w14:alpha w14:val="100000"/>
                    </w14:srgbClr>
                  </w14:solidFill>
                </w14:textFill>
              </w:rPr>
              <w:t>|</w:t>
            </w:r>
            <w:r w:rsidRPr="00B743AB">
              <w:rPr>
                <w:rFonts w:hint="eastAsia"/>
                <w:color w:val="000000"/>
                <w:w w:val="24"/>
                <w:shd w:val="solid" w:color="000000" w:fill="000000"/>
                <w:fitText w:val="110" w:id="-893134837"/>
                <w14:textFill>
                  <w14:solidFill>
                    <w14:srgbClr w14:val="000000">
                      <w14:alpha w14:val="100000"/>
                    </w14:srgbClr>
                  </w14:solidFill>
                </w14:textFill>
              </w:rPr>
              <w:t xml:space="preserve">　</w:t>
            </w:r>
            <w:r w:rsidR="00940300" w:rsidRPr="00B71856">
              <w:rPr>
                <w:vertAlign w:val="superscript"/>
              </w:rPr>
              <w:t>2</w:t>
            </w:r>
          </w:p>
        </w:tc>
        <w:tc>
          <w:tcPr>
            <w:tcW w:w="544" w:type="pct"/>
            <w:shd w:val="clear" w:color="auto" w:fill="auto"/>
          </w:tcPr>
          <w:p w14:paraId="56E8682C" w14:textId="6D3C2EF7" w:rsidR="0049000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36"/>
                <w14:textFill>
                  <w14:solidFill>
                    <w14:srgbClr w14:val="000000">
                      <w14:alpha w14:val="100000"/>
                    </w14:srgbClr>
                  </w14:solidFill>
                </w14:textFill>
              </w:rPr>
              <w:t xml:space="preserve">　</w:t>
            </w:r>
            <w:r w:rsidRPr="00B743AB">
              <w:rPr>
                <w:color w:val="000000"/>
                <w:w w:val="27"/>
                <w:shd w:val="solid" w:color="000000" w:fill="000000"/>
                <w:fitText w:val="120" w:id="-893134836"/>
                <w14:textFill>
                  <w14:solidFill>
                    <w14:srgbClr w14:val="000000">
                      <w14:alpha w14:val="100000"/>
                    </w14:srgbClr>
                  </w14:solidFill>
                </w14:textFill>
              </w:rPr>
              <w:t>|</w:t>
            </w:r>
            <w:r w:rsidRPr="00B743AB">
              <w:rPr>
                <w:rFonts w:hint="eastAsia"/>
                <w:color w:val="000000"/>
                <w:w w:val="27"/>
                <w:shd w:val="solid" w:color="000000" w:fill="000000"/>
                <w:fitText w:val="120" w:id="-893134836"/>
                <w14:textFill>
                  <w14:solidFill>
                    <w14:srgbClr w14:val="000000">
                      <w14:alpha w14:val="100000"/>
                    </w14:srgbClr>
                  </w14:solidFill>
                </w14:textFill>
              </w:rPr>
              <w:t xml:space="preserve">　</w:t>
            </w:r>
            <w:r w:rsidR="001F2311" w:rsidRPr="00B71856">
              <w:rPr>
                <w:vertAlign w:val="superscript"/>
              </w:rPr>
              <w:t>3</w:t>
            </w:r>
          </w:p>
        </w:tc>
        <w:tc>
          <w:tcPr>
            <w:tcW w:w="545" w:type="pct"/>
            <w:shd w:val="clear" w:color="auto" w:fill="auto"/>
          </w:tcPr>
          <w:p w14:paraId="2CF13A33" w14:textId="538EA052" w:rsidR="0049000E" w:rsidRPr="008403BF" w:rsidRDefault="00DE2396" w:rsidP="00161CA4">
            <w:pPr>
              <w:pStyle w:val="TableText"/>
              <w:keepLines/>
              <w:jc w:val="center"/>
              <w:rPr>
                <w:highlight w:val="lightGray"/>
              </w:rPr>
            </w:pPr>
            <w:r w:rsidRPr="00B743AB">
              <w:rPr>
                <w:rFonts w:hint="eastAsia"/>
                <w:color w:val="000000"/>
                <w:w w:val="24"/>
                <w:shd w:val="solid" w:color="000000" w:fill="000000"/>
                <w:fitText w:val="110" w:id="-893134835"/>
                <w14:textFill>
                  <w14:solidFill>
                    <w14:srgbClr w14:val="000000">
                      <w14:alpha w14:val="100000"/>
                    </w14:srgbClr>
                  </w14:solidFill>
                </w14:textFill>
              </w:rPr>
              <w:t xml:space="preserve">　</w:t>
            </w:r>
            <w:r w:rsidRPr="00B743AB">
              <w:rPr>
                <w:color w:val="000000"/>
                <w:w w:val="24"/>
                <w:shd w:val="solid" w:color="000000" w:fill="000000"/>
                <w:fitText w:val="110" w:id="-893134835"/>
                <w14:textFill>
                  <w14:solidFill>
                    <w14:srgbClr w14:val="000000">
                      <w14:alpha w14:val="100000"/>
                    </w14:srgbClr>
                  </w14:solidFill>
                </w14:textFill>
              </w:rPr>
              <w:t>|</w:t>
            </w:r>
            <w:r w:rsidRPr="00B743AB">
              <w:rPr>
                <w:rFonts w:hint="eastAsia"/>
                <w:color w:val="000000"/>
                <w:w w:val="24"/>
                <w:shd w:val="solid" w:color="000000" w:fill="000000"/>
                <w:fitText w:val="110" w:id="-893134835"/>
                <w14:textFill>
                  <w14:solidFill>
                    <w14:srgbClr w14:val="000000">
                      <w14:alpha w14:val="100000"/>
                    </w14:srgbClr>
                  </w14:solidFill>
                </w14:textFill>
              </w:rPr>
              <w:t xml:space="preserve">　</w:t>
            </w:r>
            <w:r w:rsidR="001F2311" w:rsidRPr="00B71856">
              <w:rPr>
                <w:vertAlign w:val="superscript"/>
              </w:rPr>
              <w:t>3</w:t>
            </w:r>
          </w:p>
        </w:tc>
        <w:tc>
          <w:tcPr>
            <w:tcW w:w="544" w:type="pct"/>
            <w:shd w:val="clear" w:color="auto" w:fill="auto"/>
          </w:tcPr>
          <w:p w14:paraId="3D5284AE" w14:textId="3CEF702F" w:rsidR="0049000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34"/>
                <w14:textFill>
                  <w14:solidFill>
                    <w14:srgbClr w14:val="000000">
                      <w14:alpha w14:val="100000"/>
                    </w14:srgbClr>
                  </w14:solidFill>
                </w14:textFill>
              </w:rPr>
              <w:t xml:space="preserve">　</w:t>
            </w:r>
            <w:r w:rsidRPr="00B743AB">
              <w:rPr>
                <w:color w:val="000000"/>
                <w:w w:val="27"/>
                <w:shd w:val="solid" w:color="000000" w:fill="000000"/>
                <w:fitText w:val="120" w:id="-893134834"/>
                <w14:textFill>
                  <w14:solidFill>
                    <w14:srgbClr w14:val="000000">
                      <w14:alpha w14:val="100000"/>
                    </w14:srgbClr>
                  </w14:solidFill>
                </w14:textFill>
              </w:rPr>
              <w:t>|</w:t>
            </w:r>
            <w:r w:rsidRPr="00B743AB">
              <w:rPr>
                <w:rFonts w:hint="eastAsia"/>
                <w:color w:val="000000"/>
                <w:w w:val="27"/>
                <w:shd w:val="solid" w:color="000000" w:fill="000000"/>
                <w:fitText w:val="120" w:id="-893134834"/>
                <w14:textFill>
                  <w14:solidFill>
                    <w14:srgbClr w14:val="000000">
                      <w14:alpha w14:val="100000"/>
                    </w14:srgbClr>
                  </w14:solidFill>
                </w14:textFill>
              </w:rPr>
              <w:t xml:space="preserve">　</w:t>
            </w:r>
            <w:r w:rsidR="001F2311" w:rsidRPr="00B71856">
              <w:rPr>
                <w:vertAlign w:val="superscript"/>
              </w:rPr>
              <w:t>4</w:t>
            </w:r>
          </w:p>
        </w:tc>
        <w:tc>
          <w:tcPr>
            <w:tcW w:w="547" w:type="pct"/>
          </w:tcPr>
          <w:p w14:paraId="21B8CBFF" w14:textId="717A8823" w:rsidR="0049000E" w:rsidRPr="008403BF" w:rsidRDefault="00DE2396" w:rsidP="00161CA4">
            <w:pPr>
              <w:pStyle w:val="TableText"/>
              <w:keepLines/>
              <w:jc w:val="center"/>
              <w:rPr>
                <w:highlight w:val="lightGray"/>
              </w:rPr>
            </w:pPr>
            <w:r w:rsidRPr="00B743AB">
              <w:rPr>
                <w:rFonts w:hint="eastAsia"/>
                <w:color w:val="000000"/>
                <w:w w:val="22"/>
                <w:shd w:val="solid" w:color="000000" w:fill="000000"/>
                <w:fitText w:val="100" w:id="-893134833"/>
                <w14:textFill>
                  <w14:solidFill>
                    <w14:srgbClr w14:val="000000">
                      <w14:alpha w14:val="100000"/>
                    </w14:srgbClr>
                  </w14:solidFill>
                </w14:textFill>
              </w:rPr>
              <w:t xml:space="preserve">　</w:t>
            </w:r>
            <w:r w:rsidRPr="00B743AB">
              <w:rPr>
                <w:color w:val="000000"/>
                <w:w w:val="22"/>
                <w:shd w:val="solid" w:color="000000" w:fill="000000"/>
                <w:fitText w:val="100" w:id="-893134833"/>
                <w14:textFill>
                  <w14:solidFill>
                    <w14:srgbClr w14:val="000000">
                      <w14:alpha w14:val="100000"/>
                    </w14:srgbClr>
                  </w14:solidFill>
                </w14:textFill>
              </w:rPr>
              <w:t>|</w:t>
            </w:r>
            <w:r w:rsidRPr="00B743AB">
              <w:rPr>
                <w:rFonts w:hint="eastAsia"/>
                <w:color w:val="000000"/>
                <w:w w:val="22"/>
                <w:shd w:val="solid" w:color="000000" w:fill="000000"/>
                <w:fitText w:val="100" w:id="-893134833"/>
                <w14:textFill>
                  <w14:solidFill>
                    <w14:srgbClr w14:val="000000">
                      <w14:alpha w14:val="100000"/>
                    </w14:srgbClr>
                  </w14:solidFill>
                </w14:textFill>
              </w:rPr>
              <w:t xml:space="preserve">　</w:t>
            </w:r>
            <w:r w:rsidR="001F2311" w:rsidRPr="00B71856">
              <w:rPr>
                <w:vertAlign w:val="superscript"/>
              </w:rPr>
              <w:t>4</w:t>
            </w:r>
          </w:p>
        </w:tc>
      </w:tr>
      <w:tr w:rsidR="0049000E" w:rsidRPr="001C05C6" w14:paraId="6B9F93CD" w14:textId="77777777" w:rsidTr="00CF5A2E">
        <w:tc>
          <w:tcPr>
            <w:tcW w:w="1731" w:type="pct"/>
            <w:shd w:val="clear" w:color="auto" w:fill="auto"/>
          </w:tcPr>
          <w:p w14:paraId="60AC1FBC" w14:textId="0735E939" w:rsidR="0049000E" w:rsidRPr="001C05C6" w:rsidRDefault="0049000E" w:rsidP="00161CA4">
            <w:pPr>
              <w:pStyle w:val="TableText"/>
              <w:keepLines/>
            </w:pPr>
            <w:r w:rsidRPr="00601F9F">
              <w:t xml:space="preserve">Maximum quantity of </w:t>
            </w:r>
            <w:r w:rsidR="007C5E8B">
              <w:t>8</w:t>
            </w:r>
            <w:r w:rsidRPr="00601F9F">
              <w:t xml:space="preserve"> (p</w:t>
            </w:r>
            <w:r w:rsidR="007C5E8B">
              <w:t>k</w:t>
            </w:r>
            <w:r w:rsidRPr="00601F9F">
              <w:t xml:space="preserve">) LECIG scripts costs, less copayments </w:t>
            </w:r>
            <w:r w:rsidR="009A5A5C">
              <w:t>–</w:t>
            </w:r>
            <w:r w:rsidRPr="00601F9F">
              <w:t xml:space="preserve"> revised</w:t>
            </w:r>
            <w:r w:rsidR="009A5A5C">
              <w:t xml:space="preserve"> *</w:t>
            </w:r>
          </w:p>
        </w:tc>
        <w:tc>
          <w:tcPr>
            <w:tcW w:w="544" w:type="pct"/>
            <w:shd w:val="clear" w:color="auto" w:fill="auto"/>
          </w:tcPr>
          <w:p w14:paraId="464A63E3" w14:textId="68E50B20" w:rsidR="0049000E" w:rsidRPr="008403BF" w:rsidRDefault="00DE2396" w:rsidP="00161CA4">
            <w:pPr>
              <w:pStyle w:val="TableText"/>
              <w:keepLines/>
              <w:jc w:val="center"/>
              <w:rPr>
                <w:highlight w:val="lightGray"/>
              </w:rPr>
            </w:pPr>
            <w:r w:rsidRPr="00DE2396">
              <w:rPr>
                <w:rFonts w:hint="eastAsia"/>
                <w:color w:val="000000"/>
                <w:spacing w:val="30"/>
                <w:w w:val="15"/>
                <w:shd w:val="solid" w:color="000000" w:fill="000000"/>
                <w:fitText w:val="60" w:id="-893134832"/>
                <w14:textFill>
                  <w14:solidFill>
                    <w14:srgbClr w14:val="000000">
                      <w14:alpha w14:val="100000"/>
                    </w14:srgbClr>
                  </w14:solidFill>
                </w14:textFill>
              </w:rPr>
              <w:t xml:space="preserve">　</w:t>
            </w:r>
            <w:r w:rsidRPr="00DE2396">
              <w:rPr>
                <w:rFonts w:hint="eastAsia"/>
                <w:color w:val="000000"/>
                <w:spacing w:val="79"/>
                <w:w w:val="31"/>
                <w:shd w:val="solid" w:color="000000" w:fill="000000"/>
                <w:fitText w:val="140" w:id="-893134848"/>
                <w14:textFill>
                  <w14:solidFill>
                    <w14:srgbClr w14:val="000000">
                      <w14:alpha w14:val="100000"/>
                    </w14:srgbClr>
                  </w14:solidFill>
                </w14:textFill>
              </w:rPr>
              <w:t xml:space="preserve">　</w:t>
            </w:r>
            <w:r w:rsidRPr="00B743AB">
              <w:rPr>
                <w:color w:val="000000"/>
                <w:spacing w:val="204"/>
                <w:shd w:val="solid" w:color="000000" w:fill="000000"/>
                <w:fitText w:val="290" w:id="-893134847"/>
                <w14:textFill>
                  <w14:solidFill>
                    <w14:srgbClr w14:val="000000">
                      <w14:alpha w14:val="100000"/>
                    </w14:srgbClr>
                  </w14:solidFill>
                </w14:textFill>
              </w:rPr>
              <w:t>|</w:t>
            </w:r>
            <w:r w:rsidRPr="00B743AB">
              <w:rPr>
                <w:color w:val="000000"/>
                <w:shd w:val="solid" w:color="000000" w:fill="000000"/>
                <w:fitText w:val="290" w:id="-893134847"/>
                <w14:textFill>
                  <w14:solidFill>
                    <w14:srgbClr w14:val="000000">
                      <w14:alpha w14:val="100000"/>
                    </w14:srgbClr>
                  </w14:solidFill>
                </w14:textFill>
              </w:rPr>
              <w:t>|</w:t>
            </w:r>
            <w:r w:rsidR="00940300" w:rsidRPr="00B71856">
              <w:rPr>
                <w:vertAlign w:val="superscript"/>
              </w:rPr>
              <w:t>2</w:t>
            </w:r>
          </w:p>
        </w:tc>
        <w:tc>
          <w:tcPr>
            <w:tcW w:w="545" w:type="pct"/>
            <w:shd w:val="clear" w:color="auto" w:fill="auto"/>
          </w:tcPr>
          <w:p w14:paraId="2EE6C738" w14:textId="2327238E" w:rsidR="0049000E" w:rsidRPr="008403BF" w:rsidRDefault="00DE2396" w:rsidP="00161CA4">
            <w:pPr>
              <w:pStyle w:val="TableText"/>
              <w:keepLines/>
              <w:jc w:val="center"/>
              <w:rPr>
                <w:highlight w:val="lightGray"/>
              </w:rPr>
            </w:pPr>
            <w:r w:rsidRPr="00B743AB">
              <w:rPr>
                <w:rFonts w:hint="eastAsia"/>
                <w:color w:val="000000"/>
                <w:w w:val="24"/>
                <w:shd w:val="solid" w:color="000000" w:fill="000000"/>
                <w:fitText w:val="110" w:id="-893134846"/>
                <w14:textFill>
                  <w14:solidFill>
                    <w14:srgbClr w14:val="000000">
                      <w14:alpha w14:val="100000"/>
                    </w14:srgbClr>
                  </w14:solidFill>
                </w14:textFill>
              </w:rPr>
              <w:t xml:space="preserve">　</w:t>
            </w:r>
            <w:r w:rsidRPr="00B743AB">
              <w:rPr>
                <w:color w:val="000000"/>
                <w:w w:val="24"/>
                <w:shd w:val="solid" w:color="000000" w:fill="000000"/>
                <w:fitText w:val="110" w:id="-893134846"/>
                <w14:textFill>
                  <w14:solidFill>
                    <w14:srgbClr w14:val="000000">
                      <w14:alpha w14:val="100000"/>
                    </w14:srgbClr>
                  </w14:solidFill>
                </w14:textFill>
              </w:rPr>
              <w:t>|</w:t>
            </w:r>
            <w:r w:rsidRPr="00B743AB">
              <w:rPr>
                <w:rFonts w:hint="eastAsia"/>
                <w:color w:val="000000"/>
                <w:w w:val="24"/>
                <w:shd w:val="solid" w:color="000000" w:fill="000000"/>
                <w:fitText w:val="110" w:id="-893134846"/>
                <w14:textFill>
                  <w14:solidFill>
                    <w14:srgbClr w14:val="000000">
                      <w14:alpha w14:val="100000"/>
                    </w14:srgbClr>
                  </w14:solidFill>
                </w14:textFill>
              </w:rPr>
              <w:t xml:space="preserve">　</w:t>
            </w:r>
            <w:r w:rsidR="00940300" w:rsidRPr="00B71856">
              <w:rPr>
                <w:vertAlign w:val="superscript"/>
              </w:rPr>
              <w:t>2</w:t>
            </w:r>
          </w:p>
        </w:tc>
        <w:tc>
          <w:tcPr>
            <w:tcW w:w="544" w:type="pct"/>
            <w:shd w:val="clear" w:color="auto" w:fill="auto"/>
          </w:tcPr>
          <w:p w14:paraId="66757B52" w14:textId="06596959" w:rsidR="0049000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45"/>
                <w14:textFill>
                  <w14:solidFill>
                    <w14:srgbClr w14:val="000000">
                      <w14:alpha w14:val="100000"/>
                    </w14:srgbClr>
                  </w14:solidFill>
                </w14:textFill>
              </w:rPr>
              <w:t xml:space="preserve">　</w:t>
            </w:r>
            <w:r w:rsidRPr="00B743AB">
              <w:rPr>
                <w:color w:val="000000"/>
                <w:w w:val="27"/>
                <w:shd w:val="solid" w:color="000000" w:fill="000000"/>
                <w:fitText w:val="120" w:id="-893134845"/>
                <w14:textFill>
                  <w14:solidFill>
                    <w14:srgbClr w14:val="000000">
                      <w14:alpha w14:val="100000"/>
                    </w14:srgbClr>
                  </w14:solidFill>
                </w14:textFill>
              </w:rPr>
              <w:t>|</w:t>
            </w:r>
            <w:r w:rsidRPr="00B743AB">
              <w:rPr>
                <w:rFonts w:hint="eastAsia"/>
                <w:color w:val="000000"/>
                <w:w w:val="27"/>
                <w:shd w:val="solid" w:color="000000" w:fill="000000"/>
                <w:fitText w:val="120" w:id="-893134845"/>
                <w14:textFill>
                  <w14:solidFill>
                    <w14:srgbClr w14:val="000000">
                      <w14:alpha w14:val="100000"/>
                    </w14:srgbClr>
                  </w14:solidFill>
                </w14:textFill>
              </w:rPr>
              <w:t xml:space="preserve">　</w:t>
            </w:r>
            <w:r w:rsidR="00940300" w:rsidRPr="00B71856">
              <w:rPr>
                <w:vertAlign w:val="superscript"/>
              </w:rPr>
              <w:t>2</w:t>
            </w:r>
          </w:p>
        </w:tc>
        <w:tc>
          <w:tcPr>
            <w:tcW w:w="545" w:type="pct"/>
            <w:shd w:val="clear" w:color="auto" w:fill="auto"/>
          </w:tcPr>
          <w:p w14:paraId="4408D9AC" w14:textId="12966F4F" w:rsidR="0049000E" w:rsidRPr="008403BF" w:rsidRDefault="00DE2396" w:rsidP="00161CA4">
            <w:pPr>
              <w:pStyle w:val="TableText"/>
              <w:keepLines/>
              <w:jc w:val="center"/>
              <w:rPr>
                <w:highlight w:val="lightGray"/>
              </w:rPr>
            </w:pPr>
            <w:r w:rsidRPr="00B743AB">
              <w:rPr>
                <w:rFonts w:hint="eastAsia"/>
                <w:color w:val="000000"/>
                <w:w w:val="24"/>
                <w:shd w:val="solid" w:color="000000" w:fill="000000"/>
                <w:fitText w:val="110" w:id="-893134844"/>
                <w14:textFill>
                  <w14:solidFill>
                    <w14:srgbClr w14:val="000000">
                      <w14:alpha w14:val="100000"/>
                    </w14:srgbClr>
                  </w14:solidFill>
                </w14:textFill>
              </w:rPr>
              <w:t xml:space="preserve">　</w:t>
            </w:r>
            <w:r w:rsidRPr="00B743AB">
              <w:rPr>
                <w:color w:val="000000"/>
                <w:w w:val="24"/>
                <w:shd w:val="solid" w:color="000000" w:fill="000000"/>
                <w:fitText w:val="110" w:id="-893134844"/>
                <w14:textFill>
                  <w14:solidFill>
                    <w14:srgbClr w14:val="000000">
                      <w14:alpha w14:val="100000"/>
                    </w14:srgbClr>
                  </w14:solidFill>
                </w14:textFill>
              </w:rPr>
              <w:t>|</w:t>
            </w:r>
            <w:r w:rsidRPr="00B743AB">
              <w:rPr>
                <w:rFonts w:hint="eastAsia"/>
                <w:color w:val="000000"/>
                <w:w w:val="24"/>
                <w:shd w:val="solid" w:color="000000" w:fill="000000"/>
                <w:fitText w:val="110" w:id="-893134844"/>
                <w14:textFill>
                  <w14:solidFill>
                    <w14:srgbClr w14:val="000000">
                      <w14:alpha w14:val="100000"/>
                    </w14:srgbClr>
                  </w14:solidFill>
                </w14:textFill>
              </w:rPr>
              <w:t xml:space="preserve">　</w:t>
            </w:r>
            <w:r w:rsidR="00940300" w:rsidRPr="00B71856">
              <w:rPr>
                <w:vertAlign w:val="superscript"/>
              </w:rPr>
              <w:t>2</w:t>
            </w:r>
          </w:p>
        </w:tc>
        <w:tc>
          <w:tcPr>
            <w:tcW w:w="544" w:type="pct"/>
            <w:shd w:val="clear" w:color="auto" w:fill="auto"/>
          </w:tcPr>
          <w:p w14:paraId="22937001" w14:textId="77CB9CF6" w:rsidR="0049000E" w:rsidRPr="008403BF" w:rsidRDefault="00DE2396" w:rsidP="00161CA4">
            <w:pPr>
              <w:pStyle w:val="TableText"/>
              <w:keepLines/>
              <w:jc w:val="center"/>
              <w:rPr>
                <w:highlight w:val="lightGray"/>
              </w:rPr>
            </w:pPr>
            <w:r w:rsidRPr="00B743AB">
              <w:rPr>
                <w:rFonts w:hint="eastAsia"/>
                <w:color w:val="000000"/>
                <w:w w:val="27"/>
                <w:shd w:val="solid" w:color="000000" w:fill="000000"/>
                <w:fitText w:val="120" w:id="-893134843"/>
                <w14:textFill>
                  <w14:solidFill>
                    <w14:srgbClr w14:val="000000">
                      <w14:alpha w14:val="100000"/>
                    </w14:srgbClr>
                  </w14:solidFill>
                </w14:textFill>
              </w:rPr>
              <w:t xml:space="preserve">　</w:t>
            </w:r>
            <w:r w:rsidRPr="00B743AB">
              <w:rPr>
                <w:color w:val="000000"/>
                <w:w w:val="27"/>
                <w:shd w:val="solid" w:color="000000" w:fill="000000"/>
                <w:fitText w:val="120" w:id="-893134843"/>
                <w14:textFill>
                  <w14:solidFill>
                    <w14:srgbClr w14:val="000000">
                      <w14:alpha w14:val="100000"/>
                    </w14:srgbClr>
                  </w14:solidFill>
                </w14:textFill>
              </w:rPr>
              <w:t>|</w:t>
            </w:r>
            <w:r w:rsidRPr="00B743AB">
              <w:rPr>
                <w:rFonts w:hint="eastAsia"/>
                <w:color w:val="000000"/>
                <w:w w:val="27"/>
                <w:shd w:val="solid" w:color="000000" w:fill="000000"/>
                <w:fitText w:val="120" w:id="-893134843"/>
                <w14:textFill>
                  <w14:solidFill>
                    <w14:srgbClr w14:val="000000">
                      <w14:alpha w14:val="100000"/>
                    </w14:srgbClr>
                  </w14:solidFill>
                </w14:textFill>
              </w:rPr>
              <w:t xml:space="preserve">　</w:t>
            </w:r>
            <w:r w:rsidR="00940300" w:rsidRPr="00B71856">
              <w:rPr>
                <w:vertAlign w:val="superscript"/>
              </w:rPr>
              <w:t>2</w:t>
            </w:r>
          </w:p>
        </w:tc>
        <w:tc>
          <w:tcPr>
            <w:tcW w:w="547" w:type="pct"/>
          </w:tcPr>
          <w:p w14:paraId="0D3CAC02" w14:textId="346D5BED" w:rsidR="0049000E" w:rsidRPr="008403BF" w:rsidRDefault="00DE2396" w:rsidP="00161CA4">
            <w:pPr>
              <w:pStyle w:val="TableText"/>
              <w:keepLines/>
              <w:jc w:val="center"/>
              <w:rPr>
                <w:highlight w:val="lightGray"/>
              </w:rPr>
            </w:pPr>
            <w:r w:rsidRPr="00B743AB">
              <w:rPr>
                <w:rFonts w:hint="eastAsia"/>
                <w:color w:val="000000"/>
                <w:w w:val="22"/>
                <w:shd w:val="solid" w:color="000000" w:fill="000000"/>
                <w:fitText w:val="100" w:id="-893134842"/>
                <w14:textFill>
                  <w14:solidFill>
                    <w14:srgbClr w14:val="000000">
                      <w14:alpha w14:val="100000"/>
                    </w14:srgbClr>
                  </w14:solidFill>
                </w14:textFill>
              </w:rPr>
              <w:t xml:space="preserve">　</w:t>
            </w:r>
            <w:r w:rsidRPr="00B743AB">
              <w:rPr>
                <w:color w:val="000000"/>
                <w:w w:val="22"/>
                <w:shd w:val="solid" w:color="000000" w:fill="000000"/>
                <w:fitText w:val="100" w:id="-893134842"/>
                <w14:textFill>
                  <w14:solidFill>
                    <w14:srgbClr w14:val="000000">
                      <w14:alpha w14:val="100000"/>
                    </w14:srgbClr>
                  </w14:solidFill>
                </w14:textFill>
              </w:rPr>
              <w:t>|</w:t>
            </w:r>
            <w:r w:rsidRPr="00B743AB">
              <w:rPr>
                <w:rFonts w:hint="eastAsia"/>
                <w:color w:val="000000"/>
                <w:w w:val="22"/>
                <w:shd w:val="solid" w:color="000000" w:fill="000000"/>
                <w:fitText w:val="100" w:id="-893134842"/>
                <w14:textFill>
                  <w14:solidFill>
                    <w14:srgbClr w14:val="000000">
                      <w14:alpha w14:val="100000"/>
                    </w14:srgbClr>
                  </w14:solidFill>
                </w14:textFill>
              </w:rPr>
              <w:t xml:space="preserve">　</w:t>
            </w:r>
            <w:r w:rsidR="00940300" w:rsidRPr="00B71856">
              <w:rPr>
                <w:vertAlign w:val="superscript"/>
              </w:rPr>
              <w:t>2</w:t>
            </w:r>
          </w:p>
        </w:tc>
      </w:tr>
      <w:tr w:rsidR="00576931" w:rsidRPr="001C05C6" w14:paraId="577DC92C" w14:textId="77777777" w:rsidTr="00782EA8">
        <w:tc>
          <w:tcPr>
            <w:tcW w:w="5000" w:type="pct"/>
            <w:gridSpan w:val="7"/>
            <w:shd w:val="clear" w:color="auto" w:fill="auto"/>
            <w:vAlign w:val="center"/>
          </w:tcPr>
          <w:p w14:paraId="7A563009" w14:textId="77777777" w:rsidR="00576931" w:rsidRPr="001C05C6" w:rsidRDefault="00576931" w:rsidP="00161CA4">
            <w:pPr>
              <w:pStyle w:val="TableText"/>
              <w:keepLines/>
              <w:rPr>
                <w:b/>
                <w:bCs w:val="0"/>
              </w:rPr>
            </w:pPr>
            <w:r w:rsidRPr="001C05C6">
              <w:rPr>
                <w:b/>
                <w:bCs w:val="0"/>
              </w:rPr>
              <w:t>Estimated cost savings due to reduction in LCIG scripts</w:t>
            </w:r>
          </w:p>
        </w:tc>
      </w:tr>
      <w:tr w:rsidR="0049000E" w:rsidRPr="001C05C6" w14:paraId="61D327E3" w14:textId="77777777" w:rsidTr="00A2557F">
        <w:tc>
          <w:tcPr>
            <w:tcW w:w="1731" w:type="pct"/>
            <w:shd w:val="clear" w:color="auto" w:fill="auto"/>
          </w:tcPr>
          <w:p w14:paraId="4C4EB95D" w14:textId="19B6BD76" w:rsidR="0049000E" w:rsidRPr="001C05C6" w:rsidRDefault="0049000E" w:rsidP="00161CA4">
            <w:pPr>
              <w:pStyle w:val="TableText"/>
              <w:keepLines/>
            </w:pPr>
            <w:r w:rsidRPr="00CB59D5">
              <w:t xml:space="preserve">Maximum quantity of </w:t>
            </w:r>
            <w:r w:rsidR="007C5E8B">
              <w:t>4</w:t>
            </w:r>
            <w:r w:rsidRPr="00CB59D5">
              <w:t xml:space="preserve"> (p</w:t>
            </w:r>
            <w:r w:rsidR="007C5E8B">
              <w:t>k</w:t>
            </w:r>
            <w:r w:rsidRPr="00CB59D5">
              <w:t>) LCIG scripts cost savings, less copayments</w:t>
            </w:r>
          </w:p>
        </w:tc>
        <w:tc>
          <w:tcPr>
            <w:tcW w:w="544" w:type="pct"/>
            <w:shd w:val="clear" w:color="auto" w:fill="auto"/>
          </w:tcPr>
          <w:p w14:paraId="032A0838" w14:textId="20906290" w:rsidR="0049000E" w:rsidRPr="008403BF" w:rsidRDefault="00DE2396" w:rsidP="00161CA4">
            <w:pPr>
              <w:pStyle w:val="TableText"/>
              <w:keepLines/>
              <w:jc w:val="center"/>
              <w:rPr>
                <w:sz w:val="18"/>
                <w:szCs w:val="18"/>
                <w:highlight w:val="lightGray"/>
              </w:rPr>
            </w:pPr>
            <w:r w:rsidRPr="00DE2396">
              <w:rPr>
                <w:rFonts w:hint="eastAsia"/>
                <w:color w:val="000000"/>
                <w:spacing w:val="33"/>
                <w:w w:val="15"/>
                <w:sz w:val="18"/>
                <w:szCs w:val="18"/>
                <w:shd w:val="solid" w:color="000000" w:fill="000000"/>
                <w:fitText w:val="60" w:id="-893134841"/>
                <w14:textFill>
                  <w14:solidFill>
                    <w14:srgbClr w14:val="000000">
                      <w14:alpha w14:val="100000"/>
                    </w14:srgbClr>
                  </w14:solidFill>
                </w14:textFill>
              </w:rPr>
              <w:t xml:space="preserve">　</w:t>
            </w:r>
            <w:r w:rsidRPr="00DE2396">
              <w:rPr>
                <w:rFonts w:hint="eastAsia"/>
                <w:color w:val="000000"/>
                <w:spacing w:val="73"/>
                <w:w w:val="32"/>
                <w:sz w:val="18"/>
                <w:szCs w:val="18"/>
                <w:shd w:val="solid" w:color="000000" w:fill="000000"/>
                <w:fitText w:val="130" w:id="-893134592"/>
                <w14:textFill>
                  <w14:solidFill>
                    <w14:srgbClr w14:val="000000">
                      <w14:alpha w14:val="100000"/>
                    </w14:srgbClr>
                  </w14:solidFill>
                </w14:textFill>
              </w:rPr>
              <w:t xml:space="preserve">　</w:t>
            </w:r>
            <w:r w:rsidRPr="00B743AB">
              <w:rPr>
                <w:color w:val="000000"/>
                <w:spacing w:val="183"/>
                <w:sz w:val="18"/>
                <w:szCs w:val="18"/>
                <w:shd w:val="solid" w:color="000000" w:fill="000000"/>
                <w:fitText w:val="260" w:id="-893134591"/>
                <w14:textFill>
                  <w14:solidFill>
                    <w14:srgbClr w14:val="000000">
                      <w14:alpha w14:val="100000"/>
                    </w14:srgbClr>
                  </w14:solidFill>
                </w14:textFill>
              </w:rPr>
              <w:t>|</w:t>
            </w:r>
            <w:r w:rsidRPr="00B743AB">
              <w:rPr>
                <w:color w:val="000000"/>
                <w:sz w:val="18"/>
                <w:szCs w:val="18"/>
                <w:shd w:val="solid" w:color="000000" w:fill="000000"/>
                <w:fitText w:val="260" w:id="-893134591"/>
                <w14:textFill>
                  <w14:solidFill>
                    <w14:srgbClr w14:val="000000">
                      <w14:alpha w14:val="100000"/>
                    </w14:srgbClr>
                  </w14:solidFill>
                </w14:textFill>
              </w:rPr>
              <w:t>|</w:t>
            </w:r>
            <w:r w:rsidR="00EC40E8" w:rsidRPr="008403BF">
              <w:rPr>
                <w:sz w:val="18"/>
                <w:szCs w:val="18"/>
                <w:vertAlign w:val="superscript"/>
              </w:rPr>
              <w:t>5</w:t>
            </w:r>
          </w:p>
        </w:tc>
        <w:tc>
          <w:tcPr>
            <w:tcW w:w="545" w:type="pct"/>
            <w:shd w:val="clear" w:color="auto" w:fill="auto"/>
          </w:tcPr>
          <w:p w14:paraId="7E8A013D" w14:textId="0EE33A39"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90"/>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90"/>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90"/>
                <w14:textFill>
                  <w14:solidFill>
                    <w14:srgbClr w14:val="000000">
                      <w14:alpha w14:val="100000"/>
                    </w14:srgbClr>
                  </w14:solidFill>
                </w14:textFill>
              </w:rPr>
              <w:t xml:space="preserve">　</w:t>
            </w:r>
            <w:r w:rsidR="00EC40E8" w:rsidRPr="00B71856">
              <w:rPr>
                <w:sz w:val="18"/>
                <w:szCs w:val="18"/>
                <w:vertAlign w:val="superscript"/>
              </w:rPr>
              <w:t>5</w:t>
            </w:r>
          </w:p>
        </w:tc>
        <w:tc>
          <w:tcPr>
            <w:tcW w:w="544" w:type="pct"/>
            <w:shd w:val="clear" w:color="auto" w:fill="auto"/>
          </w:tcPr>
          <w:p w14:paraId="0F5E8A82" w14:textId="3CECC741"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89"/>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89"/>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89"/>
                <w14:textFill>
                  <w14:solidFill>
                    <w14:srgbClr w14:val="000000">
                      <w14:alpha w14:val="100000"/>
                    </w14:srgbClr>
                  </w14:solidFill>
                </w14:textFill>
              </w:rPr>
              <w:t xml:space="preserve">　</w:t>
            </w:r>
            <w:r w:rsidR="00EC40E8" w:rsidRPr="00B71856">
              <w:rPr>
                <w:sz w:val="18"/>
                <w:szCs w:val="18"/>
                <w:vertAlign w:val="superscript"/>
              </w:rPr>
              <w:t>5</w:t>
            </w:r>
          </w:p>
        </w:tc>
        <w:tc>
          <w:tcPr>
            <w:tcW w:w="545" w:type="pct"/>
            <w:shd w:val="clear" w:color="auto" w:fill="auto"/>
          </w:tcPr>
          <w:p w14:paraId="38F465AF" w14:textId="5541AB0C"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88"/>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88"/>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88"/>
                <w14:textFill>
                  <w14:solidFill>
                    <w14:srgbClr w14:val="000000">
                      <w14:alpha w14:val="100000"/>
                    </w14:srgbClr>
                  </w14:solidFill>
                </w14:textFill>
              </w:rPr>
              <w:t xml:space="preserve">　</w:t>
            </w:r>
            <w:r w:rsidR="00EC40E8" w:rsidRPr="00B71856">
              <w:rPr>
                <w:sz w:val="18"/>
                <w:szCs w:val="18"/>
                <w:vertAlign w:val="superscript"/>
              </w:rPr>
              <w:t>5</w:t>
            </w:r>
          </w:p>
        </w:tc>
        <w:tc>
          <w:tcPr>
            <w:tcW w:w="544" w:type="pct"/>
            <w:shd w:val="clear" w:color="auto" w:fill="auto"/>
          </w:tcPr>
          <w:p w14:paraId="12EDB6DB" w14:textId="196D52AC"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87"/>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87"/>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87"/>
                <w14:textFill>
                  <w14:solidFill>
                    <w14:srgbClr w14:val="000000">
                      <w14:alpha w14:val="100000"/>
                    </w14:srgbClr>
                  </w14:solidFill>
                </w14:textFill>
              </w:rPr>
              <w:t xml:space="preserve">　</w:t>
            </w:r>
            <w:r w:rsidR="00EC40E8" w:rsidRPr="00B71856">
              <w:rPr>
                <w:sz w:val="18"/>
                <w:szCs w:val="18"/>
                <w:vertAlign w:val="superscript"/>
              </w:rPr>
              <w:t>5</w:t>
            </w:r>
          </w:p>
        </w:tc>
        <w:tc>
          <w:tcPr>
            <w:tcW w:w="547" w:type="pct"/>
          </w:tcPr>
          <w:p w14:paraId="448C9F96" w14:textId="6A2911F8"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86"/>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86"/>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86"/>
                <w14:textFill>
                  <w14:solidFill>
                    <w14:srgbClr w14:val="000000">
                      <w14:alpha w14:val="100000"/>
                    </w14:srgbClr>
                  </w14:solidFill>
                </w14:textFill>
              </w:rPr>
              <w:t xml:space="preserve">　</w:t>
            </w:r>
            <w:r w:rsidR="00EC40E8" w:rsidRPr="00B71856">
              <w:rPr>
                <w:sz w:val="18"/>
                <w:szCs w:val="18"/>
                <w:vertAlign w:val="superscript"/>
              </w:rPr>
              <w:t>5</w:t>
            </w:r>
          </w:p>
        </w:tc>
      </w:tr>
      <w:tr w:rsidR="0049000E" w:rsidRPr="001C05C6" w14:paraId="0F2D252A" w14:textId="77777777" w:rsidTr="008164DF">
        <w:tc>
          <w:tcPr>
            <w:tcW w:w="1731" w:type="pct"/>
            <w:shd w:val="clear" w:color="auto" w:fill="auto"/>
          </w:tcPr>
          <w:p w14:paraId="21713AF7" w14:textId="0732BC2A" w:rsidR="0049000E" w:rsidRPr="001C05C6" w:rsidRDefault="0049000E" w:rsidP="00161CA4">
            <w:pPr>
              <w:pStyle w:val="TableText"/>
              <w:keepLines/>
            </w:pPr>
            <w:r w:rsidRPr="00CB59D5">
              <w:t xml:space="preserve">Maximum quantity of </w:t>
            </w:r>
            <w:r w:rsidR="007C5E8B">
              <w:t>8</w:t>
            </w:r>
            <w:r w:rsidRPr="00CB59D5">
              <w:t xml:space="preserve"> (</w:t>
            </w:r>
            <w:r w:rsidR="007C5E8B">
              <w:t>pk</w:t>
            </w:r>
            <w:r w:rsidRPr="00CB59D5">
              <w:t>) LCIG scripts cost savings, less copayments</w:t>
            </w:r>
          </w:p>
        </w:tc>
        <w:tc>
          <w:tcPr>
            <w:tcW w:w="544" w:type="pct"/>
            <w:shd w:val="clear" w:color="auto" w:fill="auto"/>
          </w:tcPr>
          <w:p w14:paraId="0FEFCC48" w14:textId="78D4528E" w:rsidR="0049000E" w:rsidRPr="008403BF" w:rsidRDefault="00DE2396" w:rsidP="00161CA4">
            <w:pPr>
              <w:pStyle w:val="TableText"/>
              <w:keepLines/>
              <w:jc w:val="center"/>
              <w:rPr>
                <w:sz w:val="18"/>
                <w:szCs w:val="18"/>
                <w:highlight w:val="lightGray"/>
              </w:rPr>
            </w:pPr>
            <w:r w:rsidRPr="00DE2396">
              <w:rPr>
                <w:rFonts w:hint="eastAsia"/>
                <w:color w:val="000000"/>
                <w:spacing w:val="33"/>
                <w:w w:val="15"/>
                <w:sz w:val="18"/>
                <w:szCs w:val="18"/>
                <w:shd w:val="solid" w:color="000000" w:fill="000000"/>
                <w:fitText w:val="60" w:id="-893134585"/>
                <w14:textFill>
                  <w14:solidFill>
                    <w14:srgbClr w14:val="000000">
                      <w14:alpha w14:val="100000"/>
                    </w14:srgbClr>
                  </w14:solidFill>
                </w14:textFill>
              </w:rPr>
              <w:t xml:space="preserve">　</w:t>
            </w:r>
            <w:r w:rsidRPr="00DE2396">
              <w:rPr>
                <w:rFonts w:hint="eastAsia"/>
                <w:color w:val="000000"/>
                <w:spacing w:val="73"/>
                <w:w w:val="32"/>
                <w:sz w:val="18"/>
                <w:szCs w:val="18"/>
                <w:shd w:val="solid" w:color="000000" w:fill="000000"/>
                <w:fitText w:val="130" w:id="-893134584"/>
                <w14:textFill>
                  <w14:solidFill>
                    <w14:srgbClr w14:val="000000">
                      <w14:alpha w14:val="100000"/>
                    </w14:srgbClr>
                  </w14:solidFill>
                </w14:textFill>
              </w:rPr>
              <w:t xml:space="preserve">　</w:t>
            </w:r>
            <w:r w:rsidRPr="00B743AB">
              <w:rPr>
                <w:color w:val="000000"/>
                <w:spacing w:val="183"/>
                <w:sz w:val="18"/>
                <w:szCs w:val="18"/>
                <w:shd w:val="solid" w:color="000000" w:fill="000000"/>
                <w:fitText w:val="260" w:id="-893134583"/>
                <w14:textFill>
                  <w14:solidFill>
                    <w14:srgbClr w14:val="000000">
                      <w14:alpha w14:val="100000"/>
                    </w14:srgbClr>
                  </w14:solidFill>
                </w14:textFill>
              </w:rPr>
              <w:t>|</w:t>
            </w:r>
            <w:r w:rsidRPr="00B743AB">
              <w:rPr>
                <w:color w:val="000000"/>
                <w:sz w:val="18"/>
                <w:szCs w:val="18"/>
                <w:shd w:val="solid" w:color="000000" w:fill="000000"/>
                <w:fitText w:val="260" w:id="-893134583"/>
                <w14:textFill>
                  <w14:solidFill>
                    <w14:srgbClr w14:val="000000">
                      <w14:alpha w14:val="100000"/>
                    </w14:srgbClr>
                  </w14:solidFill>
                </w14:textFill>
              </w:rPr>
              <w:t>|</w:t>
            </w:r>
            <w:r w:rsidR="00EC40E8" w:rsidRPr="00B71856">
              <w:rPr>
                <w:sz w:val="18"/>
                <w:szCs w:val="18"/>
                <w:vertAlign w:val="superscript"/>
              </w:rPr>
              <w:t>5</w:t>
            </w:r>
          </w:p>
        </w:tc>
        <w:tc>
          <w:tcPr>
            <w:tcW w:w="545" w:type="pct"/>
            <w:shd w:val="clear" w:color="auto" w:fill="auto"/>
          </w:tcPr>
          <w:p w14:paraId="7D7CA29F" w14:textId="6A368435"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82"/>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82"/>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82"/>
                <w14:textFill>
                  <w14:solidFill>
                    <w14:srgbClr w14:val="000000">
                      <w14:alpha w14:val="100000"/>
                    </w14:srgbClr>
                  </w14:solidFill>
                </w14:textFill>
              </w:rPr>
              <w:t xml:space="preserve">　</w:t>
            </w:r>
            <w:r w:rsidR="00EC40E8" w:rsidRPr="00B71856">
              <w:rPr>
                <w:sz w:val="18"/>
                <w:szCs w:val="18"/>
                <w:vertAlign w:val="superscript"/>
              </w:rPr>
              <w:t>5</w:t>
            </w:r>
          </w:p>
        </w:tc>
        <w:tc>
          <w:tcPr>
            <w:tcW w:w="544" w:type="pct"/>
            <w:shd w:val="clear" w:color="auto" w:fill="auto"/>
          </w:tcPr>
          <w:p w14:paraId="31779E01" w14:textId="50003D89"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81"/>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81"/>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81"/>
                <w14:textFill>
                  <w14:solidFill>
                    <w14:srgbClr w14:val="000000">
                      <w14:alpha w14:val="100000"/>
                    </w14:srgbClr>
                  </w14:solidFill>
                </w14:textFill>
              </w:rPr>
              <w:t xml:space="preserve">　</w:t>
            </w:r>
            <w:r w:rsidR="00EC40E8" w:rsidRPr="00B71856">
              <w:rPr>
                <w:sz w:val="18"/>
                <w:szCs w:val="18"/>
                <w:vertAlign w:val="superscript"/>
              </w:rPr>
              <w:t>5</w:t>
            </w:r>
          </w:p>
        </w:tc>
        <w:tc>
          <w:tcPr>
            <w:tcW w:w="545" w:type="pct"/>
            <w:shd w:val="clear" w:color="auto" w:fill="auto"/>
          </w:tcPr>
          <w:p w14:paraId="54F56A19" w14:textId="79496BDD"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80"/>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80"/>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80"/>
                <w14:textFill>
                  <w14:solidFill>
                    <w14:srgbClr w14:val="000000">
                      <w14:alpha w14:val="100000"/>
                    </w14:srgbClr>
                  </w14:solidFill>
                </w14:textFill>
              </w:rPr>
              <w:t xml:space="preserve">　</w:t>
            </w:r>
            <w:r w:rsidR="00EC40E8" w:rsidRPr="00B71856">
              <w:rPr>
                <w:sz w:val="18"/>
                <w:szCs w:val="18"/>
                <w:vertAlign w:val="superscript"/>
              </w:rPr>
              <w:t>5</w:t>
            </w:r>
          </w:p>
        </w:tc>
        <w:tc>
          <w:tcPr>
            <w:tcW w:w="544" w:type="pct"/>
            <w:shd w:val="clear" w:color="auto" w:fill="auto"/>
          </w:tcPr>
          <w:p w14:paraId="65F423D6" w14:textId="511037AA"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79"/>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79"/>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79"/>
                <w14:textFill>
                  <w14:solidFill>
                    <w14:srgbClr w14:val="000000">
                      <w14:alpha w14:val="100000"/>
                    </w14:srgbClr>
                  </w14:solidFill>
                </w14:textFill>
              </w:rPr>
              <w:t xml:space="preserve">　</w:t>
            </w:r>
            <w:r w:rsidR="00EC40E8" w:rsidRPr="00B71856">
              <w:rPr>
                <w:sz w:val="18"/>
                <w:szCs w:val="18"/>
                <w:vertAlign w:val="superscript"/>
              </w:rPr>
              <w:t>5</w:t>
            </w:r>
          </w:p>
        </w:tc>
        <w:tc>
          <w:tcPr>
            <w:tcW w:w="547" w:type="pct"/>
          </w:tcPr>
          <w:p w14:paraId="620FB204" w14:textId="0AD226D5" w:rsidR="0049000E" w:rsidRPr="008403BF" w:rsidRDefault="00DE2396" w:rsidP="00161CA4">
            <w:pPr>
              <w:pStyle w:val="TableText"/>
              <w:keepLines/>
              <w:jc w:val="center"/>
              <w:rPr>
                <w:sz w:val="18"/>
                <w:szCs w:val="18"/>
                <w:highlight w:val="lightGray"/>
              </w:rPr>
            </w:pPr>
            <w:r w:rsidRPr="00B743AB">
              <w:rPr>
                <w:rFonts w:hint="eastAsia"/>
                <w:color w:val="000000"/>
                <w:w w:val="15"/>
                <w:sz w:val="18"/>
                <w:szCs w:val="18"/>
                <w:shd w:val="solid" w:color="000000" w:fill="000000"/>
                <w:fitText w:val="50" w:id="-893134578"/>
                <w14:textFill>
                  <w14:solidFill>
                    <w14:srgbClr w14:val="000000">
                      <w14:alpha w14:val="100000"/>
                    </w14:srgbClr>
                  </w14:solidFill>
                </w14:textFill>
              </w:rPr>
              <w:t xml:space="preserve">　</w:t>
            </w:r>
            <w:r w:rsidRPr="00B743AB">
              <w:rPr>
                <w:color w:val="000000"/>
                <w:w w:val="15"/>
                <w:sz w:val="18"/>
                <w:szCs w:val="18"/>
                <w:shd w:val="solid" w:color="000000" w:fill="000000"/>
                <w:fitText w:val="50" w:id="-893134578"/>
                <w14:textFill>
                  <w14:solidFill>
                    <w14:srgbClr w14:val="000000">
                      <w14:alpha w14:val="100000"/>
                    </w14:srgbClr>
                  </w14:solidFill>
                </w14:textFill>
              </w:rPr>
              <w:t>|</w:t>
            </w:r>
            <w:r w:rsidRPr="00B743AB">
              <w:rPr>
                <w:rFonts w:hint="eastAsia"/>
                <w:color w:val="000000"/>
                <w:w w:val="15"/>
                <w:sz w:val="18"/>
                <w:szCs w:val="18"/>
                <w:shd w:val="solid" w:color="000000" w:fill="000000"/>
                <w:fitText w:val="50" w:id="-893134578"/>
                <w14:textFill>
                  <w14:solidFill>
                    <w14:srgbClr w14:val="000000">
                      <w14:alpha w14:val="100000"/>
                    </w14:srgbClr>
                  </w14:solidFill>
                </w14:textFill>
              </w:rPr>
              <w:t xml:space="preserve">　</w:t>
            </w:r>
            <w:r w:rsidR="00EC40E8" w:rsidRPr="00B71856">
              <w:rPr>
                <w:sz w:val="18"/>
                <w:szCs w:val="18"/>
                <w:vertAlign w:val="superscript"/>
              </w:rPr>
              <w:t>5</w:t>
            </w:r>
          </w:p>
        </w:tc>
      </w:tr>
      <w:tr w:rsidR="00576931" w:rsidRPr="001C05C6" w14:paraId="7AF67BE7" w14:textId="77777777" w:rsidTr="00782EA8">
        <w:tc>
          <w:tcPr>
            <w:tcW w:w="5000" w:type="pct"/>
            <w:gridSpan w:val="7"/>
            <w:shd w:val="clear" w:color="auto" w:fill="auto"/>
            <w:vAlign w:val="center"/>
          </w:tcPr>
          <w:p w14:paraId="2D2EE43B" w14:textId="77777777" w:rsidR="00576931" w:rsidRPr="001C05C6" w:rsidRDefault="00576931" w:rsidP="00161CA4">
            <w:pPr>
              <w:pStyle w:val="TableText"/>
              <w:keepLines/>
              <w:rPr>
                <w:b/>
                <w:bCs w:val="0"/>
              </w:rPr>
            </w:pPr>
            <w:r w:rsidRPr="001C05C6">
              <w:rPr>
                <w:b/>
                <w:bCs w:val="0"/>
              </w:rPr>
              <w:t>Net financial implications to the RPBS/PBS</w:t>
            </w:r>
          </w:p>
        </w:tc>
      </w:tr>
      <w:tr w:rsidR="0047284A" w:rsidRPr="001C05C6" w14:paraId="289630E0" w14:textId="77777777" w:rsidTr="00964635">
        <w:tc>
          <w:tcPr>
            <w:tcW w:w="1731" w:type="pct"/>
            <w:shd w:val="clear" w:color="auto" w:fill="auto"/>
            <w:vAlign w:val="center"/>
          </w:tcPr>
          <w:p w14:paraId="5CFC5044" w14:textId="4C89C65A" w:rsidR="0047284A" w:rsidRPr="001C05C6" w:rsidRDefault="0047284A" w:rsidP="00161CA4">
            <w:pPr>
              <w:pStyle w:val="TableText"/>
              <w:keepLines/>
              <w:rPr>
                <w:b/>
                <w:bCs w:val="0"/>
              </w:rPr>
            </w:pPr>
            <w:r>
              <w:rPr>
                <w:b/>
                <w:bCs w:val="0"/>
              </w:rPr>
              <w:t xml:space="preserve">Total </w:t>
            </w:r>
          </w:p>
        </w:tc>
        <w:tc>
          <w:tcPr>
            <w:tcW w:w="544" w:type="pct"/>
            <w:shd w:val="clear" w:color="auto" w:fill="auto"/>
          </w:tcPr>
          <w:p w14:paraId="56A02A93" w14:textId="4EB6D724" w:rsidR="0047284A" w:rsidRPr="008403BF" w:rsidRDefault="00DE2396" w:rsidP="00161CA4">
            <w:pPr>
              <w:pStyle w:val="TableText"/>
              <w:keepLines/>
              <w:jc w:val="center"/>
              <w:rPr>
                <w:b/>
                <w:bCs w:val="0"/>
                <w:i/>
                <w:iCs/>
                <w:highlight w:val="lightGray"/>
              </w:rPr>
            </w:pPr>
            <w:r w:rsidRPr="00B743AB">
              <w:rPr>
                <w:rFonts w:hint="eastAsia"/>
                <w:color w:val="000000"/>
                <w:w w:val="22"/>
                <w:shd w:val="solid" w:color="000000" w:fill="000000"/>
                <w:fitText w:val="100" w:id="-893134577"/>
                <w14:textFill>
                  <w14:solidFill>
                    <w14:srgbClr w14:val="000000">
                      <w14:alpha w14:val="100000"/>
                    </w14:srgbClr>
                  </w14:solidFill>
                </w14:textFill>
              </w:rPr>
              <w:t xml:space="preserve">　</w:t>
            </w:r>
            <w:r w:rsidRPr="00B743AB">
              <w:rPr>
                <w:color w:val="000000"/>
                <w:w w:val="22"/>
                <w:shd w:val="solid" w:color="000000" w:fill="000000"/>
                <w:fitText w:val="100" w:id="-893134577"/>
                <w14:textFill>
                  <w14:solidFill>
                    <w14:srgbClr w14:val="000000">
                      <w14:alpha w14:val="100000"/>
                    </w14:srgbClr>
                  </w14:solidFill>
                </w14:textFill>
              </w:rPr>
              <w:t>|</w:t>
            </w:r>
            <w:r w:rsidRPr="00B743AB">
              <w:rPr>
                <w:rFonts w:hint="eastAsia"/>
                <w:color w:val="000000"/>
                <w:w w:val="22"/>
                <w:shd w:val="solid" w:color="000000" w:fill="000000"/>
                <w:fitText w:val="100" w:id="-893134577"/>
                <w14:textFill>
                  <w14:solidFill>
                    <w14:srgbClr w14:val="000000">
                      <w14:alpha w14:val="100000"/>
                    </w14:srgbClr>
                  </w14:solidFill>
                </w14:textFill>
              </w:rPr>
              <w:t xml:space="preserve">　</w:t>
            </w:r>
            <w:r w:rsidR="00EC40E8" w:rsidRPr="00B71856">
              <w:rPr>
                <w:sz w:val="18"/>
                <w:szCs w:val="18"/>
                <w:vertAlign w:val="superscript"/>
              </w:rPr>
              <w:t>5</w:t>
            </w:r>
          </w:p>
        </w:tc>
        <w:tc>
          <w:tcPr>
            <w:tcW w:w="545" w:type="pct"/>
            <w:shd w:val="clear" w:color="auto" w:fill="auto"/>
          </w:tcPr>
          <w:p w14:paraId="598E3C7E" w14:textId="091D122A" w:rsidR="0047284A" w:rsidRPr="008403BF" w:rsidRDefault="00DE2396" w:rsidP="00161CA4">
            <w:pPr>
              <w:pStyle w:val="TableText"/>
              <w:keepLines/>
              <w:jc w:val="center"/>
              <w:rPr>
                <w:b/>
                <w:bCs w:val="0"/>
                <w:i/>
                <w:iCs/>
                <w:highlight w:val="lightGray"/>
              </w:rPr>
            </w:pPr>
            <w:r w:rsidRPr="00B743AB">
              <w:rPr>
                <w:rFonts w:hint="eastAsia"/>
                <w:color w:val="000000"/>
                <w:w w:val="22"/>
                <w:shd w:val="solid" w:color="000000" w:fill="000000"/>
                <w:fitText w:val="100" w:id="-893134576"/>
                <w14:textFill>
                  <w14:solidFill>
                    <w14:srgbClr w14:val="000000">
                      <w14:alpha w14:val="100000"/>
                    </w14:srgbClr>
                  </w14:solidFill>
                </w14:textFill>
              </w:rPr>
              <w:t xml:space="preserve">　</w:t>
            </w:r>
            <w:r w:rsidRPr="00B743AB">
              <w:rPr>
                <w:color w:val="000000"/>
                <w:w w:val="22"/>
                <w:shd w:val="solid" w:color="000000" w:fill="000000"/>
                <w:fitText w:val="100" w:id="-893134576"/>
                <w14:textFill>
                  <w14:solidFill>
                    <w14:srgbClr w14:val="000000">
                      <w14:alpha w14:val="100000"/>
                    </w14:srgbClr>
                  </w14:solidFill>
                </w14:textFill>
              </w:rPr>
              <w:t>|</w:t>
            </w:r>
            <w:r w:rsidRPr="00B743AB">
              <w:rPr>
                <w:rFonts w:hint="eastAsia"/>
                <w:color w:val="000000"/>
                <w:w w:val="22"/>
                <w:shd w:val="solid" w:color="000000" w:fill="000000"/>
                <w:fitText w:val="100" w:id="-893134576"/>
                <w14:textFill>
                  <w14:solidFill>
                    <w14:srgbClr w14:val="000000">
                      <w14:alpha w14:val="100000"/>
                    </w14:srgbClr>
                  </w14:solidFill>
                </w14:textFill>
              </w:rPr>
              <w:t xml:space="preserve">　</w:t>
            </w:r>
            <w:r w:rsidR="00EC40E8" w:rsidRPr="00B71856">
              <w:rPr>
                <w:sz w:val="18"/>
                <w:szCs w:val="18"/>
                <w:vertAlign w:val="superscript"/>
              </w:rPr>
              <w:t>5</w:t>
            </w:r>
          </w:p>
        </w:tc>
        <w:tc>
          <w:tcPr>
            <w:tcW w:w="544" w:type="pct"/>
            <w:shd w:val="clear" w:color="auto" w:fill="auto"/>
          </w:tcPr>
          <w:p w14:paraId="40B3879D" w14:textId="61C76E5D" w:rsidR="0047284A" w:rsidRPr="008403BF" w:rsidRDefault="00DE2396" w:rsidP="00161CA4">
            <w:pPr>
              <w:pStyle w:val="TableText"/>
              <w:keepLines/>
              <w:jc w:val="center"/>
              <w:rPr>
                <w:b/>
                <w:bCs w:val="0"/>
                <w:i/>
                <w:iCs/>
                <w:highlight w:val="lightGray"/>
              </w:rPr>
            </w:pPr>
            <w:r w:rsidRPr="00B743AB">
              <w:rPr>
                <w:rFonts w:hint="eastAsia"/>
                <w:color w:val="000000"/>
                <w:w w:val="22"/>
                <w:shd w:val="solid" w:color="000000" w:fill="000000"/>
                <w:fitText w:val="100" w:id="-893134592"/>
                <w14:textFill>
                  <w14:solidFill>
                    <w14:srgbClr w14:val="000000">
                      <w14:alpha w14:val="100000"/>
                    </w14:srgbClr>
                  </w14:solidFill>
                </w14:textFill>
              </w:rPr>
              <w:t xml:space="preserve">　</w:t>
            </w:r>
            <w:r w:rsidRPr="00B743AB">
              <w:rPr>
                <w:color w:val="000000"/>
                <w:w w:val="22"/>
                <w:shd w:val="solid" w:color="000000" w:fill="000000"/>
                <w:fitText w:val="100" w:id="-893134592"/>
                <w14:textFill>
                  <w14:solidFill>
                    <w14:srgbClr w14:val="000000">
                      <w14:alpha w14:val="100000"/>
                    </w14:srgbClr>
                  </w14:solidFill>
                </w14:textFill>
              </w:rPr>
              <w:t>|</w:t>
            </w:r>
            <w:r w:rsidRPr="00B743AB">
              <w:rPr>
                <w:rFonts w:hint="eastAsia"/>
                <w:color w:val="000000"/>
                <w:w w:val="22"/>
                <w:shd w:val="solid" w:color="000000" w:fill="000000"/>
                <w:fitText w:val="100" w:id="-893134592"/>
                <w14:textFill>
                  <w14:solidFill>
                    <w14:srgbClr w14:val="000000">
                      <w14:alpha w14:val="100000"/>
                    </w14:srgbClr>
                  </w14:solidFill>
                </w14:textFill>
              </w:rPr>
              <w:t xml:space="preserve">　</w:t>
            </w:r>
            <w:r w:rsidR="00EC40E8" w:rsidRPr="00B71856">
              <w:rPr>
                <w:sz w:val="18"/>
                <w:szCs w:val="18"/>
                <w:vertAlign w:val="superscript"/>
              </w:rPr>
              <w:t>5</w:t>
            </w:r>
          </w:p>
        </w:tc>
        <w:tc>
          <w:tcPr>
            <w:tcW w:w="545" w:type="pct"/>
            <w:shd w:val="clear" w:color="auto" w:fill="auto"/>
          </w:tcPr>
          <w:p w14:paraId="426663B5" w14:textId="33C57A18" w:rsidR="0047284A" w:rsidRPr="008403BF" w:rsidRDefault="00DE2396" w:rsidP="00161CA4">
            <w:pPr>
              <w:pStyle w:val="TableText"/>
              <w:keepLines/>
              <w:jc w:val="center"/>
              <w:rPr>
                <w:b/>
                <w:bCs w:val="0"/>
                <w:i/>
                <w:iCs/>
                <w:highlight w:val="lightGray"/>
              </w:rPr>
            </w:pPr>
            <w:r w:rsidRPr="00B743AB">
              <w:rPr>
                <w:rFonts w:hint="eastAsia"/>
                <w:color w:val="000000"/>
                <w:w w:val="24"/>
                <w:shd w:val="solid" w:color="000000" w:fill="000000"/>
                <w:fitText w:val="110" w:id="-893134591"/>
                <w14:textFill>
                  <w14:solidFill>
                    <w14:srgbClr w14:val="000000">
                      <w14:alpha w14:val="100000"/>
                    </w14:srgbClr>
                  </w14:solidFill>
                </w14:textFill>
              </w:rPr>
              <w:t xml:space="preserve">　</w:t>
            </w:r>
            <w:r w:rsidRPr="00B743AB">
              <w:rPr>
                <w:color w:val="000000"/>
                <w:w w:val="24"/>
                <w:shd w:val="solid" w:color="000000" w:fill="000000"/>
                <w:fitText w:val="110" w:id="-893134591"/>
                <w14:textFill>
                  <w14:solidFill>
                    <w14:srgbClr w14:val="000000">
                      <w14:alpha w14:val="100000"/>
                    </w14:srgbClr>
                  </w14:solidFill>
                </w14:textFill>
              </w:rPr>
              <w:t>|</w:t>
            </w:r>
            <w:r w:rsidRPr="00B743AB">
              <w:rPr>
                <w:rFonts w:hint="eastAsia"/>
                <w:color w:val="000000"/>
                <w:w w:val="24"/>
                <w:shd w:val="solid" w:color="000000" w:fill="000000"/>
                <w:fitText w:val="110" w:id="-893134591"/>
                <w14:textFill>
                  <w14:solidFill>
                    <w14:srgbClr w14:val="000000">
                      <w14:alpha w14:val="100000"/>
                    </w14:srgbClr>
                  </w14:solidFill>
                </w14:textFill>
              </w:rPr>
              <w:t xml:space="preserve">　</w:t>
            </w:r>
            <w:r w:rsidR="00CE6D35" w:rsidRPr="00B71856">
              <w:rPr>
                <w:vertAlign w:val="superscript"/>
              </w:rPr>
              <w:t>2</w:t>
            </w:r>
          </w:p>
        </w:tc>
        <w:tc>
          <w:tcPr>
            <w:tcW w:w="544" w:type="pct"/>
            <w:shd w:val="clear" w:color="auto" w:fill="auto"/>
          </w:tcPr>
          <w:p w14:paraId="6D0BF024" w14:textId="138641DF" w:rsidR="0047284A" w:rsidRPr="008403BF" w:rsidRDefault="00DE2396" w:rsidP="00161CA4">
            <w:pPr>
              <w:pStyle w:val="TableText"/>
              <w:keepLines/>
              <w:jc w:val="center"/>
              <w:rPr>
                <w:b/>
                <w:bCs w:val="0"/>
                <w:i/>
                <w:iCs/>
                <w:highlight w:val="lightGray"/>
              </w:rPr>
            </w:pPr>
            <w:r w:rsidRPr="00B743AB">
              <w:rPr>
                <w:rFonts w:hint="eastAsia"/>
                <w:color w:val="000000"/>
                <w:w w:val="27"/>
                <w:shd w:val="solid" w:color="000000" w:fill="000000"/>
                <w:fitText w:val="120" w:id="-893134590"/>
                <w14:textFill>
                  <w14:solidFill>
                    <w14:srgbClr w14:val="000000">
                      <w14:alpha w14:val="100000"/>
                    </w14:srgbClr>
                  </w14:solidFill>
                </w14:textFill>
              </w:rPr>
              <w:t xml:space="preserve">　</w:t>
            </w:r>
            <w:r w:rsidRPr="00B743AB">
              <w:rPr>
                <w:color w:val="000000"/>
                <w:w w:val="27"/>
                <w:shd w:val="solid" w:color="000000" w:fill="000000"/>
                <w:fitText w:val="120" w:id="-893134590"/>
                <w14:textFill>
                  <w14:solidFill>
                    <w14:srgbClr w14:val="000000">
                      <w14:alpha w14:val="100000"/>
                    </w14:srgbClr>
                  </w14:solidFill>
                </w14:textFill>
              </w:rPr>
              <w:t>|</w:t>
            </w:r>
            <w:r w:rsidRPr="00B743AB">
              <w:rPr>
                <w:rFonts w:hint="eastAsia"/>
                <w:color w:val="000000"/>
                <w:w w:val="27"/>
                <w:shd w:val="solid" w:color="000000" w:fill="000000"/>
                <w:fitText w:val="120" w:id="-893134590"/>
                <w14:textFill>
                  <w14:solidFill>
                    <w14:srgbClr w14:val="000000">
                      <w14:alpha w14:val="100000"/>
                    </w14:srgbClr>
                  </w14:solidFill>
                </w14:textFill>
              </w:rPr>
              <w:t xml:space="preserve">　</w:t>
            </w:r>
            <w:r w:rsidR="00CE6D35" w:rsidRPr="00B71856">
              <w:rPr>
                <w:vertAlign w:val="superscript"/>
              </w:rPr>
              <w:t>2</w:t>
            </w:r>
          </w:p>
        </w:tc>
        <w:tc>
          <w:tcPr>
            <w:tcW w:w="547" w:type="pct"/>
          </w:tcPr>
          <w:p w14:paraId="7E0889AA" w14:textId="17495AC5" w:rsidR="0047284A" w:rsidRPr="008403BF" w:rsidRDefault="00DE2396" w:rsidP="00161CA4">
            <w:pPr>
              <w:pStyle w:val="TableText"/>
              <w:keepLines/>
              <w:jc w:val="center"/>
              <w:rPr>
                <w:b/>
                <w:bCs w:val="0"/>
                <w:i/>
                <w:iCs/>
                <w:highlight w:val="lightGray"/>
              </w:rPr>
            </w:pPr>
            <w:r w:rsidRPr="00B743AB">
              <w:rPr>
                <w:rFonts w:hint="eastAsia"/>
                <w:color w:val="000000"/>
                <w:w w:val="22"/>
                <w:shd w:val="solid" w:color="000000" w:fill="000000"/>
                <w:fitText w:val="100" w:id="-893134589"/>
                <w14:textFill>
                  <w14:solidFill>
                    <w14:srgbClr w14:val="000000">
                      <w14:alpha w14:val="100000"/>
                    </w14:srgbClr>
                  </w14:solidFill>
                </w14:textFill>
              </w:rPr>
              <w:t xml:space="preserve">　</w:t>
            </w:r>
            <w:r w:rsidRPr="00B743AB">
              <w:rPr>
                <w:color w:val="000000"/>
                <w:w w:val="22"/>
                <w:shd w:val="solid" w:color="000000" w:fill="000000"/>
                <w:fitText w:val="100" w:id="-893134589"/>
                <w14:textFill>
                  <w14:solidFill>
                    <w14:srgbClr w14:val="000000">
                      <w14:alpha w14:val="100000"/>
                    </w14:srgbClr>
                  </w14:solidFill>
                </w14:textFill>
              </w:rPr>
              <w:t>|</w:t>
            </w:r>
            <w:r w:rsidRPr="00B743AB">
              <w:rPr>
                <w:rFonts w:hint="eastAsia"/>
                <w:color w:val="000000"/>
                <w:w w:val="22"/>
                <w:shd w:val="solid" w:color="000000" w:fill="000000"/>
                <w:fitText w:val="100" w:id="-893134589"/>
                <w14:textFill>
                  <w14:solidFill>
                    <w14:srgbClr w14:val="000000">
                      <w14:alpha w14:val="100000"/>
                    </w14:srgbClr>
                  </w14:solidFill>
                </w14:textFill>
              </w:rPr>
              <w:t xml:space="preserve">　</w:t>
            </w:r>
            <w:r w:rsidR="00CE6D35" w:rsidRPr="00B71856">
              <w:rPr>
                <w:vertAlign w:val="superscript"/>
              </w:rPr>
              <w:t>2</w:t>
            </w:r>
          </w:p>
        </w:tc>
      </w:tr>
      <w:tr w:rsidR="0049000E" w:rsidRPr="001C05C6" w14:paraId="12A5DEFD" w14:textId="77777777" w:rsidTr="001C38FA">
        <w:tc>
          <w:tcPr>
            <w:tcW w:w="1731" w:type="pct"/>
            <w:shd w:val="clear" w:color="auto" w:fill="auto"/>
          </w:tcPr>
          <w:p w14:paraId="4C622E83" w14:textId="56E7EFA1" w:rsidR="0049000E" w:rsidRPr="0049000E" w:rsidRDefault="0049000E" w:rsidP="00161CA4">
            <w:pPr>
              <w:pStyle w:val="TableText"/>
              <w:keepLines/>
              <w:rPr>
                <w:b/>
                <w:bCs w:val="0"/>
                <w:i/>
                <w:iCs/>
              </w:rPr>
            </w:pPr>
            <w:r w:rsidRPr="0049000E">
              <w:rPr>
                <w:b/>
                <w:bCs w:val="0"/>
                <w:i/>
                <w:iCs/>
              </w:rPr>
              <w:t xml:space="preserve">Total </w:t>
            </w:r>
            <w:r w:rsidR="009A5A5C">
              <w:rPr>
                <w:b/>
                <w:bCs w:val="0"/>
                <w:i/>
                <w:iCs/>
              </w:rPr>
              <w:t>–</w:t>
            </w:r>
            <w:r w:rsidRPr="0049000E">
              <w:rPr>
                <w:b/>
                <w:bCs w:val="0"/>
                <w:i/>
                <w:iCs/>
              </w:rPr>
              <w:t xml:space="preserve"> revised</w:t>
            </w:r>
            <w:r w:rsidR="009A5A5C">
              <w:rPr>
                <w:b/>
                <w:bCs w:val="0"/>
                <w:i/>
                <w:iCs/>
              </w:rPr>
              <w:t xml:space="preserve"> *</w:t>
            </w:r>
          </w:p>
        </w:tc>
        <w:tc>
          <w:tcPr>
            <w:tcW w:w="544" w:type="pct"/>
            <w:shd w:val="clear" w:color="auto" w:fill="auto"/>
          </w:tcPr>
          <w:p w14:paraId="6D9F3B51" w14:textId="508ACA5A" w:rsidR="0049000E" w:rsidRPr="008403BF" w:rsidRDefault="00DE2396" w:rsidP="00161CA4">
            <w:pPr>
              <w:pStyle w:val="TableText"/>
              <w:keepLines/>
              <w:jc w:val="center"/>
              <w:rPr>
                <w:b/>
                <w:bCs w:val="0"/>
                <w:highlight w:val="lightGray"/>
              </w:rPr>
            </w:pPr>
            <w:r w:rsidRPr="00B743AB">
              <w:rPr>
                <w:rFonts w:hint="eastAsia"/>
                <w:color w:val="000000"/>
                <w:w w:val="27"/>
                <w:shd w:val="solid" w:color="000000" w:fill="000000"/>
                <w:fitText w:val="120" w:id="-893134588"/>
                <w14:textFill>
                  <w14:solidFill>
                    <w14:srgbClr w14:val="000000">
                      <w14:alpha w14:val="100000"/>
                    </w14:srgbClr>
                  </w14:solidFill>
                </w14:textFill>
              </w:rPr>
              <w:t xml:space="preserve">　</w:t>
            </w:r>
            <w:r w:rsidRPr="00B743AB">
              <w:rPr>
                <w:color w:val="000000"/>
                <w:w w:val="27"/>
                <w:shd w:val="solid" w:color="000000" w:fill="000000"/>
                <w:fitText w:val="120" w:id="-893134588"/>
                <w14:textFill>
                  <w14:solidFill>
                    <w14:srgbClr w14:val="000000">
                      <w14:alpha w14:val="100000"/>
                    </w14:srgbClr>
                  </w14:solidFill>
                </w14:textFill>
              </w:rPr>
              <w:t>|</w:t>
            </w:r>
            <w:r w:rsidRPr="00B743AB">
              <w:rPr>
                <w:rFonts w:hint="eastAsia"/>
                <w:color w:val="000000"/>
                <w:w w:val="27"/>
                <w:shd w:val="solid" w:color="000000" w:fill="000000"/>
                <w:fitText w:val="120" w:id="-893134588"/>
                <w14:textFill>
                  <w14:solidFill>
                    <w14:srgbClr w14:val="000000">
                      <w14:alpha w14:val="100000"/>
                    </w14:srgbClr>
                  </w14:solidFill>
                </w14:textFill>
              </w:rPr>
              <w:t xml:space="preserve">　</w:t>
            </w:r>
            <w:r w:rsidR="00CE6D35" w:rsidRPr="00B71856">
              <w:rPr>
                <w:vertAlign w:val="superscript"/>
              </w:rPr>
              <w:t>2</w:t>
            </w:r>
          </w:p>
        </w:tc>
        <w:tc>
          <w:tcPr>
            <w:tcW w:w="545" w:type="pct"/>
            <w:shd w:val="clear" w:color="auto" w:fill="auto"/>
          </w:tcPr>
          <w:p w14:paraId="10B38991" w14:textId="29A4D4CA" w:rsidR="0049000E" w:rsidRPr="008403BF" w:rsidRDefault="00DE2396" w:rsidP="00161CA4">
            <w:pPr>
              <w:pStyle w:val="TableText"/>
              <w:keepLines/>
              <w:jc w:val="center"/>
              <w:rPr>
                <w:b/>
                <w:bCs w:val="0"/>
                <w:highlight w:val="lightGray"/>
              </w:rPr>
            </w:pPr>
            <w:r w:rsidRPr="00B743AB">
              <w:rPr>
                <w:rFonts w:hint="eastAsia"/>
                <w:color w:val="000000"/>
                <w:w w:val="24"/>
                <w:shd w:val="solid" w:color="000000" w:fill="000000"/>
                <w:fitText w:val="110" w:id="-893134587"/>
                <w14:textFill>
                  <w14:solidFill>
                    <w14:srgbClr w14:val="000000">
                      <w14:alpha w14:val="100000"/>
                    </w14:srgbClr>
                  </w14:solidFill>
                </w14:textFill>
              </w:rPr>
              <w:t xml:space="preserve">　</w:t>
            </w:r>
            <w:r w:rsidRPr="00B743AB">
              <w:rPr>
                <w:color w:val="000000"/>
                <w:w w:val="24"/>
                <w:shd w:val="solid" w:color="000000" w:fill="000000"/>
                <w:fitText w:val="110" w:id="-893134587"/>
                <w14:textFill>
                  <w14:solidFill>
                    <w14:srgbClr w14:val="000000">
                      <w14:alpha w14:val="100000"/>
                    </w14:srgbClr>
                  </w14:solidFill>
                </w14:textFill>
              </w:rPr>
              <w:t>|</w:t>
            </w:r>
            <w:r w:rsidRPr="00B743AB">
              <w:rPr>
                <w:rFonts w:hint="eastAsia"/>
                <w:color w:val="000000"/>
                <w:w w:val="24"/>
                <w:shd w:val="solid" w:color="000000" w:fill="000000"/>
                <w:fitText w:val="110" w:id="-893134587"/>
                <w14:textFill>
                  <w14:solidFill>
                    <w14:srgbClr w14:val="000000">
                      <w14:alpha w14:val="100000"/>
                    </w14:srgbClr>
                  </w14:solidFill>
                </w14:textFill>
              </w:rPr>
              <w:t xml:space="preserve">　</w:t>
            </w:r>
            <w:r w:rsidR="00CE6D35" w:rsidRPr="00B71856">
              <w:rPr>
                <w:vertAlign w:val="superscript"/>
              </w:rPr>
              <w:t>2</w:t>
            </w:r>
          </w:p>
        </w:tc>
        <w:tc>
          <w:tcPr>
            <w:tcW w:w="544" w:type="pct"/>
            <w:shd w:val="clear" w:color="auto" w:fill="auto"/>
          </w:tcPr>
          <w:p w14:paraId="52B12BF5" w14:textId="26F22922" w:rsidR="0049000E" w:rsidRPr="008403BF" w:rsidRDefault="00DE2396" w:rsidP="00161CA4">
            <w:pPr>
              <w:pStyle w:val="TableText"/>
              <w:keepLines/>
              <w:jc w:val="center"/>
              <w:rPr>
                <w:b/>
                <w:bCs w:val="0"/>
                <w:highlight w:val="lightGray"/>
              </w:rPr>
            </w:pPr>
            <w:r w:rsidRPr="00B743AB">
              <w:rPr>
                <w:rFonts w:hint="eastAsia"/>
                <w:color w:val="000000"/>
                <w:w w:val="27"/>
                <w:shd w:val="solid" w:color="000000" w:fill="000000"/>
                <w:fitText w:val="120" w:id="-893134586"/>
                <w14:textFill>
                  <w14:solidFill>
                    <w14:srgbClr w14:val="000000">
                      <w14:alpha w14:val="100000"/>
                    </w14:srgbClr>
                  </w14:solidFill>
                </w14:textFill>
              </w:rPr>
              <w:t xml:space="preserve">　</w:t>
            </w:r>
            <w:r w:rsidRPr="00B743AB">
              <w:rPr>
                <w:color w:val="000000"/>
                <w:w w:val="27"/>
                <w:shd w:val="solid" w:color="000000" w:fill="000000"/>
                <w:fitText w:val="120" w:id="-893134586"/>
                <w14:textFill>
                  <w14:solidFill>
                    <w14:srgbClr w14:val="000000">
                      <w14:alpha w14:val="100000"/>
                    </w14:srgbClr>
                  </w14:solidFill>
                </w14:textFill>
              </w:rPr>
              <w:t>|</w:t>
            </w:r>
            <w:r w:rsidRPr="00B743AB">
              <w:rPr>
                <w:rFonts w:hint="eastAsia"/>
                <w:color w:val="000000"/>
                <w:w w:val="27"/>
                <w:shd w:val="solid" w:color="000000" w:fill="000000"/>
                <w:fitText w:val="120" w:id="-893134586"/>
                <w14:textFill>
                  <w14:solidFill>
                    <w14:srgbClr w14:val="000000">
                      <w14:alpha w14:val="100000"/>
                    </w14:srgbClr>
                  </w14:solidFill>
                </w14:textFill>
              </w:rPr>
              <w:t xml:space="preserve">　</w:t>
            </w:r>
            <w:r w:rsidR="00CE6D35" w:rsidRPr="00B71856">
              <w:rPr>
                <w:vertAlign w:val="superscript"/>
              </w:rPr>
              <w:t>2</w:t>
            </w:r>
          </w:p>
        </w:tc>
        <w:tc>
          <w:tcPr>
            <w:tcW w:w="545" w:type="pct"/>
            <w:shd w:val="clear" w:color="auto" w:fill="auto"/>
          </w:tcPr>
          <w:p w14:paraId="71F03D41" w14:textId="0E18A230" w:rsidR="0049000E" w:rsidRPr="008403BF" w:rsidRDefault="00DE2396" w:rsidP="00161CA4">
            <w:pPr>
              <w:pStyle w:val="TableText"/>
              <w:keepLines/>
              <w:jc w:val="center"/>
              <w:rPr>
                <w:b/>
                <w:bCs w:val="0"/>
                <w:highlight w:val="lightGray"/>
              </w:rPr>
            </w:pPr>
            <w:r w:rsidRPr="00B743AB">
              <w:rPr>
                <w:rFonts w:hint="eastAsia"/>
                <w:color w:val="000000"/>
                <w:w w:val="24"/>
                <w:shd w:val="solid" w:color="000000" w:fill="000000"/>
                <w:fitText w:val="110" w:id="-893134585"/>
                <w14:textFill>
                  <w14:solidFill>
                    <w14:srgbClr w14:val="000000">
                      <w14:alpha w14:val="100000"/>
                    </w14:srgbClr>
                  </w14:solidFill>
                </w14:textFill>
              </w:rPr>
              <w:t xml:space="preserve">　</w:t>
            </w:r>
            <w:r w:rsidRPr="00B743AB">
              <w:rPr>
                <w:color w:val="000000"/>
                <w:w w:val="24"/>
                <w:shd w:val="solid" w:color="000000" w:fill="000000"/>
                <w:fitText w:val="110" w:id="-893134585"/>
                <w14:textFill>
                  <w14:solidFill>
                    <w14:srgbClr w14:val="000000">
                      <w14:alpha w14:val="100000"/>
                    </w14:srgbClr>
                  </w14:solidFill>
                </w14:textFill>
              </w:rPr>
              <w:t>|</w:t>
            </w:r>
            <w:r w:rsidRPr="00B743AB">
              <w:rPr>
                <w:rFonts w:hint="eastAsia"/>
                <w:color w:val="000000"/>
                <w:w w:val="24"/>
                <w:shd w:val="solid" w:color="000000" w:fill="000000"/>
                <w:fitText w:val="110" w:id="-893134585"/>
                <w14:textFill>
                  <w14:solidFill>
                    <w14:srgbClr w14:val="000000">
                      <w14:alpha w14:val="100000"/>
                    </w14:srgbClr>
                  </w14:solidFill>
                </w14:textFill>
              </w:rPr>
              <w:t xml:space="preserve">　</w:t>
            </w:r>
            <w:r w:rsidR="00CE6D35" w:rsidRPr="00B71856">
              <w:rPr>
                <w:vertAlign w:val="superscript"/>
              </w:rPr>
              <w:t>2</w:t>
            </w:r>
          </w:p>
        </w:tc>
        <w:tc>
          <w:tcPr>
            <w:tcW w:w="544" w:type="pct"/>
            <w:shd w:val="clear" w:color="auto" w:fill="auto"/>
          </w:tcPr>
          <w:p w14:paraId="286ACBFE" w14:textId="7C2ABC9A" w:rsidR="0049000E" w:rsidRPr="008403BF" w:rsidRDefault="00DE2396" w:rsidP="00161CA4">
            <w:pPr>
              <w:pStyle w:val="TableText"/>
              <w:keepLines/>
              <w:jc w:val="center"/>
              <w:rPr>
                <w:b/>
                <w:bCs w:val="0"/>
                <w:highlight w:val="lightGray"/>
              </w:rPr>
            </w:pPr>
            <w:r w:rsidRPr="00B74574">
              <w:rPr>
                <w:rFonts w:hint="eastAsia"/>
                <w:color w:val="000000"/>
                <w:w w:val="27"/>
                <w:shd w:val="solid" w:color="000000" w:fill="000000"/>
                <w:fitText w:val="120" w:id="-893134584"/>
                <w14:textFill>
                  <w14:solidFill>
                    <w14:srgbClr w14:val="000000">
                      <w14:alpha w14:val="100000"/>
                    </w14:srgbClr>
                  </w14:solidFill>
                </w14:textFill>
              </w:rPr>
              <w:t xml:space="preserve">　</w:t>
            </w:r>
            <w:r w:rsidRPr="00B74574">
              <w:rPr>
                <w:color w:val="000000"/>
                <w:w w:val="27"/>
                <w:shd w:val="solid" w:color="000000" w:fill="000000"/>
                <w:fitText w:val="120" w:id="-893134584"/>
                <w14:textFill>
                  <w14:solidFill>
                    <w14:srgbClr w14:val="000000">
                      <w14:alpha w14:val="100000"/>
                    </w14:srgbClr>
                  </w14:solidFill>
                </w14:textFill>
              </w:rPr>
              <w:t>|</w:t>
            </w:r>
            <w:r w:rsidRPr="00B74574">
              <w:rPr>
                <w:rFonts w:hint="eastAsia"/>
                <w:color w:val="000000"/>
                <w:w w:val="27"/>
                <w:shd w:val="solid" w:color="000000" w:fill="000000"/>
                <w:fitText w:val="120" w:id="-893134584"/>
                <w14:textFill>
                  <w14:solidFill>
                    <w14:srgbClr w14:val="000000">
                      <w14:alpha w14:val="100000"/>
                    </w14:srgbClr>
                  </w14:solidFill>
                </w14:textFill>
              </w:rPr>
              <w:t xml:space="preserve">　</w:t>
            </w:r>
            <w:r w:rsidR="00CE6D35" w:rsidRPr="00B71856">
              <w:rPr>
                <w:vertAlign w:val="superscript"/>
              </w:rPr>
              <w:t>2</w:t>
            </w:r>
          </w:p>
        </w:tc>
        <w:tc>
          <w:tcPr>
            <w:tcW w:w="547" w:type="pct"/>
          </w:tcPr>
          <w:p w14:paraId="24209FF9" w14:textId="7EBF8FCB" w:rsidR="0049000E" w:rsidRPr="008403BF" w:rsidRDefault="00DE2396" w:rsidP="00161CA4">
            <w:pPr>
              <w:pStyle w:val="TableText"/>
              <w:keepLines/>
              <w:jc w:val="center"/>
              <w:rPr>
                <w:b/>
                <w:bCs w:val="0"/>
                <w:highlight w:val="lightGray"/>
              </w:rPr>
            </w:pPr>
            <w:r w:rsidRPr="00B74574">
              <w:rPr>
                <w:rFonts w:hint="eastAsia"/>
                <w:color w:val="000000"/>
                <w:w w:val="22"/>
                <w:shd w:val="solid" w:color="000000" w:fill="000000"/>
                <w:fitText w:val="100" w:id="-893134583"/>
                <w14:textFill>
                  <w14:solidFill>
                    <w14:srgbClr w14:val="000000">
                      <w14:alpha w14:val="100000"/>
                    </w14:srgbClr>
                  </w14:solidFill>
                </w14:textFill>
              </w:rPr>
              <w:t xml:space="preserve">　</w:t>
            </w:r>
            <w:r w:rsidRPr="00B74574">
              <w:rPr>
                <w:color w:val="000000"/>
                <w:w w:val="22"/>
                <w:shd w:val="solid" w:color="000000" w:fill="000000"/>
                <w:fitText w:val="100" w:id="-893134583"/>
                <w14:textFill>
                  <w14:solidFill>
                    <w14:srgbClr w14:val="000000">
                      <w14:alpha w14:val="100000"/>
                    </w14:srgbClr>
                  </w14:solidFill>
                </w14:textFill>
              </w:rPr>
              <w:t>|</w:t>
            </w:r>
            <w:r w:rsidRPr="00B74574">
              <w:rPr>
                <w:rFonts w:hint="eastAsia"/>
                <w:color w:val="000000"/>
                <w:w w:val="22"/>
                <w:shd w:val="solid" w:color="000000" w:fill="000000"/>
                <w:fitText w:val="100" w:id="-893134583"/>
                <w14:textFill>
                  <w14:solidFill>
                    <w14:srgbClr w14:val="000000">
                      <w14:alpha w14:val="100000"/>
                    </w14:srgbClr>
                  </w14:solidFill>
                </w14:textFill>
              </w:rPr>
              <w:t xml:space="preserve">　</w:t>
            </w:r>
            <w:r w:rsidR="00CE6D35" w:rsidRPr="00B71856">
              <w:rPr>
                <w:vertAlign w:val="superscript"/>
              </w:rPr>
              <w:t>2</w:t>
            </w:r>
          </w:p>
        </w:tc>
      </w:tr>
    </w:tbl>
    <w:p w14:paraId="20B6565D" w14:textId="4466FA09" w:rsidR="00576931" w:rsidRPr="001C05C6" w:rsidRDefault="00576931" w:rsidP="00161CA4">
      <w:pPr>
        <w:pStyle w:val="FooterTableFigure"/>
        <w:keepNext/>
        <w:keepLines/>
      </w:pPr>
      <w:r w:rsidRPr="001C05C6">
        <w:t xml:space="preserve">Source: Constructed during the </w:t>
      </w:r>
      <w:r w:rsidR="0047284A">
        <w:t>preparation of the submission overview</w:t>
      </w:r>
      <w:r w:rsidRPr="001C05C6">
        <w:t xml:space="preserve">, based on the “LECIGON_BIM </w:t>
      </w:r>
      <w:proofErr w:type="spellStart"/>
      <w:r w:rsidRPr="001C05C6">
        <w:t>Workbook</w:t>
      </w:r>
      <w:r>
        <w:t>_Early</w:t>
      </w:r>
      <w:proofErr w:type="spellEnd"/>
      <w:r>
        <w:t xml:space="preserve"> re-entry</w:t>
      </w:r>
      <w:r w:rsidRPr="001C05C6">
        <w:t xml:space="preserve">” excel workbook provided with the </w:t>
      </w:r>
      <w:r>
        <w:t>re</w:t>
      </w:r>
      <w:r w:rsidRPr="001C05C6">
        <w:t xml:space="preserve">submission. </w:t>
      </w:r>
    </w:p>
    <w:p w14:paraId="5719E704" w14:textId="48890DED" w:rsidR="00576931" w:rsidRDefault="00576931" w:rsidP="00161CA4">
      <w:pPr>
        <w:pStyle w:val="FooterTableFigure"/>
        <w:keepNext/>
        <w:keepLines/>
      </w:pPr>
      <w:r w:rsidRPr="001C05C6">
        <w:t xml:space="preserve">DPMQ = dispensed price for maximum quantity; HSD = highly specialised drugs; LCIG = levodopa, carbidopa monohydrate intestinal gel; LECIG = levodopa, carbidopa monohydrate and entacapone intestinal gel; PBS = Pharmaceutical Benefits Scheme; </w:t>
      </w:r>
      <w:r w:rsidR="007C5E8B">
        <w:t xml:space="preserve">pk = packs; </w:t>
      </w:r>
      <w:r w:rsidRPr="001C05C6">
        <w:t>RPBS = Repatriation Pharmaceutical Benefits Scheme.</w:t>
      </w:r>
    </w:p>
    <w:p w14:paraId="016D5114" w14:textId="256C04EE" w:rsidR="009A5A5C" w:rsidRDefault="009A5A5C" w:rsidP="00161CA4">
      <w:pPr>
        <w:pStyle w:val="FooterTableFigure"/>
        <w:keepNext/>
        <w:keepLines/>
        <w:spacing w:after="0"/>
      </w:pPr>
      <w:r>
        <w:t>*</w:t>
      </w:r>
      <w:r w:rsidRPr="009A5A5C">
        <w:t xml:space="preserve"> </w:t>
      </w:r>
      <w:r>
        <w:t xml:space="preserve">Revised during the preparation of the submission overview based on an </w:t>
      </w:r>
      <w:r w:rsidRPr="005654F7">
        <w:t xml:space="preserve">ex-manufacturer price for LECIG of </w:t>
      </w:r>
      <w:r w:rsidRPr="00F06DCC">
        <w:t>$</w:t>
      </w:r>
      <w:r w:rsidR="00DE2396" w:rsidRPr="00B74574">
        <w:rPr>
          <w:color w:val="000000"/>
          <w:spacing w:val="40"/>
          <w:shd w:val="solid" w:color="000000" w:fill="000000"/>
          <w:fitText w:val="280" w:id="-893134582"/>
          <w14:textFill>
            <w14:solidFill>
              <w14:srgbClr w14:val="000000">
                <w14:alpha w14:val="100000"/>
              </w14:srgbClr>
            </w14:solidFill>
          </w14:textFill>
        </w:rPr>
        <w:t xml:space="preserve">|  </w:t>
      </w:r>
      <w:r w:rsidR="00DE2396" w:rsidRPr="00B74574">
        <w:rPr>
          <w:color w:val="000000"/>
          <w:spacing w:val="2"/>
          <w:shd w:val="solid" w:color="000000" w:fill="000000"/>
          <w:fitText w:val="280" w:id="-893134582"/>
          <w14:textFill>
            <w14:solidFill>
              <w14:srgbClr w14:val="000000">
                <w14:alpha w14:val="100000"/>
              </w14:srgbClr>
            </w14:solidFill>
          </w14:textFill>
        </w:rPr>
        <w:t>|</w:t>
      </w:r>
    </w:p>
    <w:p w14:paraId="354C3400" w14:textId="77777777" w:rsidR="00344944" w:rsidRPr="00161CA4" w:rsidRDefault="00344944" w:rsidP="00161CA4">
      <w:pPr>
        <w:keepNext/>
        <w:keepLines/>
        <w:widowControl w:val="0"/>
        <w:contextualSpacing/>
        <w:rPr>
          <w:rFonts w:ascii="Arial Narrow" w:hAnsi="Arial Narrow" w:cs="Arial"/>
          <w:i/>
          <w:iCs/>
          <w:snapToGrid w:val="0"/>
          <w:sz w:val="18"/>
          <w:szCs w:val="20"/>
          <w:lang w:eastAsia="en-US"/>
        </w:rPr>
      </w:pPr>
      <w:bookmarkStart w:id="15" w:name="_Hlk165358282"/>
      <w:r w:rsidRPr="00161CA4">
        <w:rPr>
          <w:rFonts w:ascii="Arial Narrow" w:hAnsi="Arial Narrow" w:cs="Arial"/>
          <w:i/>
          <w:iCs/>
          <w:snapToGrid w:val="0"/>
          <w:sz w:val="18"/>
          <w:szCs w:val="20"/>
          <w:lang w:eastAsia="en-US"/>
        </w:rPr>
        <w:t>The redacted values correspond to the following ranges:</w:t>
      </w:r>
    </w:p>
    <w:p w14:paraId="4773B05A" w14:textId="77777777" w:rsidR="00344944" w:rsidRPr="00161CA4" w:rsidRDefault="00344944" w:rsidP="00161CA4">
      <w:pPr>
        <w:keepNext/>
        <w:keepLines/>
        <w:widowControl w:val="0"/>
        <w:contextualSpacing/>
        <w:rPr>
          <w:rFonts w:ascii="Arial Narrow" w:hAnsi="Arial Narrow" w:cs="Arial"/>
          <w:i/>
          <w:iCs/>
          <w:snapToGrid w:val="0"/>
          <w:sz w:val="18"/>
          <w:szCs w:val="20"/>
          <w:lang w:eastAsia="en-US"/>
        </w:rPr>
      </w:pPr>
      <w:r w:rsidRPr="00161CA4">
        <w:rPr>
          <w:rFonts w:ascii="Arial Narrow" w:hAnsi="Arial Narrow" w:cs="Arial"/>
          <w:i/>
          <w:iCs/>
          <w:snapToGrid w:val="0"/>
          <w:sz w:val="18"/>
          <w:szCs w:val="20"/>
          <w:vertAlign w:val="superscript"/>
          <w:lang w:eastAsia="en-US"/>
        </w:rPr>
        <w:t>1</w:t>
      </w:r>
      <w:r w:rsidRPr="00161CA4">
        <w:rPr>
          <w:rFonts w:ascii="Arial Narrow" w:hAnsi="Arial Narrow" w:cs="Arial"/>
          <w:i/>
          <w:iCs/>
          <w:snapToGrid w:val="0"/>
          <w:sz w:val="18"/>
          <w:szCs w:val="20"/>
          <w:lang w:eastAsia="en-US"/>
        </w:rPr>
        <w:t xml:space="preserve"> 500 to &lt; 5,000</w:t>
      </w:r>
    </w:p>
    <w:p w14:paraId="2FC2E15D" w14:textId="16CC6CB0" w:rsidR="00344944" w:rsidRPr="00161CA4" w:rsidRDefault="001F2311" w:rsidP="00344944">
      <w:pPr>
        <w:widowControl w:val="0"/>
        <w:contextualSpacing/>
        <w:rPr>
          <w:rFonts w:ascii="Arial Narrow" w:hAnsi="Arial Narrow" w:cs="Arial"/>
          <w:i/>
          <w:iCs/>
          <w:snapToGrid w:val="0"/>
          <w:sz w:val="18"/>
          <w:szCs w:val="20"/>
          <w:lang w:eastAsia="en-US"/>
        </w:rPr>
      </w:pPr>
      <w:r w:rsidRPr="00161CA4">
        <w:rPr>
          <w:rFonts w:ascii="Arial Narrow" w:hAnsi="Arial Narrow" w:cs="Arial"/>
          <w:i/>
          <w:iCs/>
          <w:snapToGrid w:val="0"/>
          <w:sz w:val="18"/>
          <w:szCs w:val="20"/>
          <w:vertAlign w:val="superscript"/>
          <w:lang w:eastAsia="en-US"/>
        </w:rPr>
        <w:t>2</w:t>
      </w:r>
      <w:r w:rsidR="00344944" w:rsidRPr="00161CA4">
        <w:rPr>
          <w:rFonts w:ascii="Arial Narrow" w:hAnsi="Arial Narrow" w:cs="Arial"/>
          <w:i/>
          <w:iCs/>
          <w:snapToGrid w:val="0"/>
          <w:sz w:val="18"/>
          <w:szCs w:val="20"/>
          <w:lang w:eastAsia="en-US"/>
        </w:rPr>
        <w:t xml:space="preserve"> $0 to &lt; $10 million</w:t>
      </w:r>
    </w:p>
    <w:p w14:paraId="624C844D" w14:textId="668A8A8B" w:rsidR="00344944" w:rsidRPr="00161CA4" w:rsidRDefault="001F2311" w:rsidP="00344944">
      <w:pPr>
        <w:widowControl w:val="0"/>
        <w:contextualSpacing/>
        <w:rPr>
          <w:rFonts w:ascii="Arial Narrow" w:hAnsi="Arial Narrow" w:cs="Arial"/>
          <w:i/>
          <w:iCs/>
          <w:snapToGrid w:val="0"/>
          <w:sz w:val="18"/>
          <w:szCs w:val="20"/>
          <w:lang w:eastAsia="en-US"/>
        </w:rPr>
      </w:pPr>
      <w:r w:rsidRPr="00161CA4">
        <w:rPr>
          <w:rFonts w:ascii="Arial Narrow" w:hAnsi="Arial Narrow" w:cs="Arial"/>
          <w:i/>
          <w:iCs/>
          <w:snapToGrid w:val="0"/>
          <w:sz w:val="18"/>
          <w:szCs w:val="20"/>
          <w:vertAlign w:val="superscript"/>
          <w:lang w:eastAsia="en-US"/>
        </w:rPr>
        <w:t>3</w:t>
      </w:r>
      <w:r w:rsidR="00344944" w:rsidRPr="00161CA4">
        <w:rPr>
          <w:rFonts w:ascii="Arial Narrow" w:hAnsi="Arial Narrow" w:cs="Arial"/>
          <w:i/>
          <w:iCs/>
          <w:snapToGrid w:val="0"/>
          <w:sz w:val="18"/>
          <w:szCs w:val="20"/>
          <w:lang w:eastAsia="en-US"/>
        </w:rPr>
        <w:t xml:space="preserve"> $10 million to &lt; $20 million</w:t>
      </w:r>
    </w:p>
    <w:p w14:paraId="0142BDBA" w14:textId="4C8483D5" w:rsidR="000D5D6C" w:rsidRPr="00161CA4" w:rsidRDefault="000D5D6C" w:rsidP="00344944">
      <w:pPr>
        <w:widowControl w:val="0"/>
        <w:contextualSpacing/>
        <w:rPr>
          <w:rFonts w:ascii="Arial Narrow" w:hAnsi="Arial Narrow" w:cs="Arial"/>
          <w:i/>
          <w:iCs/>
          <w:snapToGrid w:val="0"/>
          <w:sz w:val="18"/>
          <w:szCs w:val="20"/>
          <w:lang w:eastAsia="en-US"/>
        </w:rPr>
      </w:pPr>
      <w:r w:rsidRPr="00161CA4">
        <w:rPr>
          <w:rFonts w:ascii="Arial Narrow" w:hAnsi="Arial Narrow" w:cs="Arial"/>
          <w:i/>
          <w:iCs/>
          <w:snapToGrid w:val="0"/>
          <w:sz w:val="18"/>
          <w:szCs w:val="20"/>
          <w:vertAlign w:val="superscript"/>
          <w:lang w:eastAsia="en-US"/>
        </w:rPr>
        <w:t>4</w:t>
      </w:r>
      <w:r w:rsidRPr="00161CA4">
        <w:rPr>
          <w:rFonts w:ascii="Arial Narrow" w:hAnsi="Arial Narrow" w:cs="Arial"/>
          <w:i/>
          <w:iCs/>
          <w:snapToGrid w:val="0"/>
          <w:sz w:val="18"/>
          <w:szCs w:val="20"/>
          <w:lang w:eastAsia="en-US"/>
        </w:rPr>
        <w:t xml:space="preserve"> $20 million to &lt; $30 million</w:t>
      </w:r>
    </w:p>
    <w:bookmarkEnd w:id="15"/>
    <w:p w14:paraId="353764AE" w14:textId="364F4C53" w:rsidR="00344944" w:rsidRPr="00161CA4" w:rsidRDefault="00A950AA" w:rsidP="00623172">
      <w:pPr>
        <w:pStyle w:val="FooterTableFigure"/>
        <w:rPr>
          <w:i/>
          <w:iCs/>
        </w:rPr>
      </w:pPr>
      <w:r w:rsidRPr="00161CA4">
        <w:rPr>
          <w:i/>
          <w:iCs/>
          <w:vertAlign w:val="superscript"/>
        </w:rPr>
        <w:t>5</w:t>
      </w:r>
      <w:r w:rsidRPr="00161CA4">
        <w:rPr>
          <w:i/>
          <w:iCs/>
        </w:rPr>
        <w:t xml:space="preserve"> net cost saving</w:t>
      </w:r>
    </w:p>
    <w:p w14:paraId="4D07FAA1" w14:textId="0F1EEC38" w:rsidR="00161CA4" w:rsidRPr="00161CA4" w:rsidRDefault="00161CA4" w:rsidP="00623172">
      <w:pPr>
        <w:pStyle w:val="FooterTableFigure"/>
        <w:rPr>
          <w:i/>
          <w:iCs/>
        </w:rPr>
      </w:pPr>
      <w:r w:rsidRPr="00161CA4">
        <w:rPr>
          <w:i/>
          <w:iCs/>
          <w:vertAlign w:val="superscript"/>
        </w:rPr>
        <w:t>6</w:t>
      </w:r>
      <w:r w:rsidRPr="00161CA4">
        <w:rPr>
          <w:i/>
          <w:iCs/>
        </w:rPr>
        <w:t xml:space="preserve"> 5,000 to &lt; 10,000</w:t>
      </w:r>
    </w:p>
    <w:p w14:paraId="362F77C3" w14:textId="176EF7DD" w:rsidR="00954840" w:rsidRDefault="00954840" w:rsidP="008F1E5D">
      <w:pPr>
        <w:pStyle w:val="3-BodyText"/>
      </w:pPr>
      <w:bookmarkStart w:id="16" w:name="_Toc22897649"/>
      <w:bookmarkStart w:id="17" w:name="_Toc156818667"/>
      <w:r>
        <w:t>As per the March 2024 submission, t</w:t>
      </w:r>
      <w:r w:rsidRPr="001C05C6">
        <w:t xml:space="preserve">he </w:t>
      </w:r>
      <w:r>
        <w:t>re</w:t>
      </w:r>
      <w:r w:rsidRPr="001C05C6">
        <w:t xml:space="preserve">submission expected that the listing of LECIG will have no cost implications to the MBS. </w:t>
      </w:r>
    </w:p>
    <w:p w14:paraId="0055A86F" w14:textId="0EC4FD20" w:rsidR="00307EC9" w:rsidRPr="00954840" w:rsidRDefault="00307EC9" w:rsidP="008F1E5D">
      <w:pPr>
        <w:pStyle w:val="3-BodyText"/>
        <w:keepLines/>
        <w:numPr>
          <w:ilvl w:val="0"/>
          <w:numId w:val="0"/>
        </w:numPr>
        <w:rPr>
          <w:rFonts w:eastAsiaTheme="majorEastAsia" w:cstheme="majorBidi"/>
          <w:b/>
          <w:i/>
          <w:spacing w:val="5"/>
          <w:kern w:val="28"/>
          <w:sz w:val="28"/>
          <w:szCs w:val="36"/>
          <w:lang w:eastAsia="en-US"/>
        </w:rPr>
      </w:pPr>
      <w:r w:rsidRPr="00954840">
        <w:rPr>
          <w:rFonts w:eastAsiaTheme="majorEastAsia" w:cstheme="majorBidi"/>
          <w:b/>
          <w:i/>
          <w:spacing w:val="5"/>
          <w:kern w:val="28"/>
          <w:sz w:val="28"/>
          <w:szCs w:val="36"/>
          <w:lang w:eastAsia="en-US"/>
        </w:rPr>
        <w:t>Financial Management – Risk Sharing Arrangements</w:t>
      </w:r>
      <w:bookmarkEnd w:id="16"/>
      <w:bookmarkEnd w:id="17"/>
    </w:p>
    <w:p w14:paraId="38582F65" w14:textId="21F1CC75" w:rsidR="00097A04" w:rsidRDefault="00B73216" w:rsidP="008F1E5D">
      <w:pPr>
        <w:pStyle w:val="3-BodyText"/>
        <w:keepLines/>
      </w:pPr>
      <w:r w:rsidRPr="002C633F">
        <w:t xml:space="preserve">The resubmission </w:t>
      </w:r>
      <w:r w:rsidR="00954840">
        <w:t>noted that LCIG is currently under a Risk Sharing Arrangement with annual financial caps. The resubmission anticipated that LECIG would be included in the same R</w:t>
      </w:r>
      <w:r w:rsidR="00FB2355">
        <w:t xml:space="preserve">isk </w:t>
      </w:r>
      <w:r w:rsidR="00954840">
        <w:t>S</w:t>
      </w:r>
      <w:r w:rsidR="00FB2355">
        <w:t xml:space="preserve">haring </w:t>
      </w:r>
      <w:r w:rsidR="00B57CD8">
        <w:t>Arrangement</w:t>
      </w:r>
      <w:r w:rsidR="00954840">
        <w:t xml:space="preserve"> as LCIG</w:t>
      </w:r>
      <w:bookmarkStart w:id="18" w:name="_Toc156818669"/>
      <w:r w:rsidR="00A927CB">
        <w:t xml:space="preserve"> with no increase in the financial caps required. </w:t>
      </w:r>
    </w:p>
    <w:p w14:paraId="72395DE2" w14:textId="1FCACB85" w:rsidR="005654F7" w:rsidRPr="005654F7" w:rsidRDefault="005654F7" w:rsidP="005654F7">
      <w:pPr>
        <w:pStyle w:val="3-BodyText"/>
        <w:numPr>
          <w:ilvl w:val="0"/>
          <w:numId w:val="0"/>
        </w:numPr>
        <w:ind w:left="720"/>
        <w:rPr>
          <w:i/>
          <w:iCs/>
        </w:rPr>
      </w:pPr>
      <w:r w:rsidRPr="005654F7">
        <w:rPr>
          <w:i/>
          <w:iCs/>
        </w:rPr>
        <w:t xml:space="preserve">For more detail on PBAC’s view, see section </w:t>
      </w:r>
      <w:r w:rsidR="002115F1">
        <w:rPr>
          <w:i/>
          <w:iCs/>
        </w:rPr>
        <w:t>5</w:t>
      </w:r>
      <w:r w:rsidRPr="005654F7">
        <w:rPr>
          <w:i/>
          <w:iCs/>
        </w:rPr>
        <w:t xml:space="preserve"> PBAC outcome.</w:t>
      </w:r>
    </w:p>
    <w:p w14:paraId="14596D63" w14:textId="77777777" w:rsidR="00D04DB4" w:rsidRDefault="00D04DB4" w:rsidP="00D04DB4">
      <w:pPr>
        <w:pStyle w:val="2-SectionHeading"/>
      </w:pPr>
      <w:bookmarkStart w:id="19" w:name="_Hlk76381249"/>
      <w:bookmarkStart w:id="20" w:name="_Hlk76377955"/>
      <w:r w:rsidRPr="00D04DB4">
        <w:lastRenderedPageBreak/>
        <w:t>PBAC Outcome</w:t>
      </w:r>
    </w:p>
    <w:p w14:paraId="1733C17B" w14:textId="4EEE6F44" w:rsidR="008D3FC7" w:rsidRPr="00E563C2" w:rsidRDefault="002115F1" w:rsidP="009A5A5C">
      <w:pPr>
        <w:pStyle w:val="3-BodyText"/>
        <w:keepLines/>
      </w:pPr>
      <w:r w:rsidRPr="00F81F7A">
        <w:t xml:space="preserve">The </w:t>
      </w:r>
      <w:r>
        <w:t xml:space="preserve">PBAC recommended the </w:t>
      </w:r>
      <w:r w:rsidR="00205C6F">
        <w:t xml:space="preserve">S100 HSD and general schedule </w:t>
      </w:r>
      <w:r>
        <w:t xml:space="preserve">listing of </w:t>
      </w:r>
      <w:r w:rsidRPr="001C05C6">
        <w:t>levodopa</w:t>
      </w:r>
      <w:r>
        <w:t xml:space="preserve"> with </w:t>
      </w:r>
      <w:r w:rsidRPr="001C05C6">
        <w:t>entacapone</w:t>
      </w:r>
      <w:r>
        <w:t xml:space="preserve"> and </w:t>
      </w:r>
      <w:r w:rsidRPr="001C05C6">
        <w:t>carbidopa intestinal gel (LECIG) for the treatment of advanced idiopathic Parkinson disease</w:t>
      </w:r>
      <w:r>
        <w:t xml:space="preserve"> </w:t>
      </w:r>
      <w:r w:rsidRPr="001C05C6">
        <w:t>with severe motor fluctuations despite optimised alternative pharmacological treatment</w:t>
      </w:r>
      <w:r>
        <w:t xml:space="preserve">. </w:t>
      </w:r>
      <w:r w:rsidR="0047568B">
        <w:t>The PBAC’s recommendation for listing was based on, among other matters, its assessment that the cost-effectiveness of LECIG would be acceptable if it were cost-minimised against l</w:t>
      </w:r>
      <w:r w:rsidR="0047568B" w:rsidRPr="001C05C6">
        <w:t xml:space="preserve">evodopa, carbidopa monohydrate intestinal gel </w:t>
      </w:r>
      <w:r w:rsidR="0047568B">
        <w:t>(</w:t>
      </w:r>
      <w:r w:rsidR="0047568B" w:rsidRPr="001C05C6">
        <w:t>LCIG</w:t>
      </w:r>
      <w:r w:rsidR="0047568B">
        <w:t>)</w:t>
      </w:r>
      <w:r w:rsidR="008D3FC7">
        <w:t xml:space="preserve">, and if LECIG would be included in the same risk sharing arrangements as LCIG to contain risks associated with the </w:t>
      </w:r>
      <w:r w:rsidR="00B311AC">
        <w:t xml:space="preserve">potential </w:t>
      </w:r>
      <w:r w:rsidR="00FD4A86">
        <w:t>use of higher doses of LECIG through the PBS</w:t>
      </w:r>
      <w:r w:rsidR="00E122C9">
        <w:t xml:space="preserve"> versus trial data</w:t>
      </w:r>
      <w:r w:rsidR="00B311AC">
        <w:t xml:space="preserve"> or in a broader population given the different device</w:t>
      </w:r>
      <w:r w:rsidR="008D3FC7">
        <w:t xml:space="preserve">. </w:t>
      </w:r>
      <w:r w:rsidR="00184E17" w:rsidRPr="00D04DB4">
        <w:rPr>
          <w:rFonts w:cstheme="minorHAnsi"/>
          <w:lang w:val="en-GB" w:eastAsia="en-US"/>
        </w:rPr>
        <w:t>The PBAC considered that</w:t>
      </w:r>
      <w:r w:rsidR="00184E17">
        <w:rPr>
          <w:rFonts w:cstheme="minorHAnsi"/>
          <w:lang w:val="en-GB" w:eastAsia="en-US"/>
        </w:rPr>
        <w:t xml:space="preserve">, with the </w:t>
      </w:r>
      <w:r w:rsidR="00E563C2">
        <w:rPr>
          <w:rFonts w:cstheme="minorHAnsi"/>
          <w:lang w:val="en-GB" w:eastAsia="en-US"/>
        </w:rPr>
        <w:t xml:space="preserve">revised </w:t>
      </w:r>
      <w:r w:rsidR="00184E17">
        <w:rPr>
          <w:rFonts w:cstheme="minorHAnsi"/>
          <w:lang w:val="en-GB" w:eastAsia="en-US"/>
        </w:rPr>
        <w:t xml:space="preserve">equi-effective dose recommended by the Committee </w:t>
      </w:r>
      <w:r w:rsidR="00E563C2">
        <w:rPr>
          <w:rFonts w:cstheme="minorHAnsi"/>
          <w:lang w:val="en-GB" w:eastAsia="en-US"/>
        </w:rPr>
        <w:t>(see</w:t>
      </w:r>
      <w:r w:rsidR="00184E17">
        <w:rPr>
          <w:rFonts w:cstheme="minorHAnsi"/>
          <w:lang w:val="en-GB" w:eastAsia="en-US"/>
        </w:rPr>
        <w:t xml:space="preserve"> paragraph</w:t>
      </w:r>
      <w:r w:rsidR="00626CD7">
        <w:rPr>
          <w:rFonts w:cstheme="minorHAnsi"/>
          <w:lang w:val="en-GB" w:eastAsia="en-US"/>
        </w:rPr>
        <w:t xml:space="preserve"> </w:t>
      </w:r>
      <w:r w:rsidR="00626CD7">
        <w:rPr>
          <w:rFonts w:cstheme="minorHAnsi"/>
          <w:lang w:val="en-GB" w:eastAsia="en-US"/>
        </w:rPr>
        <w:fldChar w:fldCharType="begin" w:fldLock="1"/>
      </w:r>
      <w:r w:rsidR="00626CD7">
        <w:rPr>
          <w:rFonts w:cstheme="minorHAnsi"/>
          <w:lang w:val="en-GB" w:eastAsia="en-US"/>
        </w:rPr>
        <w:instrText xml:space="preserve"> REF _Ref172707707 \r \h </w:instrText>
      </w:r>
      <w:r w:rsidR="00626CD7">
        <w:rPr>
          <w:rFonts w:cstheme="minorHAnsi"/>
          <w:lang w:val="en-GB" w:eastAsia="en-US"/>
        </w:rPr>
      </w:r>
      <w:r w:rsidR="00626CD7">
        <w:rPr>
          <w:rFonts w:cstheme="minorHAnsi"/>
          <w:lang w:val="en-GB" w:eastAsia="en-US"/>
        </w:rPr>
        <w:fldChar w:fldCharType="separate"/>
      </w:r>
      <w:r w:rsidR="00FB4C90">
        <w:rPr>
          <w:rFonts w:cstheme="minorHAnsi"/>
          <w:lang w:val="en-GB" w:eastAsia="en-US"/>
        </w:rPr>
        <w:t>5.8</w:t>
      </w:r>
      <w:r w:rsidR="00626CD7">
        <w:rPr>
          <w:rFonts w:cstheme="minorHAnsi"/>
          <w:lang w:val="en-GB" w:eastAsia="en-US"/>
        </w:rPr>
        <w:fldChar w:fldCharType="end"/>
      </w:r>
      <w:r w:rsidR="00E563C2">
        <w:rPr>
          <w:rFonts w:cstheme="minorHAnsi"/>
          <w:lang w:val="en-GB" w:eastAsia="en-US"/>
        </w:rPr>
        <w:t>)</w:t>
      </w:r>
      <w:r w:rsidR="00184E17">
        <w:rPr>
          <w:rFonts w:cstheme="minorHAnsi"/>
          <w:lang w:val="en-GB" w:eastAsia="en-US"/>
        </w:rPr>
        <w:t>,</w:t>
      </w:r>
      <w:r w:rsidR="00184E17" w:rsidRPr="00D04DB4">
        <w:rPr>
          <w:rFonts w:cstheme="minorHAnsi"/>
          <w:lang w:val="en-GB" w:eastAsia="en-US"/>
        </w:rPr>
        <w:t xml:space="preserve"> the resubmission had addressed the substantive outstanding issues identified at the</w:t>
      </w:r>
      <w:r w:rsidR="00184E17">
        <w:rPr>
          <w:rFonts w:cstheme="minorHAnsi"/>
          <w:lang w:val="en-GB" w:eastAsia="en-US"/>
        </w:rPr>
        <w:t xml:space="preserve"> March 2024 PBAC meeting.</w:t>
      </w:r>
    </w:p>
    <w:p w14:paraId="7409E5D3" w14:textId="1E04E2D0" w:rsidR="00E563C2" w:rsidRPr="00205C6F" w:rsidRDefault="00E563C2" w:rsidP="009A5A5C">
      <w:pPr>
        <w:pStyle w:val="3-BodyText"/>
        <w:keepLines/>
      </w:pPr>
      <w:r>
        <w:rPr>
          <w:rFonts w:cstheme="minorHAnsi"/>
          <w:lang w:val="en-GB" w:eastAsia="en-US"/>
        </w:rPr>
        <w:t xml:space="preserve">With respect to the restriction, the PBAC recommended the PBS indication should be consistent with the LCIG PBS listing and state ‘Advanced Parkinson disease.’ In addition, the PBAC considered that it was appropriate for the clinical criteria to state </w:t>
      </w:r>
      <w:r w:rsidRPr="00E563C2">
        <w:t>‘P</w:t>
      </w:r>
      <w:r w:rsidRPr="00E563C2">
        <w:rPr>
          <w:rFonts w:cstheme="minorHAnsi"/>
        </w:rPr>
        <w:t>atient must have severe disabling motor fluctuations not adequately controlled by at least one of: (i) oral therapy; (ii) intestinal gel formulation containing levodopa’</w:t>
      </w:r>
      <w:r>
        <w:rPr>
          <w:rFonts w:cstheme="minorHAnsi"/>
          <w:i/>
          <w:iCs/>
        </w:rPr>
        <w:t xml:space="preserve">. </w:t>
      </w:r>
      <w:proofErr w:type="gramStart"/>
      <w:r w:rsidR="00F01C76" w:rsidRPr="00205C6F">
        <w:rPr>
          <w:rFonts w:cstheme="minorHAnsi"/>
        </w:rPr>
        <w:t>Similar to</w:t>
      </w:r>
      <w:proofErr w:type="gramEnd"/>
      <w:r w:rsidR="00F01C76" w:rsidRPr="00205C6F">
        <w:rPr>
          <w:rFonts w:cstheme="minorHAnsi"/>
        </w:rPr>
        <w:t xml:space="preserve"> LCIG PBS listings, </w:t>
      </w:r>
      <w:r w:rsidR="002A0381">
        <w:rPr>
          <w:rFonts w:cstheme="minorHAnsi"/>
        </w:rPr>
        <w:t>t</w:t>
      </w:r>
      <w:r w:rsidR="00F01C76" w:rsidRPr="00205C6F">
        <w:rPr>
          <w:rFonts w:cstheme="minorHAnsi"/>
        </w:rPr>
        <w:t>he PBAC recommended listing LECIG with 2 different maximum quantities. For patients with daily dose lower or equal to 940</w:t>
      </w:r>
      <w:r w:rsidR="00623172">
        <w:rPr>
          <w:rFonts w:cstheme="minorHAnsi"/>
        </w:rPr>
        <w:t> </w:t>
      </w:r>
      <w:r w:rsidR="00F01C76" w:rsidRPr="00205C6F">
        <w:rPr>
          <w:rFonts w:cstheme="minorHAnsi"/>
        </w:rPr>
        <w:t>mg of levodopa, the LECIG listing with maximum quantity of 4 packs provides sufficient treatment for 28 days at the average daily dose. While the patients who require more than one cartridge per day (daily dose of levodopa higher than 940</w:t>
      </w:r>
      <w:r w:rsidR="00623172">
        <w:rPr>
          <w:rFonts w:cstheme="minorHAnsi"/>
        </w:rPr>
        <w:t> </w:t>
      </w:r>
      <w:r w:rsidR="00F01C76" w:rsidRPr="00205C6F">
        <w:rPr>
          <w:rFonts w:cstheme="minorHAnsi"/>
        </w:rPr>
        <w:t xml:space="preserve">mg), the LECIG listing with maximum quantity of 8 packs would be sufficient for 28 days. The PBAC also noted that </w:t>
      </w:r>
      <w:r w:rsidR="00F01C76" w:rsidRPr="00205C6F">
        <w:t>one prescription and five repeats would provide for six months’ therapy for patients using average daily dose or higher dose of levodopa.</w:t>
      </w:r>
      <w:r w:rsidR="00F01C76" w:rsidRPr="00205C6F">
        <w:rPr>
          <w:rFonts w:cstheme="minorHAnsi"/>
        </w:rPr>
        <w:t xml:space="preserve"> </w:t>
      </w:r>
    </w:p>
    <w:p w14:paraId="720D8630" w14:textId="13EBD68A" w:rsidR="00205C6F" w:rsidRPr="00205C6F" w:rsidRDefault="00205C6F" w:rsidP="009A5A5C">
      <w:pPr>
        <w:pStyle w:val="3-BodyText"/>
        <w:keepLines/>
      </w:pPr>
      <w:r w:rsidRPr="00205C6F">
        <w:rPr>
          <w:rFonts w:cstheme="minorHAnsi"/>
        </w:rPr>
        <w:t xml:space="preserve">Consistent with the LCIG PBS listing, </w:t>
      </w:r>
      <w:r w:rsidR="002A0381">
        <w:rPr>
          <w:rFonts w:cstheme="minorHAnsi"/>
        </w:rPr>
        <w:t>t</w:t>
      </w:r>
      <w:r w:rsidRPr="00205C6F">
        <w:rPr>
          <w:rFonts w:cstheme="minorHAnsi"/>
        </w:rPr>
        <w:t>he PBAC noted that the initial therapy is intended to be commenced for patients by a hospital-based movement disorder clinic (S100 HSD listings) while maintenance therapy is intended for community dispensing (listings under the general schedule).</w:t>
      </w:r>
    </w:p>
    <w:p w14:paraId="03DDD36B" w14:textId="5228F844" w:rsidR="008D3FC7" w:rsidRDefault="008D3FC7" w:rsidP="009A5A5C">
      <w:pPr>
        <w:pStyle w:val="3-BodyText"/>
        <w:keepLines/>
      </w:pPr>
      <w:r>
        <w:t xml:space="preserve">The PBAC recalled that in March 2024 the Committee had considered LCIG an </w:t>
      </w:r>
      <w:r w:rsidR="009335C1">
        <w:t xml:space="preserve">appropriate comparator (paragraph 7.4, </w:t>
      </w:r>
      <w:r w:rsidR="009335C1" w:rsidRPr="004A0730">
        <w:t xml:space="preserve">levodopa with carbidopa and entacapone </w:t>
      </w:r>
      <w:r w:rsidR="00C50162">
        <w:t>PSD</w:t>
      </w:r>
      <w:r w:rsidR="009335C1" w:rsidRPr="004A0730">
        <w:t>, March 2024 PBAC Meeting</w:t>
      </w:r>
      <w:r w:rsidR="009335C1">
        <w:t xml:space="preserve">). </w:t>
      </w:r>
    </w:p>
    <w:p w14:paraId="7CCA7542" w14:textId="761E2093" w:rsidR="009335C1" w:rsidRPr="00687BFF" w:rsidRDefault="009335C1" w:rsidP="009335C1">
      <w:pPr>
        <w:pStyle w:val="3-BodyText"/>
        <w:rPr>
          <w:snapToGrid w:val="0"/>
        </w:rPr>
      </w:pPr>
      <w:r w:rsidRPr="00687BFF">
        <w:rPr>
          <w:iCs/>
          <w:snapToGrid w:val="0"/>
        </w:rPr>
        <w:t>The</w:t>
      </w:r>
      <w:r w:rsidRPr="00687BFF">
        <w:rPr>
          <w:snapToGrid w:val="0"/>
        </w:rPr>
        <w:t xml:space="preserve"> PBAC reaffirmed its March 2024 advice that the claim of non-inferior comparative effectiveness was subject to considerable uncertainty, given the nature of the clinical evidence presented in the submission but on balance was prepared to accept the clinical claim (paragraph 6.29, </w:t>
      </w:r>
      <w:r w:rsidRPr="00687BFF">
        <w:t xml:space="preserve">levodopa with carbidopa and entacapone </w:t>
      </w:r>
      <w:r w:rsidR="00C50162">
        <w:t>PSD</w:t>
      </w:r>
      <w:r w:rsidRPr="00687BFF">
        <w:t>, March</w:t>
      </w:r>
      <w:r w:rsidR="00161CA4">
        <w:t> </w:t>
      </w:r>
      <w:r w:rsidRPr="00687BFF">
        <w:t>2024 PBAC Meeting)</w:t>
      </w:r>
      <w:r w:rsidRPr="00687BFF">
        <w:rPr>
          <w:snapToGrid w:val="0"/>
        </w:rPr>
        <w:t>.</w:t>
      </w:r>
    </w:p>
    <w:p w14:paraId="7E016A92" w14:textId="7B552DB2" w:rsidR="009335C1" w:rsidRDefault="009335C1" w:rsidP="009335C1">
      <w:pPr>
        <w:pStyle w:val="3-BodyText"/>
        <w:rPr>
          <w:snapToGrid w:val="0"/>
        </w:rPr>
      </w:pPr>
      <w:r w:rsidRPr="00687BFF">
        <w:rPr>
          <w:snapToGrid w:val="0"/>
        </w:rPr>
        <w:lastRenderedPageBreak/>
        <w:t>The PBAC reaffirmed its March 2024 advice that the claim of non-inferior comparative safety was likely reasonable (paragraph 6.30,</w:t>
      </w:r>
      <w:r w:rsidRPr="00687BFF">
        <w:t xml:space="preserve"> levodopa with carbidopa and entacapone </w:t>
      </w:r>
      <w:r w:rsidR="00C50162">
        <w:t>PSD</w:t>
      </w:r>
      <w:r w:rsidRPr="00687BFF">
        <w:t>, March 2024 PBAC Meeting)</w:t>
      </w:r>
      <w:r w:rsidRPr="00687BFF">
        <w:rPr>
          <w:snapToGrid w:val="0"/>
        </w:rPr>
        <w:t>.</w:t>
      </w:r>
    </w:p>
    <w:p w14:paraId="27D1CEC3" w14:textId="230E92A9" w:rsidR="00751FF1" w:rsidRDefault="00354DA6" w:rsidP="009335C1">
      <w:pPr>
        <w:pStyle w:val="3-BodyText"/>
        <w:rPr>
          <w:snapToGrid w:val="0"/>
        </w:rPr>
      </w:pPr>
      <w:r>
        <w:rPr>
          <w:snapToGrid w:val="0"/>
        </w:rPr>
        <w:t xml:space="preserve">The PBAC noted the cost-minimisation approach (CMA) proposed by the resubmission assumed </w:t>
      </w:r>
      <w:r w:rsidRPr="008403BF">
        <w:rPr>
          <w:snapToGrid w:val="0"/>
        </w:rPr>
        <w:t xml:space="preserve">1.31 </w:t>
      </w:r>
      <w:r>
        <w:rPr>
          <w:snapToGrid w:val="0"/>
        </w:rPr>
        <w:t xml:space="preserve">cartridges of LECIG per day was equal to </w:t>
      </w:r>
      <w:r w:rsidRPr="008403BF">
        <w:rPr>
          <w:snapToGrid w:val="0"/>
        </w:rPr>
        <w:t xml:space="preserve">1.15 </w:t>
      </w:r>
      <w:r>
        <w:rPr>
          <w:snapToGrid w:val="0"/>
        </w:rPr>
        <w:t>cassettes of LCIG per day (i.e</w:t>
      </w:r>
      <w:r w:rsidRPr="001F330E">
        <w:rPr>
          <w:snapToGrid w:val="0"/>
        </w:rPr>
        <w:t xml:space="preserve">. </w:t>
      </w:r>
      <w:r w:rsidRPr="008403BF">
        <w:rPr>
          <w:snapToGrid w:val="0"/>
        </w:rPr>
        <w:t>1.31:1.15</w:t>
      </w:r>
      <w:r>
        <w:rPr>
          <w:snapToGrid w:val="0"/>
        </w:rPr>
        <w:t>)</w:t>
      </w:r>
      <w:r w:rsidR="0092082C">
        <w:rPr>
          <w:snapToGrid w:val="0"/>
        </w:rPr>
        <w:t xml:space="preserve"> </w:t>
      </w:r>
      <w:r>
        <w:rPr>
          <w:snapToGrid w:val="0"/>
        </w:rPr>
        <w:t xml:space="preserve">(see paragraph </w:t>
      </w:r>
      <w:r>
        <w:rPr>
          <w:snapToGrid w:val="0"/>
        </w:rPr>
        <w:fldChar w:fldCharType="begin" w:fldLock="1"/>
      </w:r>
      <w:r>
        <w:rPr>
          <w:snapToGrid w:val="0"/>
        </w:rPr>
        <w:instrText xml:space="preserve"> REF _Ref172619682 \r \h </w:instrText>
      </w:r>
      <w:r>
        <w:rPr>
          <w:snapToGrid w:val="0"/>
        </w:rPr>
      </w:r>
      <w:r>
        <w:rPr>
          <w:snapToGrid w:val="0"/>
        </w:rPr>
        <w:fldChar w:fldCharType="separate"/>
      </w:r>
      <w:r w:rsidR="00FB4C90">
        <w:rPr>
          <w:snapToGrid w:val="0"/>
        </w:rPr>
        <w:t>4.10</w:t>
      </w:r>
      <w:r>
        <w:rPr>
          <w:snapToGrid w:val="0"/>
        </w:rPr>
        <w:fldChar w:fldCharType="end"/>
      </w:r>
      <w:r>
        <w:rPr>
          <w:snapToGrid w:val="0"/>
        </w:rPr>
        <w:t xml:space="preserve">). The PBAC noted that for LECIG this was based on updated dosing data from the ELEGANCE study which reported an average of </w:t>
      </w:r>
      <w:r w:rsidRPr="008403BF">
        <w:rPr>
          <w:snapToGrid w:val="0"/>
        </w:rPr>
        <w:t>1.31</w:t>
      </w:r>
      <w:r w:rsidR="00623172" w:rsidRPr="008403BF">
        <w:rPr>
          <w:snapToGrid w:val="0"/>
        </w:rPr>
        <w:t> </w:t>
      </w:r>
      <w:r>
        <w:rPr>
          <w:snapToGrid w:val="0"/>
        </w:rPr>
        <w:t xml:space="preserve">cartridges per day of LECIG at 12 months of treatment. For LCIG the </w:t>
      </w:r>
      <w:r w:rsidRPr="008403BF">
        <w:rPr>
          <w:snapToGrid w:val="0"/>
        </w:rPr>
        <w:t>1.15</w:t>
      </w:r>
      <w:r w:rsidR="00623172" w:rsidRPr="008403BF">
        <w:rPr>
          <w:snapToGrid w:val="0"/>
        </w:rPr>
        <w:t> </w:t>
      </w:r>
      <w:r>
        <w:rPr>
          <w:snapToGrid w:val="0"/>
        </w:rPr>
        <w:t xml:space="preserve">cassettes per day </w:t>
      </w:r>
      <w:r w:rsidR="0092082C">
        <w:rPr>
          <w:snapToGrid w:val="0"/>
        </w:rPr>
        <w:t>w</w:t>
      </w:r>
      <w:r>
        <w:rPr>
          <w:snapToGrid w:val="0"/>
        </w:rPr>
        <w:t xml:space="preserve">as based on the weighted mean number of LCIG cassettes used from the GLORIA and Phase III Program. </w:t>
      </w:r>
      <w:r w:rsidR="002C7EFD">
        <w:t>The PBAC noted a</w:t>
      </w:r>
      <w:r w:rsidRPr="00354DA6">
        <w:t xml:space="preserve">n equi-effective dose of </w:t>
      </w:r>
      <w:r w:rsidRPr="008403BF">
        <w:t xml:space="preserve">1.31 </w:t>
      </w:r>
      <w:r w:rsidRPr="00354DA6">
        <w:t>cartridges of LECIG:</w:t>
      </w:r>
      <w:r w:rsidRPr="008403BF">
        <w:rPr>
          <w:snapToGrid w:val="0"/>
        </w:rPr>
        <w:t xml:space="preserve">1.15 </w:t>
      </w:r>
      <w:r w:rsidRPr="00354DA6">
        <w:rPr>
          <w:snapToGrid w:val="0"/>
        </w:rPr>
        <w:t>cassettes of LCIG</w:t>
      </w:r>
      <w:r w:rsidR="00B342AE">
        <w:rPr>
          <w:snapToGrid w:val="0"/>
        </w:rPr>
        <w:t xml:space="preserve"> (</w:t>
      </w:r>
      <w:r w:rsidRPr="00354DA6">
        <w:rPr>
          <w:snapToGrid w:val="0"/>
        </w:rPr>
        <w:t xml:space="preserve">equivalent </w:t>
      </w:r>
      <w:r w:rsidRPr="008403BF">
        <w:rPr>
          <w:snapToGrid w:val="0"/>
        </w:rPr>
        <w:t>to 1.14:1</w:t>
      </w:r>
      <w:r w:rsidR="00B342AE">
        <w:rPr>
          <w:snapToGrid w:val="0"/>
        </w:rPr>
        <w:t>)</w:t>
      </w:r>
      <w:r w:rsidRPr="00354DA6">
        <w:rPr>
          <w:snapToGrid w:val="0"/>
        </w:rPr>
        <w:t xml:space="preserve"> </w:t>
      </w:r>
      <w:r w:rsidR="00B342AE">
        <w:rPr>
          <w:snapToGrid w:val="0"/>
        </w:rPr>
        <w:t xml:space="preserve">is not substantively different to </w:t>
      </w:r>
      <w:r w:rsidR="002C7EFD">
        <w:rPr>
          <w:snapToGrid w:val="0"/>
        </w:rPr>
        <w:t xml:space="preserve">the March 2024 submission’s proposed equi-effective dose of </w:t>
      </w:r>
      <w:r w:rsidR="002C7EFD" w:rsidRPr="008403BF">
        <w:rPr>
          <w:snapToGrid w:val="0"/>
        </w:rPr>
        <w:t>1:1</w:t>
      </w:r>
      <w:r w:rsidR="00B342AE" w:rsidRPr="008403BF">
        <w:rPr>
          <w:snapToGrid w:val="0"/>
        </w:rPr>
        <w:t xml:space="preserve"> </w:t>
      </w:r>
      <w:r w:rsidR="00B342AE">
        <w:rPr>
          <w:snapToGrid w:val="0"/>
        </w:rPr>
        <w:t>which it had previously not accepted</w:t>
      </w:r>
      <w:r w:rsidR="002B22CE">
        <w:rPr>
          <w:snapToGrid w:val="0"/>
        </w:rPr>
        <w:t xml:space="preserve"> </w:t>
      </w:r>
      <w:r w:rsidR="002C7EFD">
        <w:rPr>
          <w:snapToGrid w:val="0"/>
        </w:rPr>
        <w:t xml:space="preserve">(see paragraph </w:t>
      </w:r>
      <w:r w:rsidR="002C7EFD">
        <w:rPr>
          <w:snapToGrid w:val="0"/>
        </w:rPr>
        <w:fldChar w:fldCharType="begin" w:fldLock="1"/>
      </w:r>
      <w:r w:rsidR="002C7EFD">
        <w:rPr>
          <w:snapToGrid w:val="0"/>
        </w:rPr>
        <w:instrText xml:space="preserve"> REF _Ref172620225 \r \h </w:instrText>
      </w:r>
      <w:r w:rsidR="002C7EFD">
        <w:rPr>
          <w:snapToGrid w:val="0"/>
        </w:rPr>
      </w:r>
      <w:r w:rsidR="002C7EFD">
        <w:rPr>
          <w:snapToGrid w:val="0"/>
        </w:rPr>
        <w:fldChar w:fldCharType="separate"/>
      </w:r>
      <w:r w:rsidR="00FB4C90">
        <w:rPr>
          <w:snapToGrid w:val="0"/>
        </w:rPr>
        <w:t>4.9</w:t>
      </w:r>
      <w:r w:rsidR="002C7EFD">
        <w:rPr>
          <w:snapToGrid w:val="0"/>
        </w:rPr>
        <w:fldChar w:fldCharType="end"/>
      </w:r>
      <w:r w:rsidR="002C7EFD">
        <w:rPr>
          <w:snapToGrid w:val="0"/>
        </w:rPr>
        <w:t>). The PBAC re</w:t>
      </w:r>
      <w:r w:rsidR="002B22CE">
        <w:rPr>
          <w:snapToGrid w:val="0"/>
        </w:rPr>
        <w:t>affirmed its March 2024 advice</w:t>
      </w:r>
      <w:r w:rsidR="002C7EFD">
        <w:rPr>
          <w:snapToGrid w:val="0"/>
        </w:rPr>
        <w:t xml:space="preserve"> that, in the context of a claim of non-inferiority supported by clinical evidence with significant limitations, </w:t>
      </w:r>
      <w:r w:rsidR="002B22CE">
        <w:rPr>
          <w:snapToGrid w:val="0"/>
        </w:rPr>
        <w:t>a</w:t>
      </w:r>
      <w:r w:rsidR="002C7EFD">
        <w:rPr>
          <w:snapToGrid w:val="0"/>
        </w:rPr>
        <w:t xml:space="preserve"> conservative approach to the calculation of equi-effective dose was required</w:t>
      </w:r>
      <w:r w:rsidR="002B22CE">
        <w:rPr>
          <w:snapToGrid w:val="0"/>
        </w:rPr>
        <w:t xml:space="preserve"> (see paragraph </w:t>
      </w:r>
      <w:r w:rsidR="002B22CE">
        <w:rPr>
          <w:snapToGrid w:val="0"/>
        </w:rPr>
        <w:fldChar w:fldCharType="begin" w:fldLock="1"/>
      </w:r>
      <w:r w:rsidR="002B22CE">
        <w:rPr>
          <w:snapToGrid w:val="0"/>
        </w:rPr>
        <w:instrText xml:space="preserve"> REF _Ref172620225 \r \h </w:instrText>
      </w:r>
      <w:r w:rsidR="002B22CE">
        <w:rPr>
          <w:snapToGrid w:val="0"/>
        </w:rPr>
      </w:r>
      <w:r w:rsidR="002B22CE">
        <w:rPr>
          <w:snapToGrid w:val="0"/>
        </w:rPr>
        <w:fldChar w:fldCharType="separate"/>
      </w:r>
      <w:r w:rsidR="00FB4C90">
        <w:rPr>
          <w:snapToGrid w:val="0"/>
        </w:rPr>
        <w:t>4.9</w:t>
      </w:r>
      <w:r w:rsidR="002B22CE">
        <w:rPr>
          <w:snapToGrid w:val="0"/>
        </w:rPr>
        <w:fldChar w:fldCharType="end"/>
      </w:r>
      <w:r w:rsidR="002B22CE">
        <w:rPr>
          <w:snapToGrid w:val="0"/>
        </w:rPr>
        <w:t>). The PBAC did</w:t>
      </w:r>
      <w:r w:rsidR="002C7EFD">
        <w:rPr>
          <w:snapToGrid w:val="0"/>
        </w:rPr>
        <w:t xml:space="preserve"> </w:t>
      </w:r>
      <w:r w:rsidR="002B22CE">
        <w:rPr>
          <w:snapToGrid w:val="0"/>
        </w:rPr>
        <w:t xml:space="preserve">not consider the equi-effective dose proposed in the resubmission conservative. </w:t>
      </w:r>
    </w:p>
    <w:p w14:paraId="20CEE52C" w14:textId="53AFA616" w:rsidR="00275478" w:rsidRPr="00626CD7" w:rsidRDefault="00370B3C" w:rsidP="00626CD7">
      <w:pPr>
        <w:pStyle w:val="3-BodyText"/>
      </w:pPr>
      <w:bookmarkStart w:id="21" w:name="_Ref172707707"/>
      <w:r>
        <w:rPr>
          <w:snapToGrid w:val="0"/>
        </w:rPr>
        <w:t xml:space="preserve">The PBAC recalled that </w:t>
      </w:r>
      <w:r w:rsidR="00A73D30">
        <w:rPr>
          <w:snapToGrid w:val="0"/>
        </w:rPr>
        <w:t xml:space="preserve">in March 2024 </w:t>
      </w:r>
      <w:r>
        <w:rPr>
          <w:snapToGrid w:val="0"/>
        </w:rPr>
        <w:t xml:space="preserve">it had suggested that a conservative approach could acknowledge that </w:t>
      </w:r>
      <w:r>
        <w:t>2 cartridges of LECIG contain 1880 mg levodopa whereas 1</w:t>
      </w:r>
      <w:r w:rsidR="00623172">
        <w:t> </w:t>
      </w:r>
      <w:r>
        <w:t xml:space="preserve">cassette of LCIG contains 2000 mg levodopa, and that addition of entacapone has only a moderate impact on the PK of levodopa, so equi-effective dosing should be much closer to </w:t>
      </w:r>
      <w:r w:rsidRPr="008403BF">
        <w:t>2</w:t>
      </w:r>
      <w:r>
        <w:t xml:space="preserve"> LECIG cartridges : </w:t>
      </w:r>
      <w:r w:rsidRPr="008403BF">
        <w:t>1</w:t>
      </w:r>
      <w:r>
        <w:t xml:space="preserve"> LCIG cassette (see paragraph </w:t>
      </w:r>
      <w:r>
        <w:fldChar w:fldCharType="begin" w:fldLock="1"/>
      </w:r>
      <w:r>
        <w:instrText xml:space="preserve"> REF _Ref172631814 \r \h </w:instrText>
      </w:r>
      <w:r>
        <w:fldChar w:fldCharType="separate"/>
      </w:r>
      <w:r w:rsidR="00FB4C90">
        <w:t>4.13</w:t>
      </w:r>
      <w:r>
        <w:fldChar w:fldCharType="end"/>
      </w:r>
      <w:r>
        <w:t xml:space="preserve">). </w:t>
      </w:r>
      <w:r w:rsidR="007038AD">
        <w:t>The PBAC</w:t>
      </w:r>
      <w:r w:rsidR="0013691E">
        <w:t xml:space="preserve"> noted that Study LSM-003 was the only head-to-head study of LECIG to LCIG </w:t>
      </w:r>
      <w:proofErr w:type="gramStart"/>
      <w:r w:rsidR="0013691E">
        <w:t>and</w:t>
      </w:r>
      <w:r w:rsidR="00D60E54">
        <w:t xml:space="preserve"> also</w:t>
      </w:r>
      <w:proofErr w:type="gramEnd"/>
      <w:r w:rsidR="00D60E54">
        <w:t xml:space="preserve"> recalled that in March 2024</w:t>
      </w:r>
      <w:r w:rsidR="0013691E">
        <w:t xml:space="preserve"> it</w:t>
      </w:r>
      <w:r w:rsidR="007038AD" w:rsidRPr="007F0649">
        <w:t xml:space="preserve"> </w:t>
      </w:r>
      <w:r w:rsidR="00D60E54">
        <w:t xml:space="preserve">helped inform the clinical claim of non-inferior effectiveness (see paragraph </w:t>
      </w:r>
      <w:r w:rsidR="00D60E54">
        <w:fldChar w:fldCharType="begin" w:fldLock="1"/>
      </w:r>
      <w:r w:rsidR="00D60E54">
        <w:instrText xml:space="preserve"> REF _Ref172653746 \r \h </w:instrText>
      </w:r>
      <w:r w:rsidR="00D60E54">
        <w:fldChar w:fldCharType="separate"/>
      </w:r>
      <w:r w:rsidR="00FB4C90">
        <w:t>4.5</w:t>
      </w:r>
      <w:r w:rsidR="00D60E54">
        <w:fldChar w:fldCharType="end"/>
      </w:r>
      <w:r w:rsidR="00D60E54">
        <w:t>)</w:t>
      </w:r>
      <w:r w:rsidR="0013691E">
        <w:t xml:space="preserve">. The PBAC </w:t>
      </w:r>
      <w:r w:rsidR="00942D6F">
        <w:t xml:space="preserve">noted that in Study LSM-003 the LECIG dosing was </w:t>
      </w:r>
      <w:r w:rsidR="009858F0">
        <w:t>administered</w:t>
      </w:r>
      <w:r w:rsidR="00942D6F">
        <w:t xml:space="preserve"> at approximately </w:t>
      </w:r>
      <w:r w:rsidR="00942D6F" w:rsidRPr="00444CF1">
        <w:t>80%</w:t>
      </w:r>
      <w:r w:rsidR="00942D6F">
        <w:t xml:space="preserve"> of the optimised LCIG</w:t>
      </w:r>
      <w:r w:rsidR="0013691E">
        <w:t xml:space="preserve"> </w:t>
      </w:r>
      <w:r w:rsidR="00942D6F">
        <w:t xml:space="preserve">dose (see paragraph </w:t>
      </w:r>
      <w:r w:rsidR="00942D6F">
        <w:fldChar w:fldCharType="begin" w:fldLock="1"/>
      </w:r>
      <w:r w:rsidR="00942D6F">
        <w:instrText xml:space="preserve"> REF _Ref172654974 \r \h </w:instrText>
      </w:r>
      <w:r w:rsidR="00942D6F">
        <w:fldChar w:fldCharType="separate"/>
      </w:r>
      <w:r w:rsidR="00FB4C90">
        <w:t>4.7</w:t>
      </w:r>
      <w:r w:rsidR="00942D6F">
        <w:fldChar w:fldCharType="end"/>
      </w:r>
      <w:r w:rsidR="00942D6F">
        <w:t>).</w:t>
      </w:r>
      <w:r w:rsidR="00970271">
        <w:t xml:space="preserve"> The PBAC considered it was sufficiently conservative to assume </w:t>
      </w:r>
      <w:r w:rsidR="006E0FBE">
        <w:t xml:space="preserve">the levodopa dose as part of LECIG would be </w:t>
      </w:r>
      <w:r w:rsidR="006E0FBE" w:rsidRPr="00444CF1">
        <w:t>80%</w:t>
      </w:r>
      <w:r w:rsidR="006E0FBE">
        <w:t xml:space="preserve"> of that as part of LCIG</w:t>
      </w:r>
      <w:r w:rsidR="00970271">
        <w:t>.</w:t>
      </w:r>
      <w:r w:rsidR="00942D6F">
        <w:t xml:space="preserve"> </w:t>
      </w:r>
      <w:r w:rsidR="00626CD7">
        <w:t xml:space="preserve">As such, </w:t>
      </w:r>
      <w:bookmarkStart w:id="22" w:name="_Hlk172559670"/>
      <w:r w:rsidR="00626CD7">
        <w:rPr>
          <w:snapToGrid w:val="0"/>
        </w:rPr>
        <w:t>t</w:t>
      </w:r>
      <w:r w:rsidR="00275478" w:rsidRPr="00626CD7">
        <w:rPr>
          <w:snapToGrid w:val="0"/>
        </w:rPr>
        <w:t>he PBAC considered the following equi-effective dosing appropriate</w:t>
      </w:r>
      <w:r w:rsidR="00394F06">
        <w:rPr>
          <w:snapToGrid w:val="0"/>
        </w:rPr>
        <w:t xml:space="preserve"> for the CMA</w:t>
      </w:r>
      <w:r w:rsidR="00275478" w:rsidRPr="00626CD7">
        <w:rPr>
          <w:snapToGrid w:val="0"/>
        </w:rPr>
        <w:t>:</w:t>
      </w:r>
      <w:bookmarkEnd w:id="21"/>
    </w:p>
    <w:p w14:paraId="3C3A92CA" w14:textId="573C9BB2" w:rsidR="00275478" w:rsidRPr="00493C57" w:rsidRDefault="00275478" w:rsidP="00623172">
      <w:pPr>
        <w:pStyle w:val="ListParagraph"/>
        <w:numPr>
          <w:ilvl w:val="0"/>
          <w:numId w:val="2"/>
        </w:numPr>
        <w:jc w:val="both"/>
      </w:pPr>
      <w:r w:rsidRPr="008403BF">
        <w:t xml:space="preserve">1.7 </w:t>
      </w:r>
      <w:r w:rsidRPr="00493C57">
        <w:t>cartridge</w:t>
      </w:r>
      <w:r w:rsidR="00970271">
        <w:t>s</w:t>
      </w:r>
      <w:r w:rsidRPr="00493C57">
        <w:t xml:space="preserve"> of LECIG (each cartridge contains 47 mL with a total of 940 mg of levodopa)</w:t>
      </w:r>
      <w:r w:rsidR="00922653">
        <w:t xml:space="preserve"> per day</w:t>
      </w:r>
    </w:p>
    <w:p w14:paraId="2E1E2600" w14:textId="7F5B925F" w:rsidR="00275478" w:rsidRDefault="00275478" w:rsidP="00623172">
      <w:pPr>
        <w:pStyle w:val="3-BodyText"/>
        <w:numPr>
          <w:ilvl w:val="0"/>
          <w:numId w:val="2"/>
        </w:numPr>
        <w:rPr>
          <w:snapToGrid w:val="0"/>
        </w:rPr>
      </w:pPr>
      <w:r w:rsidRPr="008403BF">
        <w:rPr>
          <w:snapToGrid w:val="0"/>
        </w:rPr>
        <w:t>1.0</w:t>
      </w:r>
      <w:r>
        <w:rPr>
          <w:snapToGrid w:val="0"/>
        </w:rPr>
        <w:t xml:space="preserve"> cassette of LCIG (each cassette contains 100 mL with a total of 2,000 mg of levodopa)</w:t>
      </w:r>
      <w:r w:rsidR="00922653">
        <w:rPr>
          <w:snapToGrid w:val="0"/>
        </w:rPr>
        <w:t xml:space="preserve"> per day</w:t>
      </w:r>
      <w:r>
        <w:rPr>
          <w:snapToGrid w:val="0"/>
        </w:rPr>
        <w:t xml:space="preserve">. </w:t>
      </w:r>
    </w:p>
    <w:p w14:paraId="0BD296B8" w14:textId="3295C65A" w:rsidR="00E563C2" w:rsidRPr="00626CD7" w:rsidRDefault="00626CD7" w:rsidP="00626CD7">
      <w:pPr>
        <w:pStyle w:val="3-BodyText"/>
        <w:rPr>
          <w:snapToGrid w:val="0"/>
        </w:rPr>
      </w:pPr>
      <w:bookmarkStart w:id="23" w:name="_Ref190933151"/>
      <w:bookmarkEnd w:id="22"/>
      <w:r>
        <w:rPr>
          <w:snapToGrid w:val="0"/>
        </w:rPr>
        <w:t xml:space="preserve">The PBAC </w:t>
      </w:r>
      <w:r w:rsidR="00394F06">
        <w:rPr>
          <w:snapToGrid w:val="0"/>
        </w:rPr>
        <w:t xml:space="preserve">considered </w:t>
      </w:r>
      <w:r w:rsidR="00183635">
        <w:rPr>
          <w:snapToGrid w:val="0"/>
        </w:rPr>
        <w:t xml:space="preserve">the </w:t>
      </w:r>
      <w:r w:rsidR="00394F06">
        <w:rPr>
          <w:snapToGrid w:val="0"/>
        </w:rPr>
        <w:t xml:space="preserve">market share approached used to estimate the financial implications of listing LECIG </w:t>
      </w:r>
      <w:r w:rsidR="00183635">
        <w:rPr>
          <w:snapToGrid w:val="0"/>
        </w:rPr>
        <w:t xml:space="preserve">appropriate </w:t>
      </w:r>
      <w:proofErr w:type="gramStart"/>
      <w:r w:rsidR="00183635">
        <w:rPr>
          <w:snapToGrid w:val="0"/>
        </w:rPr>
        <w:t>with the exception of</w:t>
      </w:r>
      <w:proofErr w:type="gramEnd"/>
      <w:r w:rsidR="00183635">
        <w:rPr>
          <w:snapToGrid w:val="0"/>
        </w:rPr>
        <w:t xml:space="preserve"> the substitution rate. The PBAC considered the substitution rate should be updated to reflect the equi-effective dos</w:t>
      </w:r>
      <w:r w:rsidR="00706CB3">
        <w:rPr>
          <w:snapToGrid w:val="0"/>
        </w:rPr>
        <w:t>ing</w:t>
      </w:r>
      <w:r w:rsidR="00183635">
        <w:rPr>
          <w:snapToGrid w:val="0"/>
        </w:rPr>
        <w:t xml:space="preserve"> </w:t>
      </w:r>
      <w:r w:rsidR="006E0FBE">
        <w:rPr>
          <w:snapToGrid w:val="0"/>
        </w:rPr>
        <w:t xml:space="preserve">it </w:t>
      </w:r>
      <w:r w:rsidR="00183635">
        <w:rPr>
          <w:snapToGrid w:val="0"/>
        </w:rPr>
        <w:t>deemed appropriate</w:t>
      </w:r>
      <w:r w:rsidR="006E0FBE">
        <w:rPr>
          <w:snapToGrid w:val="0"/>
        </w:rPr>
        <w:t xml:space="preserve"> (paragraph </w:t>
      </w:r>
      <w:r w:rsidR="00FB4C90">
        <w:rPr>
          <w:snapToGrid w:val="0"/>
        </w:rPr>
        <w:fldChar w:fldCharType="begin" w:fldLock="1"/>
      </w:r>
      <w:r w:rsidR="00FB4C90">
        <w:rPr>
          <w:snapToGrid w:val="0"/>
        </w:rPr>
        <w:instrText xml:space="preserve"> REF _Ref172707707 \r \h </w:instrText>
      </w:r>
      <w:r w:rsidR="00FB4C90">
        <w:rPr>
          <w:snapToGrid w:val="0"/>
        </w:rPr>
      </w:r>
      <w:r w:rsidR="00FB4C90">
        <w:rPr>
          <w:snapToGrid w:val="0"/>
        </w:rPr>
        <w:fldChar w:fldCharType="separate"/>
      </w:r>
      <w:r w:rsidR="00FB4C90">
        <w:rPr>
          <w:snapToGrid w:val="0"/>
        </w:rPr>
        <w:t>5.8</w:t>
      </w:r>
      <w:r w:rsidR="00FB4C90">
        <w:rPr>
          <w:snapToGrid w:val="0"/>
        </w:rPr>
        <w:fldChar w:fldCharType="end"/>
      </w:r>
      <w:r w:rsidR="006E0FBE">
        <w:rPr>
          <w:snapToGrid w:val="0"/>
        </w:rPr>
        <w:t>)</w:t>
      </w:r>
      <w:r w:rsidR="000628B7">
        <w:rPr>
          <w:snapToGrid w:val="0"/>
        </w:rPr>
        <w:t>.</w:t>
      </w:r>
      <w:r w:rsidR="00394F06">
        <w:rPr>
          <w:snapToGrid w:val="0"/>
        </w:rPr>
        <w:t xml:space="preserve"> </w:t>
      </w:r>
      <w:r w:rsidR="00183635">
        <w:rPr>
          <w:snapToGrid w:val="0"/>
        </w:rPr>
        <w:t>In addition, t</w:t>
      </w:r>
      <w:r w:rsidR="00394F06">
        <w:rPr>
          <w:snapToGrid w:val="0"/>
        </w:rPr>
        <w:t xml:space="preserve">he PBAC advised that the financial estimates should be amended to account for the outcomes of the CMA outlined in paragraph </w:t>
      </w:r>
      <w:r w:rsidR="00394F06">
        <w:rPr>
          <w:snapToGrid w:val="0"/>
        </w:rPr>
        <w:fldChar w:fldCharType="begin" w:fldLock="1"/>
      </w:r>
      <w:r w:rsidR="00394F06">
        <w:rPr>
          <w:snapToGrid w:val="0"/>
        </w:rPr>
        <w:instrText xml:space="preserve"> REF _Ref172707707 \r \h </w:instrText>
      </w:r>
      <w:r w:rsidR="00394F06">
        <w:rPr>
          <w:snapToGrid w:val="0"/>
        </w:rPr>
      </w:r>
      <w:r w:rsidR="00394F06">
        <w:rPr>
          <w:snapToGrid w:val="0"/>
        </w:rPr>
        <w:fldChar w:fldCharType="separate"/>
      </w:r>
      <w:r w:rsidR="00FB4C90">
        <w:rPr>
          <w:snapToGrid w:val="0"/>
        </w:rPr>
        <w:t>5.8</w:t>
      </w:r>
      <w:r w:rsidR="00394F06">
        <w:rPr>
          <w:snapToGrid w:val="0"/>
        </w:rPr>
        <w:fldChar w:fldCharType="end"/>
      </w:r>
      <w:r w:rsidR="00394F06">
        <w:rPr>
          <w:snapToGrid w:val="0"/>
        </w:rPr>
        <w:t xml:space="preserve">. </w:t>
      </w:r>
      <w:r w:rsidR="00183635">
        <w:rPr>
          <w:snapToGrid w:val="0"/>
        </w:rPr>
        <w:t>T</w:t>
      </w:r>
      <w:r w:rsidR="00394F06">
        <w:rPr>
          <w:snapToGrid w:val="0"/>
        </w:rPr>
        <w:t xml:space="preserve">he PBAC </w:t>
      </w:r>
      <w:r w:rsidR="00183635">
        <w:rPr>
          <w:snapToGrid w:val="0"/>
        </w:rPr>
        <w:t xml:space="preserve">also </w:t>
      </w:r>
      <w:r w:rsidR="00B1572A">
        <w:rPr>
          <w:snapToGrid w:val="0"/>
        </w:rPr>
        <w:t xml:space="preserve">requested that the Drug Utilisation Sub Committee undertake a utilisation analysis at an appropriate </w:t>
      </w:r>
      <w:proofErr w:type="gramStart"/>
      <w:r w:rsidR="00B1572A">
        <w:rPr>
          <w:snapToGrid w:val="0"/>
        </w:rPr>
        <w:t>time period</w:t>
      </w:r>
      <w:proofErr w:type="gramEnd"/>
      <w:r w:rsidR="00183635">
        <w:rPr>
          <w:snapToGrid w:val="0"/>
        </w:rPr>
        <w:t xml:space="preserve"> to</w:t>
      </w:r>
      <w:r w:rsidR="00B1572A">
        <w:rPr>
          <w:snapToGrid w:val="0"/>
        </w:rPr>
        <w:t xml:space="preserve"> review</w:t>
      </w:r>
      <w:r w:rsidR="00183635">
        <w:rPr>
          <w:snapToGrid w:val="0"/>
        </w:rPr>
        <w:t xml:space="preserve"> use of LECIG and LCIG.</w:t>
      </w:r>
      <w:bookmarkEnd w:id="23"/>
    </w:p>
    <w:p w14:paraId="54078C69" w14:textId="0E8FA7CE" w:rsidR="00E563C2" w:rsidRPr="00275478" w:rsidRDefault="00275478" w:rsidP="00C459F9">
      <w:pPr>
        <w:pStyle w:val="3-BodyText"/>
        <w:keepLines/>
      </w:pPr>
      <w:bookmarkStart w:id="24" w:name="_Ref190933164"/>
      <w:r>
        <w:rPr>
          <w:snapToGrid w:val="0"/>
        </w:rPr>
        <w:lastRenderedPageBreak/>
        <w:t xml:space="preserve">The PBAC noted that </w:t>
      </w:r>
      <w:r>
        <w:t>LCIG is currently under a Risk Sharing Arrangement with annual financial caps and recommended that LECIG be included in the same arrangement with no increase in the financial caps.</w:t>
      </w:r>
      <w:bookmarkEnd w:id="24"/>
      <w:r>
        <w:t xml:space="preserve"> </w:t>
      </w:r>
    </w:p>
    <w:p w14:paraId="50394C5C" w14:textId="2FC787FF" w:rsidR="00E563C2" w:rsidRPr="00E563C2" w:rsidRDefault="00E563C2" w:rsidP="00E563C2">
      <w:pPr>
        <w:pStyle w:val="3-BodyText"/>
        <w:rPr>
          <w:snapToGrid w:val="0"/>
        </w:rPr>
      </w:pPr>
      <w:r w:rsidRPr="00E563C2">
        <w:rPr>
          <w:snapToGrid w:val="0"/>
        </w:rPr>
        <w:t xml:space="preserve">The PBAC recommended that </w:t>
      </w:r>
      <w:r>
        <w:rPr>
          <w:snapToGrid w:val="0"/>
        </w:rPr>
        <w:t>LECIG</w:t>
      </w:r>
      <w:r w:rsidRPr="00E563C2">
        <w:rPr>
          <w:snapToGrid w:val="0"/>
        </w:rPr>
        <w:t xml:space="preserve"> should not be treated as interchangeable with any drugs. </w:t>
      </w:r>
    </w:p>
    <w:p w14:paraId="41333479" w14:textId="08636621" w:rsidR="00E563C2" w:rsidRPr="00E563C2" w:rsidRDefault="00E563C2" w:rsidP="00E563C2">
      <w:pPr>
        <w:pStyle w:val="3-BodyText"/>
        <w:rPr>
          <w:snapToGrid w:val="0"/>
        </w:rPr>
      </w:pPr>
      <w:r w:rsidRPr="00E563C2">
        <w:rPr>
          <w:snapToGrid w:val="0"/>
        </w:rPr>
        <w:t xml:space="preserve">The PBAC advised that </w:t>
      </w:r>
      <w:r>
        <w:rPr>
          <w:snapToGrid w:val="0"/>
        </w:rPr>
        <w:t>LECIG</w:t>
      </w:r>
      <w:r w:rsidRPr="00E563C2">
        <w:rPr>
          <w:snapToGrid w:val="0"/>
        </w:rPr>
        <w:t xml:space="preserve"> is suitable for prescribing by nurse practitioners</w:t>
      </w:r>
      <w:r w:rsidR="00205C6F">
        <w:rPr>
          <w:snapToGrid w:val="0"/>
        </w:rPr>
        <w:t xml:space="preserve"> for maintenance therapy.</w:t>
      </w:r>
    </w:p>
    <w:p w14:paraId="6470D1A2" w14:textId="77777777" w:rsidR="00E563C2" w:rsidRPr="00E563C2" w:rsidRDefault="00E563C2" w:rsidP="00E563C2">
      <w:pPr>
        <w:pStyle w:val="3-BodyText"/>
        <w:rPr>
          <w:snapToGrid w:val="0"/>
        </w:rPr>
      </w:pPr>
      <w:r w:rsidRPr="00E563C2">
        <w:rPr>
          <w:snapToGrid w:val="0"/>
        </w:rPr>
        <w:t>The PBAC recommended that the Early Supply Rule should not apply.</w:t>
      </w:r>
    </w:p>
    <w:p w14:paraId="156AF27F" w14:textId="722B6DF3" w:rsidR="00E563C2" w:rsidRPr="00E563C2" w:rsidRDefault="00E563C2" w:rsidP="00C459F9">
      <w:pPr>
        <w:pStyle w:val="3-BodyText"/>
        <w:rPr>
          <w:snapToGrid w:val="0"/>
        </w:rPr>
      </w:pPr>
      <w:r w:rsidRPr="00E563C2">
        <w:rPr>
          <w:snapToGrid w:val="0"/>
        </w:rPr>
        <w:t xml:space="preserve">The PBAC noted that its recommendation was on a cost-minimisation basis and advised that, because </w:t>
      </w:r>
      <w:r>
        <w:rPr>
          <w:snapToGrid w:val="0"/>
        </w:rPr>
        <w:t>LECIG</w:t>
      </w:r>
      <w:r w:rsidRPr="00E563C2">
        <w:rPr>
          <w:snapToGrid w:val="0"/>
        </w:rPr>
        <w:t xml:space="preserve"> is not expected to provide a substantial and clinically relevant improvement in efficacy, or reduction of toxicity, over </w:t>
      </w:r>
      <w:r>
        <w:rPr>
          <w:snapToGrid w:val="0"/>
        </w:rPr>
        <w:t>LCIG</w:t>
      </w:r>
      <w:r w:rsidRPr="00E563C2">
        <w:rPr>
          <w:snapToGrid w:val="0"/>
        </w:rPr>
        <w:t xml:space="preserve">, or not expected to address a high and urgent unmet clinical need given the presence of an alternative therapy, the criteria prescribed by the </w:t>
      </w:r>
      <w:r w:rsidRPr="00623172">
        <w:rPr>
          <w:i/>
          <w:iCs/>
          <w:snapToGrid w:val="0"/>
        </w:rPr>
        <w:t>National Health (Pharmaceuticals and Vaccines – Cost Recovery) Regulations 2022</w:t>
      </w:r>
      <w:r w:rsidRPr="00E563C2">
        <w:rPr>
          <w:snapToGrid w:val="0"/>
        </w:rPr>
        <w:t xml:space="preserve"> for Pricing Pathway A were not met.</w:t>
      </w:r>
    </w:p>
    <w:p w14:paraId="07B8B7E7" w14:textId="0B6B107E" w:rsidR="00D04DB4" w:rsidRPr="00E563C2" w:rsidRDefault="00E563C2" w:rsidP="00E563C2">
      <w:pPr>
        <w:pStyle w:val="3-BodyText"/>
        <w:rPr>
          <w:snapToGrid w:val="0"/>
        </w:rPr>
      </w:pPr>
      <w:r>
        <w:rPr>
          <w:snapToGrid w:val="0"/>
        </w:rPr>
        <w:t xml:space="preserve">The PBAC noted that this submission is not eligible for an Independent Review as it received a positive recommendation. </w:t>
      </w:r>
    </w:p>
    <w:p w14:paraId="3866DCD4" w14:textId="77777777" w:rsidR="00D04DB4" w:rsidRPr="00D04DB4" w:rsidRDefault="00D04DB4" w:rsidP="00D04DB4">
      <w:pPr>
        <w:spacing w:before="240"/>
        <w:rPr>
          <w:rFonts w:asciiTheme="minorHAnsi" w:hAnsiTheme="minorHAnsi" w:cs="Arial"/>
          <w:b/>
          <w:bCs/>
          <w:snapToGrid w:val="0"/>
          <w:lang w:val="en-GB" w:eastAsia="en-US"/>
        </w:rPr>
      </w:pPr>
      <w:r w:rsidRPr="00D04DB4">
        <w:rPr>
          <w:rFonts w:asciiTheme="minorHAnsi" w:hAnsiTheme="minorHAnsi" w:cs="Arial"/>
          <w:b/>
          <w:bCs/>
          <w:snapToGrid w:val="0"/>
          <w:lang w:val="en-GB" w:eastAsia="en-US"/>
        </w:rPr>
        <w:t>Outcome:</w:t>
      </w:r>
    </w:p>
    <w:p w14:paraId="772E036B" w14:textId="5CEB165B" w:rsidR="00D04DB4" w:rsidRPr="00C459F9" w:rsidRDefault="00D04DB4" w:rsidP="00C459F9">
      <w:pPr>
        <w:spacing w:after="120"/>
        <w:rPr>
          <w:rFonts w:asciiTheme="minorHAnsi" w:hAnsiTheme="minorHAnsi" w:cs="Arial"/>
          <w:bCs/>
          <w:snapToGrid w:val="0"/>
          <w:lang w:val="en-GB" w:eastAsia="en-US"/>
        </w:rPr>
      </w:pPr>
      <w:r w:rsidRPr="00D04DB4">
        <w:rPr>
          <w:rFonts w:asciiTheme="minorHAnsi" w:hAnsiTheme="minorHAnsi" w:cs="Arial"/>
          <w:bCs/>
          <w:snapToGrid w:val="0"/>
          <w:lang w:val="en-GB" w:eastAsia="en-US"/>
        </w:rPr>
        <w:t>Recommended</w:t>
      </w:r>
    </w:p>
    <w:bookmarkEnd w:id="19"/>
    <w:p w14:paraId="419064B8" w14:textId="77777777" w:rsidR="00D04DB4" w:rsidRPr="00275478" w:rsidRDefault="00D04DB4" w:rsidP="00275478">
      <w:pPr>
        <w:pStyle w:val="2-SectionHeading"/>
      </w:pPr>
      <w:r w:rsidRPr="00275478">
        <w:t>Recommended listing</w:t>
      </w:r>
    </w:p>
    <w:p w14:paraId="3AD538E2" w14:textId="5815D1A0" w:rsidR="00D04DB4" w:rsidRPr="00981B72" w:rsidRDefault="00D04DB4" w:rsidP="00981B72">
      <w:pPr>
        <w:pStyle w:val="3-BodyText"/>
        <w:rPr>
          <w:rFonts w:cs="Arial"/>
          <w:bCs/>
          <w:snapToGrid w:val="0"/>
          <w:lang w:eastAsia="en-US"/>
        </w:rPr>
      </w:pPr>
      <w:r w:rsidRPr="00D04DB4">
        <w:rPr>
          <w:rFonts w:cs="Arial"/>
          <w:bCs/>
          <w:snapToGrid w:val="0"/>
          <w:lang w:eastAsia="en-US"/>
        </w:rPr>
        <w:t>Add new item:</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40"/>
        <w:gridCol w:w="1979"/>
        <w:gridCol w:w="1701"/>
        <w:gridCol w:w="850"/>
        <w:gridCol w:w="851"/>
        <w:gridCol w:w="849"/>
        <w:gridCol w:w="1509"/>
      </w:tblGrid>
      <w:tr w:rsidR="006770B5" w:rsidRPr="001C05C6" w14:paraId="35DD2D6D" w14:textId="77777777" w:rsidTr="006770B5">
        <w:trPr>
          <w:cantSplit/>
          <w:trHeight w:val="20"/>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735297E3" w14:textId="77777777" w:rsidR="006770B5" w:rsidRPr="001C05C6" w:rsidRDefault="006770B5" w:rsidP="00623172">
            <w:pPr>
              <w:rPr>
                <w:rFonts w:ascii="Arial Narrow" w:hAnsi="Arial Narrow"/>
                <w:b/>
                <w:bCs/>
                <w:iCs/>
                <w:sz w:val="20"/>
                <w:szCs w:val="20"/>
              </w:rPr>
            </w:pPr>
            <w:r w:rsidRPr="001C05C6">
              <w:rPr>
                <w:rFonts w:ascii="Arial Narrow" w:hAnsi="Arial Narrow"/>
                <w:b/>
                <w:bCs/>
                <w:iCs/>
                <w:sz w:val="20"/>
                <w:szCs w:val="20"/>
              </w:rPr>
              <w:t>MEDICINAL PRODUCT</w:t>
            </w:r>
          </w:p>
          <w:p w14:paraId="4299E7C2" w14:textId="77777777" w:rsidR="006770B5" w:rsidRPr="001C05C6" w:rsidRDefault="006770B5" w:rsidP="00623172">
            <w:pPr>
              <w:rPr>
                <w:rFonts w:ascii="Arial Narrow" w:hAnsi="Arial Narrow"/>
                <w:b/>
                <w:iCs/>
                <w:sz w:val="20"/>
                <w:szCs w:val="20"/>
              </w:rPr>
            </w:pPr>
            <w:r w:rsidRPr="001C05C6">
              <w:rPr>
                <w:rFonts w:ascii="Arial Narrow" w:hAnsi="Arial Narrow"/>
                <w:b/>
                <w:bCs/>
                <w:iCs/>
                <w:sz w:val="20"/>
                <w:szCs w:val="20"/>
              </w:rPr>
              <w:t>medicinal product pack</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5CE6E7" w14:textId="77777777" w:rsidR="006770B5" w:rsidRPr="001C05C6" w:rsidRDefault="006770B5" w:rsidP="00623172">
            <w:pPr>
              <w:jc w:val="center"/>
              <w:rPr>
                <w:rFonts w:ascii="Arial Narrow" w:hAnsi="Arial Narrow"/>
                <w:b/>
                <w:iCs/>
                <w:sz w:val="20"/>
                <w:szCs w:val="20"/>
              </w:rPr>
            </w:pPr>
            <w:r w:rsidRPr="001C05C6">
              <w:rPr>
                <w:rFonts w:ascii="Arial Narrow" w:hAnsi="Arial Narrow"/>
                <w:b/>
                <w:iCs/>
                <w:sz w:val="20"/>
                <w:szCs w:val="20"/>
              </w:rPr>
              <w:t>PBS item code</w:t>
            </w:r>
          </w:p>
        </w:tc>
        <w:tc>
          <w:tcPr>
            <w:tcW w:w="850" w:type="dxa"/>
            <w:tcBorders>
              <w:top w:val="single" w:sz="4" w:space="0" w:color="auto"/>
              <w:left w:val="single" w:sz="4" w:space="0" w:color="auto"/>
              <w:bottom w:val="single" w:sz="4" w:space="0" w:color="auto"/>
              <w:right w:val="single" w:sz="4" w:space="0" w:color="auto"/>
            </w:tcBorders>
            <w:vAlign w:val="center"/>
          </w:tcPr>
          <w:p w14:paraId="0A5571BC" w14:textId="77777777" w:rsidR="006770B5" w:rsidRPr="001C05C6" w:rsidRDefault="006770B5" w:rsidP="00623172">
            <w:pPr>
              <w:jc w:val="center"/>
              <w:rPr>
                <w:rFonts w:ascii="Arial Narrow" w:hAnsi="Arial Narrow"/>
                <w:b/>
                <w:iCs/>
                <w:sz w:val="20"/>
                <w:szCs w:val="20"/>
              </w:rPr>
            </w:pPr>
            <w:r w:rsidRPr="001C05C6">
              <w:rPr>
                <w:rFonts w:ascii="Arial Narrow" w:hAnsi="Arial Narrow"/>
                <w:b/>
                <w:iCs/>
                <w:sz w:val="20"/>
                <w:szCs w:val="20"/>
              </w:rPr>
              <w:t>Max. qty packs</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F8E270" w14:textId="77777777" w:rsidR="006770B5" w:rsidRPr="001C05C6" w:rsidRDefault="006770B5" w:rsidP="00623172">
            <w:pPr>
              <w:jc w:val="center"/>
              <w:rPr>
                <w:rFonts w:ascii="Arial Narrow" w:hAnsi="Arial Narrow"/>
                <w:b/>
                <w:iCs/>
                <w:sz w:val="20"/>
                <w:szCs w:val="20"/>
              </w:rPr>
            </w:pPr>
            <w:r w:rsidRPr="001C05C6">
              <w:rPr>
                <w:rFonts w:ascii="Arial Narrow" w:hAnsi="Arial Narrow"/>
                <w:b/>
                <w:iCs/>
                <w:sz w:val="20"/>
                <w:szCs w:val="20"/>
              </w:rPr>
              <w:t>Max. qty units</w:t>
            </w:r>
          </w:p>
        </w:tc>
        <w:tc>
          <w:tcPr>
            <w:tcW w:w="849" w:type="dxa"/>
            <w:tcBorders>
              <w:top w:val="single" w:sz="4" w:space="0" w:color="auto"/>
              <w:left w:val="single" w:sz="4" w:space="0" w:color="auto"/>
              <w:bottom w:val="single" w:sz="4" w:space="0" w:color="auto"/>
              <w:right w:val="single" w:sz="4" w:space="0" w:color="auto"/>
            </w:tcBorders>
            <w:vAlign w:val="center"/>
            <w:hideMark/>
          </w:tcPr>
          <w:p w14:paraId="09138B74" w14:textId="77777777" w:rsidR="006770B5" w:rsidRPr="001C05C6" w:rsidRDefault="006770B5" w:rsidP="00623172">
            <w:pPr>
              <w:jc w:val="center"/>
              <w:rPr>
                <w:rFonts w:ascii="Arial Narrow" w:hAnsi="Arial Narrow"/>
                <w:b/>
                <w:iCs/>
                <w:sz w:val="20"/>
                <w:szCs w:val="20"/>
              </w:rPr>
            </w:pPr>
            <w:r w:rsidRPr="001C05C6">
              <w:rPr>
                <w:rFonts w:ascii="Arial Narrow" w:hAnsi="Arial Narrow"/>
                <w:b/>
                <w:iCs/>
                <w:sz w:val="20"/>
                <w:szCs w:val="20"/>
              </w:rPr>
              <w:t>№.of</w:t>
            </w:r>
          </w:p>
          <w:p w14:paraId="4DD98D6C" w14:textId="77777777" w:rsidR="006770B5" w:rsidRPr="001C05C6" w:rsidRDefault="006770B5" w:rsidP="00623172">
            <w:pPr>
              <w:jc w:val="center"/>
              <w:rPr>
                <w:rFonts w:ascii="Arial Narrow" w:hAnsi="Arial Narrow"/>
                <w:b/>
                <w:iCs/>
                <w:sz w:val="20"/>
                <w:szCs w:val="20"/>
              </w:rPr>
            </w:pPr>
            <w:r w:rsidRPr="001C05C6">
              <w:rPr>
                <w:rFonts w:ascii="Arial Narrow" w:hAnsi="Arial Narrow"/>
                <w:b/>
                <w:iCs/>
                <w:sz w:val="20"/>
                <w:szCs w:val="20"/>
              </w:rPr>
              <w:t>Rpts</w:t>
            </w:r>
          </w:p>
        </w:tc>
        <w:tc>
          <w:tcPr>
            <w:tcW w:w="1509" w:type="dxa"/>
            <w:tcBorders>
              <w:top w:val="single" w:sz="4" w:space="0" w:color="auto"/>
              <w:left w:val="single" w:sz="4" w:space="0" w:color="auto"/>
              <w:bottom w:val="single" w:sz="4" w:space="0" w:color="auto"/>
              <w:right w:val="single" w:sz="4" w:space="0" w:color="auto"/>
            </w:tcBorders>
            <w:vAlign w:val="center"/>
            <w:hideMark/>
          </w:tcPr>
          <w:p w14:paraId="2E134F7D" w14:textId="4E751732" w:rsidR="006770B5" w:rsidRPr="007F0649" w:rsidRDefault="006770B5" w:rsidP="00623172">
            <w:pPr>
              <w:rPr>
                <w:rFonts w:ascii="Arial Narrow" w:hAnsi="Arial Narrow"/>
                <w:b/>
                <w:iCs/>
                <w:sz w:val="20"/>
                <w:szCs w:val="20"/>
              </w:rPr>
            </w:pPr>
            <w:r w:rsidRPr="001C05C6">
              <w:rPr>
                <w:rFonts w:ascii="Arial Narrow" w:hAnsi="Arial Narrow"/>
                <w:b/>
                <w:iCs/>
                <w:sz w:val="20"/>
                <w:szCs w:val="20"/>
              </w:rPr>
              <w:t>Available brands</w:t>
            </w:r>
            <w:r>
              <w:rPr>
                <w:rFonts w:ascii="Arial Narrow" w:hAnsi="Arial Narrow"/>
                <w:b/>
                <w:iCs/>
                <w:sz w:val="20"/>
                <w:szCs w:val="20"/>
              </w:rPr>
              <w:t>/ Manufacturer</w:t>
            </w:r>
          </w:p>
        </w:tc>
      </w:tr>
      <w:tr w:rsidR="009A5A5C" w:rsidRPr="001C05C6" w14:paraId="70317244" w14:textId="77777777" w:rsidTr="008B3C91">
        <w:trPr>
          <w:cantSplit/>
          <w:trHeight w:val="20"/>
        </w:trPr>
        <w:tc>
          <w:tcPr>
            <w:tcW w:w="9016" w:type="dxa"/>
            <w:gridSpan w:val="8"/>
            <w:tcBorders>
              <w:top w:val="single" w:sz="4" w:space="0" w:color="auto"/>
              <w:left w:val="single" w:sz="4" w:space="0" w:color="auto"/>
              <w:bottom w:val="single" w:sz="4" w:space="0" w:color="auto"/>
              <w:right w:val="single" w:sz="4" w:space="0" w:color="auto"/>
            </w:tcBorders>
            <w:vAlign w:val="center"/>
            <w:hideMark/>
          </w:tcPr>
          <w:p w14:paraId="01247F3A" w14:textId="77777777" w:rsidR="009A5A5C" w:rsidRPr="001C05C6" w:rsidRDefault="009A5A5C" w:rsidP="00623172">
            <w:pPr>
              <w:rPr>
                <w:rFonts w:ascii="Arial Narrow" w:hAnsi="Arial Narrow"/>
                <w:iCs/>
                <w:sz w:val="20"/>
                <w:szCs w:val="20"/>
              </w:rPr>
            </w:pPr>
            <w:r w:rsidRPr="001C05C6">
              <w:rPr>
                <w:rFonts w:ascii="Arial Narrow" w:hAnsi="Arial Narrow"/>
                <w:iCs/>
                <w:sz w:val="20"/>
                <w:szCs w:val="20"/>
              </w:rPr>
              <w:t>LEVODOPA + CARBIDOPA + ENTACAPONE</w:t>
            </w:r>
          </w:p>
        </w:tc>
      </w:tr>
      <w:tr w:rsidR="006770B5" w:rsidRPr="001C05C6" w14:paraId="064DA53C" w14:textId="77777777" w:rsidTr="006770B5">
        <w:trPr>
          <w:cantSplit/>
          <w:trHeight w:val="20"/>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33F97C43" w14:textId="77777777" w:rsidR="006770B5" w:rsidRPr="006B6F1D" w:rsidRDefault="006770B5" w:rsidP="00623172">
            <w:pPr>
              <w:rPr>
                <w:rFonts w:ascii="Arial Narrow" w:hAnsi="Arial Narrow"/>
                <w:iCs/>
                <w:strike/>
                <w:sz w:val="20"/>
                <w:szCs w:val="20"/>
              </w:rPr>
            </w:pPr>
            <w:r w:rsidRPr="006B6F1D">
              <w:rPr>
                <w:rFonts w:ascii="Arial Narrow" w:hAnsi="Arial Narrow"/>
                <w:iCs/>
                <w:sz w:val="20"/>
                <w:szCs w:val="20"/>
              </w:rPr>
              <w:t>levodopa 20 mg/mL + carbidopa monohydrate 5 mg/mL + entacapone 20 mg/mL intestinal gel, 7 x 47 mL cartridges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20E864" w14:textId="77777777" w:rsidR="006770B5" w:rsidRPr="006B6F1D" w:rsidRDefault="006770B5" w:rsidP="00623172">
            <w:pPr>
              <w:jc w:val="center"/>
              <w:rPr>
                <w:rFonts w:ascii="Arial Narrow" w:hAnsi="Arial Narrow"/>
                <w:iCs/>
                <w:sz w:val="20"/>
                <w:szCs w:val="20"/>
              </w:rPr>
            </w:pPr>
            <w:r w:rsidRPr="006B6F1D">
              <w:rPr>
                <w:rFonts w:ascii="Arial Narrow" w:hAnsi="Arial Narrow"/>
                <w:iCs/>
                <w:sz w:val="20"/>
                <w:szCs w:val="20"/>
              </w:rPr>
              <w:t xml:space="preserve">NEW (HSD Public) </w:t>
            </w:r>
          </w:p>
          <w:p w14:paraId="5A7FF3D5" w14:textId="77777777" w:rsidR="006770B5" w:rsidRPr="001C05C6" w:rsidRDefault="006770B5" w:rsidP="00623172">
            <w:pPr>
              <w:jc w:val="center"/>
              <w:rPr>
                <w:rFonts w:ascii="Arial Narrow" w:hAnsi="Arial Narrow"/>
                <w:i/>
                <w:sz w:val="20"/>
                <w:szCs w:val="20"/>
              </w:rPr>
            </w:pPr>
            <w:r w:rsidRPr="006B6F1D">
              <w:rPr>
                <w:rFonts w:ascii="Arial Narrow" w:hAnsi="Arial Narrow"/>
                <w:iCs/>
                <w:sz w:val="20"/>
                <w:szCs w:val="20"/>
              </w:rPr>
              <w:t>NEW (HSD Private)</w:t>
            </w:r>
          </w:p>
        </w:tc>
        <w:tc>
          <w:tcPr>
            <w:tcW w:w="850" w:type="dxa"/>
            <w:tcBorders>
              <w:top w:val="single" w:sz="4" w:space="0" w:color="auto"/>
              <w:left w:val="single" w:sz="4" w:space="0" w:color="auto"/>
              <w:bottom w:val="single" w:sz="4" w:space="0" w:color="auto"/>
              <w:right w:val="single" w:sz="4" w:space="0" w:color="auto"/>
            </w:tcBorders>
            <w:vAlign w:val="center"/>
          </w:tcPr>
          <w:p w14:paraId="54AA3D11" w14:textId="77777777" w:rsidR="006770B5" w:rsidRPr="001C05C6" w:rsidRDefault="006770B5" w:rsidP="00623172">
            <w:pPr>
              <w:jc w:val="center"/>
              <w:rPr>
                <w:rFonts w:ascii="Arial Narrow" w:hAnsi="Arial Narrow"/>
                <w:iCs/>
                <w:sz w:val="20"/>
                <w:szCs w:val="20"/>
              </w:rPr>
            </w:pPr>
            <w:r w:rsidRPr="001C05C6">
              <w:rPr>
                <w:rFonts w:ascii="Arial Narrow" w:hAnsi="Arial Narrow"/>
                <w:iCs/>
                <w:sz w:val="20"/>
                <w:szCs w:val="20"/>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F59696" w14:textId="77777777" w:rsidR="006770B5" w:rsidRPr="001C05C6" w:rsidRDefault="006770B5" w:rsidP="00623172">
            <w:pPr>
              <w:jc w:val="center"/>
              <w:rPr>
                <w:rFonts w:ascii="Arial Narrow" w:hAnsi="Arial Narrow"/>
                <w:iCs/>
                <w:sz w:val="20"/>
                <w:szCs w:val="20"/>
              </w:rPr>
            </w:pPr>
            <w:r w:rsidRPr="001C05C6">
              <w:rPr>
                <w:rFonts w:ascii="Arial Narrow" w:hAnsi="Arial Narrow"/>
                <w:iCs/>
                <w:sz w:val="20"/>
                <w:szCs w:val="20"/>
              </w:rPr>
              <w:t xml:space="preserve">28 </w:t>
            </w:r>
          </w:p>
        </w:tc>
        <w:tc>
          <w:tcPr>
            <w:tcW w:w="849" w:type="dxa"/>
            <w:tcBorders>
              <w:top w:val="single" w:sz="4" w:space="0" w:color="auto"/>
              <w:left w:val="single" w:sz="4" w:space="0" w:color="auto"/>
              <w:bottom w:val="single" w:sz="4" w:space="0" w:color="auto"/>
              <w:right w:val="single" w:sz="4" w:space="0" w:color="auto"/>
            </w:tcBorders>
            <w:vAlign w:val="center"/>
            <w:hideMark/>
          </w:tcPr>
          <w:p w14:paraId="659EB110" w14:textId="77777777" w:rsidR="006770B5" w:rsidRPr="001C05C6" w:rsidRDefault="006770B5" w:rsidP="00623172">
            <w:pPr>
              <w:jc w:val="center"/>
              <w:rPr>
                <w:rFonts w:ascii="Arial Narrow" w:hAnsi="Arial Narrow"/>
                <w:iCs/>
                <w:sz w:val="20"/>
                <w:szCs w:val="20"/>
              </w:rPr>
            </w:pPr>
            <w:r w:rsidRPr="001C05C6">
              <w:rPr>
                <w:rFonts w:ascii="Arial Narrow" w:hAnsi="Arial Narrow"/>
                <w:iCs/>
                <w:sz w:val="20"/>
                <w:szCs w:val="20"/>
              </w:rPr>
              <w:t>5</w:t>
            </w:r>
          </w:p>
        </w:tc>
        <w:tc>
          <w:tcPr>
            <w:tcW w:w="1509" w:type="dxa"/>
            <w:tcBorders>
              <w:top w:val="single" w:sz="4" w:space="0" w:color="auto"/>
              <w:left w:val="single" w:sz="4" w:space="0" w:color="auto"/>
              <w:bottom w:val="single" w:sz="4" w:space="0" w:color="auto"/>
              <w:right w:val="single" w:sz="4" w:space="0" w:color="auto"/>
            </w:tcBorders>
            <w:vAlign w:val="center"/>
            <w:hideMark/>
          </w:tcPr>
          <w:p w14:paraId="13FB91F9" w14:textId="77777777" w:rsidR="006770B5" w:rsidRPr="001C05C6" w:rsidRDefault="006770B5" w:rsidP="00623172">
            <w:pPr>
              <w:rPr>
                <w:rFonts w:ascii="Arial Narrow" w:hAnsi="Arial Narrow"/>
                <w:iCs/>
                <w:sz w:val="20"/>
                <w:szCs w:val="20"/>
              </w:rPr>
            </w:pPr>
            <w:proofErr w:type="spellStart"/>
            <w:r w:rsidRPr="001C05C6">
              <w:rPr>
                <w:rFonts w:ascii="Arial Narrow" w:hAnsi="Arial Narrow"/>
                <w:iCs/>
                <w:sz w:val="20"/>
                <w:szCs w:val="20"/>
              </w:rPr>
              <w:t>Lecigon</w:t>
            </w:r>
            <w:proofErr w:type="spellEnd"/>
            <w:r w:rsidRPr="001C05C6">
              <w:rPr>
                <w:rFonts w:ascii="Arial Narrow" w:hAnsi="Arial Narrow"/>
                <w:iCs/>
                <w:sz w:val="20"/>
                <w:szCs w:val="20"/>
              </w:rPr>
              <w:t xml:space="preserve"> /</w:t>
            </w:r>
          </w:p>
          <w:p w14:paraId="351BCB29" w14:textId="77777777" w:rsidR="006770B5" w:rsidRPr="001C05C6" w:rsidRDefault="006770B5" w:rsidP="00623172">
            <w:pPr>
              <w:rPr>
                <w:rFonts w:ascii="Arial Narrow" w:hAnsi="Arial Narrow"/>
                <w:iCs/>
                <w:sz w:val="20"/>
                <w:szCs w:val="20"/>
              </w:rPr>
            </w:pPr>
            <w:r w:rsidRPr="001C05C6">
              <w:rPr>
                <w:rFonts w:ascii="Arial Narrow" w:hAnsi="Arial Narrow"/>
                <w:iCs/>
                <w:color w:val="333333"/>
                <w:sz w:val="20"/>
                <w:szCs w:val="20"/>
              </w:rPr>
              <w:t>STADA Pharmaceuticals Australia Pty Ltd</w:t>
            </w:r>
          </w:p>
        </w:tc>
      </w:tr>
      <w:tr w:rsidR="009A5A5C" w:rsidRPr="001C05C6" w14:paraId="0D450F3D" w14:textId="77777777" w:rsidTr="008B3C91">
        <w:trPr>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C8B142" w14:textId="77777777" w:rsidR="009A5A5C" w:rsidRPr="001C05C6" w:rsidRDefault="009A5A5C" w:rsidP="00623172">
            <w:pPr>
              <w:rPr>
                <w:rFonts w:ascii="Arial Narrow" w:hAnsi="Arial Narrow"/>
                <w:i/>
                <w:sz w:val="20"/>
                <w:szCs w:val="20"/>
              </w:rPr>
            </w:pPr>
          </w:p>
        </w:tc>
      </w:tr>
      <w:tr w:rsidR="009A5A5C" w:rsidRPr="001C05C6" w14:paraId="4B357F43" w14:textId="77777777" w:rsidTr="008B3C91">
        <w:trPr>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665E1E" w14:textId="77777777" w:rsidR="009A5A5C" w:rsidRPr="006B6F1D" w:rsidRDefault="009A5A5C" w:rsidP="00623172">
            <w:pPr>
              <w:rPr>
                <w:rFonts w:ascii="Arial Narrow" w:hAnsi="Arial Narrow"/>
                <w:b/>
                <w:iCs/>
                <w:sz w:val="20"/>
                <w:szCs w:val="20"/>
              </w:rPr>
            </w:pPr>
            <w:r w:rsidRPr="006B6F1D">
              <w:rPr>
                <w:rFonts w:ascii="Arial Narrow" w:hAnsi="Arial Narrow"/>
                <w:b/>
                <w:iCs/>
                <w:sz w:val="20"/>
                <w:szCs w:val="20"/>
              </w:rPr>
              <w:t>Variant of Restriction Summary 10138/10161 / ToC: 10138/10161: Authority Required: Streamlined</w:t>
            </w:r>
          </w:p>
        </w:tc>
      </w:tr>
      <w:tr w:rsidR="009A5A5C" w:rsidRPr="001C05C6" w14:paraId="2984B595" w14:textId="77777777" w:rsidTr="008B3C91">
        <w:trPr>
          <w:trHeight w:val="20"/>
        </w:trPr>
        <w:tc>
          <w:tcPr>
            <w:tcW w:w="1277" w:type="dxa"/>
            <w:gridSpan w:val="2"/>
            <w:vMerge w:val="restart"/>
            <w:tcBorders>
              <w:top w:val="single" w:sz="4" w:space="0" w:color="auto"/>
              <w:left w:val="single" w:sz="4" w:space="0" w:color="auto"/>
              <w:right w:val="single" w:sz="4" w:space="0" w:color="auto"/>
            </w:tcBorders>
            <w:tcMar>
              <w:top w:w="15" w:type="dxa"/>
              <w:left w:w="108" w:type="dxa"/>
              <w:bottom w:w="15" w:type="dxa"/>
              <w:right w:w="108" w:type="dxa"/>
            </w:tcMar>
            <w:hideMark/>
          </w:tcPr>
          <w:p w14:paraId="5E60096D" w14:textId="7CD4AD12" w:rsidR="009A5A5C" w:rsidRPr="006B6F1D" w:rsidRDefault="009A5A5C" w:rsidP="00623172">
            <w:pPr>
              <w:jc w:val="center"/>
              <w:rPr>
                <w:rFonts w:ascii="Arial Narrow" w:hAnsi="Arial Narrow"/>
                <w:b/>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567D81" w14:textId="77777777" w:rsidR="009A5A5C" w:rsidRPr="006B6F1D" w:rsidRDefault="009A5A5C" w:rsidP="00623172">
            <w:pPr>
              <w:rPr>
                <w:rFonts w:ascii="Arial Narrow" w:hAnsi="Arial Narrow"/>
                <w:b/>
                <w:iCs/>
                <w:sz w:val="20"/>
                <w:szCs w:val="20"/>
              </w:rPr>
            </w:pPr>
            <w:r w:rsidRPr="006B6F1D">
              <w:rPr>
                <w:rFonts w:ascii="Arial Narrow" w:hAnsi="Arial Narrow"/>
                <w:b/>
                <w:iCs/>
                <w:sz w:val="20"/>
                <w:szCs w:val="20"/>
              </w:rPr>
              <w:t xml:space="preserve">Category / Program: </w:t>
            </w:r>
          </w:p>
          <w:p w14:paraId="02198EB7" w14:textId="77777777" w:rsidR="009A5A5C" w:rsidRPr="006B6F1D" w:rsidRDefault="009A5A5C" w:rsidP="00623172">
            <w:pPr>
              <w:rPr>
                <w:rFonts w:ascii="Arial Narrow" w:hAnsi="Arial Narrow"/>
                <w:iCs/>
                <w:sz w:val="20"/>
                <w:szCs w:val="20"/>
              </w:rPr>
            </w:pPr>
            <w:r w:rsidRPr="006B6F1D">
              <w:rPr>
                <w:rFonts w:ascii="Arial Narrow" w:hAnsi="Arial Narrow"/>
                <w:iCs/>
                <w:sz w:val="20"/>
                <w:szCs w:val="20"/>
              </w:rPr>
              <w:t xml:space="preserve">Section 100 – Highly Specialised Drugs Program </w:t>
            </w:r>
          </w:p>
        </w:tc>
      </w:tr>
      <w:tr w:rsidR="009A5A5C" w:rsidRPr="001C05C6" w14:paraId="3BD018AB" w14:textId="77777777" w:rsidTr="008B3C91">
        <w:trPr>
          <w:trHeight w:val="20"/>
        </w:trPr>
        <w:tc>
          <w:tcPr>
            <w:tcW w:w="1277" w:type="dxa"/>
            <w:gridSpan w:val="2"/>
            <w:vMerge/>
            <w:tcBorders>
              <w:left w:val="single" w:sz="4" w:space="0" w:color="auto"/>
              <w:right w:val="single" w:sz="4" w:space="0" w:color="auto"/>
            </w:tcBorders>
            <w:vAlign w:val="center"/>
            <w:hideMark/>
          </w:tcPr>
          <w:p w14:paraId="6336EA53" w14:textId="77777777" w:rsidR="009A5A5C" w:rsidRPr="006B6F1D" w:rsidRDefault="009A5A5C" w:rsidP="00623172">
            <w:pPr>
              <w:rPr>
                <w:rFonts w:ascii="Arial Narrow" w:hAnsi="Arial Narrow"/>
                <w:b/>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C850C9" w14:textId="77777777" w:rsidR="009A5A5C" w:rsidRPr="006B6F1D" w:rsidRDefault="009A5A5C" w:rsidP="00623172">
            <w:pPr>
              <w:rPr>
                <w:rFonts w:ascii="Arial Narrow" w:hAnsi="Arial Narrow"/>
                <w:b/>
                <w:iCs/>
                <w:sz w:val="20"/>
                <w:szCs w:val="20"/>
              </w:rPr>
            </w:pPr>
            <w:r w:rsidRPr="006B6F1D">
              <w:rPr>
                <w:rFonts w:ascii="Arial Narrow" w:hAnsi="Arial Narrow"/>
                <w:b/>
                <w:iCs/>
                <w:sz w:val="20"/>
                <w:szCs w:val="20"/>
              </w:rPr>
              <w:t xml:space="preserve">Prescriber type: </w:t>
            </w:r>
            <w:r w:rsidRPr="006B6F1D">
              <w:rPr>
                <w:rFonts w:ascii="Arial Narrow" w:hAnsi="Arial Narrow"/>
                <w:iCs/>
                <w:sz w:val="20"/>
                <w:szCs w:val="20"/>
              </w:rPr>
              <w:fldChar w:fldCharType="begin" w:fldLock="1">
                <w:ffData>
                  <w:name w:val=""/>
                  <w:enabled/>
                  <w:calcOnExit w:val="0"/>
                  <w:checkBox>
                    <w:sizeAuto/>
                    <w:default w:val="1"/>
                  </w:checkBox>
                </w:ffData>
              </w:fldChar>
            </w:r>
            <w:r w:rsidRPr="006B6F1D">
              <w:rPr>
                <w:rFonts w:ascii="Arial Narrow" w:hAnsi="Arial Narrow"/>
                <w:iCs/>
                <w:sz w:val="20"/>
                <w:szCs w:val="20"/>
              </w:rPr>
              <w:instrText xml:space="preserve"> FORMCHECKBOX </w:instrText>
            </w:r>
            <w:r w:rsidRPr="006B6F1D">
              <w:rPr>
                <w:rFonts w:ascii="Arial Narrow" w:hAnsi="Arial Narrow"/>
                <w:iCs/>
                <w:sz w:val="20"/>
                <w:szCs w:val="20"/>
              </w:rPr>
            </w:r>
            <w:r w:rsidRPr="006B6F1D">
              <w:rPr>
                <w:rFonts w:ascii="Arial Narrow" w:hAnsi="Arial Narrow"/>
                <w:iCs/>
                <w:sz w:val="20"/>
                <w:szCs w:val="20"/>
              </w:rPr>
              <w:fldChar w:fldCharType="separate"/>
            </w:r>
            <w:r w:rsidRPr="006B6F1D">
              <w:rPr>
                <w:rFonts w:ascii="Arial Narrow" w:hAnsi="Arial Narrow"/>
                <w:iCs/>
                <w:sz w:val="20"/>
                <w:szCs w:val="20"/>
              </w:rPr>
              <w:fldChar w:fldCharType="end"/>
            </w:r>
            <w:r w:rsidRPr="006B6F1D">
              <w:rPr>
                <w:rFonts w:ascii="Arial Narrow" w:hAnsi="Arial Narrow"/>
                <w:iCs/>
                <w:sz w:val="20"/>
                <w:szCs w:val="20"/>
              </w:rPr>
              <w:t xml:space="preserve">Medical Practitioners </w:t>
            </w:r>
          </w:p>
        </w:tc>
      </w:tr>
      <w:tr w:rsidR="009A5A5C" w:rsidRPr="001C05C6" w14:paraId="5D6362AE" w14:textId="77777777" w:rsidTr="008B3C91">
        <w:trPr>
          <w:trHeight w:val="20"/>
        </w:trPr>
        <w:tc>
          <w:tcPr>
            <w:tcW w:w="1277" w:type="dxa"/>
            <w:gridSpan w:val="2"/>
            <w:vMerge/>
            <w:tcBorders>
              <w:left w:val="single" w:sz="4" w:space="0" w:color="auto"/>
              <w:right w:val="single" w:sz="4" w:space="0" w:color="auto"/>
            </w:tcBorders>
            <w:vAlign w:val="center"/>
            <w:hideMark/>
          </w:tcPr>
          <w:p w14:paraId="394F364F" w14:textId="77777777" w:rsidR="009A5A5C" w:rsidRPr="006B6F1D" w:rsidRDefault="009A5A5C" w:rsidP="00623172">
            <w:pPr>
              <w:rPr>
                <w:rFonts w:ascii="Arial Narrow" w:hAnsi="Arial Narrow"/>
                <w:b/>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E3348A" w14:textId="77777777" w:rsidR="009A5A5C" w:rsidRPr="006B6F1D" w:rsidRDefault="009A5A5C" w:rsidP="00623172">
            <w:pPr>
              <w:rPr>
                <w:rFonts w:ascii="Arial Narrow" w:eastAsia="Calibri" w:hAnsi="Arial Narrow"/>
                <w:iCs/>
                <w:color w:val="FF0000"/>
                <w:sz w:val="20"/>
                <w:szCs w:val="20"/>
              </w:rPr>
            </w:pPr>
            <w:r w:rsidRPr="006B6F1D">
              <w:rPr>
                <w:rFonts w:ascii="Arial Narrow" w:hAnsi="Arial Narrow"/>
                <w:b/>
                <w:iCs/>
                <w:sz w:val="20"/>
                <w:szCs w:val="20"/>
              </w:rPr>
              <w:t xml:space="preserve">Restriction type: </w:t>
            </w:r>
            <w:r w:rsidRPr="006B6F1D">
              <w:rPr>
                <w:rFonts w:ascii="Arial Narrow" w:eastAsia="Calibri" w:hAnsi="Arial Narrow"/>
                <w:iCs/>
                <w:sz w:val="20"/>
                <w:szCs w:val="20"/>
              </w:rPr>
              <w:fldChar w:fldCharType="begin" w:fldLock="1">
                <w:ffData>
                  <w:name w:val=""/>
                  <w:enabled/>
                  <w:calcOnExit w:val="0"/>
                  <w:checkBox>
                    <w:sizeAuto/>
                    <w:default w:val="1"/>
                  </w:checkBox>
                </w:ffData>
              </w:fldChar>
            </w:r>
            <w:r w:rsidRPr="006B6F1D">
              <w:rPr>
                <w:rFonts w:ascii="Arial Narrow" w:eastAsia="Calibri" w:hAnsi="Arial Narrow"/>
                <w:iCs/>
                <w:sz w:val="20"/>
                <w:szCs w:val="20"/>
              </w:rPr>
              <w:instrText xml:space="preserve"> FORMCHECKBOX </w:instrText>
            </w:r>
            <w:r w:rsidRPr="006B6F1D">
              <w:rPr>
                <w:rFonts w:ascii="Arial Narrow" w:eastAsia="Calibri" w:hAnsi="Arial Narrow"/>
                <w:iCs/>
                <w:sz w:val="20"/>
                <w:szCs w:val="20"/>
              </w:rPr>
            </w:r>
            <w:r w:rsidRPr="006B6F1D">
              <w:rPr>
                <w:rFonts w:ascii="Arial Narrow" w:eastAsia="Calibri" w:hAnsi="Arial Narrow"/>
                <w:iCs/>
                <w:sz w:val="20"/>
                <w:szCs w:val="20"/>
              </w:rPr>
              <w:fldChar w:fldCharType="separate"/>
            </w:r>
            <w:r w:rsidRPr="006B6F1D">
              <w:rPr>
                <w:rFonts w:ascii="Arial Narrow" w:eastAsia="Calibri" w:hAnsi="Arial Narrow"/>
                <w:iCs/>
                <w:sz w:val="20"/>
                <w:szCs w:val="20"/>
              </w:rPr>
              <w:fldChar w:fldCharType="end"/>
            </w:r>
            <w:r w:rsidRPr="006B6F1D">
              <w:rPr>
                <w:rFonts w:ascii="Arial Narrow" w:eastAsia="Calibri" w:hAnsi="Arial Narrow"/>
                <w:iCs/>
                <w:sz w:val="20"/>
                <w:szCs w:val="20"/>
              </w:rPr>
              <w:t xml:space="preserve">Authority Required (Streamlined) [new code] </w:t>
            </w:r>
          </w:p>
        </w:tc>
      </w:tr>
      <w:tr w:rsidR="009A5A5C" w:rsidRPr="001C05C6" w14:paraId="7CA85239" w14:textId="77777777" w:rsidTr="008B3C91">
        <w:trPr>
          <w:trHeight w:val="20"/>
        </w:trPr>
        <w:tc>
          <w:tcPr>
            <w:tcW w:w="1277" w:type="dxa"/>
            <w:gridSpan w:val="2"/>
            <w:vMerge/>
            <w:tcBorders>
              <w:left w:val="single" w:sz="4" w:space="0" w:color="auto"/>
              <w:bottom w:val="single" w:sz="4" w:space="0" w:color="auto"/>
              <w:right w:val="single" w:sz="4" w:space="0" w:color="auto"/>
            </w:tcBorders>
            <w:vAlign w:val="center"/>
          </w:tcPr>
          <w:p w14:paraId="48CD912A" w14:textId="77777777" w:rsidR="009A5A5C" w:rsidRPr="006B6F1D" w:rsidRDefault="009A5A5C" w:rsidP="00623172">
            <w:pPr>
              <w:rPr>
                <w:rFonts w:ascii="Arial Narrow" w:hAnsi="Arial Narrow"/>
                <w:b/>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46DDF0" w14:textId="77777777" w:rsidR="009A5A5C" w:rsidRPr="00496E18" w:rsidRDefault="009A5A5C" w:rsidP="00623172">
            <w:pPr>
              <w:rPr>
                <w:rFonts w:ascii="Arial Narrow" w:hAnsi="Arial Narrow"/>
                <w:b/>
                <w:iCs/>
                <w:sz w:val="20"/>
                <w:szCs w:val="20"/>
              </w:rPr>
            </w:pPr>
            <w:r w:rsidRPr="00496E18">
              <w:rPr>
                <w:rFonts w:ascii="Arial Narrow" w:hAnsi="Arial Narrow"/>
                <w:b/>
                <w:iCs/>
                <w:sz w:val="20"/>
                <w:szCs w:val="20"/>
              </w:rPr>
              <w:t xml:space="preserve">Authority type: </w:t>
            </w:r>
          </w:p>
          <w:p w14:paraId="66BD0651" w14:textId="77777777" w:rsidR="009A5A5C" w:rsidRPr="006B6F1D" w:rsidRDefault="009A5A5C" w:rsidP="00623172">
            <w:pPr>
              <w:rPr>
                <w:rFonts w:ascii="Arial Narrow" w:hAnsi="Arial Narrow"/>
                <w:b/>
                <w:iCs/>
                <w:sz w:val="20"/>
                <w:szCs w:val="20"/>
              </w:rPr>
            </w:pPr>
            <w:r w:rsidRPr="006B6F1D">
              <w:rPr>
                <w:rFonts w:ascii="Arial Narrow" w:eastAsia="Calibri" w:hAnsi="Arial Narrow"/>
                <w:iCs/>
                <w:sz w:val="20"/>
                <w:szCs w:val="20"/>
              </w:rPr>
              <w:fldChar w:fldCharType="begin" w:fldLock="1">
                <w:ffData>
                  <w:name w:val=""/>
                  <w:enabled/>
                  <w:calcOnExit w:val="0"/>
                  <w:checkBox>
                    <w:sizeAuto/>
                    <w:default w:val="1"/>
                  </w:checkBox>
                </w:ffData>
              </w:fldChar>
            </w:r>
            <w:r w:rsidRPr="006B6F1D">
              <w:rPr>
                <w:rFonts w:ascii="Arial Narrow" w:eastAsia="Calibri" w:hAnsi="Arial Narrow"/>
                <w:iCs/>
                <w:sz w:val="20"/>
                <w:szCs w:val="20"/>
              </w:rPr>
              <w:instrText xml:space="preserve"> FORMCHECKBOX </w:instrText>
            </w:r>
            <w:r w:rsidRPr="006B6F1D">
              <w:rPr>
                <w:rFonts w:ascii="Arial Narrow" w:eastAsia="Calibri" w:hAnsi="Arial Narrow"/>
                <w:iCs/>
                <w:sz w:val="20"/>
                <w:szCs w:val="20"/>
              </w:rPr>
            </w:r>
            <w:r w:rsidRPr="006B6F1D">
              <w:rPr>
                <w:rFonts w:ascii="Arial Narrow" w:eastAsia="Calibri" w:hAnsi="Arial Narrow"/>
                <w:iCs/>
                <w:sz w:val="20"/>
                <w:szCs w:val="20"/>
              </w:rPr>
              <w:fldChar w:fldCharType="separate"/>
            </w:r>
            <w:r w:rsidRPr="006B6F1D">
              <w:rPr>
                <w:rFonts w:ascii="Arial Narrow" w:eastAsia="Calibri" w:hAnsi="Arial Narrow"/>
                <w:iCs/>
                <w:sz w:val="20"/>
                <w:szCs w:val="20"/>
              </w:rPr>
              <w:fldChar w:fldCharType="end"/>
            </w:r>
            <w:r>
              <w:rPr>
                <w:rFonts w:ascii="Arial Narrow" w:eastAsia="Calibri" w:hAnsi="Arial Narrow"/>
                <w:iCs/>
                <w:sz w:val="20"/>
                <w:szCs w:val="20"/>
              </w:rPr>
              <w:t xml:space="preserve"> </w:t>
            </w:r>
            <w:r w:rsidRPr="00496E18">
              <w:rPr>
                <w:rFonts w:ascii="Arial Narrow" w:hAnsi="Arial Narrow"/>
                <w:bCs/>
                <w:iCs/>
                <w:sz w:val="20"/>
                <w:szCs w:val="20"/>
              </w:rPr>
              <w:t>Non-complex Authority Required (non-CAR)</w:t>
            </w:r>
          </w:p>
        </w:tc>
      </w:tr>
      <w:tr w:rsidR="009A5A5C" w:rsidRPr="001C05C6" w14:paraId="4CCA4906" w14:textId="77777777" w:rsidTr="008403BF">
        <w:trPr>
          <w:trHeight w:val="20"/>
        </w:trPr>
        <w:tc>
          <w:tcPr>
            <w:tcW w:w="63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60675E20" w14:textId="05F26E4B" w:rsidR="009A5A5C" w:rsidRPr="001C05C6" w:rsidRDefault="009A5A5C" w:rsidP="00623172">
            <w:pPr>
              <w:rPr>
                <w:rFonts w:ascii="Arial Narrow" w:eastAsiaTheme="minorHAnsi" w:hAnsi="Arial Narrow"/>
                <w:sz w:val="20"/>
                <w:szCs w:val="20"/>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892D08E" w14:textId="407DF99B" w:rsidR="009A5A5C" w:rsidRPr="001C05C6" w:rsidRDefault="009A5A5C" w:rsidP="00623172">
            <w:pPr>
              <w:jc w:val="center"/>
              <w:rPr>
                <w:rFonts w:ascii="Arial Narrow" w:hAnsi="Arial Narrow"/>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57DD1C" w14:textId="77777777" w:rsidR="009A5A5C" w:rsidRPr="001C05C6" w:rsidRDefault="009A5A5C" w:rsidP="00623172">
            <w:pPr>
              <w:rPr>
                <w:rFonts w:ascii="Arial Narrow" w:hAnsi="Arial Narrow"/>
                <w:b/>
                <w:sz w:val="20"/>
                <w:szCs w:val="20"/>
              </w:rPr>
            </w:pPr>
            <w:r w:rsidRPr="001C05C6">
              <w:rPr>
                <w:rFonts w:ascii="Arial Narrow" w:hAnsi="Arial Narrow"/>
                <w:b/>
                <w:bCs/>
                <w:color w:val="333333"/>
                <w:sz w:val="20"/>
                <w:szCs w:val="20"/>
              </w:rPr>
              <w:t xml:space="preserve">Administrative Advice: </w:t>
            </w:r>
            <w:r w:rsidRPr="001C05C6">
              <w:rPr>
                <w:rFonts w:ascii="Arial Narrow" w:hAnsi="Arial Narrow"/>
                <w:color w:val="333333"/>
                <w:sz w:val="20"/>
                <w:szCs w:val="20"/>
              </w:rPr>
              <w:t>Special Pricing Arrangements apply.</w:t>
            </w:r>
          </w:p>
        </w:tc>
      </w:tr>
      <w:tr w:rsidR="009A5A5C" w:rsidRPr="006B6F1D" w14:paraId="0E521C38"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7603A75" w14:textId="77777777" w:rsidR="009A5A5C" w:rsidRPr="006B6F1D" w:rsidRDefault="009A5A5C" w:rsidP="00623172">
            <w:pPr>
              <w:jc w:val="center"/>
              <w:rPr>
                <w:rFonts w:ascii="Arial Narrow" w:hAnsi="Arial Narrow" w:cstheme="minorHAnsi"/>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1AF54BA" w14:textId="77777777" w:rsidR="009A5A5C" w:rsidRPr="006B6F1D" w:rsidRDefault="009A5A5C" w:rsidP="00623172">
            <w:pPr>
              <w:rPr>
                <w:rFonts w:ascii="Arial Narrow" w:hAnsi="Arial Narrow"/>
                <w:b/>
                <w:bCs/>
                <w:iCs/>
                <w:sz w:val="20"/>
                <w:szCs w:val="20"/>
              </w:rPr>
            </w:pPr>
            <w:r w:rsidRPr="006B6F1D">
              <w:rPr>
                <w:rFonts w:ascii="Arial Narrow" w:hAnsi="Arial Narrow"/>
                <w:b/>
                <w:bCs/>
                <w:iCs/>
                <w:sz w:val="20"/>
                <w:szCs w:val="20"/>
              </w:rPr>
              <w:t xml:space="preserve">Severity: </w:t>
            </w:r>
            <w:r w:rsidRPr="006B6F1D">
              <w:rPr>
                <w:rFonts w:ascii="Arial Narrow" w:hAnsi="Arial Narrow" w:cstheme="minorHAnsi"/>
                <w:iCs/>
                <w:sz w:val="20"/>
                <w:szCs w:val="20"/>
              </w:rPr>
              <w:t>Advanced</w:t>
            </w:r>
          </w:p>
        </w:tc>
      </w:tr>
      <w:tr w:rsidR="009A5A5C" w:rsidRPr="001C05C6" w14:paraId="323EACFA"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11501B" w14:textId="77777777" w:rsidR="009A5A5C" w:rsidRPr="001C05C6" w:rsidRDefault="009A5A5C" w:rsidP="00623172">
            <w:pPr>
              <w:jc w:val="center"/>
              <w:rPr>
                <w:rFonts w:ascii="Arial Narrow" w:eastAsiaTheme="minorHAnsi" w:hAnsi="Arial Narrow" w:cstheme="minorHAnsi"/>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63B0BC0" w14:textId="77777777" w:rsidR="009A5A5C" w:rsidRPr="001C05C6" w:rsidRDefault="009A5A5C" w:rsidP="00623172">
            <w:pPr>
              <w:rPr>
                <w:rFonts w:ascii="Arial Narrow" w:hAnsi="Arial Narrow"/>
                <w:b/>
                <w:bCs/>
                <w:sz w:val="20"/>
                <w:szCs w:val="20"/>
              </w:rPr>
            </w:pPr>
            <w:r w:rsidRPr="001C05C6">
              <w:rPr>
                <w:rFonts w:ascii="Arial Narrow" w:hAnsi="Arial Narrow"/>
                <w:b/>
                <w:bCs/>
                <w:sz w:val="20"/>
                <w:szCs w:val="20"/>
              </w:rPr>
              <w:t xml:space="preserve">Condition: </w:t>
            </w:r>
            <w:r w:rsidRPr="001C05C6">
              <w:rPr>
                <w:rFonts w:ascii="Arial Narrow" w:hAnsi="Arial Narrow" w:cstheme="minorHAnsi"/>
                <w:sz w:val="20"/>
                <w:szCs w:val="20"/>
              </w:rPr>
              <w:t>Parkinson Disease</w:t>
            </w:r>
          </w:p>
        </w:tc>
      </w:tr>
      <w:tr w:rsidR="009A5A5C" w:rsidRPr="001C05C6" w14:paraId="00FD737C"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7EBFB3" w14:textId="3BDD784A" w:rsidR="009A5A5C" w:rsidRPr="001C05C6" w:rsidRDefault="009A5A5C" w:rsidP="00623172">
            <w:pPr>
              <w:jc w:val="center"/>
              <w:rPr>
                <w:rFonts w:ascii="Arial Narrow" w:hAnsi="Arial Narrow"/>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E8CF770" w14:textId="77777777" w:rsidR="009A5A5C" w:rsidRPr="001C05C6" w:rsidRDefault="009A5A5C" w:rsidP="00623172">
            <w:pPr>
              <w:rPr>
                <w:rFonts w:ascii="Arial Narrow" w:hAnsi="Arial Narrow"/>
                <w:color w:val="333333"/>
                <w:sz w:val="20"/>
                <w:szCs w:val="20"/>
              </w:rPr>
            </w:pPr>
            <w:r w:rsidRPr="001C05C6">
              <w:rPr>
                <w:rFonts w:ascii="Arial Narrow" w:hAnsi="Arial Narrow"/>
                <w:b/>
                <w:bCs/>
                <w:color w:val="333333"/>
                <w:sz w:val="20"/>
                <w:szCs w:val="20"/>
              </w:rPr>
              <w:t>Indication:</w:t>
            </w:r>
            <w:r w:rsidRPr="001C05C6">
              <w:rPr>
                <w:rFonts w:ascii="Arial Narrow" w:hAnsi="Arial Narrow"/>
                <w:color w:val="333333"/>
                <w:sz w:val="20"/>
                <w:szCs w:val="20"/>
              </w:rPr>
              <w:t xml:space="preserve"> </w:t>
            </w:r>
            <w:r w:rsidRPr="001C05C6">
              <w:rPr>
                <w:rFonts w:ascii="Arial Narrow" w:hAnsi="Arial Narrow" w:cstheme="minorHAnsi"/>
                <w:sz w:val="20"/>
                <w:szCs w:val="20"/>
              </w:rPr>
              <w:t>Advanced Parkinson disease</w:t>
            </w:r>
          </w:p>
        </w:tc>
      </w:tr>
      <w:tr w:rsidR="009A5A5C" w:rsidRPr="001C05C6" w14:paraId="7CCE5E25"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6440FD3" w14:textId="3A5C8593" w:rsidR="009A5A5C" w:rsidRPr="001C05C6" w:rsidRDefault="009A5A5C" w:rsidP="00623172">
            <w:pPr>
              <w:jc w:val="center"/>
              <w:rPr>
                <w:rFonts w:ascii="Arial Narrow" w:hAnsi="Arial Narrow"/>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1FD8D6" w14:textId="77777777" w:rsidR="009A5A5C" w:rsidRPr="001C05C6" w:rsidRDefault="009A5A5C" w:rsidP="00623172">
            <w:pPr>
              <w:rPr>
                <w:rFonts w:ascii="Arial Narrow" w:hAnsi="Arial Narrow"/>
                <w:sz w:val="20"/>
                <w:szCs w:val="20"/>
              </w:rPr>
            </w:pPr>
            <w:r w:rsidRPr="001C05C6">
              <w:rPr>
                <w:rFonts w:ascii="Arial Narrow" w:hAnsi="Arial Narrow"/>
                <w:b/>
                <w:bCs/>
                <w:sz w:val="20"/>
                <w:szCs w:val="20"/>
              </w:rPr>
              <w:t xml:space="preserve">Clinical criteria: </w:t>
            </w:r>
          </w:p>
        </w:tc>
      </w:tr>
      <w:tr w:rsidR="009A5A5C" w:rsidRPr="001C05C6" w14:paraId="1BD713C2"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3FEB638" w14:textId="0A7D3850" w:rsidR="009A5A5C" w:rsidRPr="001C05C6" w:rsidRDefault="009A5A5C" w:rsidP="00623172">
            <w:pPr>
              <w:jc w:val="center"/>
              <w:rPr>
                <w:rFonts w:ascii="Arial Narrow" w:hAnsi="Arial Narrow"/>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A130BA" w14:textId="77777777" w:rsidR="009A5A5C" w:rsidRPr="006B6F1D" w:rsidRDefault="009A5A5C" w:rsidP="00623172">
            <w:pPr>
              <w:rPr>
                <w:rFonts w:ascii="Arial Narrow" w:hAnsi="Arial Narrow"/>
                <w:color w:val="333333"/>
                <w:sz w:val="20"/>
                <w:szCs w:val="20"/>
              </w:rPr>
            </w:pPr>
            <w:r w:rsidRPr="0048153C">
              <w:rPr>
                <w:rFonts w:ascii="Arial Narrow" w:hAnsi="Arial Narrow"/>
                <w:sz w:val="20"/>
                <w:szCs w:val="20"/>
              </w:rPr>
              <w:t>Patient must have severe disabling motor fluctuations not adequately controlled by at least one of: (i) oral therapy; (ii) intestinal gel formulation containing levodopa.</w:t>
            </w:r>
          </w:p>
        </w:tc>
      </w:tr>
      <w:tr w:rsidR="009A5A5C" w:rsidRPr="001C05C6" w14:paraId="4E1F880D"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51DB832" w14:textId="77777777" w:rsidR="009A5A5C" w:rsidRPr="006B6F1D" w:rsidRDefault="009A5A5C" w:rsidP="00623172">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0300AEB" w14:textId="77777777" w:rsidR="009A5A5C" w:rsidRPr="006B6F1D" w:rsidRDefault="009A5A5C" w:rsidP="00623172">
            <w:pPr>
              <w:rPr>
                <w:rFonts w:ascii="Arial Narrow" w:hAnsi="Arial Narrow"/>
                <w:iCs/>
                <w:color w:val="333333"/>
                <w:sz w:val="20"/>
                <w:szCs w:val="20"/>
              </w:rPr>
            </w:pPr>
            <w:r w:rsidRPr="006B6F1D">
              <w:rPr>
                <w:rFonts w:ascii="Arial Narrow" w:hAnsi="Arial Narrow"/>
                <w:b/>
                <w:bCs/>
                <w:iCs/>
                <w:color w:val="333333"/>
                <w:sz w:val="20"/>
                <w:szCs w:val="20"/>
              </w:rPr>
              <w:t>AND</w:t>
            </w:r>
          </w:p>
        </w:tc>
      </w:tr>
      <w:tr w:rsidR="009A5A5C" w:rsidRPr="001C05C6" w14:paraId="74C35E07"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AB33AC9" w14:textId="00E61BB9" w:rsidR="009A5A5C" w:rsidRPr="006B6F1D" w:rsidRDefault="009A5A5C" w:rsidP="00623172">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8E2EDA3" w14:textId="77777777" w:rsidR="009A5A5C" w:rsidRPr="006B6F1D" w:rsidRDefault="009A5A5C" w:rsidP="00623172">
            <w:pPr>
              <w:rPr>
                <w:rFonts w:ascii="Arial Narrow" w:hAnsi="Arial Narrow"/>
                <w:iCs/>
                <w:sz w:val="20"/>
                <w:szCs w:val="20"/>
              </w:rPr>
            </w:pPr>
            <w:r w:rsidRPr="006B6F1D">
              <w:rPr>
                <w:rFonts w:ascii="Arial Narrow" w:hAnsi="Arial Narrow"/>
                <w:b/>
                <w:bCs/>
                <w:iCs/>
                <w:sz w:val="20"/>
                <w:szCs w:val="20"/>
              </w:rPr>
              <w:t>Clinical criteria:</w:t>
            </w:r>
          </w:p>
        </w:tc>
      </w:tr>
      <w:tr w:rsidR="009A5A5C" w:rsidRPr="001C05C6" w14:paraId="3B897645"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FB2E41" w14:textId="16C246B3" w:rsidR="009A5A5C" w:rsidRPr="006B6F1D" w:rsidRDefault="009A5A5C" w:rsidP="00623172">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2A22E5" w14:textId="77777777" w:rsidR="009A5A5C" w:rsidRPr="006B6F1D" w:rsidRDefault="009A5A5C" w:rsidP="00623172">
            <w:pPr>
              <w:rPr>
                <w:rFonts w:ascii="Arial Narrow" w:hAnsi="Arial Narrow"/>
                <w:iCs/>
                <w:sz w:val="20"/>
                <w:szCs w:val="20"/>
              </w:rPr>
            </w:pPr>
            <w:r w:rsidRPr="006B6F1D">
              <w:rPr>
                <w:rFonts w:ascii="Arial Narrow" w:hAnsi="Arial Narrow"/>
                <w:iCs/>
                <w:sz w:val="20"/>
                <w:szCs w:val="20"/>
              </w:rPr>
              <w:t>The treatment must be commenced in a hospital-based movement disorder clinic.</w:t>
            </w:r>
          </w:p>
        </w:tc>
      </w:tr>
      <w:tr w:rsidR="009A5A5C" w:rsidRPr="001C05C6" w14:paraId="6BA95CCF"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38B0F0F" w14:textId="361F073D" w:rsidR="009A5A5C" w:rsidRPr="004B1ED9" w:rsidRDefault="009A5A5C" w:rsidP="00623172">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8CD6BB2" w14:textId="77777777" w:rsidR="009A5A5C" w:rsidRPr="004B1ED9" w:rsidRDefault="009A5A5C" w:rsidP="00623172">
            <w:pPr>
              <w:rPr>
                <w:rFonts w:ascii="Arial Narrow" w:hAnsi="Arial Narrow"/>
                <w:iCs/>
                <w:sz w:val="20"/>
                <w:szCs w:val="20"/>
              </w:rPr>
            </w:pPr>
            <w:r w:rsidRPr="004B1ED9">
              <w:rPr>
                <w:rFonts w:ascii="Arial Narrow" w:hAnsi="Arial Narrow"/>
                <w:b/>
                <w:bCs/>
                <w:iCs/>
                <w:sz w:val="20"/>
                <w:szCs w:val="20"/>
              </w:rPr>
              <w:t>Administrative advice:</w:t>
            </w:r>
            <w:r w:rsidRPr="004B1ED9">
              <w:rPr>
                <w:rFonts w:ascii="Arial Narrow" w:hAnsi="Arial Narrow"/>
                <w:iCs/>
                <w:sz w:val="20"/>
                <w:szCs w:val="20"/>
              </w:rPr>
              <w:t xml:space="preserve"> Patient should have adequate cognitive function to manage administration with a portable continuous infusion pump.</w:t>
            </w:r>
          </w:p>
        </w:tc>
      </w:tr>
    </w:tbl>
    <w:p w14:paraId="5B5A6689" w14:textId="335D6814" w:rsidR="009A5A5C" w:rsidRPr="006B6F1D" w:rsidRDefault="009A5A5C" w:rsidP="00623172">
      <w:pPr>
        <w:pStyle w:val="3-BodyText"/>
        <w:numPr>
          <w:ilvl w:val="0"/>
          <w:numId w:val="0"/>
        </w:numPr>
        <w:rPr>
          <w:rFonts w:ascii="Arial Narrow" w:hAnsi="Arial Narrow"/>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40"/>
        <w:gridCol w:w="1979"/>
        <w:gridCol w:w="1701"/>
        <w:gridCol w:w="850"/>
        <w:gridCol w:w="851"/>
        <w:gridCol w:w="851"/>
        <w:gridCol w:w="1507"/>
      </w:tblGrid>
      <w:tr w:rsidR="006770B5" w:rsidRPr="001C05C6" w14:paraId="01EB198A" w14:textId="77777777" w:rsidTr="006770B5">
        <w:trPr>
          <w:cantSplit/>
          <w:trHeight w:val="20"/>
        </w:trPr>
        <w:tc>
          <w:tcPr>
            <w:tcW w:w="3256" w:type="dxa"/>
            <w:gridSpan w:val="3"/>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1C80FE" w14:textId="77777777" w:rsidR="006770B5" w:rsidRPr="001C05C6" w:rsidRDefault="006770B5" w:rsidP="008B3C91">
            <w:pPr>
              <w:keepNext/>
              <w:keepLines/>
              <w:rPr>
                <w:rFonts w:ascii="Arial Narrow" w:hAnsi="Arial Narrow"/>
                <w:b/>
                <w:bCs/>
                <w:iCs/>
                <w:sz w:val="20"/>
                <w:szCs w:val="20"/>
              </w:rPr>
            </w:pPr>
            <w:r w:rsidRPr="001C05C6">
              <w:rPr>
                <w:rFonts w:ascii="Arial Narrow" w:hAnsi="Arial Narrow"/>
                <w:b/>
                <w:bCs/>
                <w:iCs/>
                <w:sz w:val="20"/>
                <w:szCs w:val="20"/>
              </w:rPr>
              <w:t>MEDICINAL PRODUCT</w:t>
            </w:r>
          </w:p>
          <w:p w14:paraId="7E8D6756" w14:textId="77777777" w:rsidR="006770B5" w:rsidRPr="001C05C6" w:rsidRDefault="006770B5" w:rsidP="008B3C91">
            <w:pPr>
              <w:keepNext/>
              <w:keepLines/>
              <w:rPr>
                <w:rFonts w:ascii="Arial Narrow" w:hAnsi="Arial Narrow"/>
                <w:b/>
                <w:bCs/>
                <w:iCs/>
                <w:color w:val="333333"/>
                <w:sz w:val="20"/>
                <w:szCs w:val="20"/>
              </w:rPr>
            </w:pPr>
            <w:r w:rsidRPr="001C05C6">
              <w:rPr>
                <w:rFonts w:ascii="Arial Narrow" w:hAnsi="Arial Narrow"/>
                <w:b/>
                <w:bCs/>
                <w:iCs/>
                <w:sz w:val="20"/>
                <w:szCs w:val="20"/>
              </w:rPr>
              <w:t>medicinal product pack</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A9F8C3" w14:textId="21709F82" w:rsidR="006770B5" w:rsidRPr="001C05C6" w:rsidRDefault="006770B5" w:rsidP="008B3C91">
            <w:pPr>
              <w:keepNext/>
              <w:keepLines/>
              <w:jc w:val="center"/>
              <w:rPr>
                <w:rFonts w:ascii="Arial Narrow" w:hAnsi="Arial Narrow"/>
                <w:b/>
                <w:bCs/>
                <w:iCs/>
                <w:color w:val="333333"/>
                <w:sz w:val="20"/>
                <w:szCs w:val="20"/>
              </w:rPr>
            </w:pPr>
            <w:r w:rsidRPr="001C05C6">
              <w:rPr>
                <w:rFonts w:ascii="Arial Narrow" w:hAnsi="Arial Narrow"/>
                <w:b/>
                <w:iCs/>
                <w:sz w:val="20"/>
                <w:szCs w:val="20"/>
              </w:rPr>
              <w:t>PBS item code</w:t>
            </w: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1B93E89" w14:textId="77777777" w:rsidR="006770B5" w:rsidRPr="001C05C6" w:rsidRDefault="006770B5" w:rsidP="008B3C91">
            <w:pPr>
              <w:keepNext/>
              <w:keepLines/>
              <w:rPr>
                <w:rFonts w:ascii="Arial Narrow" w:hAnsi="Arial Narrow"/>
                <w:b/>
                <w:bCs/>
                <w:iCs/>
                <w:color w:val="333333"/>
                <w:sz w:val="20"/>
                <w:szCs w:val="20"/>
              </w:rPr>
            </w:pPr>
            <w:r w:rsidRPr="001C05C6">
              <w:rPr>
                <w:rFonts w:ascii="Arial Narrow" w:hAnsi="Arial Narrow"/>
                <w:b/>
                <w:iCs/>
                <w:sz w:val="20"/>
                <w:szCs w:val="20"/>
              </w:rPr>
              <w:t>Max. qty packs</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AA0E49C" w14:textId="77777777" w:rsidR="006770B5" w:rsidRPr="001C05C6" w:rsidRDefault="006770B5" w:rsidP="008B3C91">
            <w:pPr>
              <w:keepNext/>
              <w:keepLines/>
              <w:rPr>
                <w:rFonts w:ascii="Arial Narrow" w:hAnsi="Arial Narrow"/>
                <w:b/>
                <w:bCs/>
                <w:iCs/>
                <w:color w:val="333333"/>
                <w:sz w:val="20"/>
                <w:szCs w:val="20"/>
              </w:rPr>
            </w:pPr>
            <w:r w:rsidRPr="001C05C6">
              <w:rPr>
                <w:rFonts w:ascii="Arial Narrow" w:hAnsi="Arial Narrow"/>
                <w:b/>
                <w:iCs/>
                <w:sz w:val="20"/>
                <w:szCs w:val="20"/>
              </w:rPr>
              <w:t>Max. qty units</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96F2284" w14:textId="77777777" w:rsidR="006770B5" w:rsidRPr="001C05C6" w:rsidRDefault="006770B5" w:rsidP="008B3C91">
            <w:pPr>
              <w:keepNext/>
              <w:keepLines/>
              <w:jc w:val="center"/>
              <w:rPr>
                <w:rFonts w:ascii="Arial Narrow" w:eastAsiaTheme="minorHAnsi" w:hAnsi="Arial Narrow"/>
                <w:b/>
                <w:iCs/>
                <w:sz w:val="20"/>
                <w:szCs w:val="20"/>
                <w:lang w:eastAsia="en-US"/>
              </w:rPr>
            </w:pPr>
            <w:r w:rsidRPr="001C05C6">
              <w:rPr>
                <w:rFonts w:ascii="Arial Narrow" w:hAnsi="Arial Narrow"/>
                <w:b/>
                <w:iCs/>
                <w:sz w:val="20"/>
                <w:szCs w:val="20"/>
              </w:rPr>
              <w:t>№.of Rpts</w:t>
            </w:r>
          </w:p>
        </w:tc>
        <w:tc>
          <w:tcPr>
            <w:tcW w:w="150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78C06BB" w14:textId="77777777" w:rsidR="006770B5" w:rsidRPr="001C05C6" w:rsidRDefault="006770B5" w:rsidP="008B3C91">
            <w:pPr>
              <w:keepNext/>
              <w:keepLines/>
              <w:rPr>
                <w:rFonts w:ascii="Arial Narrow" w:hAnsi="Arial Narrow"/>
                <w:b/>
                <w:bCs/>
                <w:iCs/>
                <w:color w:val="333333"/>
                <w:sz w:val="20"/>
                <w:szCs w:val="20"/>
              </w:rPr>
            </w:pPr>
            <w:r w:rsidRPr="001C05C6">
              <w:rPr>
                <w:rFonts w:ascii="Arial Narrow" w:hAnsi="Arial Narrow"/>
                <w:b/>
                <w:iCs/>
                <w:sz w:val="20"/>
                <w:szCs w:val="20"/>
              </w:rPr>
              <w:t>Available brands/ manufacturer</w:t>
            </w:r>
          </w:p>
        </w:tc>
      </w:tr>
      <w:tr w:rsidR="009A5A5C" w:rsidRPr="001C05C6" w14:paraId="26767C2C" w14:textId="77777777" w:rsidTr="008B3C91">
        <w:trPr>
          <w:cantSplit/>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33F824C" w14:textId="77777777" w:rsidR="009A5A5C" w:rsidRPr="001C05C6" w:rsidRDefault="009A5A5C" w:rsidP="008B3C91">
            <w:pPr>
              <w:keepNext/>
              <w:keepLines/>
              <w:jc w:val="left"/>
              <w:rPr>
                <w:rFonts w:ascii="Arial Narrow" w:hAnsi="Arial Narrow"/>
                <w:b/>
                <w:bCs/>
                <w:iCs/>
                <w:color w:val="333333"/>
                <w:sz w:val="20"/>
                <w:szCs w:val="20"/>
              </w:rPr>
            </w:pPr>
            <w:r w:rsidRPr="001C05C6">
              <w:rPr>
                <w:rFonts w:ascii="Arial Narrow" w:hAnsi="Arial Narrow"/>
                <w:iCs/>
                <w:sz w:val="20"/>
                <w:szCs w:val="20"/>
              </w:rPr>
              <w:t>LEVODOPA + CARBIDOPA + ENTACAPONE</w:t>
            </w:r>
          </w:p>
        </w:tc>
      </w:tr>
      <w:tr w:rsidR="006770B5" w:rsidRPr="001C05C6" w14:paraId="0977D522" w14:textId="77777777" w:rsidTr="006770B5">
        <w:trPr>
          <w:cantSplit/>
          <w:trHeight w:val="20"/>
        </w:trPr>
        <w:tc>
          <w:tcPr>
            <w:tcW w:w="3256" w:type="dxa"/>
            <w:gridSpan w:val="3"/>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A86774E" w14:textId="77777777" w:rsidR="006770B5" w:rsidRPr="006B6F1D" w:rsidRDefault="006770B5" w:rsidP="008B3C91">
            <w:pPr>
              <w:keepNext/>
              <w:keepLines/>
              <w:rPr>
                <w:rFonts w:ascii="Arial Narrow" w:hAnsi="Arial Narrow"/>
                <w:b/>
                <w:bCs/>
                <w:iCs/>
                <w:color w:val="333333"/>
                <w:sz w:val="20"/>
                <w:szCs w:val="20"/>
              </w:rPr>
            </w:pPr>
            <w:r w:rsidRPr="006B6F1D">
              <w:rPr>
                <w:rFonts w:ascii="Arial Narrow" w:hAnsi="Arial Narrow"/>
                <w:iCs/>
                <w:sz w:val="20"/>
                <w:szCs w:val="20"/>
              </w:rPr>
              <w:t>levodopa 20 mg/mL + carbidopa monohydrate 5 mg/mL + entacapone 20 mg/mL intestinal gel, 7 x 47 mL cartridges</w:t>
            </w:r>
          </w:p>
        </w:tc>
        <w:tc>
          <w:tcPr>
            <w:tcW w:w="170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3AF377" w14:textId="77777777" w:rsidR="006770B5" w:rsidRPr="006B6F1D" w:rsidRDefault="006770B5" w:rsidP="008B3C91">
            <w:pPr>
              <w:keepNext/>
              <w:keepLines/>
              <w:jc w:val="center"/>
              <w:rPr>
                <w:rFonts w:ascii="Arial Narrow" w:hAnsi="Arial Narrow"/>
                <w:iCs/>
                <w:sz w:val="20"/>
                <w:szCs w:val="20"/>
              </w:rPr>
            </w:pPr>
            <w:r w:rsidRPr="006B6F1D">
              <w:rPr>
                <w:rFonts w:ascii="Arial Narrow" w:hAnsi="Arial Narrow"/>
                <w:iCs/>
                <w:sz w:val="20"/>
                <w:szCs w:val="20"/>
              </w:rPr>
              <w:t>NEW (HSD Public)</w:t>
            </w:r>
          </w:p>
          <w:p w14:paraId="47C2746A" w14:textId="7F9B1084" w:rsidR="006770B5" w:rsidRPr="00BC7838" w:rsidRDefault="006770B5" w:rsidP="008B3C91">
            <w:pPr>
              <w:keepNext/>
              <w:keepLines/>
              <w:jc w:val="center"/>
              <w:rPr>
                <w:rFonts w:ascii="Arial Narrow" w:hAnsi="Arial Narrow"/>
                <w:b/>
                <w:bCs/>
                <w:i/>
                <w:color w:val="333333"/>
                <w:sz w:val="20"/>
                <w:szCs w:val="20"/>
              </w:rPr>
            </w:pPr>
            <w:r w:rsidRPr="006B6F1D">
              <w:rPr>
                <w:rFonts w:ascii="Arial Narrow" w:hAnsi="Arial Narrow"/>
                <w:iCs/>
                <w:sz w:val="20"/>
                <w:szCs w:val="20"/>
              </w:rPr>
              <w:t>NEW (HSD Private)</w:t>
            </w: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9F8D88F" w14:textId="77777777" w:rsidR="006770B5" w:rsidRPr="001C05C6" w:rsidRDefault="006770B5" w:rsidP="008B3C91">
            <w:pPr>
              <w:keepNext/>
              <w:keepLines/>
              <w:rPr>
                <w:rFonts w:ascii="Arial Narrow" w:hAnsi="Arial Narrow"/>
                <w:b/>
                <w:bCs/>
                <w:iCs/>
                <w:color w:val="333333"/>
                <w:sz w:val="20"/>
                <w:szCs w:val="20"/>
              </w:rPr>
            </w:pPr>
            <w:r w:rsidRPr="001C05C6">
              <w:rPr>
                <w:rFonts w:ascii="Arial Narrow" w:hAnsi="Arial Narrow"/>
                <w:iCs/>
                <w:sz w:val="20"/>
                <w:szCs w:val="20"/>
              </w:rPr>
              <w:t xml:space="preserve">  8</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A989575" w14:textId="77777777" w:rsidR="006770B5" w:rsidRPr="001C05C6" w:rsidRDefault="006770B5" w:rsidP="008B3C91">
            <w:pPr>
              <w:keepNext/>
              <w:keepLines/>
              <w:rPr>
                <w:rFonts w:ascii="Arial Narrow" w:hAnsi="Arial Narrow"/>
                <w:b/>
                <w:bCs/>
                <w:iCs/>
                <w:color w:val="333333"/>
                <w:sz w:val="20"/>
                <w:szCs w:val="20"/>
              </w:rPr>
            </w:pPr>
            <w:r w:rsidRPr="001C05C6">
              <w:rPr>
                <w:rFonts w:ascii="Arial Narrow" w:hAnsi="Arial Narrow"/>
                <w:iCs/>
                <w:sz w:val="20"/>
                <w:szCs w:val="20"/>
              </w:rPr>
              <w:t>56</w:t>
            </w:r>
          </w:p>
        </w:tc>
        <w:tc>
          <w:tcPr>
            <w:tcW w:w="851"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AA6320" w14:textId="77777777" w:rsidR="006770B5" w:rsidRPr="001C05C6" w:rsidRDefault="006770B5" w:rsidP="008B3C91">
            <w:pPr>
              <w:keepNext/>
              <w:keepLines/>
              <w:rPr>
                <w:rFonts w:ascii="Arial Narrow" w:hAnsi="Arial Narrow"/>
                <w:b/>
                <w:bCs/>
                <w:iCs/>
                <w:color w:val="333333"/>
                <w:sz w:val="20"/>
                <w:szCs w:val="20"/>
              </w:rPr>
            </w:pPr>
            <w:r w:rsidRPr="001C05C6">
              <w:rPr>
                <w:rFonts w:ascii="Arial Narrow" w:hAnsi="Arial Narrow"/>
                <w:iCs/>
                <w:sz w:val="20"/>
                <w:szCs w:val="20"/>
              </w:rPr>
              <w:t>5</w:t>
            </w:r>
          </w:p>
        </w:tc>
        <w:tc>
          <w:tcPr>
            <w:tcW w:w="150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A99040" w14:textId="77777777" w:rsidR="006770B5" w:rsidRPr="006B6F1D" w:rsidRDefault="006770B5" w:rsidP="008B3C91">
            <w:pPr>
              <w:keepNext/>
              <w:keepLines/>
              <w:rPr>
                <w:rFonts w:ascii="Arial Narrow" w:eastAsiaTheme="minorHAnsi" w:hAnsi="Arial Narrow"/>
                <w:iCs/>
                <w:sz w:val="20"/>
                <w:szCs w:val="20"/>
                <w:lang w:eastAsia="en-US"/>
              </w:rPr>
            </w:pPr>
            <w:proofErr w:type="spellStart"/>
            <w:r w:rsidRPr="006B6F1D">
              <w:rPr>
                <w:rFonts w:ascii="Arial Narrow" w:hAnsi="Arial Narrow"/>
                <w:iCs/>
                <w:sz w:val="20"/>
                <w:szCs w:val="20"/>
              </w:rPr>
              <w:t>Lecigon</w:t>
            </w:r>
            <w:proofErr w:type="spellEnd"/>
            <w:r w:rsidRPr="006B6F1D">
              <w:rPr>
                <w:rFonts w:ascii="Arial Narrow" w:hAnsi="Arial Narrow"/>
                <w:iCs/>
                <w:sz w:val="20"/>
                <w:szCs w:val="20"/>
              </w:rPr>
              <w:t xml:space="preserve"> /</w:t>
            </w:r>
          </w:p>
          <w:p w14:paraId="450FC7FC" w14:textId="77777777" w:rsidR="006770B5" w:rsidRPr="001C05C6" w:rsidRDefault="006770B5" w:rsidP="008B3C91">
            <w:pPr>
              <w:keepNext/>
              <w:keepLines/>
              <w:rPr>
                <w:rFonts w:ascii="Arial Narrow" w:hAnsi="Arial Narrow"/>
                <w:i/>
                <w:color w:val="333333"/>
                <w:sz w:val="20"/>
                <w:szCs w:val="20"/>
              </w:rPr>
            </w:pPr>
            <w:r w:rsidRPr="006B6F1D">
              <w:rPr>
                <w:rFonts w:ascii="Arial Narrow" w:hAnsi="Arial Narrow"/>
                <w:iCs/>
                <w:color w:val="333333"/>
                <w:sz w:val="20"/>
                <w:szCs w:val="20"/>
              </w:rPr>
              <w:t>STADA Pharmaceuticals Australia Pty Ltd</w:t>
            </w:r>
          </w:p>
        </w:tc>
      </w:tr>
      <w:tr w:rsidR="009A5A5C" w:rsidRPr="001C05C6" w14:paraId="67B7CBB4" w14:textId="77777777" w:rsidTr="008B3C91">
        <w:trPr>
          <w:cantSplit/>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3830DF" w14:textId="77777777" w:rsidR="009A5A5C" w:rsidRPr="001C05C6" w:rsidRDefault="009A5A5C" w:rsidP="008B3C91">
            <w:pPr>
              <w:keepNext/>
              <w:keepLines/>
              <w:rPr>
                <w:rFonts w:ascii="Arial Narrow" w:hAnsi="Arial Narrow"/>
                <w:b/>
                <w:bCs/>
                <w:i/>
                <w:color w:val="333333"/>
                <w:sz w:val="20"/>
                <w:szCs w:val="20"/>
              </w:rPr>
            </w:pPr>
          </w:p>
        </w:tc>
      </w:tr>
      <w:tr w:rsidR="009A5A5C" w:rsidRPr="001C05C6" w14:paraId="7820A6B0" w14:textId="77777777" w:rsidTr="008B3C91">
        <w:trPr>
          <w:cantSplit/>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10E996D" w14:textId="77777777" w:rsidR="009A5A5C" w:rsidRPr="006B6F1D" w:rsidRDefault="009A5A5C" w:rsidP="008B3C91">
            <w:pPr>
              <w:keepNext/>
              <w:keepLines/>
              <w:rPr>
                <w:rFonts w:ascii="Arial Narrow" w:hAnsi="Arial Narrow"/>
                <w:b/>
                <w:bCs/>
                <w:iCs/>
                <w:color w:val="333333"/>
                <w:sz w:val="20"/>
                <w:szCs w:val="20"/>
              </w:rPr>
            </w:pPr>
            <w:r w:rsidRPr="006B6F1D">
              <w:rPr>
                <w:rFonts w:ascii="Arial Narrow" w:hAnsi="Arial Narrow"/>
                <w:b/>
                <w:bCs/>
                <w:iCs/>
                <w:color w:val="333333"/>
                <w:sz w:val="20"/>
                <w:szCs w:val="20"/>
              </w:rPr>
              <w:t>Variant of Restriction Summary 10395/10353 / ToC: 10375/10363: Authority Required: Streamlined</w:t>
            </w:r>
          </w:p>
        </w:tc>
      </w:tr>
      <w:tr w:rsidR="009A5A5C" w:rsidRPr="001C05C6" w14:paraId="53431129" w14:textId="77777777" w:rsidTr="00161CA4">
        <w:trPr>
          <w:cantSplit/>
          <w:trHeight w:val="20"/>
        </w:trPr>
        <w:tc>
          <w:tcPr>
            <w:tcW w:w="1277" w:type="dxa"/>
            <w:gridSpan w:val="2"/>
            <w:vMerge w:val="restart"/>
            <w:tcBorders>
              <w:top w:val="single" w:sz="4" w:space="0" w:color="auto"/>
              <w:left w:val="single" w:sz="4" w:space="0" w:color="auto"/>
              <w:right w:val="single" w:sz="4" w:space="0" w:color="auto"/>
            </w:tcBorders>
            <w:tcMar>
              <w:top w:w="15" w:type="dxa"/>
              <w:left w:w="108" w:type="dxa"/>
              <w:bottom w:w="15" w:type="dxa"/>
              <w:right w:w="108" w:type="dxa"/>
            </w:tcMar>
          </w:tcPr>
          <w:p w14:paraId="17A7A1B4" w14:textId="06008D8B" w:rsidR="009A5A5C" w:rsidRPr="006B6F1D" w:rsidRDefault="009A5A5C" w:rsidP="008B3C91">
            <w:pPr>
              <w:jc w:val="center"/>
              <w:rPr>
                <w:rFonts w:ascii="Arial Narrow" w:eastAsiaTheme="minorHAnsi" w:hAnsi="Arial Narrow"/>
                <w:b/>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F3424C" w14:textId="77777777" w:rsidR="009A5A5C" w:rsidRPr="006B6F1D" w:rsidRDefault="009A5A5C" w:rsidP="008B3C91">
            <w:pPr>
              <w:keepLines/>
              <w:rPr>
                <w:rFonts w:ascii="Arial Narrow" w:hAnsi="Arial Narrow"/>
                <w:iCs/>
                <w:sz w:val="20"/>
                <w:szCs w:val="20"/>
              </w:rPr>
            </w:pPr>
            <w:r w:rsidRPr="006B6F1D">
              <w:rPr>
                <w:rFonts w:ascii="Arial Narrow" w:hAnsi="Arial Narrow"/>
                <w:b/>
                <w:iCs/>
                <w:sz w:val="20"/>
                <w:szCs w:val="20"/>
              </w:rPr>
              <w:t xml:space="preserve">Category / Program: </w:t>
            </w:r>
            <w:r w:rsidRPr="006B6F1D">
              <w:rPr>
                <w:rFonts w:ascii="Arial Narrow" w:hAnsi="Arial Narrow"/>
                <w:iCs/>
                <w:sz w:val="20"/>
                <w:szCs w:val="20"/>
              </w:rPr>
              <w:t xml:space="preserve">Section 100 – Highly Specialised Drugs Program </w:t>
            </w:r>
          </w:p>
        </w:tc>
      </w:tr>
      <w:tr w:rsidR="009A5A5C" w:rsidRPr="001C05C6" w14:paraId="7C44113B" w14:textId="77777777" w:rsidTr="00161CA4">
        <w:trPr>
          <w:cantSplit/>
          <w:trHeight w:val="20"/>
        </w:trPr>
        <w:tc>
          <w:tcPr>
            <w:tcW w:w="1277" w:type="dxa"/>
            <w:gridSpan w:val="2"/>
            <w:vMerge/>
            <w:tcBorders>
              <w:left w:val="single" w:sz="4" w:space="0" w:color="auto"/>
              <w:right w:val="single" w:sz="4" w:space="0" w:color="auto"/>
            </w:tcBorders>
            <w:vAlign w:val="center"/>
          </w:tcPr>
          <w:p w14:paraId="4EF62A89" w14:textId="77777777" w:rsidR="009A5A5C" w:rsidRPr="006B6F1D" w:rsidRDefault="009A5A5C" w:rsidP="008B3C91">
            <w:pPr>
              <w:rPr>
                <w:rFonts w:ascii="Arial Narrow" w:hAnsi="Arial Narrow"/>
                <w:b/>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4CA9F09" w14:textId="77777777" w:rsidR="009A5A5C" w:rsidRPr="006B6F1D" w:rsidRDefault="009A5A5C" w:rsidP="008B3C91">
            <w:pPr>
              <w:keepNext/>
              <w:keepLines/>
              <w:rPr>
                <w:rFonts w:ascii="Arial Narrow" w:hAnsi="Arial Narrow"/>
                <w:b/>
                <w:iCs/>
                <w:sz w:val="20"/>
                <w:szCs w:val="20"/>
              </w:rPr>
            </w:pPr>
            <w:r w:rsidRPr="006B6F1D">
              <w:rPr>
                <w:rFonts w:ascii="Arial Narrow" w:hAnsi="Arial Narrow"/>
                <w:b/>
                <w:iCs/>
                <w:sz w:val="20"/>
                <w:szCs w:val="20"/>
              </w:rPr>
              <w:t xml:space="preserve">Prescriber type: </w:t>
            </w:r>
            <w:r w:rsidRPr="006B6F1D">
              <w:rPr>
                <w:rFonts w:ascii="Arial Narrow" w:hAnsi="Arial Narrow"/>
                <w:iCs/>
                <w:sz w:val="20"/>
                <w:szCs w:val="20"/>
              </w:rPr>
              <w:fldChar w:fldCharType="begin" w:fldLock="1">
                <w:ffData>
                  <w:name w:val=""/>
                  <w:enabled/>
                  <w:calcOnExit w:val="0"/>
                  <w:checkBox>
                    <w:sizeAuto/>
                    <w:default w:val="1"/>
                  </w:checkBox>
                </w:ffData>
              </w:fldChar>
            </w:r>
            <w:r w:rsidRPr="006B6F1D">
              <w:rPr>
                <w:rFonts w:ascii="Arial Narrow" w:hAnsi="Arial Narrow"/>
                <w:iCs/>
                <w:sz w:val="20"/>
                <w:szCs w:val="20"/>
              </w:rPr>
              <w:instrText xml:space="preserve"> FORMCHECKBOX </w:instrText>
            </w:r>
            <w:r w:rsidRPr="006B6F1D">
              <w:rPr>
                <w:rFonts w:ascii="Arial Narrow" w:hAnsi="Arial Narrow"/>
                <w:iCs/>
                <w:sz w:val="20"/>
                <w:szCs w:val="20"/>
              </w:rPr>
            </w:r>
            <w:r w:rsidRPr="006B6F1D">
              <w:rPr>
                <w:rFonts w:ascii="Arial Narrow" w:hAnsi="Arial Narrow"/>
                <w:iCs/>
                <w:sz w:val="20"/>
                <w:szCs w:val="20"/>
              </w:rPr>
              <w:fldChar w:fldCharType="separate"/>
            </w:r>
            <w:r w:rsidRPr="006B6F1D">
              <w:rPr>
                <w:rFonts w:ascii="Arial Narrow" w:hAnsi="Arial Narrow"/>
                <w:iCs/>
                <w:sz w:val="20"/>
                <w:szCs w:val="20"/>
              </w:rPr>
              <w:fldChar w:fldCharType="end"/>
            </w:r>
            <w:r w:rsidRPr="006B6F1D">
              <w:rPr>
                <w:rFonts w:ascii="Arial Narrow" w:hAnsi="Arial Narrow"/>
                <w:iCs/>
                <w:sz w:val="20"/>
                <w:szCs w:val="20"/>
              </w:rPr>
              <w:t xml:space="preserve">Medical Practitioners </w:t>
            </w:r>
          </w:p>
        </w:tc>
      </w:tr>
      <w:tr w:rsidR="009A5A5C" w:rsidRPr="001C05C6" w14:paraId="2EC4538D" w14:textId="77777777" w:rsidTr="00161CA4">
        <w:trPr>
          <w:cantSplit/>
          <w:trHeight w:val="20"/>
        </w:trPr>
        <w:tc>
          <w:tcPr>
            <w:tcW w:w="1277" w:type="dxa"/>
            <w:gridSpan w:val="2"/>
            <w:vMerge/>
            <w:tcBorders>
              <w:left w:val="single" w:sz="4" w:space="0" w:color="auto"/>
              <w:right w:val="single" w:sz="4" w:space="0" w:color="auto"/>
            </w:tcBorders>
            <w:vAlign w:val="center"/>
          </w:tcPr>
          <w:p w14:paraId="5A55F307" w14:textId="77777777" w:rsidR="009A5A5C" w:rsidRPr="006B6F1D" w:rsidRDefault="009A5A5C" w:rsidP="008B3C91">
            <w:pPr>
              <w:rPr>
                <w:rFonts w:ascii="Arial Narrow" w:hAnsi="Arial Narrow"/>
                <w:b/>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593148" w14:textId="77777777" w:rsidR="009A5A5C" w:rsidRPr="006B6F1D" w:rsidRDefault="009A5A5C" w:rsidP="008B3C91">
            <w:pPr>
              <w:keepNext/>
              <w:keepLines/>
              <w:rPr>
                <w:rFonts w:ascii="Arial Narrow" w:eastAsia="Calibri" w:hAnsi="Arial Narrow"/>
                <w:iCs/>
                <w:sz w:val="20"/>
                <w:szCs w:val="20"/>
              </w:rPr>
            </w:pPr>
            <w:r w:rsidRPr="006B6F1D">
              <w:rPr>
                <w:rFonts w:ascii="Arial Narrow" w:hAnsi="Arial Narrow"/>
                <w:b/>
                <w:iCs/>
                <w:sz w:val="20"/>
                <w:szCs w:val="20"/>
              </w:rPr>
              <w:t xml:space="preserve">Restriction type: </w:t>
            </w:r>
            <w:r w:rsidRPr="006B6F1D">
              <w:rPr>
                <w:rFonts w:ascii="Arial Narrow" w:eastAsia="Calibri" w:hAnsi="Arial Narrow"/>
                <w:iCs/>
                <w:sz w:val="20"/>
                <w:szCs w:val="20"/>
              </w:rPr>
              <w:fldChar w:fldCharType="begin" w:fldLock="1">
                <w:ffData>
                  <w:name w:val=""/>
                  <w:enabled/>
                  <w:calcOnExit w:val="0"/>
                  <w:checkBox>
                    <w:sizeAuto/>
                    <w:default w:val="1"/>
                  </w:checkBox>
                </w:ffData>
              </w:fldChar>
            </w:r>
            <w:r w:rsidRPr="006B6F1D">
              <w:rPr>
                <w:rFonts w:ascii="Arial Narrow" w:eastAsia="Calibri" w:hAnsi="Arial Narrow"/>
                <w:iCs/>
                <w:sz w:val="20"/>
                <w:szCs w:val="20"/>
              </w:rPr>
              <w:instrText xml:space="preserve"> FORMCHECKBOX </w:instrText>
            </w:r>
            <w:r w:rsidRPr="006B6F1D">
              <w:rPr>
                <w:rFonts w:ascii="Arial Narrow" w:eastAsia="Calibri" w:hAnsi="Arial Narrow"/>
                <w:iCs/>
                <w:sz w:val="20"/>
                <w:szCs w:val="20"/>
              </w:rPr>
            </w:r>
            <w:r w:rsidRPr="006B6F1D">
              <w:rPr>
                <w:rFonts w:ascii="Arial Narrow" w:eastAsia="Calibri" w:hAnsi="Arial Narrow"/>
                <w:iCs/>
                <w:sz w:val="20"/>
                <w:szCs w:val="20"/>
              </w:rPr>
              <w:fldChar w:fldCharType="separate"/>
            </w:r>
            <w:r w:rsidRPr="006B6F1D">
              <w:rPr>
                <w:rFonts w:ascii="Arial Narrow" w:eastAsia="Calibri" w:hAnsi="Arial Narrow"/>
                <w:iCs/>
                <w:sz w:val="20"/>
                <w:szCs w:val="20"/>
              </w:rPr>
              <w:fldChar w:fldCharType="end"/>
            </w:r>
            <w:r w:rsidRPr="006B6F1D">
              <w:rPr>
                <w:rFonts w:ascii="Arial Narrow" w:eastAsia="Calibri" w:hAnsi="Arial Narrow"/>
                <w:iCs/>
                <w:sz w:val="20"/>
                <w:szCs w:val="20"/>
              </w:rPr>
              <w:t xml:space="preserve">Authority Required (STREAMLINED) [new code] </w:t>
            </w:r>
          </w:p>
        </w:tc>
      </w:tr>
      <w:tr w:rsidR="009A5A5C" w:rsidRPr="001C05C6" w14:paraId="32A087DE" w14:textId="77777777" w:rsidTr="008B3C91">
        <w:trPr>
          <w:cantSplit/>
          <w:trHeight w:val="20"/>
        </w:trPr>
        <w:tc>
          <w:tcPr>
            <w:tcW w:w="1277" w:type="dxa"/>
            <w:gridSpan w:val="2"/>
            <w:vMerge/>
            <w:tcBorders>
              <w:left w:val="single" w:sz="4" w:space="0" w:color="auto"/>
              <w:bottom w:val="single" w:sz="4" w:space="0" w:color="auto"/>
              <w:right w:val="single" w:sz="4" w:space="0" w:color="auto"/>
            </w:tcBorders>
            <w:vAlign w:val="center"/>
          </w:tcPr>
          <w:p w14:paraId="3CC60B22" w14:textId="77777777" w:rsidR="009A5A5C" w:rsidRPr="006B6F1D" w:rsidRDefault="009A5A5C" w:rsidP="008B3C91">
            <w:pPr>
              <w:rPr>
                <w:rFonts w:ascii="Arial Narrow" w:hAnsi="Arial Narrow"/>
                <w:b/>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4A5F910" w14:textId="77777777" w:rsidR="009A5A5C" w:rsidRPr="00496E18" w:rsidRDefault="009A5A5C" w:rsidP="008B3C91">
            <w:pPr>
              <w:keepNext/>
              <w:keepLines/>
              <w:rPr>
                <w:rFonts w:ascii="Arial Narrow" w:hAnsi="Arial Narrow"/>
                <w:b/>
                <w:iCs/>
                <w:sz w:val="20"/>
                <w:szCs w:val="20"/>
              </w:rPr>
            </w:pPr>
            <w:r w:rsidRPr="00496E18">
              <w:rPr>
                <w:rFonts w:ascii="Arial Narrow" w:hAnsi="Arial Narrow"/>
                <w:b/>
                <w:iCs/>
                <w:sz w:val="20"/>
                <w:szCs w:val="20"/>
              </w:rPr>
              <w:t xml:space="preserve">Authority type: </w:t>
            </w:r>
          </w:p>
          <w:p w14:paraId="3E5088E5" w14:textId="77777777" w:rsidR="009A5A5C" w:rsidRPr="006B6F1D" w:rsidRDefault="009A5A5C" w:rsidP="008B3C91">
            <w:pPr>
              <w:keepNext/>
              <w:keepLines/>
              <w:rPr>
                <w:rFonts w:ascii="Arial Narrow" w:hAnsi="Arial Narrow"/>
                <w:b/>
                <w:iCs/>
                <w:sz w:val="20"/>
                <w:szCs w:val="20"/>
              </w:rPr>
            </w:pPr>
            <w:r w:rsidRPr="006B6F1D">
              <w:rPr>
                <w:rFonts w:ascii="Arial Narrow" w:eastAsia="Calibri" w:hAnsi="Arial Narrow"/>
                <w:iCs/>
                <w:sz w:val="20"/>
                <w:szCs w:val="20"/>
              </w:rPr>
              <w:fldChar w:fldCharType="begin" w:fldLock="1">
                <w:ffData>
                  <w:name w:val=""/>
                  <w:enabled/>
                  <w:calcOnExit w:val="0"/>
                  <w:checkBox>
                    <w:sizeAuto/>
                    <w:default w:val="1"/>
                  </w:checkBox>
                </w:ffData>
              </w:fldChar>
            </w:r>
            <w:r w:rsidRPr="006B6F1D">
              <w:rPr>
                <w:rFonts w:ascii="Arial Narrow" w:eastAsia="Calibri" w:hAnsi="Arial Narrow"/>
                <w:iCs/>
                <w:sz w:val="20"/>
                <w:szCs w:val="20"/>
              </w:rPr>
              <w:instrText xml:space="preserve"> FORMCHECKBOX </w:instrText>
            </w:r>
            <w:r w:rsidRPr="006B6F1D">
              <w:rPr>
                <w:rFonts w:ascii="Arial Narrow" w:eastAsia="Calibri" w:hAnsi="Arial Narrow"/>
                <w:iCs/>
                <w:sz w:val="20"/>
                <w:szCs w:val="20"/>
              </w:rPr>
            </w:r>
            <w:r w:rsidRPr="006B6F1D">
              <w:rPr>
                <w:rFonts w:ascii="Arial Narrow" w:eastAsia="Calibri" w:hAnsi="Arial Narrow"/>
                <w:iCs/>
                <w:sz w:val="20"/>
                <w:szCs w:val="20"/>
              </w:rPr>
              <w:fldChar w:fldCharType="separate"/>
            </w:r>
            <w:r w:rsidRPr="006B6F1D">
              <w:rPr>
                <w:rFonts w:ascii="Arial Narrow" w:eastAsia="Calibri" w:hAnsi="Arial Narrow"/>
                <w:iCs/>
                <w:sz w:val="20"/>
                <w:szCs w:val="20"/>
              </w:rPr>
              <w:fldChar w:fldCharType="end"/>
            </w:r>
            <w:r>
              <w:rPr>
                <w:rFonts w:ascii="Arial Narrow" w:eastAsia="Calibri" w:hAnsi="Arial Narrow"/>
                <w:iCs/>
                <w:sz w:val="20"/>
                <w:szCs w:val="20"/>
              </w:rPr>
              <w:t xml:space="preserve"> </w:t>
            </w:r>
            <w:r w:rsidRPr="00496E18">
              <w:rPr>
                <w:rFonts w:ascii="Arial Narrow" w:hAnsi="Arial Narrow"/>
                <w:bCs/>
                <w:iCs/>
                <w:sz w:val="20"/>
                <w:szCs w:val="20"/>
              </w:rPr>
              <w:t>Non-complex Authority Required (non-CAR)</w:t>
            </w:r>
          </w:p>
        </w:tc>
      </w:tr>
      <w:tr w:rsidR="009A5A5C" w:rsidRPr="001C05C6" w14:paraId="59F7363F" w14:textId="77777777" w:rsidTr="00161CA4">
        <w:trPr>
          <w:cantSplit/>
          <w:trHeight w:val="20"/>
        </w:trPr>
        <w:tc>
          <w:tcPr>
            <w:tcW w:w="637"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3891ED9" w14:textId="42CC584D" w:rsidR="009A5A5C" w:rsidRPr="004538F5" w:rsidRDefault="009A5A5C" w:rsidP="008B3C91">
            <w:pPr>
              <w:rPr>
                <w:rFonts w:ascii="Arial Narrow" w:eastAsiaTheme="minorHAnsi" w:hAnsi="Arial Narrow"/>
                <w:iCs/>
                <w:sz w:val="20"/>
                <w:szCs w:val="20"/>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4E714472" w14:textId="5E42C6AA" w:rsidR="009A5A5C" w:rsidRPr="006B6F1D" w:rsidRDefault="009A5A5C" w:rsidP="008B3C91">
            <w:pP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A5BAC8B" w14:textId="77777777" w:rsidR="009A5A5C" w:rsidRPr="006B6F1D" w:rsidRDefault="009A5A5C" w:rsidP="008B3C91">
            <w:pPr>
              <w:keepNext/>
              <w:keepLines/>
              <w:rPr>
                <w:rFonts w:ascii="Arial Narrow" w:hAnsi="Arial Narrow"/>
                <w:b/>
                <w:iCs/>
                <w:sz w:val="20"/>
                <w:szCs w:val="20"/>
              </w:rPr>
            </w:pPr>
            <w:r w:rsidRPr="006B6F1D">
              <w:rPr>
                <w:rFonts w:ascii="Arial Narrow" w:hAnsi="Arial Narrow"/>
                <w:b/>
                <w:bCs/>
                <w:iCs/>
                <w:color w:val="333333"/>
                <w:sz w:val="20"/>
                <w:szCs w:val="20"/>
              </w:rPr>
              <w:t xml:space="preserve">Administrative Advice: </w:t>
            </w:r>
            <w:r w:rsidRPr="006B6F1D">
              <w:rPr>
                <w:rFonts w:ascii="Arial Narrow" w:hAnsi="Arial Narrow"/>
                <w:iCs/>
                <w:color w:val="333333"/>
                <w:sz w:val="20"/>
                <w:szCs w:val="20"/>
              </w:rPr>
              <w:t>Special Pricing Arrangements apply.</w:t>
            </w:r>
          </w:p>
        </w:tc>
      </w:tr>
      <w:tr w:rsidR="009A5A5C" w:rsidRPr="001C05C6" w14:paraId="2A5C0F85"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BE90259" w14:textId="77777777" w:rsidR="009A5A5C" w:rsidRPr="006B6F1D" w:rsidRDefault="009A5A5C" w:rsidP="008B3C91">
            <w:pPr>
              <w:rPr>
                <w:rFonts w:ascii="Arial Narrow" w:hAnsi="Arial Narrow"/>
                <w:b/>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50C0D04" w14:textId="77777777" w:rsidR="009A5A5C" w:rsidRPr="006B6F1D" w:rsidRDefault="009A5A5C" w:rsidP="008B3C91">
            <w:pPr>
              <w:rPr>
                <w:rFonts w:ascii="Arial Narrow" w:hAnsi="Arial Narrow"/>
                <w:iCs/>
                <w:sz w:val="20"/>
                <w:szCs w:val="20"/>
              </w:rPr>
            </w:pPr>
            <w:r w:rsidRPr="006B6F1D">
              <w:rPr>
                <w:rFonts w:ascii="Arial Narrow" w:hAnsi="Arial Narrow"/>
                <w:b/>
                <w:bCs/>
                <w:iCs/>
                <w:sz w:val="20"/>
                <w:szCs w:val="20"/>
              </w:rPr>
              <w:t xml:space="preserve">Severity: </w:t>
            </w:r>
            <w:r w:rsidRPr="006B6F1D">
              <w:rPr>
                <w:rFonts w:ascii="Arial Narrow" w:hAnsi="Arial Narrow" w:cstheme="minorHAnsi"/>
                <w:iCs/>
                <w:sz w:val="20"/>
                <w:szCs w:val="20"/>
              </w:rPr>
              <w:t>Advanced</w:t>
            </w:r>
          </w:p>
        </w:tc>
      </w:tr>
      <w:tr w:rsidR="009A5A5C" w:rsidRPr="001C05C6" w14:paraId="3FED6334"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8CC3C95" w14:textId="77777777" w:rsidR="009A5A5C" w:rsidRPr="006B6F1D"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E3CDCBF" w14:textId="77777777" w:rsidR="009A5A5C" w:rsidRPr="006B6F1D" w:rsidRDefault="009A5A5C" w:rsidP="008B3C91">
            <w:pPr>
              <w:rPr>
                <w:rFonts w:ascii="Arial Narrow" w:hAnsi="Arial Narrow"/>
                <w:b/>
                <w:bCs/>
                <w:iCs/>
                <w:sz w:val="20"/>
                <w:szCs w:val="20"/>
              </w:rPr>
            </w:pPr>
            <w:r w:rsidRPr="006B6F1D">
              <w:rPr>
                <w:rFonts w:ascii="Arial Narrow" w:hAnsi="Arial Narrow"/>
                <w:b/>
                <w:bCs/>
                <w:iCs/>
                <w:sz w:val="20"/>
                <w:szCs w:val="20"/>
              </w:rPr>
              <w:t xml:space="preserve">Condition: </w:t>
            </w:r>
            <w:r w:rsidRPr="006B6F1D">
              <w:rPr>
                <w:rFonts w:ascii="Arial Narrow" w:hAnsi="Arial Narrow" w:cstheme="minorHAnsi"/>
                <w:iCs/>
                <w:sz w:val="20"/>
                <w:szCs w:val="20"/>
              </w:rPr>
              <w:t>Parkinson Disease</w:t>
            </w:r>
          </w:p>
        </w:tc>
      </w:tr>
      <w:tr w:rsidR="009A5A5C" w:rsidRPr="001C05C6" w14:paraId="5AA71042"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103973D" w14:textId="5F6575B4" w:rsidR="009A5A5C" w:rsidRPr="006B6F1D"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1CDAE5D" w14:textId="77777777" w:rsidR="009A5A5C" w:rsidRPr="006B6F1D" w:rsidRDefault="009A5A5C" w:rsidP="008B3C91">
            <w:pPr>
              <w:rPr>
                <w:rFonts w:ascii="Arial Narrow" w:hAnsi="Arial Narrow"/>
                <w:b/>
                <w:bCs/>
                <w:iCs/>
                <w:color w:val="333333"/>
                <w:sz w:val="20"/>
                <w:szCs w:val="20"/>
              </w:rPr>
            </w:pPr>
            <w:r w:rsidRPr="006B6F1D">
              <w:rPr>
                <w:rFonts w:ascii="Arial Narrow" w:hAnsi="Arial Narrow"/>
                <w:b/>
                <w:bCs/>
                <w:iCs/>
                <w:color w:val="333333"/>
                <w:sz w:val="20"/>
                <w:szCs w:val="20"/>
              </w:rPr>
              <w:t>Indication:</w:t>
            </w:r>
            <w:r w:rsidRPr="006B6F1D">
              <w:rPr>
                <w:rFonts w:ascii="Arial Narrow" w:hAnsi="Arial Narrow"/>
                <w:iCs/>
                <w:color w:val="333333"/>
                <w:sz w:val="20"/>
                <w:szCs w:val="20"/>
              </w:rPr>
              <w:t xml:space="preserve"> </w:t>
            </w:r>
            <w:r w:rsidRPr="006B6F1D">
              <w:rPr>
                <w:rFonts w:ascii="Arial Narrow" w:hAnsi="Arial Narrow" w:cstheme="minorHAnsi"/>
                <w:iCs/>
                <w:sz w:val="20"/>
                <w:szCs w:val="20"/>
              </w:rPr>
              <w:t>Advanced Parkinson disease</w:t>
            </w:r>
          </w:p>
        </w:tc>
      </w:tr>
      <w:tr w:rsidR="009A5A5C" w:rsidRPr="001C05C6" w14:paraId="2032C6BE"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279216" w14:textId="526167EF" w:rsidR="009A5A5C" w:rsidRPr="006B6F1D" w:rsidRDefault="009A5A5C" w:rsidP="008B3C91">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71C353A" w14:textId="77777777" w:rsidR="009A5A5C" w:rsidRPr="006B6F1D" w:rsidRDefault="009A5A5C" w:rsidP="008B3C91">
            <w:pPr>
              <w:rPr>
                <w:rFonts w:ascii="Arial Narrow" w:hAnsi="Arial Narrow"/>
                <w:b/>
                <w:bCs/>
                <w:iCs/>
                <w:sz w:val="20"/>
                <w:szCs w:val="20"/>
              </w:rPr>
            </w:pPr>
            <w:r w:rsidRPr="006B6F1D">
              <w:rPr>
                <w:rFonts w:ascii="Arial Narrow" w:hAnsi="Arial Narrow"/>
                <w:b/>
                <w:bCs/>
                <w:iCs/>
                <w:sz w:val="20"/>
                <w:szCs w:val="20"/>
              </w:rPr>
              <w:t xml:space="preserve">Clinical criteria: </w:t>
            </w:r>
          </w:p>
        </w:tc>
      </w:tr>
      <w:tr w:rsidR="009A5A5C" w:rsidRPr="001C05C6" w14:paraId="3FF2A129"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6FF243D" w14:textId="7DDD2B17" w:rsidR="009A5A5C" w:rsidRPr="006B6F1D" w:rsidRDefault="009A5A5C" w:rsidP="008B3C91">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1E215D" w14:textId="77777777" w:rsidR="009A5A5C" w:rsidRPr="006B6F1D" w:rsidRDefault="009A5A5C" w:rsidP="008B3C91">
            <w:pPr>
              <w:rPr>
                <w:rFonts w:ascii="Arial Narrow" w:hAnsi="Arial Narrow"/>
                <w:b/>
                <w:bCs/>
                <w:iCs/>
                <w:sz w:val="20"/>
                <w:szCs w:val="20"/>
              </w:rPr>
            </w:pPr>
            <w:r w:rsidRPr="0048153C">
              <w:rPr>
                <w:rFonts w:ascii="Arial Narrow" w:hAnsi="Arial Narrow"/>
                <w:sz w:val="20"/>
                <w:szCs w:val="20"/>
              </w:rPr>
              <w:t>Patient must have severe disabling motor fluctuations not adequately controlled by at least one of: (i) oral therapy; (ii) intestinal gel formulation containing levodopa.</w:t>
            </w:r>
          </w:p>
        </w:tc>
      </w:tr>
      <w:tr w:rsidR="009A5A5C" w:rsidRPr="001C05C6" w14:paraId="05EB7759"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A1D7A75" w14:textId="77777777" w:rsidR="009A5A5C" w:rsidRPr="006B6F1D"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7EFCF2B" w14:textId="77777777" w:rsidR="009A5A5C" w:rsidRPr="006B6F1D" w:rsidRDefault="009A5A5C" w:rsidP="008B3C91">
            <w:pPr>
              <w:rPr>
                <w:rFonts w:ascii="Arial Narrow" w:hAnsi="Arial Narrow"/>
                <w:iCs/>
                <w:sz w:val="20"/>
                <w:szCs w:val="20"/>
              </w:rPr>
            </w:pPr>
            <w:r w:rsidRPr="006B6F1D">
              <w:rPr>
                <w:rFonts w:ascii="Arial Narrow" w:hAnsi="Arial Narrow"/>
                <w:b/>
                <w:bCs/>
                <w:iCs/>
                <w:sz w:val="20"/>
                <w:szCs w:val="20"/>
              </w:rPr>
              <w:t>AND</w:t>
            </w:r>
          </w:p>
        </w:tc>
      </w:tr>
      <w:tr w:rsidR="009A5A5C" w:rsidRPr="001C05C6" w14:paraId="788320A4"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54E32D3" w14:textId="28CB0772" w:rsidR="009A5A5C" w:rsidRPr="006B6F1D"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400A9EA" w14:textId="77777777" w:rsidR="009A5A5C" w:rsidRPr="006B6F1D" w:rsidRDefault="009A5A5C" w:rsidP="008B3C91">
            <w:pPr>
              <w:rPr>
                <w:rFonts w:ascii="Arial Narrow" w:hAnsi="Arial Narrow"/>
                <w:b/>
                <w:bCs/>
                <w:iCs/>
                <w:sz w:val="20"/>
                <w:szCs w:val="20"/>
              </w:rPr>
            </w:pPr>
            <w:r w:rsidRPr="006B6F1D">
              <w:rPr>
                <w:rFonts w:ascii="Arial Narrow" w:hAnsi="Arial Narrow"/>
                <w:b/>
                <w:bCs/>
                <w:iCs/>
                <w:sz w:val="20"/>
                <w:szCs w:val="20"/>
              </w:rPr>
              <w:t>Clinical criteria:</w:t>
            </w:r>
          </w:p>
        </w:tc>
      </w:tr>
      <w:tr w:rsidR="009A5A5C" w:rsidRPr="001C05C6" w14:paraId="252CF319"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9881AFA" w14:textId="0FE95E15" w:rsidR="009A5A5C" w:rsidRPr="006B6F1D"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57FDC22" w14:textId="77777777" w:rsidR="009A5A5C" w:rsidRPr="006B6F1D" w:rsidRDefault="009A5A5C" w:rsidP="008B3C91">
            <w:pPr>
              <w:rPr>
                <w:rFonts w:ascii="Arial Narrow" w:hAnsi="Arial Narrow"/>
                <w:b/>
                <w:bCs/>
                <w:iCs/>
                <w:sz w:val="20"/>
                <w:szCs w:val="20"/>
              </w:rPr>
            </w:pPr>
            <w:r w:rsidRPr="006B6F1D">
              <w:rPr>
                <w:rFonts w:ascii="Arial Narrow" w:hAnsi="Arial Narrow"/>
                <w:iCs/>
                <w:sz w:val="20"/>
                <w:szCs w:val="20"/>
              </w:rPr>
              <w:t>The treatment must be commenced in a hospital-based movement disorder clinic</w:t>
            </w:r>
            <w:r>
              <w:rPr>
                <w:rFonts w:ascii="Arial Narrow" w:hAnsi="Arial Narrow"/>
                <w:iCs/>
                <w:sz w:val="20"/>
                <w:szCs w:val="20"/>
              </w:rPr>
              <w:t>.</w:t>
            </w:r>
          </w:p>
        </w:tc>
      </w:tr>
      <w:tr w:rsidR="009A5A5C" w:rsidRPr="001C05C6" w14:paraId="24324322"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876CB64" w14:textId="77777777" w:rsidR="009A5A5C" w:rsidRPr="006B6F1D"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6595D8" w14:textId="77777777" w:rsidR="009A5A5C" w:rsidRPr="006B6F1D" w:rsidRDefault="009A5A5C" w:rsidP="008B3C91">
            <w:pPr>
              <w:rPr>
                <w:rFonts w:ascii="Arial Narrow" w:hAnsi="Arial Narrow"/>
                <w:iCs/>
                <w:sz w:val="20"/>
                <w:szCs w:val="20"/>
              </w:rPr>
            </w:pPr>
            <w:r w:rsidRPr="006B6F1D">
              <w:rPr>
                <w:rFonts w:ascii="Arial Narrow" w:hAnsi="Arial Narrow"/>
                <w:b/>
                <w:bCs/>
                <w:iCs/>
                <w:color w:val="333333"/>
                <w:sz w:val="20"/>
                <w:szCs w:val="20"/>
              </w:rPr>
              <w:t>AND</w:t>
            </w:r>
          </w:p>
        </w:tc>
      </w:tr>
      <w:tr w:rsidR="009A5A5C" w:rsidRPr="001C05C6" w14:paraId="60CEF61F"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74623A7" w14:textId="06CB11EA" w:rsidR="009A5A5C" w:rsidRPr="006B6F1D"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8D28F45" w14:textId="77777777" w:rsidR="009A5A5C" w:rsidRPr="006B6F1D" w:rsidRDefault="009A5A5C" w:rsidP="008B3C91">
            <w:pPr>
              <w:rPr>
                <w:rFonts w:ascii="Arial Narrow" w:hAnsi="Arial Narrow"/>
                <w:iCs/>
                <w:sz w:val="20"/>
                <w:szCs w:val="20"/>
              </w:rPr>
            </w:pPr>
            <w:r w:rsidRPr="006B6F1D">
              <w:rPr>
                <w:rFonts w:ascii="Arial Narrow" w:hAnsi="Arial Narrow"/>
                <w:b/>
                <w:bCs/>
                <w:iCs/>
                <w:sz w:val="20"/>
                <w:szCs w:val="20"/>
              </w:rPr>
              <w:t>Clinical criteria:</w:t>
            </w:r>
          </w:p>
        </w:tc>
      </w:tr>
      <w:tr w:rsidR="009A5A5C" w:rsidRPr="001C05C6" w14:paraId="275AC365"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C4FBF8" w14:textId="377B0005" w:rsidR="009A5A5C" w:rsidRPr="006B6F1D"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034AD5" w14:textId="77777777" w:rsidR="009A5A5C" w:rsidRPr="006B6F1D" w:rsidRDefault="009A5A5C" w:rsidP="008B3C91">
            <w:pPr>
              <w:rPr>
                <w:rFonts w:ascii="Arial Narrow" w:hAnsi="Arial Narrow"/>
                <w:iCs/>
                <w:sz w:val="20"/>
                <w:szCs w:val="20"/>
              </w:rPr>
            </w:pPr>
            <w:r w:rsidRPr="006B6F1D">
              <w:rPr>
                <w:rFonts w:ascii="Arial Narrow" w:hAnsi="Arial Narrow"/>
                <w:iCs/>
                <w:sz w:val="20"/>
                <w:szCs w:val="20"/>
              </w:rPr>
              <w:t>Patient must require continuous administration of levodopa without an overnight break; or</w:t>
            </w:r>
          </w:p>
        </w:tc>
      </w:tr>
      <w:tr w:rsidR="009A5A5C" w:rsidRPr="001C05C6" w14:paraId="38D40BEF"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06B063" w14:textId="04BC9AA2" w:rsidR="009A5A5C" w:rsidRPr="006B6F1D"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BA9B6BB" w14:textId="77777777" w:rsidR="009A5A5C" w:rsidRPr="006B6F1D" w:rsidRDefault="009A5A5C" w:rsidP="008B3C91">
            <w:pPr>
              <w:rPr>
                <w:rFonts w:ascii="Arial Narrow" w:hAnsi="Arial Narrow"/>
                <w:iCs/>
                <w:sz w:val="20"/>
                <w:szCs w:val="20"/>
              </w:rPr>
            </w:pPr>
            <w:r w:rsidRPr="006B6F1D">
              <w:rPr>
                <w:rFonts w:ascii="Arial Narrow" w:hAnsi="Arial Narrow"/>
                <w:iCs/>
                <w:sz w:val="20"/>
                <w:szCs w:val="20"/>
              </w:rPr>
              <w:t>Patient must require a total daily dose of more than 940 mg of levodopa</w:t>
            </w:r>
            <w:r>
              <w:rPr>
                <w:rFonts w:ascii="Arial Narrow" w:hAnsi="Arial Narrow"/>
                <w:iCs/>
                <w:sz w:val="20"/>
                <w:szCs w:val="20"/>
              </w:rPr>
              <w:t>.</w:t>
            </w:r>
          </w:p>
        </w:tc>
      </w:tr>
      <w:tr w:rsidR="009A5A5C" w:rsidRPr="001C05C6" w14:paraId="721D16CA"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DAAE29" w14:textId="5284F205" w:rsidR="009A5A5C" w:rsidRPr="004B1ED9" w:rsidRDefault="009A5A5C" w:rsidP="008B3C91">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55828AC" w14:textId="77777777" w:rsidR="009A5A5C" w:rsidRPr="004B1ED9" w:rsidRDefault="009A5A5C" w:rsidP="008B3C91">
            <w:pPr>
              <w:rPr>
                <w:rFonts w:ascii="Arial Narrow" w:hAnsi="Arial Narrow"/>
                <w:iCs/>
                <w:sz w:val="20"/>
                <w:szCs w:val="20"/>
              </w:rPr>
            </w:pPr>
            <w:r w:rsidRPr="004B1ED9">
              <w:rPr>
                <w:rFonts w:ascii="Arial Narrow" w:hAnsi="Arial Narrow"/>
                <w:b/>
                <w:bCs/>
                <w:iCs/>
                <w:sz w:val="20"/>
                <w:szCs w:val="20"/>
              </w:rPr>
              <w:t>Administrative advice:</w:t>
            </w:r>
            <w:r w:rsidRPr="004B1ED9">
              <w:rPr>
                <w:rFonts w:ascii="Arial Narrow" w:hAnsi="Arial Narrow"/>
                <w:iCs/>
                <w:sz w:val="20"/>
                <w:szCs w:val="20"/>
              </w:rPr>
              <w:t xml:space="preserve"> Patient should have adequate cognitive function to manage administration with a portable continuous infusion pump.</w:t>
            </w:r>
          </w:p>
        </w:tc>
      </w:tr>
    </w:tbl>
    <w:p w14:paraId="5E0EB2A0" w14:textId="216E84B6" w:rsidR="009A5A5C" w:rsidRPr="004538F5" w:rsidRDefault="009A5A5C" w:rsidP="009A5A5C">
      <w:pPr>
        <w:pStyle w:val="3-BodyText"/>
        <w:numPr>
          <w:ilvl w:val="0"/>
          <w:numId w:val="0"/>
        </w:numPr>
        <w:rPr>
          <w:rFonts w:ascii="Arial Narrow" w:hAnsi="Arial Narrow"/>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40"/>
        <w:gridCol w:w="2120"/>
        <w:gridCol w:w="1276"/>
        <w:gridCol w:w="851"/>
        <w:gridCol w:w="991"/>
        <w:gridCol w:w="673"/>
        <w:gridCol w:w="1828"/>
      </w:tblGrid>
      <w:tr w:rsidR="006770B5" w:rsidRPr="001C05C6" w14:paraId="6F6E839D" w14:textId="77777777" w:rsidTr="006770B5">
        <w:trPr>
          <w:cantSplit/>
          <w:trHeight w:val="20"/>
        </w:trPr>
        <w:tc>
          <w:tcPr>
            <w:tcW w:w="3397" w:type="dxa"/>
            <w:gridSpan w:val="3"/>
            <w:tcBorders>
              <w:top w:val="single" w:sz="4" w:space="0" w:color="auto"/>
              <w:left w:val="single" w:sz="4" w:space="0" w:color="auto"/>
              <w:bottom w:val="single" w:sz="4" w:space="0" w:color="auto"/>
              <w:right w:val="single" w:sz="4" w:space="0" w:color="auto"/>
            </w:tcBorders>
            <w:vAlign w:val="center"/>
            <w:hideMark/>
          </w:tcPr>
          <w:p w14:paraId="74E78DC5" w14:textId="77777777" w:rsidR="006770B5" w:rsidRPr="001C05C6" w:rsidRDefault="006770B5" w:rsidP="008B3C91">
            <w:pPr>
              <w:keepLines/>
              <w:rPr>
                <w:rFonts w:ascii="Arial Narrow" w:hAnsi="Arial Narrow"/>
                <w:b/>
                <w:bCs/>
                <w:iCs/>
                <w:sz w:val="20"/>
                <w:szCs w:val="20"/>
              </w:rPr>
            </w:pPr>
            <w:r w:rsidRPr="001C05C6">
              <w:rPr>
                <w:rFonts w:ascii="Arial Narrow" w:hAnsi="Arial Narrow"/>
                <w:b/>
                <w:bCs/>
                <w:iCs/>
                <w:sz w:val="20"/>
                <w:szCs w:val="20"/>
              </w:rPr>
              <w:t>MEDICINAL PRODUCT</w:t>
            </w:r>
          </w:p>
          <w:p w14:paraId="7236C31D" w14:textId="77777777" w:rsidR="006770B5" w:rsidRPr="001C05C6" w:rsidRDefault="006770B5" w:rsidP="008B3C91">
            <w:pPr>
              <w:keepLines/>
              <w:rPr>
                <w:rFonts w:ascii="Arial Narrow" w:hAnsi="Arial Narrow"/>
                <w:b/>
                <w:iCs/>
                <w:sz w:val="20"/>
                <w:szCs w:val="20"/>
              </w:rPr>
            </w:pPr>
            <w:r w:rsidRPr="001C05C6">
              <w:rPr>
                <w:rFonts w:ascii="Arial Narrow" w:hAnsi="Arial Narrow"/>
                <w:b/>
                <w:bCs/>
                <w:iCs/>
                <w:sz w:val="20"/>
                <w:szCs w:val="20"/>
              </w:rPr>
              <w:t>medicinal product pack</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99A428" w14:textId="35DE99B7" w:rsidR="006770B5" w:rsidRPr="001C05C6" w:rsidRDefault="006770B5" w:rsidP="008B3C91">
            <w:pPr>
              <w:keepLines/>
              <w:jc w:val="center"/>
              <w:rPr>
                <w:rFonts w:ascii="Arial Narrow" w:hAnsi="Arial Narrow"/>
                <w:b/>
                <w:iCs/>
                <w:sz w:val="20"/>
                <w:szCs w:val="20"/>
              </w:rPr>
            </w:pPr>
            <w:r w:rsidRPr="001C05C6">
              <w:rPr>
                <w:rFonts w:ascii="Arial Narrow" w:hAnsi="Arial Narrow"/>
                <w:b/>
                <w:iCs/>
                <w:sz w:val="20"/>
                <w:szCs w:val="20"/>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3B52F7" w14:textId="77777777" w:rsidR="006770B5" w:rsidRPr="001C05C6" w:rsidRDefault="006770B5" w:rsidP="008B3C91">
            <w:pPr>
              <w:keepLines/>
              <w:jc w:val="center"/>
              <w:rPr>
                <w:rFonts w:ascii="Arial Narrow" w:hAnsi="Arial Narrow"/>
                <w:b/>
                <w:iCs/>
                <w:sz w:val="20"/>
                <w:szCs w:val="20"/>
              </w:rPr>
            </w:pPr>
            <w:r w:rsidRPr="001C05C6">
              <w:rPr>
                <w:rFonts w:ascii="Arial Narrow" w:hAnsi="Arial Narrow"/>
                <w:b/>
                <w:iCs/>
                <w:sz w:val="20"/>
                <w:szCs w:val="20"/>
              </w:rPr>
              <w:t>Max. qty packs</w:t>
            </w:r>
          </w:p>
        </w:tc>
        <w:tc>
          <w:tcPr>
            <w:tcW w:w="991" w:type="dxa"/>
            <w:tcBorders>
              <w:top w:val="single" w:sz="4" w:space="0" w:color="auto"/>
              <w:left w:val="single" w:sz="4" w:space="0" w:color="auto"/>
              <w:bottom w:val="single" w:sz="4" w:space="0" w:color="auto"/>
              <w:right w:val="single" w:sz="4" w:space="0" w:color="auto"/>
            </w:tcBorders>
            <w:vAlign w:val="center"/>
            <w:hideMark/>
          </w:tcPr>
          <w:p w14:paraId="0AEAD607" w14:textId="77777777" w:rsidR="006770B5" w:rsidRPr="001C05C6" w:rsidRDefault="006770B5" w:rsidP="008B3C91">
            <w:pPr>
              <w:keepLines/>
              <w:jc w:val="center"/>
              <w:rPr>
                <w:rFonts w:ascii="Arial Narrow" w:hAnsi="Arial Narrow"/>
                <w:b/>
                <w:iCs/>
                <w:sz w:val="20"/>
                <w:szCs w:val="20"/>
              </w:rPr>
            </w:pPr>
            <w:r w:rsidRPr="001C05C6">
              <w:rPr>
                <w:rFonts w:ascii="Arial Narrow" w:hAnsi="Arial Narrow"/>
                <w:b/>
                <w:iCs/>
                <w:sz w:val="20"/>
                <w:szCs w:val="20"/>
              </w:rPr>
              <w:t>Max. qty units</w:t>
            </w:r>
          </w:p>
        </w:tc>
        <w:tc>
          <w:tcPr>
            <w:tcW w:w="673" w:type="dxa"/>
            <w:tcBorders>
              <w:top w:val="single" w:sz="4" w:space="0" w:color="auto"/>
              <w:left w:val="single" w:sz="4" w:space="0" w:color="auto"/>
              <w:bottom w:val="single" w:sz="4" w:space="0" w:color="auto"/>
              <w:right w:val="single" w:sz="4" w:space="0" w:color="auto"/>
            </w:tcBorders>
            <w:vAlign w:val="center"/>
            <w:hideMark/>
          </w:tcPr>
          <w:p w14:paraId="6E218D9A" w14:textId="77777777" w:rsidR="006770B5" w:rsidRPr="001C05C6" w:rsidRDefault="006770B5" w:rsidP="008B3C91">
            <w:pPr>
              <w:keepLines/>
              <w:jc w:val="center"/>
              <w:rPr>
                <w:rFonts w:ascii="Arial Narrow" w:hAnsi="Arial Narrow"/>
                <w:b/>
                <w:iCs/>
                <w:sz w:val="20"/>
                <w:szCs w:val="20"/>
              </w:rPr>
            </w:pPr>
            <w:r w:rsidRPr="001C05C6">
              <w:rPr>
                <w:rFonts w:ascii="Arial Narrow" w:hAnsi="Arial Narrow"/>
                <w:b/>
                <w:iCs/>
                <w:sz w:val="20"/>
                <w:szCs w:val="20"/>
              </w:rPr>
              <w:t>№.of</w:t>
            </w:r>
          </w:p>
          <w:p w14:paraId="18423C97" w14:textId="77777777" w:rsidR="006770B5" w:rsidRPr="001C05C6" w:rsidRDefault="006770B5" w:rsidP="008B3C91">
            <w:pPr>
              <w:keepLines/>
              <w:jc w:val="center"/>
              <w:rPr>
                <w:rFonts w:ascii="Arial Narrow" w:hAnsi="Arial Narrow"/>
                <w:b/>
                <w:iCs/>
                <w:sz w:val="20"/>
                <w:szCs w:val="20"/>
              </w:rPr>
            </w:pPr>
            <w:r w:rsidRPr="001C05C6">
              <w:rPr>
                <w:rFonts w:ascii="Arial Narrow" w:hAnsi="Arial Narrow"/>
                <w:b/>
                <w:iCs/>
                <w:sz w:val="20"/>
                <w:szCs w:val="20"/>
              </w:rPr>
              <w:t>Rpts</w:t>
            </w:r>
          </w:p>
        </w:tc>
        <w:tc>
          <w:tcPr>
            <w:tcW w:w="1828" w:type="dxa"/>
            <w:tcBorders>
              <w:top w:val="single" w:sz="4" w:space="0" w:color="auto"/>
              <w:left w:val="single" w:sz="4" w:space="0" w:color="auto"/>
              <w:bottom w:val="single" w:sz="4" w:space="0" w:color="auto"/>
              <w:right w:val="single" w:sz="4" w:space="0" w:color="auto"/>
            </w:tcBorders>
            <w:vAlign w:val="center"/>
            <w:hideMark/>
          </w:tcPr>
          <w:p w14:paraId="401B3935" w14:textId="6A824637" w:rsidR="006770B5" w:rsidRPr="007F0649" w:rsidRDefault="006770B5" w:rsidP="008B3C91">
            <w:pPr>
              <w:keepLines/>
              <w:rPr>
                <w:rFonts w:ascii="Arial Narrow" w:hAnsi="Arial Narrow"/>
                <w:b/>
                <w:iCs/>
                <w:sz w:val="20"/>
                <w:szCs w:val="20"/>
              </w:rPr>
            </w:pPr>
            <w:r w:rsidRPr="001C05C6">
              <w:rPr>
                <w:rFonts w:ascii="Arial Narrow" w:hAnsi="Arial Narrow"/>
                <w:b/>
                <w:iCs/>
                <w:sz w:val="20"/>
                <w:szCs w:val="20"/>
              </w:rPr>
              <w:t>Available brands</w:t>
            </w:r>
            <w:r>
              <w:rPr>
                <w:rFonts w:ascii="Arial Narrow" w:hAnsi="Arial Narrow"/>
                <w:b/>
                <w:iCs/>
                <w:sz w:val="20"/>
                <w:szCs w:val="20"/>
              </w:rPr>
              <w:t>/ Manufacturer</w:t>
            </w:r>
          </w:p>
        </w:tc>
      </w:tr>
      <w:tr w:rsidR="009A5A5C" w:rsidRPr="001C05C6" w14:paraId="30FE48A8" w14:textId="77777777" w:rsidTr="008B3C91">
        <w:trPr>
          <w:cantSplit/>
          <w:trHeight w:val="20"/>
        </w:trPr>
        <w:tc>
          <w:tcPr>
            <w:tcW w:w="9016" w:type="dxa"/>
            <w:gridSpan w:val="8"/>
            <w:tcBorders>
              <w:top w:val="single" w:sz="4" w:space="0" w:color="auto"/>
              <w:left w:val="single" w:sz="4" w:space="0" w:color="auto"/>
              <w:bottom w:val="single" w:sz="4" w:space="0" w:color="auto"/>
              <w:right w:val="single" w:sz="4" w:space="0" w:color="auto"/>
            </w:tcBorders>
            <w:vAlign w:val="center"/>
            <w:hideMark/>
          </w:tcPr>
          <w:p w14:paraId="7DBC044F" w14:textId="77777777" w:rsidR="009A5A5C" w:rsidRPr="001C05C6" w:rsidRDefault="009A5A5C" w:rsidP="008B3C91">
            <w:pPr>
              <w:keepLines/>
              <w:rPr>
                <w:rFonts w:ascii="Arial Narrow" w:hAnsi="Arial Narrow"/>
                <w:iCs/>
                <w:sz w:val="20"/>
                <w:szCs w:val="20"/>
              </w:rPr>
            </w:pPr>
            <w:r w:rsidRPr="001C05C6">
              <w:rPr>
                <w:rFonts w:ascii="Arial Narrow" w:hAnsi="Arial Narrow"/>
                <w:iCs/>
                <w:sz w:val="20"/>
                <w:szCs w:val="20"/>
              </w:rPr>
              <w:t>LEVODOPA + CARBIDOPA + ENTACAPONE</w:t>
            </w:r>
          </w:p>
        </w:tc>
      </w:tr>
      <w:tr w:rsidR="006770B5" w:rsidRPr="001C05C6" w14:paraId="064D80EC" w14:textId="77777777" w:rsidTr="006770B5">
        <w:trPr>
          <w:cantSplit/>
          <w:trHeight w:val="20"/>
        </w:trPr>
        <w:tc>
          <w:tcPr>
            <w:tcW w:w="3397" w:type="dxa"/>
            <w:gridSpan w:val="3"/>
            <w:tcBorders>
              <w:top w:val="single" w:sz="4" w:space="0" w:color="auto"/>
              <w:left w:val="single" w:sz="4" w:space="0" w:color="auto"/>
              <w:bottom w:val="single" w:sz="4" w:space="0" w:color="auto"/>
              <w:right w:val="single" w:sz="4" w:space="0" w:color="auto"/>
            </w:tcBorders>
            <w:vAlign w:val="center"/>
            <w:hideMark/>
          </w:tcPr>
          <w:p w14:paraId="2636158C" w14:textId="77777777" w:rsidR="006770B5" w:rsidRPr="004538F5" w:rsidRDefault="006770B5" w:rsidP="008B3C91">
            <w:pPr>
              <w:keepLines/>
              <w:rPr>
                <w:rFonts w:ascii="Arial Narrow" w:hAnsi="Arial Narrow"/>
                <w:iCs/>
                <w:strike/>
                <w:sz w:val="20"/>
                <w:szCs w:val="20"/>
              </w:rPr>
            </w:pPr>
            <w:r w:rsidRPr="004538F5">
              <w:rPr>
                <w:rFonts w:ascii="Arial Narrow" w:hAnsi="Arial Narrow"/>
                <w:iCs/>
                <w:sz w:val="20"/>
                <w:szCs w:val="20"/>
              </w:rPr>
              <w:t>levodopa 20 mg/mL + carbidopa monohydrate 5 mg/mL + entacapone 20 mg/mL intestinal gel, 7 x 47 mL cartridges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13D00E" w14:textId="77777777" w:rsidR="006770B5" w:rsidRPr="004538F5" w:rsidRDefault="006770B5" w:rsidP="008B3C91">
            <w:pPr>
              <w:keepLines/>
              <w:jc w:val="center"/>
              <w:rPr>
                <w:rFonts w:ascii="Arial Narrow" w:hAnsi="Arial Narrow"/>
                <w:iCs/>
                <w:sz w:val="20"/>
                <w:szCs w:val="20"/>
              </w:rPr>
            </w:pPr>
            <w:r w:rsidRPr="004538F5">
              <w:rPr>
                <w:rFonts w:ascii="Arial Narrow" w:hAnsi="Arial Narrow"/>
                <w:iCs/>
                <w:sz w:val="20"/>
                <w:szCs w:val="20"/>
              </w:rPr>
              <w:t>NEW</w:t>
            </w:r>
          </w:p>
          <w:p w14:paraId="6B7EC713" w14:textId="33217836" w:rsidR="006770B5" w:rsidRPr="001C05C6" w:rsidRDefault="006770B5" w:rsidP="00205C6F">
            <w:pPr>
              <w:pStyle w:val="TableText"/>
              <w:keepLines/>
              <w:jc w:val="center"/>
              <w:rPr>
                <w:i/>
                <w:szCs w:val="20"/>
                <w:vertAlign w:val="superscript"/>
              </w:rPr>
            </w:pPr>
            <w:r w:rsidRPr="004538F5">
              <w:rPr>
                <w:iCs/>
                <w:szCs w:val="20"/>
                <w:vertAlign w:val="superscript"/>
              </w:rPr>
              <w:t xml:space="preserve"> MP NP</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A817D0" w14:textId="77777777" w:rsidR="006770B5" w:rsidRPr="001C05C6" w:rsidRDefault="006770B5" w:rsidP="008B3C91">
            <w:pPr>
              <w:keepLines/>
              <w:jc w:val="center"/>
              <w:rPr>
                <w:rFonts w:ascii="Arial Narrow" w:hAnsi="Arial Narrow"/>
                <w:iCs/>
                <w:sz w:val="20"/>
                <w:szCs w:val="20"/>
              </w:rPr>
            </w:pPr>
            <w:r w:rsidRPr="001C05C6">
              <w:rPr>
                <w:rFonts w:ascii="Arial Narrow" w:hAnsi="Arial Narrow"/>
                <w:iCs/>
                <w:sz w:val="20"/>
                <w:szCs w:val="20"/>
              </w:rPr>
              <w:t>4</w:t>
            </w:r>
          </w:p>
        </w:tc>
        <w:tc>
          <w:tcPr>
            <w:tcW w:w="991" w:type="dxa"/>
            <w:tcBorders>
              <w:top w:val="single" w:sz="4" w:space="0" w:color="auto"/>
              <w:left w:val="single" w:sz="4" w:space="0" w:color="auto"/>
              <w:bottom w:val="single" w:sz="4" w:space="0" w:color="auto"/>
              <w:right w:val="single" w:sz="4" w:space="0" w:color="auto"/>
            </w:tcBorders>
            <w:vAlign w:val="center"/>
            <w:hideMark/>
          </w:tcPr>
          <w:p w14:paraId="40A686C4" w14:textId="77777777" w:rsidR="006770B5" w:rsidRPr="001C05C6" w:rsidRDefault="006770B5" w:rsidP="008B3C91">
            <w:pPr>
              <w:keepLines/>
              <w:jc w:val="center"/>
              <w:rPr>
                <w:rFonts w:ascii="Arial Narrow" w:hAnsi="Arial Narrow"/>
                <w:iCs/>
                <w:sz w:val="20"/>
                <w:szCs w:val="20"/>
              </w:rPr>
            </w:pPr>
            <w:r w:rsidRPr="001C05C6">
              <w:rPr>
                <w:rFonts w:ascii="Arial Narrow" w:hAnsi="Arial Narrow"/>
                <w:iCs/>
                <w:sz w:val="20"/>
                <w:szCs w:val="20"/>
              </w:rPr>
              <w:t xml:space="preserve">28 </w:t>
            </w:r>
          </w:p>
        </w:tc>
        <w:tc>
          <w:tcPr>
            <w:tcW w:w="673" w:type="dxa"/>
            <w:tcBorders>
              <w:top w:val="single" w:sz="4" w:space="0" w:color="auto"/>
              <w:left w:val="single" w:sz="4" w:space="0" w:color="auto"/>
              <w:bottom w:val="single" w:sz="4" w:space="0" w:color="auto"/>
              <w:right w:val="single" w:sz="4" w:space="0" w:color="auto"/>
            </w:tcBorders>
            <w:vAlign w:val="center"/>
            <w:hideMark/>
          </w:tcPr>
          <w:p w14:paraId="4F8CDEF3" w14:textId="77777777" w:rsidR="006770B5" w:rsidRPr="001C05C6" w:rsidRDefault="006770B5" w:rsidP="008B3C91">
            <w:pPr>
              <w:keepLines/>
              <w:jc w:val="center"/>
              <w:rPr>
                <w:rFonts w:ascii="Arial Narrow" w:hAnsi="Arial Narrow"/>
                <w:iCs/>
                <w:sz w:val="20"/>
                <w:szCs w:val="20"/>
              </w:rPr>
            </w:pPr>
            <w:r w:rsidRPr="001C05C6">
              <w:rPr>
                <w:rFonts w:ascii="Arial Narrow" w:hAnsi="Arial Narrow"/>
                <w:iCs/>
                <w:sz w:val="20"/>
                <w:szCs w:val="20"/>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14:paraId="6A51F0A2" w14:textId="77777777" w:rsidR="006770B5" w:rsidRPr="001C05C6" w:rsidRDefault="006770B5" w:rsidP="008B3C91">
            <w:pPr>
              <w:keepNext/>
              <w:keepLines/>
              <w:rPr>
                <w:rFonts w:ascii="Arial Narrow" w:hAnsi="Arial Narrow"/>
                <w:iCs/>
                <w:sz w:val="20"/>
                <w:szCs w:val="20"/>
              </w:rPr>
            </w:pPr>
            <w:proofErr w:type="spellStart"/>
            <w:r w:rsidRPr="001C05C6">
              <w:rPr>
                <w:rFonts w:ascii="Arial Narrow" w:hAnsi="Arial Narrow"/>
                <w:iCs/>
                <w:sz w:val="20"/>
                <w:szCs w:val="20"/>
              </w:rPr>
              <w:t>Lecigon</w:t>
            </w:r>
            <w:proofErr w:type="spellEnd"/>
            <w:r w:rsidRPr="001C05C6">
              <w:rPr>
                <w:rFonts w:ascii="Arial Narrow" w:hAnsi="Arial Narrow"/>
                <w:iCs/>
                <w:sz w:val="20"/>
                <w:szCs w:val="20"/>
              </w:rPr>
              <w:t xml:space="preserve"> /</w:t>
            </w:r>
          </w:p>
          <w:p w14:paraId="64896751" w14:textId="77777777" w:rsidR="006770B5" w:rsidRPr="001C05C6" w:rsidRDefault="006770B5" w:rsidP="008B3C91">
            <w:pPr>
              <w:keepLines/>
              <w:rPr>
                <w:rFonts w:ascii="Arial Narrow" w:hAnsi="Arial Narrow"/>
                <w:iCs/>
                <w:sz w:val="20"/>
                <w:szCs w:val="20"/>
              </w:rPr>
            </w:pPr>
            <w:r w:rsidRPr="001C05C6">
              <w:rPr>
                <w:rFonts w:ascii="Arial Narrow" w:hAnsi="Arial Narrow"/>
                <w:iCs/>
                <w:color w:val="333333"/>
                <w:sz w:val="20"/>
                <w:szCs w:val="20"/>
              </w:rPr>
              <w:t>STADA Pharmaceuticals Australia Pty Ltd</w:t>
            </w:r>
          </w:p>
        </w:tc>
      </w:tr>
      <w:tr w:rsidR="009A5A5C" w:rsidRPr="001C05C6" w14:paraId="45CFB44B" w14:textId="77777777" w:rsidTr="008B3C91">
        <w:trPr>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6577FD3" w14:textId="77777777" w:rsidR="009A5A5C" w:rsidRPr="001C05C6" w:rsidRDefault="009A5A5C" w:rsidP="008B3C91">
            <w:pPr>
              <w:rPr>
                <w:rFonts w:ascii="Arial Narrow" w:hAnsi="Arial Narrow"/>
                <w:i/>
                <w:sz w:val="20"/>
                <w:szCs w:val="20"/>
              </w:rPr>
            </w:pPr>
          </w:p>
        </w:tc>
      </w:tr>
      <w:tr w:rsidR="009A5A5C" w:rsidRPr="001C05C6" w14:paraId="79AE929C" w14:textId="77777777" w:rsidTr="008B3C91">
        <w:trPr>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4477A3" w14:textId="77777777" w:rsidR="009A5A5C" w:rsidRPr="004538F5" w:rsidRDefault="009A5A5C" w:rsidP="008B3C91">
            <w:pPr>
              <w:keepLines/>
              <w:rPr>
                <w:rFonts w:ascii="Arial Narrow" w:hAnsi="Arial Narrow"/>
                <w:b/>
                <w:iCs/>
                <w:sz w:val="20"/>
                <w:szCs w:val="20"/>
              </w:rPr>
            </w:pPr>
            <w:r w:rsidRPr="004538F5">
              <w:rPr>
                <w:rFonts w:ascii="Arial Narrow" w:hAnsi="Arial Narrow"/>
                <w:b/>
                <w:iCs/>
                <w:sz w:val="20"/>
                <w:szCs w:val="20"/>
              </w:rPr>
              <w:lastRenderedPageBreak/>
              <w:t>Variant of Restriction Summary 10091 / ToC: 10197: Authority Required: Streamlined</w:t>
            </w:r>
          </w:p>
        </w:tc>
      </w:tr>
      <w:tr w:rsidR="009A5A5C" w:rsidRPr="001C05C6" w14:paraId="3E9ED28E" w14:textId="77777777" w:rsidTr="00161CA4">
        <w:trPr>
          <w:trHeight w:val="20"/>
        </w:trPr>
        <w:tc>
          <w:tcPr>
            <w:tcW w:w="1277"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93B682D" w14:textId="34645512" w:rsidR="009A5A5C" w:rsidRPr="004538F5" w:rsidRDefault="009A5A5C" w:rsidP="008B3C91">
            <w:pPr>
              <w:jc w:val="center"/>
              <w:rPr>
                <w:rFonts w:ascii="Arial Narrow" w:hAnsi="Arial Narrow"/>
                <w:b/>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71869C7" w14:textId="77777777" w:rsidR="009A5A5C" w:rsidRPr="004538F5" w:rsidRDefault="009A5A5C" w:rsidP="008B3C91">
            <w:pPr>
              <w:keepLines/>
              <w:rPr>
                <w:rFonts w:ascii="Arial Narrow" w:hAnsi="Arial Narrow"/>
                <w:b/>
                <w:iCs/>
                <w:sz w:val="20"/>
                <w:szCs w:val="20"/>
              </w:rPr>
            </w:pPr>
            <w:r w:rsidRPr="004538F5">
              <w:rPr>
                <w:rFonts w:ascii="Arial Narrow" w:hAnsi="Arial Narrow"/>
                <w:b/>
                <w:iCs/>
                <w:sz w:val="20"/>
                <w:szCs w:val="20"/>
              </w:rPr>
              <w:t xml:space="preserve">Category / Program: </w:t>
            </w:r>
            <w:r w:rsidRPr="004538F5">
              <w:rPr>
                <w:rFonts w:ascii="Arial Narrow" w:hAnsi="Arial Narrow"/>
                <w:iCs/>
                <w:sz w:val="20"/>
                <w:szCs w:val="20"/>
              </w:rPr>
              <w:t>GENERAL – General Schedule (Code GE)</w:t>
            </w:r>
          </w:p>
        </w:tc>
      </w:tr>
      <w:tr w:rsidR="009A5A5C" w:rsidRPr="001C05C6" w14:paraId="5859D51E" w14:textId="77777777" w:rsidTr="00161CA4">
        <w:trPr>
          <w:trHeight w:val="20"/>
        </w:trPr>
        <w:tc>
          <w:tcPr>
            <w:tcW w:w="1277" w:type="dxa"/>
            <w:gridSpan w:val="2"/>
            <w:vMerge/>
            <w:tcBorders>
              <w:top w:val="single" w:sz="4" w:space="0" w:color="auto"/>
              <w:left w:val="single" w:sz="4" w:space="0" w:color="auto"/>
              <w:bottom w:val="single" w:sz="4" w:space="0" w:color="auto"/>
              <w:right w:val="single" w:sz="4" w:space="0" w:color="auto"/>
            </w:tcBorders>
            <w:vAlign w:val="center"/>
          </w:tcPr>
          <w:p w14:paraId="6E007490" w14:textId="77777777" w:rsidR="009A5A5C" w:rsidRPr="004538F5" w:rsidRDefault="009A5A5C" w:rsidP="008B3C91">
            <w:pPr>
              <w:rPr>
                <w:rFonts w:ascii="Arial Narrow" w:hAnsi="Arial Narrow"/>
                <w:b/>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284B67E" w14:textId="77777777" w:rsidR="009A5A5C" w:rsidRPr="004538F5" w:rsidRDefault="009A5A5C" w:rsidP="008B3C91">
            <w:pPr>
              <w:keepLines/>
              <w:rPr>
                <w:rFonts w:ascii="Arial Narrow" w:hAnsi="Arial Narrow"/>
                <w:b/>
                <w:iCs/>
                <w:sz w:val="20"/>
                <w:szCs w:val="20"/>
              </w:rPr>
            </w:pPr>
            <w:r w:rsidRPr="004538F5">
              <w:rPr>
                <w:rFonts w:ascii="Arial Narrow" w:hAnsi="Arial Narrow"/>
                <w:b/>
                <w:iCs/>
                <w:sz w:val="20"/>
                <w:szCs w:val="20"/>
              </w:rPr>
              <w:t xml:space="preserve">Prescriber type: </w:t>
            </w:r>
            <w:r w:rsidRPr="004538F5">
              <w:rPr>
                <w:rFonts w:ascii="Arial Narrow" w:hAnsi="Arial Narrow"/>
                <w:iCs/>
                <w:sz w:val="20"/>
                <w:szCs w:val="20"/>
              </w:rPr>
              <w:fldChar w:fldCharType="begin" w:fldLock="1">
                <w:ffData>
                  <w:name w:val=""/>
                  <w:enabled/>
                  <w:calcOnExit w:val="0"/>
                  <w:checkBox>
                    <w:sizeAuto/>
                    <w:default w:val="1"/>
                  </w:checkBox>
                </w:ffData>
              </w:fldChar>
            </w:r>
            <w:r w:rsidRPr="004538F5">
              <w:rPr>
                <w:rFonts w:ascii="Arial Narrow" w:hAnsi="Arial Narrow"/>
                <w:iCs/>
                <w:sz w:val="20"/>
                <w:szCs w:val="20"/>
              </w:rPr>
              <w:instrText xml:space="preserve"> FORMCHECKBOX </w:instrText>
            </w:r>
            <w:r w:rsidRPr="004538F5">
              <w:rPr>
                <w:rFonts w:ascii="Arial Narrow" w:hAnsi="Arial Narrow"/>
                <w:iCs/>
                <w:sz w:val="20"/>
                <w:szCs w:val="20"/>
              </w:rPr>
            </w:r>
            <w:r w:rsidRPr="004538F5">
              <w:rPr>
                <w:rFonts w:ascii="Arial Narrow" w:hAnsi="Arial Narrow"/>
                <w:iCs/>
                <w:sz w:val="20"/>
                <w:szCs w:val="20"/>
              </w:rPr>
              <w:fldChar w:fldCharType="separate"/>
            </w:r>
            <w:r w:rsidRPr="004538F5">
              <w:rPr>
                <w:rFonts w:ascii="Arial Narrow" w:hAnsi="Arial Narrow"/>
                <w:iCs/>
                <w:sz w:val="20"/>
                <w:szCs w:val="20"/>
              </w:rPr>
              <w:fldChar w:fldCharType="end"/>
            </w:r>
            <w:r w:rsidRPr="004538F5">
              <w:rPr>
                <w:rFonts w:ascii="Arial Narrow" w:hAnsi="Arial Narrow"/>
                <w:iCs/>
                <w:sz w:val="20"/>
                <w:szCs w:val="20"/>
              </w:rPr>
              <w:t xml:space="preserve">Medical Practitioners </w:t>
            </w:r>
            <w:r w:rsidRPr="004538F5">
              <w:rPr>
                <w:rFonts w:ascii="Arial Narrow" w:hAnsi="Arial Narrow"/>
                <w:b/>
                <w:iCs/>
                <w:sz w:val="20"/>
                <w:szCs w:val="20"/>
              </w:rPr>
              <w:t xml:space="preserve"> </w:t>
            </w:r>
            <w:r w:rsidRPr="004538F5">
              <w:rPr>
                <w:rFonts w:ascii="Arial Narrow" w:hAnsi="Arial Narrow"/>
                <w:iCs/>
                <w:sz w:val="20"/>
                <w:szCs w:val="20"/>
              </w:rPr>
              <w:fldChar w:fldCharType="begin" w:fldLock="1">
                <w:ffData>
                  <w:name w:val=""/>
                  <w:enabled/>
                  <w:calcOnExit w:val="0"/>
                  <w:checkBox>
                    <w:sizeAuto/>
                    <w:default w:val="1"/>
                  </w:checkBox>
                </w:ffData>
              </w:fldChar>
            </w:r>
            <w:r w:rsidRPr="004538F5">
              <w:rPr>
                <w:rFonts w:ascii="Arial Narrow" w:hAnsi="Arial Narrow"/>
                <w:iCs/>
                <w:sz w:val="20"/>
                <w:szCs w:val="20"/>
              </w:rPr>
              <w:instrText xml:space="preserve"> FORMCHECKBOX </w:instrText>
            </w:r>
            <w:r w:rsidRPr="004538F5">
              <w:rPr>
                <w:rFonts w:ascii="Arial Narrow" w:hAnsi="Arial Narrow"/>
                <w:iCs/>
                <w:sz w:val="20"/>
                <w:szCs w:val="20"/>
              </w:rPr>
            </w:r>
            <w:r w:rsidRPr="004538F5">
              <w:rPr>
                <w:rFonts w:ascii="Arial Narrow" w:hAnsi="Arial Narrow"/>
                <w:iCs/>
                <w:sz w:val="20"/>
                <w:szCs w:val="20"/>
              </w:rPr>
              <w:fldChar w:fldCharType="separate"/>
            </w:r>
            <w:r w:rsidRPr="004538F5">
              <w:rPr>
                <w:rFonts w:ascii="Arial Narrow" w:hAnsi="Arial Narrow"/>
                <w:iCs/>
                <w:sz w:val="20"/>
                <w:szCs w:val="20"/>
              </w:rPr>
              <w:fldChar w:fldCharType="end"/>
            </w:r>
            <w:r w:rsidRPr="004538F5">
              <w:rPr>
                <w:rFonts w:ascii="Arial Narrow" w:hAnsi="Arial Narrow"/>
                <w:iCs/>
                <w:sz w:val="20"/>
                <w:szCs w:val="20"/>
              </w:rPr>
              <w:t>Nurse practitioner</w:t>
            </w:r>
          </w:p>
        </w:tc>
      </w:tr>
      <w:tr w:rsidR="009A5A5C" w:rsidRPr="001C05C6" w14:paraId="34755780" w14:textId="77777777" w:rsidTr="00161CA4">
        <w:trPr>
          <w:trHeight w:val="20"/>
        </w:trPr>
        <w:tc>
          <w:tcPr>
            <w:tcW w:w="1277" w:type="dxa"/>
            <w:gridSpan w:val="2"/>
            <w:vMerge/>
            <w:tcBorders>
              <w:top w:val="single" w:sz="4" w:space="0" w:color="auto"/>
              <w:left w:val="single" w:sz="4" w:space="0" w:color="auto"/>
              <w:bottom w:val="single" w:sz="4" w:space="0" w:color="auto"/>
              <w:right w:val="single" w:sz="4" w:space="0" w:color="auto"/>
            </w:tcBorders>
            <w:vAlign w:val="center"/>
          </w:tcPr>
          <w:p w14:paraId="0951B578" w14:textId="77777777" w:rsidR="009A5A5C" w:rsidRPr="004538F5" w:rsidRDefault="009A5A5C" w:rsidP="008B3C91">
            <w:pPr>
              <w:rPr>
                <w:rFonts w:ascii="Arial Narrow" w:hAnsi="Arial Narrow"/>
                <w:b/>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EAB80B5" w14:textId="77777777" w:rsidR="009A5A5C" w:rsidRPr="004538F5" w:rsidRDefault="009A5A5C" w:rsidP="008B3C91">
            <w:pPr>
              <w:keepLines/>
              <w:rPr>
                <w:rFonts w:ascii="Arial Narrow" w:eastAsia="Calibri" w:hAnsi="Arial Narrow"/>
                <w:iCs/>
                <w:color w:val="FF0000"/>
                <w:sz w:val="20"/>
                <w:szCs w:val="20"/>
              </w:rPr>
            </w:pPr>
            <w:r w:rsidRPr="004538F5">
              <w:rPr>
                <w:rFonts w:ascii="Arial Narrow" w:hAnsi="Arial Narrow"/>
                <w:b/>
                <w:iCs/>
                <w:sz w:val="20"/>
                <w:szCs w:val="20"/>
              </w:rPr>
              <w:t xml:space="preserve">Restriction type: </w:t>
            </w:r>
            <w:r w:rsidRPr="004538F5">
              <w:rPr>
                <w:rFonts w:ascii="Arial Narrow" w:eastAsia="Calibri" w:hAnsi="Arial Narrow"/>
                <w:iCs/>
                <w:sz w:val="20"/>
                <w:szCs w:val="20"/>
              </w:rPr>
              <w:fldChar w:fldCharType="begin" w:fldLock="1">
                <w:ffData>
                  <w:name w:val=""/>
                  <w:enabled/>
                  <w:calcOnExit w:val="0"/>
                  <w:checkBox>
                    <w:sizeAuto/>
                    <w:default w:val="1"/>
                  </w:checkBox>
                </w:ffData>
              </w:fldChar>
            </w:r>
            <w:r w:rsidRPr="004538F5">
              <w:rPr>
                <w:rFonts w:ascii="Arial Narrow" w:eastAsia="Calibri" w:hAnsi="Arial Narrow"/>
                <w:iCs/>
                <w:sz w:val="20"/>
                <w:szCs w:val="20"/>
              </w:rPr>
              <w:instrText xml:space="preserve"> FORMCHECKBOX </w:instrText>
            </w:r>
            <w:r w:rsidRPr="004538F5">
              <w:rPr>
                <w:rFonts w:ascii="Arial Narrow" w:eastAsia="Calibri" w:hAnsi="Arial Narrow"/>
                <w:iCs/>
                <w:sz w:val="20"/>
                <w:szCs w:val="20"/>
              </w:rPr>
            </w:r>
            <w:r w:rsidRPr="004538F5">
              <w:rPr>
                <w:rFonts w:ascii="Arial Narrow" w:eastAsia="Calibri" w:hAnsi="Arial Narrow"/>
                <w:iCs/>
                <w:sz w:val="20"/>
                <w:szCs w:val="20"/>
              </w:rPr>
              <w:fldChar w:fldCharType="separate"/>
            </w:r>
            <w:r w:rsidRPr="004538F5">
              <w:rPr>
                <w:rFonts w:ascii="Arial Narrow" w:eastAsia="Calibri" w:hAnsi="Arial Narrow"/>
                <w:iCs/>
                <w:sz w:val="20"/>
                <w:szCs w:val="20"/>
              </w:rPr>
              <w:fldChar w:fldCharType="end"/>
            </w:r>
            <w:r w:rsidRPr="004538F5">
              <w:rPr>
                <w:rFonts w:ascii="Arial Narrow" w:eastAsia="Calibri" w:hAnsi="Arial Narrow"/>
                <w:iCs/>
                <w:sz w:val="20"/>
                <w:szCs w:val="20"/>
              </w:rPr>
              <w:t xml:space="preserve">Authority Required (Streamlined) [new code] </w:t>
            </w:r>
          </w:p>
        </w:tc>
      </w:tr>
      <w:tr w:rsidR="009A5A5C" w:rsidRPr="001C05C6" w14:paraId="2F49F2FA" w14:textId="77777777" w:rsidTr="008403BF">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14AAA8BD" w14:textId="51459A5C" w:rsidR="009A5A5C" w:rsidRPr="004538F5" w:rsidRDefault="009A5A5C" w:rsidP="008B3C91">
            <w:pPr>
              <w:rPr>
                <w:rFonts w:ascii="Arial Narrow" w:eastAsiaTheme="minorHAnsi" w:hAnsi="Arial Narrow"/>
                <w:iCs/>
                <w:sz w:val="20"/>
                <w:szCs w:val="20"/>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21808F7" w14:textId="763F8E84" w:rsidR="009A5A5C" w:rsidRPr="004538F5" w:rsidRDefault="009A5A5C" w:rsidP="008B3C91">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F1CCF50" w14:textId="77777777" w:rsidR="009A5A5C" w:rsidRPr="004538F5" w:rsidRDefault="009A5A5C" w:rsidP="008B3C91">
            <w:pPr>
              <w:keepLines/>
              <w:rPr>
                <w:rFonts w:ascii="Arial Narrow" w:hAnsi="Arial Narrow"/>
                <w:b/>
                <w:iCs/>
                <w:sz w:val="20"/>
                <w:szCs w:val="20"/>
              </w:rPr>
            </w:pPr>
            <w:r w:rsidRPr="004538F5">
              <w:rPr>
                <w:rFonts w:ascii="Arial Narrow" w:hAnsi="Arial Narrow"/>
                <w:b/>
                <w:bCs/>
                <w:iCs/>
                <w:color w:val="333333"/>
                <w:sz w:val="20"/>
                <w:szCs w:val="20"/>
              </w:rPr>
              <w:t xml:space="preserve">Administrative Advice: </w:t>
            </w:r>
            <w:r w:rsidRPr="004538F5">
              <w:rPr>
                <w:rFonts w:ascii="Arial Narrow" w:hAnsi="Arial Narrow"/>
                <w:iCs/>
                <w:color w:val="333333"/>
                <w:sz w:val="20"/>
                <w:szCs w:val="20"/>
              </w:rPr>
              <w:t>Special Pricing Arrangements apply.</w:t>
            </w:r>
          </w:p>
        </w:tc>
      </w:tr>
      <w:tr w:rsidR="009A5A5C" w:rsidRPr="001C05C6" w14:paraId="0C4F008B" w14:textId="77777777" w:rsidTr="008403BF">
        <w:trPr>
          <w:trHeight w:val="20"/>
        </w:trPr>
        <w:tc>
          <w:tcPr>
            <w:tcW w:w="637" w:type="dxa"/>
            <w:vMerge/>
            <w:tcBorders>
              <w:top w:val="single" w:sz="4" w:space="0" w:color="auto"/>
              <w:left w:val="single" w:sz="4" w:space="0" w:color="auto"/>
              <w:bottom w:val="single" w:sz="4" w:space="0" w:color="auto"/>
              <w:right w:val="single" w:sz="4" w:space="0" w:color="auto"/>
            </w:tcBorders>
            <w:vAlign w:val="center"/>
          </w:tcPr>
          <w:p w14:paraId="42FB1C2A" w14:textId="77777777" w:rsidR="009A5A5C" w:rsidRPr="004538F5" w:rsidRDefault="009A5A5C" w:rsidP="008B3C91">
            <w:pPr>
              <w:rPr>
                <w:rFonts w:ascii="Arial Narrow" w:hAnsi="Arial Narrow"/>
                <w:iCs/>
                <w:sz w:val="20"/>
                <w:szCs w:val="20"/>
                <w:lang w:eastAsia="en-US"/>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6744BB4" w14:textId="7F4B48A6" w:rsidR="00F400E1" w:rsidRPr="004538F5" w:rsidRDefault="00F400E1" w:rsidP="00981B72">
            <w:pP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BF2CA7D" w14:textId="34E104DA" w:rsidR="00205C6F" w:rsidRPr="004538F5" w:rsidRDefault="009A5A5C" w:rsidP="008B3C91">
            <w:pPr>
              <w:keepLines/>
              <w:rPr>
                <w:rFonts w:ascii="Arial Narrow" w:hAnsi="Arial Narrow"/>
                <w:b/>
                <w:bCs/>
                <w:iCs/>
                <w:color w:val="333333"/>
                <w:sz w:val="20"/>
                <w:szCs w:val="20"/>
              </w:rPr>
            </w:pPr>
            <w:r w:rsidRPr="004538F5">
              <w:rPr>
                <w:rFonts w:ascii="Arial Narrow" w:hAnsi="Arial Narrow"/>
                <w:b/>
                <w:bCs/>
                <w:iCs/>
                <w:color w:val="333333"/>
                <w:sz w:val="20"/>
                <w:szCs w:val="20"/>
              </w:rPr>
              <w:t>Administrative Advice:</w:t>
            </w:r>
            <w:r w:rsidR="00981B72">
              <w:rPr>
                <w:rFonts w:ascii="Arial Narrow" w:hAnsi="Arial Narrow"/>
                <w:b/>
                <w:bCs/>
                <w:iCs/>
                <w:color w:val="333333"/>
                <w:sz w:val="20"/>
                <w:szCs w:val="20"/>
              </w:rPr>
              <w:t xml:space="preserve"> </w:t>
            </w:r>
            <w:r w:rsidR="00F400E1" w:rsidRPr="00F400E1">
              <w:rPr>
                <w:rFonts w:ascii="Arial Narrow" w:hAnsi="Arial Narrow" w:cstheme="minorHAnsi"/>
                <w:b/>
                <w:bCs/>
                <w:color w:val="333333"/>
                <w:sz w:val="20"/>
                <w:szCs w:val="20"/>
                <w:bdr w:val="none" w:sz="0" w:space="0" w:color="auto" w:frame="1"/>
              </w:rPr>
              <w:t>Continuing Therapy Only</w:t>
            </w:r>
            <w:r w:rsidR="00F400E1" w:rsidRPr="00BE2AF6">
              <w:rPr>
                <w:rFonts w:ascii="Arial Narrow" w:hAnsi="Arial Narrow" w:cstheme="minorHAnsi"/>
                <w:color w:val="333333"/>
                <w:sz w:val="20"/>
                <w:szCs w:val="20"/>
                <w:bdr w:val="none" w:sz="0" w:space="0" w:color="auto" w:frame="1"/>
              </w:rPr>
              <w:t>:</w:t>
            </w:r>
            <w:r w:rsidR="00F400E1" w:rsidRPr="00BE2AF6">
              <w:rPr>
                <w:rFonts w:ascii="Arial Narrow" w:hAnsi="Arial Narrow" w:cstheme="minorHAnsi"/>
                <w:b/>
                <w:bCs/>
                <w:color w:val="333333"/>
                <w:sz w:val="20"/>
                <w:szCs w:val="20"/>
                <w:bdr w:val="none" w:sz="0" w:space="0" w:color="auto" w:frame="1"/>
              </w:rPr>
              <w:t xml:space="preserve"> </w:t>
            </w:r>
            <w:r w:rsidR="00F400E1" w:rsidRPr="00BE2AF6">
              <w:rPr>
                <w:rFonts w:ascii="Arial Narrow" w:hAnsi="Arial Narrow" w:cstheme="minorHAnsi"/>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9A5A5C" w:rsidRPr="001C05C6" w14:paraId="2798E8FF"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DD493E3" w14:textId="77777777" w:rsidR="009A5A5C" w:rsidRPr="004538F5" w:rsidRDefault="009A5A5C" w:rsidP="008B3C91">
            <w:pPr>
              <w:keepLines/>
              <w:jc w:val="center"/>
              <w:rPr>
                <w:rFonts w:ascii="Arial Narrow" w:eastAsiaTheme="minorHAnsi" w:hAnsi="Arial Narrow" w:cstheme="minorHAnsi"/>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F3A3890" w14:textId="77777777" w:rsidR="009A5A5C" w:rsidRPr="00FB4C90" w:rsidRDefault="009A5A5C" w:rsidP="008B3C91">
            <w:pPr>
              <w:keepLines/>
              <w:rPr>
                <w:rFonts w:ascii="Arial Narrow" w:hAnsi="Arial Narrow"/>
                <w:b/>
                <w:bCs/>
                <w:iCs/>
                <w:sz w:val="20"/>
                <w:szCs w:val="20"/>
              </w:rPr>
            </w:pPr>
            <w:r w:rsidRPr="00FB4C90">
              <w:rPr>
                <w:rFonts w:ascii="Arial Narrow" w:hAnsi="Arial Narrow"/>
                <w:b/>
                <w:bCs/>
                <w:iCs/>
                <w:sz w:val="20"/>
                <w:szCs w:val="20"/>
              </w:rPr>
              <w:t xml:space="preserve">Severity: </w:t>
            </w:r>
            <w:r w:rsidRPr="00FB4C90">
              <w:rPr>
                <w:rFonts w:ascii="Arial Narrow" w:hAnsi="Arial Narrow" w:cstheme="minorHAnsi"/>
                <w:iCs/>
                <w:sz w:val="20"/>
                <w:szCs w:val="20"/>
              </w:rPr>
              <w:t>Advanced</w:t>
            </w:r>
          </w:p>
        </w:tc>
      </w:tr>
      <w:tr w:rsidR="009A5A5C" w:rsidRPr="001C05C6" w14:paraId="1ABA40A7"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02F3BB4" w14:textId="77777777" w:rsidR="009A5A5C" w:rsidRPr="004538F5" w:rsidRDefault="009A5A5C" w:rsidP="008B3C91">
            <w:pPr>
              <w:keepLines/>
              <w:jc w:val="center"/>
              <w:rPr>
                <w:rFonts w:ascii="Arial Narrow" w:eastAsiaTheme="minorHAnsi" w:hAnsi="Arial Narrow" w:cstheme="minorHAnsi"/>
                <w:iCs/>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F1243A8" w14:textId="77777777" w:rsidR="009A5A5C" w:rsidRPr="00FB4C90" w:rsidRDefault="009A5A5C" w:rsidP="008B3C91">
            <w:pPr>
              <w:keepLines/>
              <w:rPr>
                <w:rFonts w:ascii="Arial Narrow" w:hAnsi="Arial Narrow"/>
                <w:b/>
                <w:bCs/>
                <w:iCs/>
                <w:sz w:val="20"/>
                <w:szCs w:val="20"/>
              </w:rPr>
            </w:pPr>
            <w:r w:rsidRPr="00FB4C90">
              <w:rPr>
                <w:rFonts w:ascii="Arial Narrow" w:hAnsi="Arial Narrow"/>
                <w:b/>
                <w:bCs/>
                <w:iCs/>
                <w:sz w:val="20"/>
                <w:szCs w:val="20"/>
              </w:rPr>
              <w:t xml:space="preserve">Condition: </w:t>
            </w:r>
            <w:r w:rsidRPr="00FB4C90">
              <w:rPr>
                <w:rFonts w:ascii="Arial Narrow" w:hAnsi="Arial Narrow" w:cstheme="minorHAnsi"/>
                <w:iCs/>
                <w:sz w:val="20"/>
                <w:szCs w:val="20"/>
              </w:rPr>
              <w:t>Parkinson Disease</w:t>
            </w:r>
          </w:p>
        </w:tc>
      </w:tr>
      <w:tr w:rsidR="009A5A5C" w:rsidRPr="001C05C6" w14:paraId="41B219F4"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4EF81E" w14:textId="062EFB53" w:rsidR="009A5A5C" w:rsidRPr="004538F5" w:rsidRDefault="009A5A5C" w:rsidP="008B3C91">
            <w:pPr>
              <w:keepLines/>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91929B" w14:textId="77777777" w:rsidR="009A5A5C" w:rsidRPr="004538F5" w:rsidRDefault="009A5A5C" w:rsidP="008B3C91">
            <w:pPr>
              <w:keepLines/>
              <w:rPr>
                <w:rFonts w:ascii="Arial Narrow" w:hAnsi="Arial Narrow"/>
                <w:iCs/>
                <w:color w:val="333333"/>
                <w:sz w:val="20"/>
                <w:szCs w:val="20"/>
              </w:rPr>
            </w:pPr>
            <w:r w:rsidRPr="004538F5">
              <w:rPr>
                <w:rFonts w:ascii="Arial Narrow" w:hAnsi="Arial Narrow"/>
                <w:b/>
                <w:bCs/>
                <w:iCs/>
                <w:color w:val="333333"/>
                <w:sz w:val="20"/>
                <w:szCs w:val="20"/>
              </w:rPr>
              <w:t>Indication:</w:t>
            </w:r>
            <w:r w:rsidRPr="004538F5">
              <w:rPr>
                <w:rFonts w:ascii="Arial Narrow" w:hAnsi="Arial Narrow"/>
                <w:iCs/>
                <w:color w:val="333333"/>
                <w:sz w:val="20"/>
                <w:szCs w:val="20"/>
              </w:rPr>
              <w:t xml:space="preserve"> </w:t>
            </w:r>
            <w:r w:rsidRPr="004538F5">
              <w:rPr>
                <w:rFonts w:ascii="Arial Narrow" w:hAnsi="Arial Narrow" w:cstheme="minorHAnsi"/>
                <w:iCs/>
                <w:sz w:val="20"/>
                <w:szCs w:val="20"/>
              </w:rPr>
              <w:t>Advanced Parkinson disease</w:t>
            </w:r>
          </w:p>
        </w:tc>
      </w:tr>
      <w:tr w:rsidR="009A5A5C" w:rsidRPr="001C05C6" w14:paraId="2ED5F6FD"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89A70B7" w14:textId="77777777" w:rsidR="009A5A5C" w:rsidRPr="004538F5" w:rsidRDefault="009A5A5C" w:rsidP="008B3C91">
            <w:pPr>
              <w:keepNext/>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7E31CD6" w14:textId="77777777" w:rsidR="009A5A5C" w:rsidRPr="004538F5" w:rsidRDefault="009A5A5C" w:rsidP="008B3C91">
            <w:pPr>
              <w:keepNext/>
              <w:rPr>
                <w:rFonts w:ascii="Arial Narrow" w:hAnsi="Arial Narrow"/>
                <w:b/>
                <w:bCs/>
                <w:iCs/>
                <w:color w:val="333333"/>
                <w:sz w:val="20"/>
                <w:szCs w:val="20"/>
              </w:rPr>
            </w:pPr>
            <w:r w:rsidRPr="004538F5">
              <w:rPr>
                <w:rFonts w:ascii="Arial Narrow" w:hAnsi="Arial Narrow"/>
                <w:b/>
                <w:bCs/>
                <w:iCs/>
                <w:color w:val="333333"/>
                <w:sz w:val="20"/>
                <w:szCs w:val="20"/>
              </w:rPr>
              <w:t xml:space="preserve">Treatment Phase: </w:t>
            </w:r>
            <w:r w:rsidRPr="004538F5">
              <w:rPr>
                <w:rFonts w:ascii="Arial Narrow" w:hAnsi="Arial Narrow"/>
                <w:iCs/>
                <w:color w:val="333333"/>
                <w:sz w:val="20"/>
                <w:szCs w:val="20"/>
              </w:rPr>
              <w:t>Maintenance therapy</w:t>
            </w:r>
          </w:p>
        </w:tc>
      </w:tr>
      <w:tr w:rsidR="009A5A5C" w:rsidRPr="001C05C6" w14:paraId="53EAD14E"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171190E" w14:textId="536C4BBC" w:rsidR="009A5A5C" w:rsidRPr="004538F5"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ADB236C" w14:textId="77777777" w:rsidR="009A5A5C" w:rsidRPr="004538F5" w:rsidRDefault="009A5A5C" w:rsidP="008B3C91">
            <w:pPr>
              <w:rPr>
                <w:rFonts w:ascii="Arial Narrow" w:hAnsi="Arial Narrow"/>
                <w:iCs/>
                <w:sz w:val="20"/>
                <w:szCs w:val="20"/>
              </w:rPr>
            </w:pPr>
            <w:r w:rsidRPr="004538F5">
              <w:rPr>
                <w:rFonts w:ascii="Arial Narrow" w:hAnsi="Arial Narrow"/>
                <w:b/>
                <w:bCs/>
                <w:iCs/>
                <w:sz w:val="20"/>
                <w:szCs w:val="20"/>
              </w:rPr>
              <w:t xml:space="preserve">Clinical criteria: </w:t>
            </w:r>
          </w:p>
        </w:tc>
      </w:tr>
      <w:tr w:rsidR="009A5A5C" w:rsidRPr="001C05C6" w14:paraId="0A0AE2B0"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26C8CD4" w14:textId="7CA2480E" w:rsidR="009A5A5C" w:rsidRPr="004538F5"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6385A5" w14:textId="77777777" w:rsidR="009A5A5C" w:rsidRPr="004538F5" w:rsidRDefault="009A5A5C" w:rsidP="008B3C91">
            <w:pPr>
              <w:rPr>
                <w:rFonts w:ascii="Arial Narrow" w:hAnsi="Arial Narrow"/>
                <w:iCs/>
                <w:color w:val="333333"/>
                <w:sz w:val="20"/>
                <w:szCs w:val="20"/>
              </w:rPr>
            </w:pPr>
            <w:r w:rsidRPr="0048153C">
              <w:rPr>
                <w:rFonts w:ascii="Arial Narrow" w:hAnsi="Arial Narrow"/>
                <w:sz w:val="20"/>
                <w:szCs w:val="20"/>
              </w:rPr>
              <w:t>Patient must have severe disabling motor fluctuations not adequately controlled by at least one of: (i) oral therapy; (ii) intestinal gel formulation containing levodopa.</w:t>
            </w:r>
          </w:p>
        </w:tc>
      </w:tr>
      <w:tr w:rsidR="009A5A5C" w:rsidRPr="001C05C6" w14:paraId="1F9F2DD5"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A721F3" w14:textId="77777777" w:rsidR="009A5A5C" w:rsidRPr="004538F5" w:rsidRDefault="009A5A5C" w:rsidP="008B3C91">
            <w:pPr>
              <w:jc w:val="center"/>
              <w:rPr>
                <w:rFonts w:ascii="Arial Narrow" w:hAnsi="Arial Narrow"/>
                <w:iCs/>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CCE40F7" w14:textId="77777777" w:rsidR="009A5A5C" w:rsidRPr="004538F5" w:rsidRDefault="009A5A5C" w:rsidP="008B3C91">
            <w:pPr>
              <w:rPr>
                <w:rFonts w:ascii="Arial Narrow" w:hAnsi="Arial Narrow"/>
                <w:iCs/>
                <w:color w:val="333333"/>
                <w:sz w:val="20"/>
                <w:szCs w:val="20"/>
              </w:rPr>
            </w:pPr>
            <w:r w:rsidRPr="004538F5">
              <w:rPr>
                <w:rFonts w:ascii="Arial Narrow" w:hAnsi="Arial Narrow"/>
                <w:b/>
                <w:bCs/>
                <w:iCs/>
                <w:color w:val="333333"/>
                <w:sz w:val="20"/>
                <w:szCs w:val="20"/>
              </w:rPr>
              <w:t>AND</w:t>
            </w:r>
          </w:p>
        </w:tc>
      </w:tr>
      <w:tr w:rsidR="009A5A5C" w:rsidRPr="001C05C6" w14:paraId="4668DB74"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8ADFFA6" w14:textId="78B33C57" w:rsidR="009A5A5C" w:rsidRPr="004538F5" w:rsidRDefault="009A5A5C" w:rsidP="008B3C91">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63550C9" w14:textId="77777777" w:rsidR="009A5A5C" w:rsidRPr="004538F5" w:rsidRDefault="009A5A5C" w:rsidP="008B3C91">
            <w:pPr>
              <w:rPr>
                <w:rFonts w:ascii="Arial Narrow" w:hAnsi="Arial Narrow"/>
                <w:iCs/>
                <w:sz w:val="20"/>
                <w:szCs w:val="20"/>
              </w:rPr>
            </w:pPr>
            <w:r w:rsidRPr="004538F5">
              <w:rPr>
                <w:rFonts w:ascii="Arial Narrow" w:hAnsi="Arial Narrow"/>
                <w:b/>
                <w:bCs/>
                <w:iCs/>
                <w:sz w:val="20"/>
                <w:szCs w:val="20"/>
              </w:rPr>
              <w:t>Clinical criteria:</w:t>
            </w:r>
          </w:p>
        </w:tc>
      </w:tr>
      <w:tr w:rsidR="009A5A5C" w:rsidRPr="001C05C6" w14:paraId="13D46D06"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B7BFF7" w14:textId="0F1ECE2B" w:rsidR="009A5A5C" w:rsidRPr="004538F5" w:rsidRDefault="009A5A5C" w:rsidP="008B3C91">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74C43DF" w14:textId="77777777" w:rsidR="009A5A5C" w:rsidRPr="004538F5" w:rsidRDefault="009A5A5C" w:rsidP="008B3C91">
            <w:pPr>
              <w:rPr>
                <w:rFonts w:ascii="Arial Narrow" w:hAnsi="Arial Narrow"/>
                <w:iCs/>
                <w:sz w:val="20"/>
                <w:szCs w:val="20"/>
              </w:rPr>
            </w:pPr>
            <w:r w:rsidRPr="004538F5">
              <w:rPr>
                <w:rFonts w:ascii="Arial Narrow" w:hAnsi="Arial Narrow"/>
                <w:iCs/>
                <w:sz w:val="20"/>
                <w:szCs w:val="20"/>
              </w:rPr>
              <w:t>Patient must</w:t>
            </w:r>
            <w:r>
              <w:rPr>
                <w:rFonts w:ascii="Arial Narrow" w:hAnsi="Arial Narrow"/>
                <w:iCs/>
                <w:sz w:val="20"/>
                <w:szCs w:val="20"/>
              </w:rPr>
              <w:t xml:space="preserve"> </w:t>
            </w:r>
            <w:r w:rsidRPr="004538F5">
              <w:rPr>
                <w:rFonts w:ascii="Arial Narrow" w:hAnsi="Arial Narrow"/>
                <w:iCs/>
                <w:sz w:val="20"/>
                <w:szCs w:val="20"/>
              </w:rPr>
              <w:t>have been commenced on treatment in a hospital-based movement disorder clinic</w:t>
            </w:r>
            <w:r>
              <w:rPr>
                <w:rFonts w:ascii="Arial Narrow" w:hAnsi="Arial Narrow"/>
                <w:iCs/>
                <w:sz w:val="20"/>
                <w:szCs w:val="20"/>
              </w:rPr>
              <w:t>.</w:t>
            </w:r>
          </w:p>
        </w:tc>
      </w:tr>
      <w:tr w:rsidR="009A5A5C" w:rsidRPr="001C05C6" w14:paraId="7274C820"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7673CB2" w14:textId="2BD80524" w:rsidR="009A5A5C" w:rsidRPr="004B1ED9" w:rsidRDefault="009A5A5C" w:rsidP="008B3C91">
            <w:pPr>
              <w:jc w:val="center"/>
              <w:rPr>
                <w:rFonts w:ascii="Arial Narrow" w:hAnsi="Arial Narrow"/>
                <w:iCs/>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905760" w14:textId="77777777" w:rsidR="009A5A5C" w:rsidRPr="004B1ED9" w:rsidRDefault="009A5A5C" w:rsidP="008B3C91">
            <w:pPr>
              <w:rPr>
                <w:rFonts w:ascii="Arial Narrow" w:hAnsi="Arial Narrow"/>
                <w:iCs/>
                <w:sz w:val="20"/>
                <w:szCs w:val="20"/>
              </w:rPr>
            </w:pPr>
            <w:r w:rsidRPr="004B1ED9">
              <w:rPr>
                <w:rFonts w:ascii="Arial Narrow" w:hAnsi="Arial Narrow"/>
                <w:b/>
                <w:bCs/>
                <w:iCs/>
                <w:sz w:val="20"/>
                <w:szCs w:val="20"/>
              </w:rPr>
              <w:t>Administrative advice:</w:t>
            </w:r>
            <w:r w:rsidRPr="004B1ED9">
              <w:rPr>
                <w:rFonts w:ascii="Arial Narrow" w:hAnsi="Arial Narrow"/>
                <w:iCs/>
                <w:sz w:val="20"/>
                <w:szCs w:val="20"/>
              </w:rPr>
              <w:t xml:space="preserve"> Patient should have adequate cognitive function to manage administration with a portable continuous infusion pump.</w:t>
            </w:r>
          </w:p>
        </w:tc>
      </w:tr>
    </w:tbl>
    <w:p w14:paraId="052E740E" w14:textId="27E5EB7F" w:rsidR="009A5A5C" w:rsidRPr="004538F5" w:rsidRDefault="009A5A5C" w:rsidP="00623172">
      <w:pPr>
        <w:rPr>
          <w:rFonts w:eastAsia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640"/>
        <w:gridCol w:w="1979"/>
        <w:gridCol w:w="1275"/>
        <w:gridCol w:w="851"/>
        <w:gridCol w:w="850"/>
        <w:gridCol w:w="956"/>
        <w:gridCol w:w="1828"/>
      </w:tblGrid>
      <w:tr w:rsidR="006770B5" w:rsidRPr="001C05C6" w14:paraId="2A758421" w14:textId="77777777" w:rsidTr="006770B5">
        <w:trPr>
          <w:cantSplit/>
          <w:trHeight w:val="20"/>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6226FD73" w14:textId="77777777" w:rsidR="006770B5" w:rsidRPr="001C05C6" w:rsidRDefault="006770B5" w:rsidP="008B3C91">
            <w:pPr>
              <w:keepLines/>
              <w:rPr>
                <w:rFonts w:ascii="Arial Narrow" w:hAnsi="Arial Narrow"/>
                <w:b/>
                <w:bCs/>
                <w:sz w:val="20"/>
                <w:szCs w:val="20"/>
              </w:rPr>
            </w:pPr>
            <w:r w:rsidRPr="001C05C6">
              <w:rPr>
                <w:rFonts w:ascii="Arial Narrow" w:hAnsi="Arial Narrow"/>
                <w:b/>
                <w:bCs/>
                <w:sz w:val="20"/>
                <w:szCs w:val="20"/>
              </w:rPr>
              <w:t>MEDICINAL PRODUCT</w:t>
            </w:r>
          </w:p>
          <w:p w14:paraId="0CD5FFBE" w14:textId="77777777" w:rsidR="006770B5" w:rsidRPr="001C05C6" w:rsidRDefault="006770B5" w:rsidP="008B3C91">
            <w:pPr>
              <w:keepLines/>
              <w:rPr>
                <w:rFonts w:ascii="Arial Narrow" w:hAnsi="Arial Narrow"/>
                <w:b/>
                <w:sz w:val="20"/>
                <w:szCs w:val="20"/>
              </w:rPr>
            </w:pPr>
            <w:r w:rsidRPr="001C05C6">
              <w:rPr>
                <w:rFonts w:ascii="Arial Narrow" w:hAnsi="Arial Narrow"/>
                <w:b/>
                <w:bCs/>
                <w:sz w:val="20"/>
                <w:szCs w:val="20"/>
              </w:rPr>
              <w:t>medicinal product pack</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AD65149" w14:textId="6A436B5E" w:rsidR="006770B5" w:rsidRPr="001C05C6" w:rsidRDefault="006770B5" w:rsidP="008B3C91">
            <w:pPr>
              <w:keepLines/>
              <w:jc w:val="center"/>
              <w:rPr>
                <w:rFonts w:ascii="Arial Narrow" w:hAnsi="Arial Narrow"/>
                <w:b/>
                <w:sz w:val="20"/>
                <w:szCs w:val="20"/>
              </w:rPr>
            </w:pPr>
            <w:r w:rsidRPr="001C05C6">
              <w:rPr>
                <w:rFonts w:ascii="Arial Narrow" w:hAnsi="Arial Narrow"/>
                <w:b/>
                <w:sz w:val="20"/>
                <w:szCs w:val="20"/>
              </w:rPr>
              <w:t>PBS item code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F957BA" w14:textId="77777777" w:rsidR="006770B5" w:rsidRPr="001C05C6" w:rsidRDefault="006770B5" w:rsidP="008B3C91">
            <w:pPr>
              <w:keepLines/>
              <w:jc w:val="center"/>
              <w:rPr>
                <w:rFonts w:ascii="Arial Narrow" w:hAnsi="Arial Narrow"/>
                <w:b/>
                <w:sz w:val="20"/>
                <w:szCs w:val="20"/>
              </w:rPr>
            </w:pPr>
            <w:r w:rsidRPr="001C05C6">
              <w:rPr>
                <w:rFonts w:ascii="Arial Narrow" w:hAnsi="Arial Narrow"/>
                <w:b/>
                <w:sz w:val="20"/>
                <w:szCs w:val="20"/>
              </w:rPr>
              <w:t>Max. qty packs</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A75E4E" w14:textId="77777777" w:rsidR="006770B5" w:rsidRPr="001C05C6" w:rsidRDefault="006770B5" w:rsidP="008B3C91">
            <w:pPr>
              <w:keepLines/>
              <w:jc w:val="center"/>
              <w:rPr>
                <w:rFonts w:ascii="Arial Narrow" w:hAnsi="Arial Narrow"/>
                <w:b/>
                <w:sz w:val="20"/>
                <w:szCs w:val="20"/>
              </w:rPr>
            </w:pPr>
            <w:r w:rsidRPr="001C05C6">
              <w:rPr>
                <w:rFonts w:ascii="Arial Narrow" w:hAnsi="Arial Narrow"/>
                <w:b/>
                <w:sz w:val="20"/>
                <w:szCs w:val="20"/>
              </w:rPr>
              <w:t>Max. qty units</w:t>
            </w:r>
          </w:p>
        </w:tc>
        <w:tc>
          <w:tcPr>
            <w:tcW w:w="956" w:type="dxa"/>
            <w:tcBorders>
              <w:top w:val="single" w:sz="4" w:space="0" w:color="auto"/>
              <w:left w:val="single" w:sz="4" w:space="0" w:color="auto"/>
              <w:bottom w:val="single" w:sz="4" w:space="0" w:color="auto"/>
              <w:right w:val="single" w:sz="4" w:space="0" w:color="auto"/>
            </w:tcBorders>
            <w:vAlign w:val="center"/>
            <w:hideMark/>
          </w:tcPr>
          <w:p w14:paraId="51D980BF" w14:textId="77777777" w:rsidR="006770B5" w:rsidRPr="001C05C6" w:rsidRDefault="006770B5" w:rsidP="008B3C91">
            <w:pPr>
              <w:keepLines/>
              <w:jc w:val="center"/>
              <w:rPr>
                <w:rFonts w:ascii="Arial Narrow" w:hAnsi="Arial Narrow"/>
                <w:b/>
                <w:sz w:val="20"/>
                <w:szCs w:val="20"/>
              </w:rPr>
            </w:pPr>
            <w:r w:rsidRPr="001C05C6">
              <w:rPr>
                <w:rFonts w:ascii="Arial Narrow" w:hAnsi="Arial Narrow"/>
                <w:b/>
                <w:sz w:val="20"/>
                <w:szCs w:val="20"/>
              </w:rPr>
              <w:t>№.of</w:t>
            </w:r>
          </w:p>
          <w:p w14:paraId="202CF1E3" w14:textId="77777777" w:rsidR="006770B5" w:rsidRPr="001C05C6" w:rsidRDefault="006770B5" w:rsidP="008B3C91">
            <w:pPr>
              <w:keepLines/>
              <w:jc w:val="center"/>
              <w:rPr>
                <w:rFonts w:ascii="Arial Narrow" w:hAnsi="Arial Narrow"/>
                <w:b/>
                <w:sz w:val="20"/>
                <w:szCs w:val="20"/>
              </w:rPr>
            </w:pPr>
            <w:r w:rsidRPr="001C05C6">
              <w:rPr>
                <w:rFonts w:ascii="Arial Narrow" w:hAnsi="Arial Narrow"/>
                <w:b/>
                <w:sz w:val="20"/>
                <w:szCs w:val="20"/>
              </w:rPr>
              <w:t>Rpts</w:t>
            </w:r>
          </w:p>
        </w:tc>
        <w:tc>
          <w:tcPr>
            <w:tcW w:w="1828" w:type="dxa"/>
            <w:tcBorders>
              <w:top w:val="single" w:sz="4" w:space="0" w:color="auto"/>
              <w:left w:val="single" w:sz="4" w:space="0" w:color="auto"/>
              <w:bottom w:val="single" w:sz="4" w:space="0" w:color="auto"/>
              <w:right w:val="single" w:sz="4" w:space="0" w:color="auto"/>
            </w:tcBorders>
            <w:vAlign w:val="center"/>
            <w:hideMark/>
          </w:tcPr>
          <w:p w14:paraId="7748446A" w14:textId="4A32BD15" w:rsidR="006770B5" w:rsidRPr="007F0649" w:rsidRDefault="006770B5" w:rsidP="008B3C91">
            <w:pPr>
              <w:keepLines/>
              <w:rPr>
                <w:rFonts w:ascii="Arial Narrow" w:hAnsi="Arial Narrow"/>
                <w:b/>
                <w:sz w:val="20"/>
                <w:szCs w:val="20"/>
              </w:rPr>
            </w:pPr>
            <w:r w:rsidRPr="001C05C6">
              <w:rPr>
                <w:rFonts w:ascii="Arial Narrow" w:hAnsi="Arial Narrow"/>
                <w:b/>
                <w:sz w:val="20"/>
                <w:szCs w:val="20"/>
              </w:rPr>
              <w:t>Available brands</w:t>
            </w:r>
            <w:r>
              <w:rPr>
                <w:rFonts w:ascii="Arial Narrow" w:hAnsi="Arial Narrow"/>
                <w:b/>
                <w:sz w:val="20"/>
                <w:szCs w:val="20"/>
              </w:rPr>
              <w:t>/ Manufacturer</w:t>
            </w:r>
          </w:p>
        </w:tc>
      </w:tr>
      <w:tr w:rsidR="009A5A5C" w:rsidRPr="001C05C6" w14:paraId="28028AC3" w14:textId="77777777" w:rsidTr="008B3C91">
        <w:trPr>
          <w:cantSplit/>
          <w:trHeight w:val="20"/>
        </w:trPr>
        <w:tc>
          <w:tcPr>
            <w:tcW w:w="9016" w:type="dxa"/>
            <w:gridSpan w:val="8"/>
            <w:tcBorders>
              <w:top w:val="single" w:sz="4" w:space="0" w:color="auto"/>
              <w:left w:val="single" w:sz="4" w:space="0" w:color="auto"/>
              <w:bottom w:val="single" w:sz="4" w:space="0" w:color="auto"/>
              <w:right w:val="single" w:sz="4" w:space="0" w:color="auto"/>
            </w:tcBorders>
            <w:vAlign w:val="center"/>
            <w:hideMark/>
          </w:tcPr>
          <w:p w14:paraId="795AB5EF" w14:textId="77777777" w:rsidR="009A5A5C" w:rsidRPr="001C05C6" w:rsidRDefault="009A5A5C" w:rsidP="008B3C91">
            <w:pPr>
              <w:keepLines/>
              <w:rPr>
                <w:rFonts w:ascii="Arial Narrow" w:hAnsi="Arial Narrow"/>
                <w:sz w:val="20"/>
                <w:szCs w:val="20"/>
              </w:rPr>
            </w:pPr>
            <w:r w:rsidRPr="001C05C6">
              <w:rPr>
                <w:rFonts w:ascii="Arial Narrow" w:hAnsi="Arial Narrow"/>
                <w:iCs/>
                <w:sz w:val="20"/>
                <w:szCs w:val="20"/>
              </w:rPr>
              <w:t>LEVODOPA + CARBIDOPA + ENTACAPONE</w:t>
            </w:r>
          </w:p>
        </w:tc>
      </w:tr>
      <w:tr w:rsidR="006770B5" w:rsidRPr="001C05C6" w14:paraId="0A7A2105" w14:textId="77777777" w:rsidTr="006770B5">
        <w:trPr>
          <w:cantSplit/>
          <w:trHeight w:val="20"/>
        </w:trPr>
        <w:tc>
          <w:tcPr>
            <w:tcW w:w="3256" w:type="dxa"/>
            <w:gridSpan w:val="3"/>
            <w:tcBorders>
              <w:top w:val="single" w:sz="4" w:space="0" w:color="auto"/>
              <w:left w:val="single" w:sz="4" w:space="0" w:color="auto"/>
              <w:bottom w:val="single" w:sz="4" w:space="0" w:color="auto"/>
              <w:right w:val="single" w:sz="4" w:space="0" w:color="auto"/>
            </w:tcBorders>
            <w:vAlign w:val="center"/>
            <w:hideMark/>
          </w:tcPr>
          <w:p w14:paraId="049214EA" w14:textId="77777777" w:rsidR="006770B5" w:rsidRPr="001C05C6" w:rsidRDefault="006770B5" w:rsidP="008B3C91">
            <w:pPr>
              <w:keepLines/>
              <w:rPr>
                <w:rFonts w:ascii="Arial Narrow" w:hAnsi="Arial Narrow"/>
                <w:strike/>
                <w:sz w:val="20"/>
                <w:szCs w:val="20"/>
              </w:rPr>
            </w:pPr>
            <w:r w:rsidRPr="001C05C6">
              <w:rPr>
                <w:rFonts w:ascii="Arial Narrow" w:hAnsi="Arial Narrow"/>
                <w:sz w:val="20"/>
                <w:szCs w:val="20"/>
              </w:rPr>
              <w:t>levodopa 20 mg/mL + carbidopa monohydrate 5 mg/mL + entacapone 20 mg/mL intestinal gel, 7 x 47 mL cartridges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355D1A" w14:textId="4ABC7835" w:rsidR="006770B5" w:rsidRPr="001C05C6" w:rsidRDefault="006770B5" w:rsidP="00205C6F">
            <w:pPr>
              <w:pStyle w:val="TableText"/>
              <w:keepLines/>
              <w:jc w:val="center"/>
              <w:rPr>
                <w:szCs w:val="20"/>
              </w:rPr>
            </w:pPr>
            <w:r w:rsidRPr="001C05C6">
              <w:rPr>
                <w:szCs w:val="20"/>
              </w:rPr>
              <w:t>NEW</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417E3E" w14:textId="77777777" w:rsidR="006770B5" w:rsidRPr="001C05C6" w:rsidRDefault="006770B5" w:rsidP="008B3C91">
            <w:pPr>
              <w:keepLines/>
              <w:jc w:val="center"/>
              <w:rPr>
                <w:rFonts w:ascii="Arial Narrow" w:hAnsi="Arial Narrow"/>
                <w:sz w:val="20"/>
                <w:szCs w:val="20"/>
              </w:rPr>
            </w:pPr>
            <w:r w:rsidRPr="001C05C6">
              <w:rPr>
                <w:rFonts w:ascii="Arial Narrow" w:hAnsi="Arial Narrow"/>
                <w:sz w:val="20"/>
                <w:szCs w:val="20"/>
              </w:rPr>
              <w:t>8</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94FB85" w14:textId="77777777" w:rsidR="006770B5" w:rsidRPr="001C05C6" w:rsidRDefault="006770B5" w:rsidP="008B3C91">
            <w:pPr>
              <w:keepLines/>
              <w:jc w:val="center"/>
              <w:rPr>
                <w:rFonts w:ascii="Arial Narrow" w:hAnsi="Arial Narrow"/>
                <w:sz w:val="20"/>
                <w:szCs w:val="20"/>
              </w:rPr>
            </w:pPr>
            <w:r w:rsidRPr="001C05C6">
              <w:rPr>
                <w:rFonts w:ascii="Arial Narrow" w:hAnsi="Arial Narrow"/>
                <w:sz w:val="20"/>
                <w:szCs w:val="20"/>
              </w:rPr>
              <w:t xml:space="preserve">56 </w:t>
            </w:r>
          </w:p>
        </w:tc>
        <w:tc>
          <w:tcPr>
            <w:tcW w:w="956" w:type="dxa"/>
            <w:tcBorders>
              <w:top w:val="single" w:sz="4" w:space="0" w:color="auto"/>
              <w:left w:val="single" w:sz="4" w:space="0" w:color="auto"/>
              <w:bottom w:val="single" w:sz="4" w:space="0" w:color="auto"/>
              <w:right w:val="single" w:sz="4" w:space="0" w:color="auto"/>
            </w:tcBorders>
            <w:vAlign w:val="center"/>
            <w:hideMark/>
          </w:tcPr>
          <w:p w14:paraId="068205D8" w14:textId="77777777" w:rsidR="006770B5" w:rsidRPr="001C05C6" w:rsidRDefault="006770B5" w:rsidP="008B3C91">
            <w:pPr>
              <w:keepLines/>
              <w:jc w:val="center"/>
              <w:rPr>
                <w:rFonts w:ascii="Arial Narrow" w:hAnsi="Arial Narrow"/>
                <w:sz w:val="20"/>
                <w:szCs w:val="20"/>
              </w:rPr>
            </w:pPr>
            <w:r w:rsidRPr="001C05C6">
              <w:rPr>
                <w:rFonts w:ascii="Arial Narrow" w:hAnsi="Arial Narrow"/>
                <w:sz w:val="20"/>
                <w:szCs w:val="20"/>
              </w:rPr>
              <w:t>5</w:t>
            </w:r>
          </w:p>
        </w:tc>
        <w:tc>
          <w:tcPr>
            <w:tcW w:w="1828" w:type="dxa"/>
            <w:tcBorders>
              <w:top w:val="single" w:sz="4" w:space="0" w:color="auto"/>
              <w:left w:val="single" w:sz="4" w:space="0" w:color="auto"/>
              <w:bottom w:val="single" w:sz="4" w:space="0" w:color="auto"/>
              <w:right w:val="single" w:sz="4" w:space="0" w:color="auto"/>
            </w:tcBorders>
            <w:vAlign w:val="center"/>
            <w:hideMark/>
          </w:tcPr>
          <w:p w14:paraId="4526F1EE" w14:textId="77777777" w:rsidR="006770B5" w:rsidRPr="001C05C6" w:rsidRDefault="006770B5" w:rsidP="008B3C91">
            <w:pPr>
              <w:keepNext/>
              <w:keepLines/>
              <w:rPr>
                <w:rFonts w:ascii="Arial Narrow" w:hAnsi="Arial Narrow"/>
                <w:sz w:val="20"/>
                <w:szCs w:val="20"/>
              </w:rPr>
            </w:pPr>
            <w:proofErr w:type="spellStart"/>
            <w:r w:rsidRPr="001C05C6">
              <w:rPr>
                <w:rFonts w:ascii="Arial Narrow" w:hAnsi="Arial Narrow"/>
                <w:sz w:val="20"/>
                <w:szCs w:val="20"/>
              </w:rPr>
              <w:t>Lecigon</w:t>
            </w:r>
            <w:proofErr w:type="spellEnd"/>
            <w:r w:rsidRPr="001C05C6">
              <w:rPr>
                <w:rFonts w:ascii="Arial Narrow" w:hAnsi="Arial Narrow"/>
                <w:sz w:val="20"/>
                <w:szCs w:val="20"/>
              </w:rPr>
              <w:t xml:space="preserve"> /</w:t>
            </w:r>
          </w:p>
          <w:p w14:paraId="021C15BA" w14:textId="77777777" w:rsidR="006770B5" w:rsidRPr="001C05C6" w:rsidRDefault="006770B5" w:rsidP="008B3C91">
            <w:pPr>
              <w:keepLines/>
              <w:rPr>
                <w:rFonts w:ascii="Arial Narrow" w:hAnsi="Arial Narrow"/>
                <w:sz w:val="20"/>
                <w:szCs w:val="20"/>
              </w:rPr>
            </w:pPr>
            <w:r w:rsidRPr="001C05C6">
              <w:rPr>
                <w:rFonts w:ascii="Arial Narrow" w:hAnsi="Arial Narrow"/>
                <w:color w:val="333333"/>
                <w:sz w:val="20"/>
                <w:szCs w:val="20"/>
              </w:rPr>
              <w:t>STADA Pharmaceuticals Australia Pty Ltd</w:t>
            </w:r>
          </w:p>
        </w:tc>
      </w:tr>
      <w:tr w:rsidR="009A5A5C" w:rsidRPr="001C05C6" w14:paraId="6F4B4D0F" w14:textId="77777777" w:rsidTr="008B3C91">
        <w:trPr>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A5162E3" w14:textId="77777777" w:rsidR="009A5A5C" w:rsidRPr="001C05C6" w:rsidRDefault="009A5A5C" w:rsidP="008B3C91">
            <w:pPr>
              <w:rPr>
                <w:rFonts w:ascii="Arial Narrow" w:hAnsi="Arial Narrow"/>
                <w:sz w:val="20"/>
                <w:szCs w:val="20"/>
              </w:rPr>
            </w:pPr>
          </w:p>
        </w:tc>
      </w:tr>
      <w:tr w:rsidR="009A5A5C" w:rsidRPr="001C05C6" w14:paraId="1D9C1FFB" w14:textId="77777777" w:rsidTr="008B3C91">
        <w:trPr>
          <w:trHeight w:val="20"/>
        </w:trPr>
        <w:tc>
          <w:tcPr>
            <w:tcW w:w="9016"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D828A5" w14:textId="77777777" w:rsidR="009A5A5C" w:rsidRPr="001C05C6" w:rsidRDefault="009A5A5C" w:rsidP="008B3C91">
            <w:pPr>
              <w:keepLines/>
              <w:rPr>
                <w:rFonts w:ascii="Arial Narrow" w:hAnsi="Arial Narrow"/>
                <w:b/>
                <w:sz w:val="20"/>
                <w:szCs w:val="20"/>
              </w:rPr>
            </w:pPr>
            <w:r w:rsidRPr="001C05C6">
              <w:rPr>
                <w:rFonts w:ascii="Arial Narrow" w:hAnsi="Arial Narrow"/>
                <w:b/>
                <w:sz w:val="20"/>
                <w:szCs w:val="20"/>
              </w:rPr>
              <w:t>Variant of Restriction Summary 10374 / ToC: 10386: Authority Required: Streamlined</w:t>
            </w:r>
          </w:p>
        </w:tc>
      </w:tr>
      <w:tr w:rsidR="009A5A5C" w:rsidRPr="001C05C6" w14:paraId="5E7791DC" w14:textId="77777777" w:rsidTr="008B3C91">
        <w:trPr>
          <w:trHeight w:val="20"/>
        </w:trPr>
        <w:tc>
          <w:tcPr>
            <w:tcW w:w="1277"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hideMark/>
          </w:tcPr>
          <w:p w14:paraId="09839217" w14:textId="082057E1" w:rsidR="009A5A5C" w:rsidRPr="004538F5" w:rsidRDefault="009A5A5C" w:rsidP="008B3C91">
            <w:pPr>
              <w:jc w:val="center"/>
              <w:rPr>
                <w:rFonts w:ascii="Arial Narrow" w:hAnsi="Arial Narrow"/>
                <w:b/>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7882EC9" w14:textId="77777777" w:rsidR="009A5A5C" w:rsidRPr="004538F5" w:rsidRDefault="009A5A5C" w:rsidP="008B3C91">
            <w:pPr>
              <w:keepLines/>
              <w:rPr>
                <w:rFonts w:ascii="Arial Narrow" w:hAnsi="Arial Narrow"/>
                <w:b/>
                <w:sz w:val="20"/>
                <w:szCs w:val="20"/>
              </w:rPr>
            </w:pPr>
            <w:r w:rsidRPr="004538F5">
              <w:rPr>
                <w:rFonts w:ascii="Arial Narrow" w:hAnsi="Arial Narrow"/>
                <w:b/>
                <w:sz w:val="20"/>
                <w:szCs w:val="20"/>
              </w:rPr>
              <w:t xml:space="preserve">Category / Program: </w:t>
            </w:r>
            <w:r w:rsidRPr="004538F5">
              <w:rPr>
                <w:rFonts w:ascii="Arial Narrow" w:hAnsi="Arial Narrow"/>
                <w:sz w:val="20"/>
                <w:szCs w:val="20"/>
              </w:rPr>
              <w:t>General Schedule (Code GE)</w:t>
            </w:r>
          </w:p>
        </w:tc>
      </w:tr>
      <w:tr w:rsidR="009A5A5C" w:rsidRPr="001C05C6" w14:paraId="2216476E" w14:textId="77777777" w:rsidTr="008B3C91">
        <w:trPr>
          <w:trHeight w:val="20"/>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2C2391A5" w14:textId="77777777" w:rsidR="009A5A5C" w:rsidRPr="004538F5" w:rsidRDefault="009A5A5C" w:rsidP="008B3C91">
            <w:pPr>
              <w:rPr>
                <w:rFonts w:ascii="Arial Narrow" w:hAnsi="Arial Narrow"/>
                <w:b/>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972FEB" w14:textId="77777777" w:rsidR="009A5A5C" w:rsidRPr="004538F5" w:rsidRDefault="009A5A5C" w:rsidP="008B3C91">
            <w:pPr>
              <w:keepLines/>
              <w:rPr>
                <w:rFonts w:ascii="Arial Narrow" w:hAnsi="Arial Narrow"/>
                <w:b/>
                <w:sz w:val="20"/>
                <w:szCs w:val="20"/>
              </w:rPr>
            </w:pPr>
            <w:r w:rsidRPr="004538F5">
              <w:rPr>
                <w:rFonts w:ascii="Arial Narrow" w:hAnsi="Arial Narrow"/>
                <w:b/>
                <w:sz w:val="20"/>
                <w:szCs w:val="20"/>
              </w:rPr>
              <w:t xml:space="preserve">Prescriber type: </w:t>
            </w:r>
            <w:r w:rsidRPr="004538F5">
              <w:rPr>
                <w:rFonts w:ascii="Arial Narrow" w:hAnsi="Arial Narrow"/>
                <w:sz w:val="20"/>
                <w:szCs w:val="20"/>
              </w:rPr>
              <w:fldChar w:fldCharType="begin" w:fldLock="1">
                <w:ffData>
                  <w:name w:val=""/>
                  <w:enabled/>
                  <w:calcOnExit w:val="0"/>
                  <w:checkBox>
                    <w:sizeAuto/>
                    <w:default w:val="1"/>
                  </w:checkBox>
                </w:ffData>
              </w:fldChar>
            </w:r>
            <w:r w:rsidRPr="004538F5">
              <w:rPr>
                <w:rFonts w:ascii="Arial Narrow" w:hAnsi="Arial Narrow"/>
                <w:sz w:val="20"/>
                <w:szCs w:val="20"/>
              </w:rPr>
              <w:instrText xml:space="preserve"> FORMCHECKBOX </w:instrText>
            </w:r>
            <w:r w:rsidRPr="004538F5">
              <w:rPr>
                <w:rFonts w:ascii="Arial Narrow" w:hAnsi="Arial Narrow"/>
                <w:sz w:val="20"/>
                <w:szCs w:val="20"/>
              </w:rPr>
            </w:r>
            <w:r w:rsidRPr="004538F5">
              <w:rPr>
                <w:rFonts w:ascii="Arial Narrow" w:hAnsi="Arial Narrow"/>
                <w:sz w:val="20"/>
                <w:szCs w:val="20"/>
              </w:rPr>
              <w:fldChar w:fldCharType="separate"/>
            </w:r>
            <w:r w:rsidRPr="004538F5">
              <w:rPr>
                <w:rFonts w:ascii="Arial Narrow" w:hAnsi="Arial Narrow"/>
                <w:sz w:val="20"/>
                <w:szCs w:val="20"/>
              </w:rPr>
              <w:fldChar w:fldCharType="end"/>
            </w:r>
            <w:r w:rsidRPr="004538F5">
              <w:rPr>
                <w:rFonts w:ascii="Arial Narrow" w:hAnsi="Arial Narrow"/>
                <w:sz w:val="20"/>
                <w:szCs w:val="20"/>
              </w:rPr>
              <w:t xml:space="preserve">Medical Practitioners </w:t>
            </w:r>
            <w:r w:rsidRPr="004538F5">
              <w:rPr>
                <w:rFonts w:ascii="Arial Narrow" w:hAnsi="Arial Narrow"/>
                <w:b/>
                <w:sz w:val="20"/>
                <w:szCs w:val="20"/>
              </w:rPr>
              <w:t xml:space="preserve"> </w:t>
            </w:r>
            <w:r w:rsidRPr="004538F5">
              <w:rPr>
                <w:rFonts w:ascii="Arial Narrow" w:hAnsi="Arial Narrow"/>
                <w:sz w:val="20"/>
                <w:szCs w:val="20"/>
              </w:rPr>
              <w:fldChar w:fldCharType="begin" w:fldLock="1">
                <w:ffData>
                  <w:name w:val=""/>
                  <w:enabled/>
                  <w:calcOnExit w:val="0"/>
                  <w:checkBox>
                    <w:sizeAuto/>
                    <w:default w:val="1"/>
                  </w:checkBox>
                </w:ffData>
              </w:fldChar>
            </w:r>
            <w:r w:rsidRPr="004538F5">
              <w:rPr>
                <w:rFonts w:ascii="Arial Narrow" w:hAnsi="Arial Narrow"/>
                <w:sz w:val="20"/>
                <w:szCs w:val="20"/>
              </w:rPr>
              <w:instrText xml:space="preserve"> FORMCHECKBOX </w:instrText>
            </w:r>
            <w:r w:rsidRPr="004538F5">
              <w:rPr>
                <w:rFonts w:ascii="Arial Narrow" w:hAnsi="Arial Narrow"/>
                <w:sz w:val="20"/>
                <w:szCs w:val="20"/>
              </w:rPr>
            </w:r>
            <w:r w:rsidRPr="004538F5">
              <w:rPr>
                <w:rFonts w:ascii="Arial Narrow" w:hAnsi="Arial Narrow"/>
                <w:sz w:val="20"/>
                <w:szCs w:val="20"/>
              </w:rPr>
              <w:fldChar w:fldCharType="separate"/>
            </w:r>
            <w:r w:rsidRPr="004538F5">
              <w:rPr>
                <w:rFonts w:ascii="Arial Narrow" w:hAnsi="Arial Narrow"/>
                <w:sz w:val="20"/>
                <w:szCs w:val="20"/>
              </w:rPr>
              <w:fldChar w:fldCharType="end"/>
            </w:r>
            <w:r w:rsidRPr="004538F5">
              <w:rPr>
                <w:rFonts w:ascii="Arial Narrow" w:hAnsi="Arial Narrow"/>
                <w:sz w:val="20"/>
                <w:szCs w:val="20"/>
              </w:rPr>
              <w:t>Nurse practitioner</w:t>
            </w:r>
          </w:p>
        </w:tc>
      </w:tr>
      <w:tr w:rsidR="009A5A5C" w:rsidRPr="001C05C6" w14:paraId="29C9C9D9" w14:textId="77777777" w:rsidTr="008B3C91">
        <w:trPr>
          <w:trHeight w:val="20"/>
        </w:trPr>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4BBF0095" w14:textId="77777777" w:rsidR="009A5A5C" w:rsidRPr="004538F5" w:rsidRDefault="009A5A5C" w:rsidP="008B3C91">
            <w:pPr>
              <w:rPr>
                <w:rFonts w:ascii="Arial Narrow" w:hAnsi="Arial Narrow"/>
                <w:b/>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98621C0" w14:textId="77777777" w:rsidR="009A5A5C" w:rsidRPr="004538F5" w:rsidRDefault="009A5A5C" w:rsidP="008B3C91">
            <w:pPr>
              <w:keepLines/>
              <w:rPr>
                <w:rFonts w:ascii="Arial Narrow" w:eastAsia="Calibri" w:hAnsi="Arial Narrow"/>
                <w:color w:val="FF0000"/>
                <w:sz w:val="20"/>
                <w:szCs w:val="20"/>
              </w:rPr>
            </w:pPr>
            <w:r w:rsidRPr="004538F5">
              <w:rPr>
                <w:rFonts w:ascii="Arial Narrow" w:hAnsi="Arial Narrow"/>
                <w:b/>
                <w:sz w:val="20"/>
                <w:szCs w:val="20"/>
              </w:rPr>
              <w:t xml:space="preserve">Restriction type: </w:t>
            </w:r>
            <w:r w:rsidRPr="004538F5">
              <w:rPr>
                <w:rFonts w:ascii="Arial Narrow" w:eastAsia="Calibri" w:hAnsi="Arial Narrow"/>
                <w:sz w:val="20"/>
                <w:szCs w:val="20"/>
              </w:rPr>
              <w:fldChar w:fldCharType="begin" w:fldLock="1">
                <w:ffData>
                  <w:name w:val=""/>
                  <w:enabled/>
                  <w:calcOnExit w:val="0"/>
                  <w:checkBox>
                    <w:sizeAuto/>
                    <w:default w:val="1"/>
                  </w:checkBox>
                </w:ffData>
              </w:fldChar>
            </w:r>
            <w:r w:rsidRPr="004538F5">
              <w:rPr>
                <w:rFonts w:ascii="Arial Narrow" w:eastAsia="Calibri" w:hAnsi="Arial Narrow"/>
                <w:sz w:val="20"/>
                <w:szCs w:val="20"/>
              </w:rPr>
              <w:instrText xml:space="preserve"> FORMCHECKBOX </w:instrText>
            </w:r>
            <w:r w:rsidRPr="004538F5">
              <w:rPr>
                <w:rFonts w:ascii="Arial Narrow" w:eastAsia="Calibri" w:hAnsi="Arial Narrow"/>
                <w:sz w:val="20"/>
                <w:szCs w:val="20"/>
              </w:rPr>
            </w:r>
            <w:r w:rsidRPr="004538F5">
              <w:rPr>
                <w:rFonts w:ascii="Arial Narrow" w:eastAsia="Calibri" w:hAnsi="Arial Narrow"/>
                <w:sz w:val="20"/>
                <w:szCs w:val="20"/>
              </w:rPr>
              <w:fldChar w:fldCharType="separate"/>
            </w:r>
            <w:r w:rsidRPr="004538F5">
              <w:rPr>
                <w:rFonts w:ascii="Arial Narrow" w:eastAsia="Calibri" w:hAnsi="Arial Narrow"/>
                <w:sz w:val="20"/>
                <w:szCs w:val="20"/>
              </w:rPr>
              <w:fldChar w:fldCharType="end"/>
            </w:r>
            <w:r w:rsidRPr="004538F5">
              <w:rPr>
                <w:rFonts w:ascii="Arial Narrow" w:eastAsia="Calibri" w:hAnsi="Arial Narrow"/>
                <w:sz w:val="20"/>
                <w:szCs w:val="20"/>
              </w:rPr>
              <w:t xml:space="preserve">Authority Required (Streamlined) [new code] </w:t>
            </w:r>
          </w:p>
        </w:tc>
      </w:tr>
      <w:tr w:rsidR="009A5A5C" w:rsidRPr="001C05C6" w14:paraId="09165A21" w14:textId="77777777" w:rsidTr="008403BF">
        <w:trPr>
          <w:trHeight w:val="20"/>
        </w:trPr>
        <w:tc>
          <w:tcPr>
            <w:tcW w:w="637"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D51507D" w14:textId="1949EE6D" w:rsidR="009A5A5C" w:rsidRPr="004538F5" w:rsidRDefault="009A5A5C" w:rsidP="008B3C91">
            <w:pPr>
              <w:rPr>
                <w:rFonts w:ascii="Arial Narrow" w:eastAsiaTheme="minorHAnsi" w:hAnsi="Arial Narrow"/>
                <w:sz w:val="20"/>
                <w:szCs w:val="20"/>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389B043" w14:textId="444C95DA" w:rsidR="009A5A5C" w:rsidRPr="004538F5" w:rsidRDefault="009A5A5C" w:rsidP="008B3C91">
            <w:pPr>
              <w:jc w:val="center"/>
              <w:rPr>
                <w:rFonts w:ascii="Arial Narrow" w:hAnsi="Arial Narrow"/>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43BE6EA" w14:textId="77777777" w:rsidR="009A5A5C" w:rsidRPr="004538F5" w:rsidRDefault="009A5A5C" w:rsidP="008B3C91">
            <w:pPr>
              <w:keepLines/>
              <w:rPr>
                <w:rFonts w:ascii="Arial Narrow" w:hAnsi="Arial Narrow"/>
                <w:b/>
                <w:sz w:val="20"/>
                <w:szCs w:val="20"/>
              </w:rPr>
            </w:pPr>
            <w:r w:rsidRPr="004538F5">
              <w:rPr>
                <w:rFonts w:ascii="Arial Narrow" w:hAnsi="Arial Narrow"/>
                <w:b/>
                <w:bCs/>
                <w:color w:val="333333"/>
                <w:sz w:val="20"/>
                <w:szCs w:val="20"/>
              </w:rPr>
              <w:t xml:space="preserve">Administrative Advice: </w:t>
            </w:r>
            <w:r w:rsidRPr="004538F5">
              <w:rPr>
                <w:rFonts w:ascii="Arial Narrow" w:hAnsi="Arial Narrow"/>
                <w:color w:val="333333"/>
                <w:sz w:val="20"/>
                <w:szCs w:val="20"/>
              </w:rPr>
              <w:t>Special Pricing Arrangements apply.</w:t>
            </w:r>
          </w:p>
        </w:tc>
      </w:tr>
      <w:tr w:rsidR="009A5A5C" w:rsidRPr="001C05C6" w14:paraId="66B6661C" w14:textId="77777777" w:rsidTr="008403BF">
        <w:trPr>
          <w:trHeight w:val="20"/>
        </w:trPr>
        <w:tc>
          <w:tcPr>
            <w:tcW w:w="637" w:type="dxa"/>
            <w:vMerge/>
            <w:tcBorders>
              <w:top w:val="single" w:sz="4" w:space="0" w:color="auto"/>
              <w:left w:val="single" w:sz="4" w:space="0" w:color="auto"/>
              <w:bottom w:val="single" w:sz="4" w:space="0" w:color="auto"/>
              <w:right w:val="single" w:sz="4" w:space="0" w:color="auto"/>
            </w:tcBorders>
            <w:vAlign w:val="center"/>
          </w:tcPr>
          <w:p w14:paraId="398C6387" w14:textId="77777777" w:rsidR="009A5A5C" w:rsidRPr="004538F5" w:rsidRDefault="009A5A5C" w:rsidP="008B3C91">
            <w:pPr>
              <w:rPr>
                <w:rFonts w:ascii="Arial Narrow" w:hAnsi="Arial Narrow"/>
                <w:sz w:val="20"/>
                <w:szCs w:val="20"/>
                <w:lang w:eastAsia="en-US"/>
              </w:rPr>
            </w:pPr>
          </w:p>
        </w:tc>
        <w:tc>
          <w:tcPr>
            <w:tcW w:w="64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9D30D14" w14:textId="491DA642" w:rsidR="00F400E1" w:rsidRPr="004538F5" w:rsidRDefault="00F400E1" w:rsidP="00981B72">
            <w:pPr>
              <w:rPr>
                <w:rFonts w:ascii="Arial Narrow" w:hAnsi="Arial Narrow"/>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0A00A43" w14:textId="49508922" w:rsidR="00F400E1" w:rsidRPr="004538F5" w:rsidRDefault="009A5A5C" w:rsidP="008B3C91">
            <w:pPr>
              <w:keepLines/>
              <w:rPr>
                <w:rFonts w:ascii="Arial Narrow" w:hAnsi="Arial Narrow"/>
                <w:b/>
                <w:bCs/>
                <w:color w:val="333333"/>
                <w:sz w:val="20"/>
                <w:szCs w:val="20"/>
              </w:rPr>
            </w:pPr>
            <w:r w:rsidRPr="004538F5">
              <w:rPr>
                <w:rFonts w:ascii="Arial Narrow" w:hAnsi="Arial Narrow"/>
                <w:b/>
                <w:bCs/>
                <w:color w:val="333333"/>
                <w:sz w:val="20"/>
                <w:szCs w:val="20"/>
              </w:rPr>
              <w:t>Administrative Advice:</w:t>
            </w:r>
            <w:r w:rsidR="00981B72">
              <w:rPr>
                <w:rFonts w:ascii="Arial Narrow" w:hAnsi="Arial Narrow"/>
                <w:b/>
                <w:bCs/>
                <w:color w:val="333333"/>
                <w:sz w:val="20"/>
                <w:szCs w:val="20"/>
              </w:rPr>
              <w:t xml:space="preserve"> </w:t>
            </w:r>
            <w:r w:rsidR="00F400E1" w:rsidRPr="00F400E1">
              <w:rPr>
                <w:rFonts w:ascii="Arial Narrow" w:hAnsi="Arial Narrow" w:cstheme="minorHAnsi"/>
                <w:b/>
                <w:bCs/>
                <w:color w:val="333333"/>
                <w:sz w:val="20"/>
                <w:szCs w:val="20"/>
                <w:bdr w:val="none" w:sz="0" w:space="0" w:color="auto" w:frame="1"/>
              </w:rPr>
              <w:t>Continuing Therapy Only:</w:t>
            </w:r>
            <w:r w:rsidR="00F400E1" w:rsidRPr="00BE2AF6">
              <w:rPr>
                <w:rFonts w:ascii="Arial Narrow" w:hAnsi="Arial Narrow" w:cstheme="minorHAnsi"/>
                <w:b/>
                <w:bCs/>
                <w:color w:val="333333"/>
                <w:sz w:val="20"/>
                <w:szCs w:val="20"/>
                <w:bdr w:val="none" w:sz="0" w:space="0" w:color="auto" w:frame="1"/>
              </w:rPr>
              <w:t xml:space="preserve"> </w:t>
            </w:r>
            <w:r w:rsidR="00F400E1" w:rsidRPr="00BE2AF6">
              <w:rPr>
                <w:rFonts w:ascii="Arial Narrow" w:hAnsi="Arial Narrow" w:cstheme="minorHAnsi"/>
                <w:color w:val="333333"/>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9A5A5C" w:rsidRPr="001C05C6" w14:paraId="2CE5B3CA"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E781BBB" w14:textId="77777777" w:rsidR="009A5A5C" w:rsidRPr="004538F5" w:rsidRDefault="009A5A5C" w:rsidP="008B3C91">
            <w:pPr>
              <w:keepLines/>
              <w:jc w:val="center"/>
              <w:rPr>
                <w:rFonts w:ascii="Arial Narrow" w:eastAsiaTheme="minorHAnsi" w:hAnsi="Arial Narrow" w:cstheme="minorHAnsi"/>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0CCD3C9" w14:textId="77777777" w:rsidR="009A5A5C" w:rsidRPr="004538F5" w:rsidRDefault="009A5A5C" w:rsidP="008B3C91">
            <w:pPr>
              <w:keepLines/>
              <w:rPr>
                <w:rFonts w:ascii="Arial Narrow" w:hAnsi="Arial Narrow"/>
                <w:b/>
                <w:bCs/>
                <w:sz w:val="20"/>
                <w:szCs w:val="20"/>
              </w:rPr>
            </w:pPr>
            <w:r w:rsidRPr="004538F5">
              <w:rPr>
                <w:rFonts w:ascii="Arial Narrow" w:hAnsi="Arial Narrow"/>
                <w:b/>
                <w:bCs/>
                <w:sz w:val="20"/>
                <w:szCs w:val="20"/>
              </w:rPr>
              <w:t xml:space="preserve">Severity: </w:t>
            </w:r>
            <w:r w:rsidRPr="004538F5">
              <w:rPr>
                <w:rFonts w:ascii="Arial Narrow" w:hAnsi="Arial Narrow" w:cstheme="minorHAnsi"/>
                <w:sz w:val="20"/>
                <w:szCs w:val="20"/>
              </w:rPr>
              <w:t>Advanced</w:t>
            </w:r>
          </w:p>
        </w:tc>
      </w:tr>
      <w:tr w:rsidR="009A5A5C" w:rsidRPr="001C05C6" w14:paraId="1B2C90D6"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2F2A32" w14:textId="77777777" w:rsidR="009A5A5C" w:rsidRPr="004538F5" w:rsidRDefault="009A5A5C" w:rsidP="008B3C91">
            <w:pPr>
              <w:keepLines/>
              <w:jc w:val="center"/>
              <w:rPr>
                <w:rFonts w:ascii="Arial Narrow" w:eastAsiaTheme="minorHAnsi" w:hAnsi="Arial Narrow" w:cstheme="minorHAnsi"/>
                <w:sz w:val="20"/>
                <w:szCs w:val="20"/>
                <w:lang w:eastAsia="en-US"/>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3728386" w14:textId="77777777" w:rsidR="009A5A5C" w:rsidRPr="004538F5" w:rsidRDefault="009A5A5C" w:rsidP="008B3C91">
            <w:pPr>
              <w:keepLines/>
              <w:rPr>
                <w:rFonts w:ascii="Arial Narrow" w:hAnsi="Arial Narrow"/>
                <w:b/>
                <w:bCs/>
                <w:sz w:val="20"/>
                <w:szCs w:val="20"/>
              </w:rPr>
            </w:pPr>
            <w:r w:rsidRPr="004538F5">
              <w:rPr>
                <w:rFonts w:ascii="Arial Narrow" w:hAnsi="Arial Narrow"/>
                <w:b/>
                <w:bCs/>
                <w:sz w:val="20"/>
                <w:szCs w:val="20"/>
              </w:rPr>
              <w:t xml:space="preserve">Condition: </w:t>
            </w:r>
            <w:r w:rsidRPr="004538F5">
              <w:rPr>
                <w:rFonts w:ascii="Arial Narrow" w:hAnsi="Arial Narrow" w:cstheme="minorHAnsi"/>
                <w:sz w:val="20"/>
                <w:szCs w:val="20"/>
              </w:rPr>
              <w:t>Parkinson Disease</w:t>
            </w:r>
          </w:p>
        </w:tc>
      </w:tr>
      <w:tr w:rsidR="009A5A5C" w:rsidRPr="001C05C6" w14:paraId="1F6F0A40"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7BD3477" w14:textId="1180188E" w:rsidR="009A5A5C" w:rsidRPr="004538F5" w:rsidRDefault="009A5A5C" w:rsidP="008B3C91">
            <w:pPr>
              <w:keepLines/>
              <w:jc w:val="center"/>
              <w:rPr>
                <w:rFonts w:ascii="Arial Narrow" w:hAnsi="Arial Narrow"/>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0928116" w14:textId="77777777" w:rsidR="009A5A5C" w:rsidRPr="004538F5" w:rsidRDefault="009A5A5C" w:rsidP="008B3C91">
            <w:pPr>
              <w:keepLines/>
              <w:rPr>
                <w:rFonts w:ascii="Arial Narrow" w:hAnsi="Arial Narrow"/>
                <w:color w:val="333333"/>
                <w:sz w:val="20"/>
                <w:szCs w:val="20"/>
              </w:rPr>
            </w:pPr>
            <w:r w:rsidRPr="004538F5">
              <w:rPr>
                <w:rFonts w:ascii="Arial Narrow" w:hAnsi="Arial Narrow"/>
                <w:b/>
                <w:bCs/>
                <w:color w:val="333333"/>
                <w:sz w:val="20"/>
                <w:szCs w:val="20"/>
              </w:rPr>
              <w:t>Indication:</w:t>
            </w:r>
            <w:r w:rsidRPr="004538F5">
              <w:rPr>
                <w:rFonts w:ascii="Arial Narrow" w:hAnsi="Arial Narrow"/>
                <w:color w:val="333333"/>
                <w:sz w:val="20"/>
                <w:szCs w:val="20"/>
              </w:rPr>
              <w:t xml:space="preserve"> </w:t>
            </w:r>
            <w:r w:rsidRPr="004538F5">
              <w:rPr>
                <w:rFonts w:ascii="Arial Narrow" w:hAnsi="Arial Narrow" w:cstheme="minorHAnsi"/>
                <w:sz w:val="20"/>
                <w:szCs w:val="20"/>
              </w:rPr>
              <w:t>Advanced Parkinson disease</w:t>
            </w:r>
          </w:p>
        </w:tc>
      </w:tr>
      <w:tr w:rsidR="009A5A5C" w:rsidRPr="001C05C6" w14:paraId="45A0B5D6"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E90A40" w14:textId="77777777" w:rsidR="009A5A5C" w:rsidRPr="004538F5" w:rsidRDefault="009A5A5C" w:rsidP="008B3C91">
            <w:pPr>
              <w:keepNext/>
              <w:jc w:val="center"/>
              <w:rPr>
                <w:rFonts w:ascii="Arial Narrow" w:hAnsi="Arial Narrow"/>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43AFA49" w14:textId="77777777" w:rsidR="009A5A5C" w:rsidRPr="004538F5" w:rsidRDefault="009A5A5C" w:rsidP="008B3C91">
            <w:pPr>
              <w:keepNext/>
              <w:rPr>
                <w:rFonts w:ascii="Arial Narrow" w:hAnsi="Arial Narrow"/>
                <w:b/>
                <w:bCs/>
                <w:color w:val="333333"/>
                <w:sz w:val="20"/>
                <w:szCs w:val="20"/>
              </w:rPr>
            </w:pPr>
            <w:r w:rsidRPr="004538F5">
              <w:rPr>
                <w:rFonts w:ascii="Arial Narrow" w:hAnsi="Arial Narrow"/>
                <w:b/>
                <w:bCs/>
                <w:color w:val="333333"/>
                <w:sz w:val="20"/>
                <w:szCs w:val="20"/>
              </w:rPr>
              <w:t xml:space="preserve">Treatment Phase: </w:t>
            </w:r>
            <w:r w:rsidRPr="004538F5">
              <w:rPr>
                <w:rFonts w:ascii="Arial Narrow" w:hAnsi="Arial Narrow"/>
                <w:color w:val="333333"/>
                <w:sz w:val="20"/>
                <w:szCs w:val="20"/>
              </w:rPr>
              <w:t>Maintenance therapy</w:t>
            </w:r>
          </w:p>
        </w:tc>
      </w:tr>
      <w:tr w:rsidR="009A5A5C" w:rsidRPr="001C05C6" w14:paraId="7C17AAC5"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6CB220" w14:textId="7A3ACC9C" w:rsidR="009A5A5C" w:rsidRPr="004538F5" w:rsidRDefault="009A5A5C" w:rsidP="008B3C91">
            <w:pPr>
              <w:jc w:val="center"/>
              <w:rPr>
                <w:rFonts w:ascii="Arial Narrow" w:hAnsi="Arial Narrow"/>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FA583C" w14:textId="77777777" w:rsidR="009A5A5C" w:rsidRPr="004538F5" w:rsidRDefault="009A5A5C" w:rsidP="008B3C91">
            <w:pPr>
              <w:rPr>
                <w:rFonts w:ascii="Arial Narrow" w:hAnsi="Arial Narrow"/>
                <w:sz w:val="20"/>
                <w:szCs w:val="20"/>
              </w:rPr>
            </w:pPr>
            <w:r w:rsidRPr="004538F5">
              <w:rPr>
                <w:rFonts w:ascii="Arial Narrow" w:hAnsi="Arial Narrow"/>
                <w:b/>
                <w:bCs/>
                <w:sz w:val="20"/>
                <w:szCs w:val="20"/>
              </w:rPr>
              <w:t xml:space="preserve">Clinical criteria: </w:t>
            </w:r>
          </w:p>
        </w:tc>
      </w:tr>
      <w:tr w:rsidR="009A5A5C" w:rsidRPr="001C05C6" w14:paraId="50FFD631"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2FF3185" w14:textId="3CC87262" w:rsidR="009A5A5C" w:rsidRPr="004538F5" w:rsidRDefault="009A5A5C" w:rsidP="008B3C91">
            <w:pPr>
              <w:jc w:val="center"/>
              <w:rPr>
                <w:rFonts w:ascii="Arial Narrow" w:hAnsi="Arial Narrow"/>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1B7FBB" w14:textId="77777777" w:rsidR="009A5A5C" w:rsidRPr="004538F5" w:rsidRDefault="009A5A5C" w:rsidP="008B3C91">
            <w:pPr>
              <w:rPr>
                <w:rFonts w:ascii="Arial Narrow" w:hAnsi="Arial Narrow"/>
                <w:color w:val="333333"/>
                <w:sz w:val="20"/>
                <w:szCs w:val="20"/>
              </w:rPr>
            </w:pPr>
            <w:r w:rsidRPr="0048153C">
              <w:rPr>
                <w:rFonts w:ascii="Arial Narrow" w:hAnsi="Arial Narrow"/>
                <w:sz w:val="20"/>
                <w:szCs w:val="20"/>
              </w:rPr>
              <w:t>Patient must have severe disabling motor fluctuations not adequately controlled by at least one of: (i) oral therapy; (ii) intestinal gel formulation containing levodopa.</w:t>
            </w:r>
          </w:p>
        </w:tc>
      </w:tr>
      <w:tr w:rsidR="009A5A5C" w:rsidRPr="001C05C6" w14:paraId="579E091F"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C8E48F" w14:textId="77777777" w:rsidR="009A5A5C" w:rsidRPr="004538F5" w:rsidRDefault="009A5A5C" w:rsidP="008B3C91">
            <w:pPr>
              <w:jc w:val="center"/>
              <w:rPr>
                <w:rFonts w:ascii="Arial Narrow" w:hAnsi="Arial Narrow"/>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2F4E265" w14:textId="77777777" w:rsidR="009A5A5C" w:rsidRPr="004538F5" w:rsidRDefault="009A5A5C" w:rsidP="008B3C91">
            <w:pPr>
              <w:rPr>
                <w:rFonts w:ascii="Arial Narrow" w:hAnsi="Arial Narrow"/>
                <w:color w:val="333333"/>
                <w:sz w:val="20"/>
                <w:szCs w:val="20"/>
              </w:rPr>
            </w:pPr>
            <w:r w:rsidRPr="004538F5">
              <w:rPr>
                <w:rFonts w:ascii="Arial Narrow" w:hAnsi="Arial Narrow"/>
                <w:b/>
                <w:bCs/>
                <w:color w:val="333333"/>
                <w:sz w:val="20"/>
                <w:szCs w:val="20"/>
              </w:rPr>
              <w:t>AND</w:t>
            </w:r>
          </w:p>
        </w:tc>
      </w:tr>
      <w:tr w:rsidR="009A5A5C" w:rsidRPr="001C05C6" w14:paraId="700AD464"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D0BF3A" w14:textId="70D9013A" w:rsidR="009A5A5C" w:rsidRPr="004538F5" w:rsidRDefault="009A5A5C" w:rsidP="008B3C91">
            <w:pPr>
              <w:jc w:val="center"/>
              <w:rPr>
                <w:rFonts w:ascii="Arial Narrow" w:hAnsi="Arial Narrow"/>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7451386" w14:textId="77777777" w:rsidR="009A5A5C" w:rsidRPr="004538F5" w:rsidRDefault="009A5A5C" w:rsidP="008B3C91">
            <w:pPr>
              <w:rPr>
                <w:rFonts w:ascii="Arial Narrow" w:hAnsi="Arial Narrow"/>
                <w:sz w:val="20"/>
                <w:szCs w:val="20"/>
              </w:rPr>
            </w:pPr>
            <w:r w:rsidRPr="004538F5">
              <w:rPr>
                <w:rFonts w:ascii="Arial Narrow" w:hAnsi="Arial Narrow"/>
                <w:b/>
                <w:bCs/>
                <w:sz w:val="20"/>
                <w:szCs w:val="20"/>
              </w:rPr>
              <w:t>Clinical criteria:</w:t>
            </w:r>
          </w:p>
        </w:tc>
      </w:tr>
      <w:tr w:rsidR="009A5A5C" w:rsidRPr="001C05C6" w14:paraId="045C7C08"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8302ED" w14:textId="5010EFED" w:rsidR="009A5A5C" w:rsidRPr="004538F5" w:rsidRDefault="009A5A5C" w:rsidP="008B3C91">
            <w:pPr>
              <w:jc w:val="center"/>
              <w:rPr>
                <w:rFonts w:ascii="Arial Narrow" w:hAnsi="Arial Narrow"/>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F142F04" w14:textId="77777777" w:rsidR="009A5A5C" w:rsidRPr="004538F5" w:rsidRDefault="009A5A5C" w:rsidP="008B3C91">
            <w:pPr>
              <w:rPr>
                <w:rFonts w:ascii="Arial Narrow" w:hAnsi="Arial Narrow"/>
                <w:sz w:val="20"/>
                <w:szCs w:val="20"/>
              </w:rPr>
            </w:pPr>
            <w:r w:rsidRPr="004538F5">
              <w:rPr>
                <w:rFonts w:ascii="Arial Narrow" w:hAnsi="Arial Narrow"/>
                <w:sz w:val="20"/>
                <w:szCs w:val="20"/>
              </w:rPr>
              <w:t>Patient must have been commenced on treatment in a hospital-based movement disorder clinic</w:t>
            </w:r>
          </w:p>
        </w:tc>
      </w:tr>
      <w:tr w:rsidR="009A5A5C" w:rsidRPr="001C05C6" w14:paraId="24E0874A" w14:textId="77777777" w:rsidTr="008B3C91">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B0EEEA2" w14:textId="77777777" w:rsidR="009A5A5C" w:rsidRPr="004538F5" w:rsidRDefault="009A5A5C" w:rsidP="008B3C91">
            <w:pPr>
              <w:jc w:val="center"/>
              <w:rPr>
                <w:rFonts w:ascii="Arial Narrow" w:hAnsi="Arial Narrow"/>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E5B1BE" w14:textId="77777777" w:rsidR="009A5A5C" w:rsidRPr="004538F5" w:rsidRDefault="009A5A5C" w:rsidP="008B3C91">
            <w:pPr>
              <w:rPr>
                <w:rFonts w:ascii="Arial Narrow" w:hAnsi="Arial Narrow"/>
                <w:sz w:val="20"/>
                <w:szCs w:val="20"/>
              </w:rPr>
            </w:pPr>
            <w:r w:rsidRPr="004538F5">
              <w:rPr>
                <w:rFonts w:ascii="Arial Narrow" w:hAnsi="Arial Narrow"/>
                <w:b/>
                <w:bCs/>
                <w:color w:val="333333"/>
                <w:sz w:val="20"/>
                <w:szCs w:val="20"/>
              </w:rPr>
              <w:t>AND</w:t>
            </w:r>
          </w:p>
        </w:tc>
      </w:tr>
      <w:tr w:rsidR="009A5A5C" w:rsidRPr="001C05C6" w14:paraId="70D54068"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B2DD60" w14:textId="34D139A1" w:rsidR="009A5A5C" w:rsidRPr="004538F5" w:rsidRDefault="009A5A5C" w:rsidP="008B3C91">
            <w:pPr>
              <w:jc w:val="center"/>
              <w:rPr>
                <w:rFonts w:ascii="Arial Narrow" w:hAnsi="Arial Narrow"/>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CE38E41" w14:textId="77777777" w:rsidR="009A5A5C" w:rsidRPr="004538F5" w:rsidRDefault="009A5A5C" w:rsidP="008B3C91">
            <w:pPr>
              <w:rPr>
                <w:rFonts w:ascii="Arial Narrow" w:hAnsi="Arial Narrow"/>
                <w:sz w:val="20"/>
                <w:szCs w:val="20"/>
              </w:rPr>
            </w:pPr>
            <w:r w:rsidRPr="004538F5">
              <w:rPr>
                <w:rFonts w:ascii="Arial Narrow" w:hAnsi="Arial Narrow"/>
                <w:b/>
                <w:bCs/>
                <w:sz w:val="20"/>
                <w:szCs w:val="20"/>
              </w:rPr>
              <w:t>Clinical criteria:</w:t>
            </w:r>
          </w:p>
        </w:tc>
      </w:tr>
      <w:tr w:rsidR="009A5A5C" w:rsidRPr="001C05C6" w14:paraId="3EE3E209"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14CC18" w14:textId="599CA9DB" w:rsidR="009A5A5C" w:rsidRPr="004538F5" w:rsidRDefault="009A5A5C" w:rsidP="008B3C91">
            <w:pPr>
              <w:jc w:val="center"/>
              <w:rPr>
                <w:rFonts w:ascii="Arial Narrow" w:hAnsi="Arial Narrow"/>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8E6875D" w14:textId="77777777" w:rsidR="009A5A5C" w:rsidRPr="004538F5" w:rsidRDefault="009A5A5C" w:rsidP="008B3C91">
            <w:pPr>
              <w:rPr>
                <w:rFonts w:ascii="Arial Narrow" w:hAnsi="Arial Narrow"/>
                <w:sz w:val="20"/>
                <w:szCs w:val="20"/>
              </w:rPr>
            </w:pPr>
            <w:r w:rsidRPr="004538F5">
              <w:rPr>
                <w:rFonts w:ascii="Arial Narrow" w:hAnsi="Arial Narrow"/>
                <w:sz w:val="20"/>
                <w:szCs w:val="20"/>
              </w:rPr>
              <w:t>Patient must require continuous administration of levodopa without an overnight break; or</w:t>
            </w:r>
          </w:p>
        </w:tc>
      </w:tr>
      <w:tr w:rsidR="009A5A5C" w:rsidRPr="001C05C6" w14:paraId="79864ACC" w14:textId="77777777" w:rsidTr="008403BF">
        <w:trPr>
          <w:cantSplit/>
          <w:trHeight w:val="20"/>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76358CC" w14:textId="6A2D24A0" w:rsidR="009A5A5C" w:rsidRPr="004538F5" w:rsidRDefault="009A5A5C" w:rsidP="008B3C91">
            <w:pPr>
              <w:jc w:val="center"/>
              <w:rPr>
                <w:rFonts w:ascii="Arial Narrow" w:hAnsi="Arial Narrow"/>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95268AB" w14:textId="77777777" w:rsidR="009A5A5C" w:rsidRPr="004538F5" w:rsidRDefault="009A5A5C" w:rsidP="008B3C91">
            <w:pPr>
              <w:rPr>
                <w:rFonts w:ascii="Arial Narrow" w:hAnsi="Arial Narrow"/>
                <w:sz w:val="20"/>
                <w:szCs w:val="20"/>
              </w:rPr>
            </w:pPr>
            <w:r w:rsidRPr="004538F5">
              <w:rPr>
                <w:rFonts w:ascii="Arial Narrow" w:hAnsi="Arial Narrow"/>
                <w:sz w:val="20"/>
                <w:szCs w:val="20"/>
              </w:rPr>
              <w:t>Patient must require a total daily dose of more than 940 mg of levodopa</w:t>
            </w:r>
          </w:p>
        </w:tc>
      </w:tr>
      <w:tr w:rsidR="009A5A5C" w:rsidRPr="001C05C6" w14:paraId="0443AD56" w14:textId="77777777" w:rsidTr="008403BF">
        <w:trPr>
          <w:cantSplit/>
          <w:trHeight w:val="332"/>
        </w:trPr>
        <w:tc>
          <w:tcPr>
            <w:tcW w:w="1277"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F07CC8" w14:textId="60E307CF" w:rsidR="009A5A5C" w:rsidRPr="004538F5" w:rsidRDefault="009A5A5C" w:rsidP="008B3C91">
            <w:pPr>
              <w:jc w:val="center"/>
              <w:rPr>
                <w:rFonts w:ascii="Arial Narrow" w:hAnsi="Arial Narrow"/>
                <w:color w:val="333333"/>
                <w:sz w:val="20"/>
                <w:szCs w:val="20"/>
              </w:rPr>
            </w:pPr>
          </w:p>
        </w:tc>
        <w:tc>
          <w:tcPr>
            <w:tcW w:w="7739"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7EFC41F" w14:textId="77777777" w:rsidR="009A5A5C" w:rsidRPr="004538F5" w:rsidRDefault="009A5A5C" w:rsidP="008B3C91">
            <w:pPr>
              <w:rPr>
                <w:rFonts w:ascii="Arial Narrow" w:hAnsi="Arial Narrow"/>
                <w:color w:val="333333"/>
                <w:sz w:val="20"/>
                <w:szCs w:val="20"/>
              </w:rPr>
            </w:pPr>
            <w:r w:rsidRPr="004B1ED9">
              <w:rPr>
                <w:rFonts w:ascii="Arial Narrow" w:hAnsi="Arial Narrow"/>
                <w:b/>
                <w:bCs/>
                <w:sz w:val="20"/>
                <w:szCs w:val="20"/>
              </w:rPr>
              <w:t>Administrative advice:</w:t>
            </w:r>
            <w:r>
              <w:rPr>
                <w:rFonts w:ascii="Arial Narrow" w:hAnsi="Arial Narrow"/>
                <w:sz w:val="20"/>
                <w:szCs w:val="20"/>
              </w:rPr>
              <w:t xml:space="preserve"> </w:t>
            </w:r>
            <w:r w:rsidRPr="004538F5">
              <w:rPr>
                <w:rFonts w:ascii="Arial Narrow" w:hAnsi="Arial Narrow"/>
                <w:sz w:val="20"/>
                <w:szCs w:val="20"/>
              </w:rPr>
              <w:t xml:space="preserve">Patient </w:t>
            </w:r>
            <w:r>
              <w:rPr>
                <w:rFonts w:ascii="Arial Narrow" w:hAnsi="Arial Narrow"/>
                <w:sz w:val="20"/>
                <w:szCs w:val="20"/>
              </w:rPr>
              <w:t>should</w:t>
            </w:r>
            <w:r w:rsidRPr="004538F5">
              <w:rPr>
                <w:rFonts w:ascii="Arial Narrow" w:hAnsi="Arial Narrow"/>
                <w:sz w:val="20"/>
                <w:szCs w:val="20"/>
              </w:rPr>
              <w:t xml:space="preserve"> have adequate cognitive function to manage administration with a portable continuous infusion pump.</w:t>
            </w:r>
          </w:p>
        </w:tc>
      </w:tr>
    </w:tbl>
    <w:p w14:paraId="146585BD" w14:textId="77777777" w:rsidR="009A5A5C" w:rsidRDefault="009A5A5C" w:rsidP="00D04DB4">
      <w:pPr>
        <w:tabs>
          <w:tab w:val="left" w:pos="1080"/>
        </w:tabs>
        <w:autoSpaceDE w:val="0"/>
        <w:autoSpaceDN w:val="0"/>
        <w:adjustRightInd w:val="0"/>
        <w:spacing w:after="120"/>
        <w:jc w:val="left"/>
        <w:rPr>
          <w:rFonts w:asciiTheme="minorHAnsi" w:hAnsiTheme="minorHAnsi" w:cstheme="minorHAnsi"/>
          <w:lang w:eastAsia="en-US"/>
        </w:rPr>
      </w:pPr>
    </w:p>
    <w:p w14:paraId="3497CDB5" w14:textId="62C615EF" w:rsidR="008E45EC" w:rsidRDefault="00981B72" w:rsidP="00623172">
      <w:pPr>
        <w:spacing w:after="120"/>
        <w:rPr>
          <w:rFonts w:asciiTheme="minorHAnsi" w:hAnsiTheme="minorHAnsi" w:cs="Arial"/>
          <w:b/>
          <w:bCs/>
          <w:i/>
          <w:iCs/>
          <w:snapToGrid w:val="0"/>
        </w:rPr>
      </w:pPr>
      <w:r w:rsidRPr="00981B72">
        <w:rPr>
          <w:rFonts w:asciiTheme="minorHAnsi" w:hAnsiTheme="minorHAnsi" w:cs="Arial"/>
          <w:b/>
          <w:bCs/>
          <w:i/>
          <w:iCs/>
          <w:snapToGrid w:val="0"/>
        </w:rPr>
        <w:t>This restriction may be subject to further review. Should there be any changes made to the restriction the sponsor will be informed.</w:t>
      </w:r>
      <w:bookmarkEnd w:id="18"/>
    </w:p>
    <w:p w14:paraId="34347232" w14:textId="77777777" w:rsidR="00974B23" w:rsidRPr="00974B23" w:rsidRDefault="00974B23" w:rsidP="008403BF">
      <w:pPr>
        <w:pStyle w:val="2-SectionHeading"/>
      </w:pPr>
      <w:r w:rsidRPr="00974B23">
        <w:t>Context for Decision</w:t>
      </w:r>
    </w:p>
    <w:p w14:paraId="5B0DB08B" w14:textId="77777777" w:rsidR="00974B23" w:rsidRPr="00974B23" w:rsidRDefault="00974B23" w:rsidP="00974B23">
      <w:pPr>
        <w:spacing w:after="120"/>
        <w:ind w:left="720"/>
        <w:rPr>
          <w:rFonts w:asciiTheme="minorHAnsi" w:hAnsiTheme="minorHAnsi" w:cs="Arial"/>
          <w:bCs/>
          <w:lang w:val="en-GB"/>
        </w:rPr>
      </w:pPr>
      <w:r w:rsidRPr="00974B23">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73AB02B" w14:textId="77777777" w:rsidR="00974B23" w:rsidRPr="00974B23" w:rsidRDefault="00974B23" w:rsidP="008403BF">
      <w:pPr>
        <w:pStyle w:val="2-SectionHeading"/>
      </w:pPr>
      <w:r w:rsidRPr="00974B23">
        <w:t>Sponsor’s Comment</w:t>
      </w:r>
    </w:p>
    <w:p w14:paraId="1B2F14FA" w14:textId="4F60CE60" w:rsidR="00974B23" w:rsidRDefault="00974B23" w:rsidP="00C50162">
      <w:pPr>
        <w:spacing w:after="120"/>
        <w:ind w:firstLine="720"/>
        <w:rPr>
          <w:rFonts w:asciiTheme="minorHAnsi" w:hAnsiTheme="minorHAnsi" w:cs="Arial"/>
          <w:bCs/>
        </w:rPr>
      </w:pPr>
      <w:r w:rsidRPr="000B45E4">
        <w:rPr>
          <w:rFonts w:asciiTheme="minorHAnsi" w:hAnsiTheme="minorHAnsi" w:cs="Arial"/>
          <w:bCs/>
        </w:rPr>
        <w:t>The sponsor had no comment.</w:t>
      </w:r>
    </w:p>
    <w:p w14:paraId="6F50AED4" w14:textId="77777777" w:rsidR="0091747D" w:rsidRDefault="0091747D">
      <w:pPr>
        <w:jc w:val="left"/>
        <w:rPr>
          <w:color w:val="FF0000"/>
        </w:rPr>
      </w:pPr>
      <w:r>
        <w:rPr>
          <w:color w:val="FF0000"/>
        </w:rPr>
        <w:br w:type="page"/>
      </w:r>
    </w:p>
    <w:p w14:paraId="2B788B7C" w14:textId="118BC0F5" w:rsidR="00EE68E3" w:rsidRPr="00B74574" w:rsidRDefault="00EE68E3" w:rsidP="00EE68E3">
      <w:pPr>
        <w:spacing w:after="120"/>
        <w:rPr>
          <w:color w:val="ED0000"/>
        </w:rPr>
      </w:pPr>
      <w:r w:rsidRPr="00B74574">
        <w:rPr>
          <w:color w:val="ED0000"/>
        </w:rPr>
        <w:lastRenderedPageBreak/>
        <w:t xml:space="preserve">Addendum to the July 2024 PBAC </w:t>
      </w:r>
      <w:r w:rsidR="0091747D" w:rsidRPr="00B74574">
        <w:rPr>
          <w:color w:val="ED0000"/>
        </w:rPr>
        <w:t>public summary document</w:t>
      </w:r>
      <w:r w:rsidRPr="00B74574">
        <w:rPr>
          <w:color w:val="ED0000"/>
        </w:rPr>
        <w:t>:</w:t>
      </w:r>
    </w:p>
    <w:p w14:paraId="7DEF2D93" w14:textId="77777777" w:rsidR="00EE68E3" w:rsidRPr="006F04EE" w:rsidRDefault="00EE68E3" w:rsidP="00EE68E3">
      <w:pPr>
        <w:spacing w:before="120" w:after="160"/>
        <w:ind w:left="720" w:hanging="720"/>
        <w:contextualSpacing/>
        <w:jc w:val="left"/>
        <w:outlineLvl w:val="0"/>
        <w:rPr>
          <w:rFonts w:asciiTheme="minorHAnsi" w:eastAsiaTheme="majorEastAsia" w:hAnsiTheme="minorHAnsi" w:cstheme="majorBidi"/>
          <w:b/>
          <w:spacing w:val="5"/>
          <w:kern w:val="28"/>
          <w:sz w:val="36"/>
          <w:szCs w:val="36"/>
        </w:rPr>
      </w:pPr>
      <w:r w:rsidRPr="006F04EE">
        <w:rPr>
          <w:rFonts w:asciiTheme="minorHAnsi" w:eastAsiaTheme="majorEastAsia" w:hAnsiTheme="minorHAnsi" w:cstheme="majorBidi"/>
          <w:b/>
          <w:spacing w:val="5"/>
          <w:kern w:val="28"/>
          <w:sz w:val="36"/>
          <w:szCs w:val="36"/>
        </w:rPr>
        <w:t>3.01</w:t>
      </w:r>
      <w:r w:rsidRPr="006F04EE">
        <w:rPr>
          <w:rFonts w:asciiTheme="minorHAnsi" w:eastAsiaTheme="majorEastAsia" w:hAnsiTheme="minorHAnsi" w:cstheme="majorBidi"/>
          <w:b/>
          <w:spacing w:val="5"/>
          <w:kern w:val="28"/>
          <w:sz w:val="36"/>
          <w:szCs w:val="36"/>
        </w:rPr>
        <w:tab/>
        <w:t>LEVODOPA WITH CARBIDOPA AND ENTACAPONE,</w:t>
      </w:r>
      <w:r w:rsidRPr="006F04EE">
        <w:rPr>
          <w:rFonts w:asciiTheme="minorHAnsi" w:eastAsiaTheme="majorEastAsia" w:hAnsiTheme="minorHAnsi" w:cstheme="majorBidi"/>
          <w:b/>
          <w:spacing w:val="5"/>
          <w:kern w:val="28"/>
          <w:sz w:val="36"/>
          <w:szCs w:val="36"/>
        </w:rPr>
        <w:br/>
        <w:t>Intestinal gel containing levodopa 20 mg with carbidopa monohydrate 5 mg and with entacapone 20 mg per mL, 47 mL,</w:t>
      </w:r>
      <w:r w:rsidRPr="006F04EE">
        <w:rPr>
          <w:rFonts w:asciiTheme="minorHAnsi" w:eastAsiaTheme="majorEastAsia" w:hAnsiTheme="minorHAnsi" w:cstheme="majorBidi"/>
          <w:b/>
          <w:spacing w:val="5"/>
          <w:kern w:val="28"/>
          <w:sz w:val="36"/>
          <w:szCs w:val="36"/>
        </w:rPr>
        <w:br/>
      </w:r>
      <w:proofErr w:type="spellStart"/>
      <w:r w:rsidRPr="006F04EE">
        <w:rPr>
          <w:rFonts w:asciiTheme="minorHAnsi" w:eastAsiaTheme="majorEastAsia" w:hAnsiTheme="minorHAnsi" w:cstheme="majorBidi"/>
          <w:b/>
          <w:spacing w:val="5"/>
          <w:kern w:val="28"/>
          <w:sz w:val="36"/>
          <w:szCs w:val="36"/>
        </w:rPr>
        <w:t>Lecigon</w:t>
      </w:r>
      <w:proofErr w:type="spellEnd"/>
      <w:r w:rsidRPr="006F04EE">
        <w:rPr>
          <w:rFonts w:asciiTheme="minorHAnsi" w:eastAsiaTheme="majorEastAsia" w:hAnsiTheme="minorHAnsi" w:cstheme="majorBidi"/>
          <w:b/>
          <w:spacing w:val="5"/>
          <w:kern w:val="28"/>
          <w:sz w:val="36"/>
          <w:szCs w:val="36"/>
          <w:vertAlign w:val="superscript"/>
        </w:rPr>
        <w:t>®</w:t>
      </w:r>
      <w:r w:rsidRPr="006F04EE">
        <w:rPr>
          <w:rFonts w:asciiTheme="minorHAnsi" w:eastAsiaTheme="majorEastAsia" w:hAnsiTheme="minorHAnsi" w:cstheme="majorBidi"/>
          <w:b/>
          <w:spacing w:val="5"/>
          <w:kern w:val="28"/>
          <w:sz w:val="36"/>
          <w:szCs w:val="36"/>
        </w:rPr>
        <w:t>,</w:t>
      </w:r>
      <w:r w:rsidRPr="006F04EE">
        <w:rPr>
          <w:rFonts w:asciiTheme="minorHAnsi" w:eastAsiaTheme="majorEastAsia" w:hAnsiTheme="minorHAnsi" w:cstheme="majorBidi"/>
          <w:b/>
          <w:spacing w:val="5"/>
          <w:kern w:val="28"/>
          <w:sz w:val="36"/>
          <w:szCs w:val="36"/>
        </w:rPr>
        <w:br/>
        <w:t xml:space="preserve">STADA PHARMACEUTICALS AUSTRALIA PTY LIMITED </w:t>
      </w:r>
    </w:p>
    <w:p w14:paraId="5BB454FD" w14:textId="77777777" w:rsidR="00EE68E3" w:rsidRPr="006F04EE" w:rsidRDefault="00EE68E3" w:rsidP="00EE68E3">
      <w:pPr>
        <w:pStyle w:val="2-SectionHeading"/>
      </w:pPr>
      <w:r w:rsidRPr="006F04EE">
        <w:t xml:space="preserve">Purpose </w:t>
      </w:r>
    </w:p>
    <w:p w14:paraId="302D6007" w14:textId="77777777" w:rsidR="00EE68E3" w:rsidRDefault="00EE68E3" w:rsidP="00EE68E3">
      <w:pPr>
        <w:pStyle w:val="3-BodyText"/>
        <w:rPr>
          <w:snapToGrid w:val="0"/>
        </w:rPr>
      </w:pPr>
      <w:r>
        <w:rPr>
          <w:snapToGrid w:val="0"/>
        </w:rPr>
        <w:t>L</w:t>
      </w:r>
      <w:r w:rsidRPr="006F04EE">
        <w:rPr>
          <w:snapToGrid w:val="0"/>
        </w:rPr>
        <w:t>evodopa with carbidopa and entacapone intestinal gel (LECIG cartridges)</w:t>
      </w:r>
      <w:r>
        <w:rPr>
          <w:snapToGrid w:val="0"/>
        </w:rPr>
        <w:t xml:space="preserve"> </w:t>
      </w:r>
      <w:r w:rsidRPr="006F04EE">
        <w:rPr>
          <w:snapToGrid w:val="0"/>
        </w:rPr>
        <w:t>for the treatment of advanced idiopathic Parkinson disease with severe motor fluctuations despite optimised alternative pharmacological treatment</w:t>
      </w:r>
      <w:r>
        <w:rPr>
          <w:snapToGrid w:val="0"/>
        </w:rPr>
        <w:t xml:space="preserve"> was recommended at the July 2024 PBAC meeting.</w:t>
      </w:r>
    </w:p>
    <w:p w14:paraId="57C9B885" w14:textId="77777777" w:rsidR="00EE68E3" w:rsidRPr="001F5209" w:rsidRDefault="00EE68E3" w:rsidP="00EE68E3">
      <w:pPr>
        <w:pStyle w:val="3-BodyText"/>
        <w:rPr>
          <w:snapToGrid w:val="0"/>
        </w:rPr>
      </w:pPr>
      <w:r>
        <w:rPr>
          <w:snapToGrid w:val="0"/>
        </w:rPr>
        <w:t>Following the recommendation, t</w:t>
      </w:r>
      <w:r w:rsidRPr="006F04EE">
        <w:rPr>
          <w:snapToGrid w:val="0"/>
        </w:rPr>
        <w:t xml:space="preserve">he sponsor submitted a </w:t>
      </w:r>
      <w:r>
        <w:rPr>
          <w:snapToGrid w:val="0"/>
        </w:rPr>
        <w:t>proposal</w:t>
      </w:r>
      <w:r w:rsidRPr="006F04EE">
        <w:rPr>
          <w:snapToGrid w:val="0"/>
        </w:rPr>
        <w:t xml:space="preserve"> for PBAC consideration on 25 September 2024. </w:t>
      </w:r>
      <w:r w:rsidRPr="001F5209">
        <w:rPr>
          <w:snapToGrid w:val="0"/>
        </w:rPr>
        <w:t xml:space="preserve">The </w:t>
      </w:r>
      <w:r>
        <w:rPr>
          <w:snapToGrid w:val="0"/>
        </w:rPr>
        <w:t>proposal outlined</w:t>
      </w:r>
      <w:r w:rsidRPr="001F5209">
        <w:rPr>
          <w:snapToGrid w:val="0"/>
        </w:rPr>
        <w:t xml:space="preserve"> an alternative to the equi-effective dosing recommended by the PBAC in July 2024 for LECIG cartridges and its comparator, levodopa with carbidopa intestinal gel (LCIG cassettes). The equi-effective doses proposed were used in a cost-minimisation approach (CMA) to determine a revised price offering for LECIG. </w:t>
      </w:r>
    </w:p>
    <w:p w14:paraId="70B8A732" w14:textId="77777777" w:rsidR="00EE68E3" w:rsidRPr="006F04EE" w:rsidRDefault="00EE68E3" w:rsidP="00EE68E3">
      <w:pPr>
        <w:pStyle w:val="2-SectionHeading"/>
      </w:pPr>
      <w:r w:rsidRPr="006F04EE">
        <w:t xml:space="preserve">Background </w:t>
      </w:r>
    </w:p>
    <w:p w14:paraId="76F3240B" w14:textId="77777777" w:rsidR="00EE68E3" w:rsidRPr="006F04EE" w:rsidRDefault="00EE68E3" w:rsidP="00EE68E3">
      <w:pPr>
        <w:keepNext/>
        <w:spacing w:before="120" w:after="120"/>
        <w:outlineLvl w:val="1"/>
        <w:rPr>
          <w:rFonts w:asciiTheme="minorHAnsi" w:eastAsiaTheme="majorEastAsia" w:hAnsiTheme="minorHAnsi" w:cstheme="majorBidi"/>
          <w:b/>
          <w:i/>
          <w:spacing w:val="5"/>
          <w:kern w:val="28"/>
          <w:sz w:val="28"/>
          <w:szCs w:val="36"/>
        </w:rPr>
      </w:pPr>
      <w:r w:rsidRPr="006F04EE">
        <w:rPr>
          <w:rFonts w:asciiTheme="minorHAnsi" w:eastAsiaTheme="majorEastAsia" w:hAnsiTheme="minorHAnsi" w:cstheme="majorBidi"/>
          <w:b/>
          <w:i/>
          <w:spacing w:val="5"/>
          <w:kern w:val="28"/>
          <w:sz w:val="28"/>
          <w:szCs w:val="36"/>
        </w:rPr>
        <w:t xml:space="preserve">Previous PBAC consideration </w:t>
      </w:r>
    </w:p>
    <w:p w14:paraId="68BAB600" w14:textId="2B8697D9" w:rsidR="00EE68E3" w:rsidRPr="006F04EE" w:rsidRDefault="00EE68E3" w:rsidP="00EE68E3">
      <w:pPr>
        <w:pStyle w:val="3-BodyText"/>
        <w:rPr>
          <w:snapToGrid w:val="0"/>
        </w:rPr>
      </w:pPr>
      <w:r w:rsidRPr="006F04EE">
        <w:rPr>
          <w:snapToGrid w:val="0"/>
        </w:rPr>
        <w:t xml:space="preserve">At the July 2024 PBAC meeting, the PBAC recommended the S100 HSD and general schedule listing of LECIG for the treatment of advanced idiopathic Parkinson disease with severe motor fluctuations despite optimised alternative pharmacological treatment. The PBAC’s recommendation for listing was based on, among other matters, its assessment that the cost-effectiveness of LECIG would be acceptable if it were cost-minimised against LCIG, and if LECIG would be included in the same risk sharing arrangements as LCIG to contain risks associated with the potential use of higher doses of LECIG through the PBS versus trial data or in a broader population given the different device. The PBAC considered that, with the revised equi-effective dose recommended by the Committee, the resubmission had addressed the substantive outstanding issues identified at the March 2024 PBAC meeting (paragraph 5.1, levodopa with carbidopa and entacapone PBAC </w:t>
      </w:r>
      <w:r w:rsidR="00C064D5">
        <w:rPr>
          <w:snapToGrid w:val="0"/>
        </w:rPr>
        <w:t>Public Summary Document [PSD]</w:t>
      </w:r>
      <w:r w:rsidRPr="006F04EE">
        <w:rPr>
          <w:snapToGrid w:val="0"/>
        </w:rPr>
        <w:t>, July 2024 PBAC Meeting).</w:t>
      </w:r>
      <w:r>
        <w:rPr>
          <w:snapToGrid w:val="0"/>
        </w:rPr>
        <w:t xml:space="preserve"> The revised equi-effective doses recommended by the Committee i</w:t>
      </w:r>
      <w:r w:rsidRPr="006F04EE">
        <w:rPr>
          <w:snapToGrid w:val="0"/>
        </w:rPr>
        <w:t xml:space="preserve">n July 2024 </w:t>
      </w:r>
      <w:r>
        <w:rPr>
          <w:snapToGrid w:val="0"/>
        </w:rPr>
        <w:t>were</w:t>
      </w:r>
      <w:r w:rsidRPr="006F04EE">
        <w:rPr>
          <w:snapToGrid w:val="0"/>
        </w:rPr>
        <w:t>:</w:t>
      </w:r>
    </w:p>
    <w:p w14:paraId="5DE50F84" w14:textId="796D3410" w:rsidR="00EE68E3" w:rsidRPr="006F04EE" w:rsidRDefault="00EE68E3" w:rsidP="00EE68E3">
      <w:pPr>
        <w:numPr>
          <w:ilvl w:val="0"/>
          <w:numId w:val="2"/>
        </w:numPr>
        <w:spacing w:after="120"/>
        <w:rPr>
          <w:rFonts w:asciiTheme="minorHAnsi" w:hAnsiTheme="minorHAnsi" w:cs="Arial"/>
          <w:snapToGrid w:val="0"/>
        </w:rPr>
      </w:pPr>
      <w:r w:rsidRPr="006F04EE">
        <w:rPr>
          <w:rFonts w:asciiTheme="minorHAnsi" w:hAnsiTheme="minorHAnsi" w:cs="Arial"/>
          <w:snapToGrid w:val="0"/>
        </w:rPr>
        <w:lastRenderedPageBreak/>
        <w:t>1.7 cartridges of LECIG (each cartridge contains 47 mL with a total of 940</w:t>
      </w:r>
      <w:r w:rsidR="00992B88">
        <w:rPr>
          <w:rFonts w:asciiTheme="minorHAnsi" w:hAnsiTheme="minorHAnsi" w:cs="Arial"/>
          <w:snapToGrid w:val="0"/>
        </w:rPr>
        <w:t> </w:t>
      </w:r>
      <w:r w:rsidRPr="006F04EE">
        <w:rPr>
          <w:rFonts w:asciiTheme="minorHAnsi" w:hAnsiTheme="minorHAnsi" w:cs="Arial"/>
          <w:snapToGrid w:val="0"/>
        </w:rPr>
        <w:t>mg of levodopa) per day</w:t>
      </w:r>
    </w:p>
    <w:p w14:paraId="37911BE9" w14:textId="3CDA88E2" w:rsidR="00EE68E3" w:rsidRPr="006F04EE" w:rsidRDefault="00EE68E3" w:rsidP="00EE68E3">
      <w:pPr>
        <w:numPr>
          <w:ilvl w:val="0"/>
          <w:numId w:val="2"/>
        </w:numPr>
        <w:spacing w:after="120"/>
        <w:rPr>
          <w:rFonts w:asciiTheme="minorHAnsi" w:eastAsiaTheme="minorEastAsia" w:hAnsiTheme="minorHAnsi" w:cstheme="minorHAnsi"/>
        </w:rPr>
      </w:pPr>
      <w:r w:rsidRPr="006F04EE">
        <w:rPr>
          <w:rFonts w:asciiTheme="minorHAnsi" w:hAnsiTheme="minorHAnsi" w:cs="Arial"/>
          <w:snapToGrid w:val="0"/>
        </w:rPr>
        <w:t xml:space="preserve">1.0 cassette of LCIG (each cassette contains 100 mL with a total of 2,000 mg of levodopa) per day </w:t>
      </w:r>
      <w:r w:rsidRPr="006F04EE">
        <w:rPr>
          <w:rFonts w:cstheme="minorHAnsi"/>
          <w:lang w:val="en-GB" w:eastAsia="en-US"/>
        </w:rPr>
        <w:t>(</w:t>
      </w:r>
      <w:r w:rsidRPr="006F04EE">
        <w:rPr>
          <w:snapToGrid w:val="0"/>
        </w:rPr>
        <w:t>paragraph 5.8,</w:t>
      </w:r>
      <w:r w:rsidRPr="006F04EE">
        <w:t xml:space="preserve"> levodopa with carbidopa and entacapone PBAC </w:t>
      </w:r>
      <w:r w:rsidR="00C064D5">
        <w:t>PSD</w:t>
      </w:r>
      <w:r w:rsidRPr="006F04EE">
        <w:t>, July 2024 PBAC Meeting)</w:t>
      </w:r>
      <w:r w:rsidRPr="006F04EE">
        <w:rPr>
          <w:rFonts w:asciiTheme="minorHAnsi" w:hAnsiTheme="minorHAnsi" w:cs="Arial"/>
          <w:snapToGrid w:val="0"/>
        </w:rPr>
        <w:t>.</w:t>
      </w:r>
      <w:r w:rsidRPr="006F04EE">
        <w:rPr>
          <w:snapToGrid w:val="0"/>
        </w:rPr>
        <w:t xml:space="preserve"> </w:t>
      </w:r>
    </w:p>
    <w:p w14:paraId="54E89522" w14:textId="77777777" w:rsidR="00EE68E3" w:rsidRPr="006F04EE" w:rsidRDefault="00EE68E3" w:rsidP="00EE68E3">
      <w:pPr>
        <w:pStyle w:val="2-SectionHeading"/>
      </w:pPr>
      <w:r w:rsidRPr="006F04EE">
        <w:t>Consideration of the evidence</w:t>
      </w:r>
    </w:p>
    <w:p w14:paraId="79AE0ADF" w14:textId="77777777" w:rsidR="00EE68E3" w:rsidRPr="006F04EE" w:rsidRDefault="00EE68E3" w:rsidP="00EE68E3">
      <w:pPr>
        <w:pStyle w:val="3-BodyText"/>
        <w:rPr>
          <w:snapToGrid w:val="0"/>
        </w:rPr>
      </w:pPr>
      <w:r w:rsidRPr="006F04EE">
        <w:rPr>
          <w:snapToGrid w:val="0"/>
        </w:rPr>
        <w:t xml:space="preserve">The sponsor </w:t>
      </w:r>
      <w:r>
        <w:rPr>
          <w:snapToGrid w:val="0"/>
        </w:rPr>
        <w:t>proposal</w:t>
      </w:r>
      <w:r w:rsidRPr="006F04EE">
        <w:rPr>
          <w:snapToGrid w:val="0"/>
        </w:rPr>
        <w:t xml:space="preserve"> provided LECIG pharmacokinetic data, LCIG dosing data and LECIG dosing data to support an alternative equi-effective dose for LECIG:</w:t>
      </w:r>
    </w:p>
    <w:p w14:paraId="24E3FED4" w14:textId="3CB8116D" w:rsidR="00EE68E3" w:rsidRPr="006F04EE" w:rsidRDefault="00EE68E3" w:rsidP="00EE68E3">
      <w:pPr>
        <w:numPr>
          <w:ilvl w:val="0"/>
          <w:numId w:val="2"/>
        </w:numPr>
        <w:spacing w:after="120"/>
      </w:pPr>
      <w:r w:rsidRPr="006F04EE">
        <w:rPr>
          <w:b/>
          <w:bCs/>
        </w:rPr>
        <w:t>Pharmacokinetic data:</w:t>
      </w:r>
      <w:r w:rsidRPr="006F04EE">
        <w:t xml:space="preserve"> </w:t>
      </w:r>
      <w:r w:rsidRPr="006F04EE">
        <w:rPr>
          <w:rFonts w:asciiTheme="minorHAnsi" w:eastAsiaTheme="minorHAnsi" w:hAnsiTheme="minorHAnsi" w:cstheme="minorBidi"/>
          <w:snapToGrid w:val="0"/>
          <w:szCs w:val="22"/>
        </w:rPr>
        <w:t>The sponsor acknowledged that Study LCM-003 used mainly a 20% reduction of morning and maintenance infusion doses and but noted that this led to an accumulation in levodopa concentrations throughout the day (Senek, 2017), resulting in an increased risk of dyskinesia. The sponsor noted a pharmacokinetic modelling study by Senek et al (2020) based on plasma levodopa concentrations from the 11 patients in Study LCM-003 concluded a 35% reduction in the continuous maintenance dose results in similar drug exposure as LCIG. The Secretariat noted the TGA approved Product Information for LECIG states LECIG ‘contains entacapone, which enhances the effect of levodopa. It may therefore be necessary to reduce the total daily intake of LECIG by, on average, 20–35% compared to the patient's previous dose of levodopa and carbidopa without catechol-O-methyl transferase (COMT) inhibitors.’</w:t>
      </w:r>
    </w:p>
    <w:p w14:paraId="59B3E18E" w14:textId="77777777" w:rsidR="00EE68E3" w:rsidRPr="006F04EE" w:rsidRDefault="00EE68E3" w:rsidP="00EE68E3">
      <w:pPr>
        <w:numPr>
          <w:ilvl w:val="0"/>
          <w:numId w:val="2"/>
        </w:numPr>
        <w:spacing w:after="120"/>
        <w:rPr>
          <w:rFonts w:asciiTheme="minorHAnsi" w:hAnsiTheme="minorHAnsi" w:cs="Arial"/>
          <w:snapToGrid w:val="0"/>
        </w:rPr>
      </w:pPr>
      <w:r w:rsidRPr="006F04EE">
        <w:rPr>
          <w:rFonts w:asciiTheme="minorHAnsi" w:hAnsiTheme="minorHAnsi" w:cs="Arial"/>
          <w:b/>
          <w:bCs/>
          <w:snapToGrid w:val="0"/>
        </w:rPr>
        <w:t>LCIG dosing data:</w:t>
      </w:r>
      <w:r w:rsidRPr="006F04EE">
        <w:rPr>
          <w:rFonts w:asciiTheme="minorHAnsi" w:hAnsiTheme="minorHAnsi" w:cs="Arial"/>
          <w:snapToGrid w:val="0"/>
        </w:rPr>
        <w:t xml:space="preserve"> </w:t>
      </w:r>
    </w:p>
    <w:p w14:paraId="64E0FCEB" w14:textId="2B5520D2" w:rsidR="00EE68E3" w:rsidRPr="006F04EE" w:rsidRDefault="00EE68E3" w:rsidP="00EE68E3">
      <w:pPr>
        <w:numPr>
          <w:ilvl w:val="0"/>
          <w:numId w:val="6"/>
        </w:numPr>
        <w:spacing w:after="120"/>
        <w:ind w:left="2138"/>
        <w:rPr>
          <w:rFonts w:asciiTheme="minorHAnsi" w:hAnsiTheme="minorHAnsi" w:cs="Arial"/>
          <w:snapToGrid w:val="0"/>
        </w:rPr>
      </w:pPr>
      <w:r w:rsidRPr="006F04EE">
        <w:rPr>
          <w:rFonts w:asciiTheme="minorHAnsi" w:hAnsiTheme="minorHAnsi" w:cs="Arial"/>
          <w:snapToGrid w:val="0"/>
        </w:rPr>
        <w:t xml:space="preserve">A DUSC analysis (performed for the July 2024 LECIG PBAC consideration) reported that the mean dose of LCIG 1.6 cassettes with a median of 1.2 cassettes </w:t>
      </w:r>
      <w:r w:rsidRPr="006F04EE">
        <w:rPr>
          <w:rFonts w:cstheme="minorHAnsi"/>
          <w:lang w:val="en-GB" w:eastAsia="en-US"/>
        </w:rPr>
        <w:t>(</w:t>
      </w:r>
      <w:r w:rsidRPr="006F04EE">
        <w:rPr>
          <w:snapToGrid w:val="0"/>
        </w:rPr>
        <w:t>paragraph 4.10,</w:t>
      </w:r>
      <w:r w:rsidRPr="006F04EE">
        <w:t xml:space="preserve"> levodopa with carbidopa and entacapone PBAC </w:t>
      </w:r>
      <w:r w:rsidR="00C064D5">
        <w:t>PSD</w:t>
      </w:r>
      <w:r w:rsidRPr="006F04EE">
        <w:t>, July 2024 PBAC Meeting)</w:t>
      </w:r>
      <w:r w:rsidRPr="006F04EE">
        <w:rPr>
          <w:rFonts w:asciiTheme="minorHAnsi" w:hAnsiTheme="minorHAnsi" w:cs="Arial"/>
          <w:snapToGrid w:val="0"/>
        </w:rPr>
        <w:t xml:space="preserve">. </w:t>
      </w:r>
    </w:p>
    <w:p w14:paraId="2653B8A3" w14:textId="49DF6F6A" w:rsidR="00EE68E3" w:rsidRPr="006F04EE" w:rsidRDefault="00EE68E3" w:rsidP="00EE68E3">
      <w:pPr>
        <w:numPr>
          <w:ilvl w:val="0"/>
          <w:numId w:val="6"/>
        </w:numPr>
        <w:spacing w:after="120"/>
        <w:ind w:left="2138"/>
        <w:rPr>
          <w:rFonts w:asciiTheme="minorHAnsi" w:hAnsiTheme="minorHAnsi" w:cs="Arial"/>
          <w:snapToGrid w:val="0"/>
        </w:rPr>
      </w:pPr>
      <w:r w:rsidRPr="006F04EE">
        <w:rPr>
          <w:rFonts w:asciiTheme="minorHAnsi" w:hAnsiTheme="minorHAnsi" w:cs="Arial"/>
          <w:snapToGrid w:val="0"/>
        </w:rPr>
        <w:t>A 10% PBS sample data analysis presented to the PBAC in November</w:t>
      </w:r>
      <w:r w:rsidR="00C064D5">
        <w:rPr>
          <w:rFonts w:asciiTheme="minorHAnsi" w:hAnsiTheme="minorHAnsi" w:cs="Arial"/>
          <w:snapToGrid w:val="0"/>
        </w:rPr>
        <w:t> </w:t>
      </w:r>
      <w:r w:rsidRPr="006F04EE">
        <w:rPr>
          <w:rFonts w:asciiTheme="minorHAnsi" w:hAnsiTheme="minorHAnsi" w:cs="Arial"/>
          <w:snapToGrid w:val="0"/>
        </w:rPr>
        <w:t>2019 reported an LCIG average daily dose of 1.7 cassettes.</w:t>
      </w:r>
    </w:p>
    <w:p w14:paraId="74DF02F4" w14:textId="37B534BB" w:rsidR="00EE68E3" w:rsidRPr="006F04EE" w:rsidRDefault="00EE68E3" w:rsidP="00EE68E3">
      <w:pPr>
        <w:numPr>
          <w:ilvl w:val="0"/>
          <w:numId w:val="2"/>
        </w:numPr>
        <w:spacing w:after="120"/>
        <w:rPr>
          <w:rFonts w:asciiTheme="minorHAnsi" w:hAnsiTheme="minorHAnsi" w:cs="Arial"/>
          <w:snapToGrid w:val="0"/>
        </w:rPr>
      </w:pPr>
      <w:r w:rsidRPr="006F04EE">
        <w:rPr>
          <w:rFonts w:asciiTheme="minorHAnsi" w:hAnsiTheme="minorHAnsi" w:cs="Arial"/>
          <w:b/>
          <w:bCs/>
          <w:snapToGrid w:val="0"/>
        </w:rPr>
        <w:t>LECIG dosing data:</w:t>
      </w:r>
      <w:r w:rsidRPr="006F04EE">
        <w:rPr>
          <w:rFonts w:asciiTheme="minorHAnsi" w:hAnsiTheme="minorHAnsi" w:cs="Arial"/>
          <w:snapToGrid w:val="0"/>
        </w:rPr>
        <w:t xml:space="preserve"> Data from overseas market use indicates that LECIG patients on average purchase around 5.6 packs (≡39.2 cartridges) monthly (equivalent to 1.3 cartridges daily).</w:t>
      </w:r>
    </w:p>
    <w:p w14:paraId="2A813E42" w14:textId="77777777" w:rsidR="00EE68E3" w:rsidRPr="006F04EE" w:rsidRDefault="00EE68E3" w:rsidP="00EE68E3">
      <w:pPr>
        <w:pStyle w:val="3-BodyText"/>
      </w:pPr>
      <w:bookmarkStart w:id="25" w:name="_Ref184370582"/>
      <w:r w:rsidRPr="006F04EE">
        <w:t xml:space="preserve">The sponsor argued that the potential for wastage should be considered in the derivation of equi-effective dosing. The Secretariat noted the TGA approved Product Information for LCIG states ‘The medicine cassettes are for single use only and should not be administered for longer than 16 hours even if some medicinal product remains.’ In contrast, the sponsor noted the LECIG TGA approved Product Information states ‘Once opened, a cartridge may be used into the next day, i.e. up to 24 hours </w:t>
      </w:r>
      <w:r w:rsidRPr="006F04EE">
        <w:lastRenderedPageBreak/>
        <w:t>after it was first opened. The cartridge is removed from the pump after 24 hours of use or when used up, whichever occurs first.’</w:t>
      </w:r>
      <w:bookmarkEnd w:id="25"/>
      <w:r w:rsidRPr="006F04EE">
        <w:t xml:space="preserve"> </w:t>
      </w:r>
    </w:p>
    <w:p w14:paraId="3B3E27F1" w14:textId="77777777" w:rsidR="00EE68E3" w:rsidRPr="006F04EE" w:rsidRDefault="00EE68E3" w:rsidP="00EE68E3">
      <w:pPr>
        <w:keepNext/>
        <w:spacing w:before="120" w:after="120"/>
        <w:outlineLvl w:val="1"/>
        <w:rPr>
          <w:rFonts w:asciiTheme="minorHAnsi" w:eastAsiaTheme="majorEastAsia" w:hAnsiTheme="minorHAnsi" w:cstheme="majorBidi"/>
          <w:b/>
          <w:i/>
          <w:spacing w:val="5"/>
          <w:kern w:val="28"/>
          <w:sz w:val="28"/>
          <w:szCs w:val="36"/>
        </w:rPr>
      </w:pPr>
      <w:r w:rsidRPr="006F04EE">
        <w:rPr>
          <w:rFonts w:asciiTheme="minorHAnsi" w:eastAsiaTheme="majorEastAsia" w:hAnsiTheme="minorHAnsi" w:cstheme="majorBidi"/>
          <w:b/>
          <w:i/>
          <w:spacing w:val="5"/>
          <w:kern w:val="28"/>
          <w:sz w:val="28"/>
          <w:szCs w:val="36"/>
        </w:rPr>
        <w:t xml:space="preserve">Economic analysis </w:t>
      </w:r>
    </w:p>
    <w:p w14:paraId="5A8F2AB5" w14:textId="77777777" w:rsidR="00EE68E3" w:rsidRPr="006F04EE" w:rsidRDefault="00EE68E3" w:rsidP="00EE68E3">
      <w:pPr>
        <w:pStyle w:val="3-BodyText"/>
        <w:rPr>
          <w:snapToGrid w:val="0"/>
        </w:rPr>
      </w:pPr>
      <w:bookmarkStart w:id="26" w:name="_Ref181006979"/>
      <w:r w:rsidRPr="006F04EE">
        <w:rPr>
          <w:snapToGrid w:val="0"/>
        </w:rPr>
        <w:t>The sponsor proposed the following approach to establish an equi-effective dose for LECIG:LCIG:</w:t>
      </w:r>
      <w:bookmarkEnd w:id="26"/>
    </w:p>
    <w:p w14:paraId="416639A5" w14:textId="77777777"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1.6 LCIG cassettes (3,200 mg levodopa) supplied per day (DUSC analysis)</w:t>
      </w:r>
    </w:p>
    <w:p w14:paraId="09BE4B42" w14:textId="77777777"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 xml:space="preserve">Assume 10% wastage = 2,880 mg </w:t>
      </w:r>
      <w:r>
        <w:rPr>
          <w:rFonts w:eastAsiaTheme="majorEastAsia"/>
          <w:snapToGrid w:val="0"/>
        </w:rPr>
        <w:t xml:space="preserve">(0.9 x 3,200) </w:t>
      </w:r>
      <w:r w:rsidRPr="006F04EE">
        <w:rPr>
          <w:rFonts w:eastAsiaTheme="majorEastAsia"/>
          <w:snapToGrid w:val="0"/>
        </w:rPr>
        <w:t>levodopa delivered to patient for LCIG</w:t>
      </w:r>
    </w:p>
    <w:p w14:paraId="6459CE0F" w14:textId="77777777"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 xml:space="preserve">Apply a 35% reduction in levodopa required for LECIG administration </w:t>
      </w:r>
      <w:r w:rsidRPr="006F04EE">
        <w:rPr>
          <w:rFonts w:eastAsiaTheme="majorEastAsia"/>
          <w:snapToGrid w:val="0"/>
        </w:rPr>
        <w:br/>
        <w:t>= 1,872 mg of levodopa for LECIG</w:t>
      </w:r>
      <w:r>
        <w:rPr>
          <w:rFonts w:eastAsiaTheme="majorEastAsia"/>
          <w:snapToGrid w:val="0"/>
        </w:rPr>
        <w:t xml:space="preserve"> (2,880 x 0.65)</w:t>
      </w:r>
    </w:p>
    <w:p w14:paraId="6443004C" w14:textId="3B9BCB7F"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Assume maximum potential for wastage for LECIG of 2 cartridges (i.e. 2</w:t>
      </w:r>
      <w:r w:rsidR="00E679F0">
        <w:rPr>
          <w:rFonts w:eastAsiaTheme="majorEastAsia"/>
          <w:snapToGrid w:val="0"/>
        </w:rPr>
        <w:t> </w:t>
      </w:r>
      <w:r w:rsidRPr="006F04EE">
        <w:rPr>
          <w:rFonts w:eastAsiaTheme="majorEastAsia"/>
          <w:snapToGrid w:val="0"/>
        </w:rPr>
        <w:t>cartridges of 940 mg each = 1,880 mg)</w:t>
      </w:r>
    </w:p>
    <w:p w14:paraId="796F3E32" w14:textId="3DB4B529"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 xml:space="preserve">1,872 mg levodopa for LECIG = 2,880 mg levodopa for LCIG which, </w:t>
      </w:r>
      <w:proofErr w:type="gramStart"/>
      <w:r w:rsidRPr="006F04EE">
        <w:rPr>
          <w:rFonts w:eastAsiaTheme="majorEastAsia"/>
          <w:snapToGrid w:val="0"/>
        </w:rPr>
        <w:t>taking into account</w:t>
      </w:r>
      <w:proofErr w:type="gramEnd"/>
      <w:r w:rsidRPr="006F04EE">
        <w:rPr>
          <w:rFonts w:eastAsiaTheme="majorEastAsia"/>
          <w:snapToGrid w:val="0"/>
        </w:rPr>
        <w:t xml:space="preserve"> wastage for LECIG, results in an equi-effective dose of 2 cartridges of LECIG = 1.6 cassettes for LCIG (</w:t>
      </w:r>
      <w:r w:rsidRPr="006F04EE">
        <w:rPr>
          <w:rFonts w:eastAsiaTheme="majorEastAsia" w:cs="Calibri"/>
          <w:snapToGrid w:val="0"/>
        </w:rPr>
        <w:t>≡</w:t>
      </w:r>
      <w:r w:rsidRPr="006F04EE">
        <w:rPr>
          <w:rFonts w:eastAsiaTheme="majorEastAsia"/>
          <w:snapToGrid w:val="0"/>
        </w:rPr>
        <w:t xml:space="preserve">1:0.8). </w:t>
      </w:r>
    </w:p>
    <w:p w14:paraId="3BB1F528" w14:textId="77777777" w:rsidR="00EE68E3" w:rsidRPr="006F04EE" w:rsidRDefault="00EE68E3" w:rsidP="00EE68E3">
      <w:pPr>
        <w:pStyle w:val="3-BodyText"/>
        <w:rPr>
          <w:snapToGrid w:val="0"/>
        </w:rPr>
      </w:pPr>
      <w:bookmarkStart w:id="27" w:name="_Ref184638429"/>
      <w:proofErr w:type="gramStart"/>
      <w:r>
        <w:rPr>
          <w:snapToGrid w:val="0"/>
        </w:rPr>
        <w:t>On the basis of</w:t>
      </w:r>
      <w:proofErr w:type="gramEnd"/>
      <w:r>
        <w:rPr>
          <w:snapToGrid w:val="0"/>
        </w:rPr>
        <w:t xml:space="preserve"> the above, t</w:t>
      </w:r>
      <w:r w:rsidRPr="006F04EE">
        <w:rPr>
          <w:snapToGrid w:val="0"/>
        </w:rPr>
        <w:t>he sponsor proposed the following equi-effective dosing:</w:t>
      </w:r>
      <w:bookmarkEnd w:id="27"/>
    </w:p>
    <w:p w14:paraId="3516D613" w14:textId="77777777"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1.0 cartridge of LECIG (each cartridge contains 47 mL with a total of 940 mg of levodopa)</w:t>
      </w:r>
    </w:p>
    <w:p w14:paraId="481F68E0" w14:textId="77777777" w:rsidR="00EE68E3" w:rsidRDefault="00EE68E3" w:rsidP="00EE68E3">
      <w:pPr>
        <w:numPr>
          <w:ilvl w:val="0"/>
          <w:numId w:val="2"/>
        </w:numPr>
        <w:spacing w:after="120"/>
        <w:rPr>
          <w:rFonts w:eastAsiaTheme="majorEastAsia"/>
          <w:snapToGrid w:val="0"/>
        </w:rPr>
      </w:pPr>
      <w:r w:rsidRPr="006F04EE">
        <w:rPr>
          <w:rFonts w:eastAsiaTheme="majorEastAsia"/>
          <w:snapToGrid w:val="0"/>
        </w:rPr>
        <w:t xml:space="preserve">0.8 cassette of LCIG (each cassette contains 100 mL with a total of 2,000 mg of levodopa). </w:t>
      </w:r>
    </w:p>
    <w:p w14:paraId="78072845" w14:textId="77777777" w:rsidR="00EE68E3" w:rsidRDefault="00EE68E3" w:rsidP="00EE68E3">
      <w:pPr>
        <w:pStyle w:val="3-BodyText"/>
        <w:rPr>
          <w:snapToGrid w:val="0"/>
        </w:rPr>
      </w:pPr>
      <w:bookmarkStart w:id="28" w:name="_Ref184364970"/>
      <w:r>
        <w:rPr>
          <w:snapToGrid w:val="0"/>
        </w:rPr>
        <w:t>The PBAC noted the following approach assumed 10% wastage for LCIG, no wastage for LECIG and a 20% reduction levodopa required for LECIG administration:</w:t>
      </w:r>
      <w:bookmarkEnd w:id="28"/>
    </w:p>
    <w:p w14:paraId="45A0E989" w14:textId="77777777"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1.6 LCIG cassettes (3,200 mg levodopa) supplied per day (DUSC analysis)</w:t>
      </w:r>
    </w:p>
    <w:p w14:paraId="492BFA05" w14:textId="77777777"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Assume 10% wastage = 2,880 mg levodopa delivered to patient for LCIG</w:t>
      </w:r>
    </w:p>
    <w:p w14:paraId="37237612" w14:textId="60C21C56"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 xml:space="preserve">Apply a </w:t>
      </w:r>
      <w:r>
        <w:rPr>
          <w:rFonts w:eastAsiaTheme="majorEastAsia"/>
          <w:snapToGrid w:val="0"/>
        </w:rPr>
        <w:t>20</w:t>
      </w:r>
      <w:r w:rsidRPr="006F04EE">
        <w:rPr>
          <w:rFonts w:eastAsiaTheme="majorEastAsia"/>
          <w:snapToGrid w:val="0"/>
        </w:rPr>
        <w:t>% reduction in levodopa required for LECIG administration =</w:t>
      </w:r>
      <w:r w:rsidR="00A0733F">
        <w:rPr>
          <w:rFonts w:eastAsiaTheme="majorEastAsia"/>
          <w:snapToGrid w:val="0"/>
        </w:rPr>
        <w:t xml:space="preserve"> </w:t>
      </w:r>
      <w:r>
        <w:rPr>
          <w:rFonts w:eastAsiaTheme="majorEastAsia"/>
          <w:snapToGrid w:val="0"/>
        </w:rPr>
        <w:t>2,304</w:t>
      </w:r>
      <w:r w:rsidR="00A0733F">
        <w:rPr>
          <w:rFonts w:eastAsiaTheme="majorEastAsia"/>
          <w:snapToGrid w:val="0"/>
        </w:rPr>
        <w:t> </w:t>
      </w:r>
      <w:r w:rsidRPr="006F04EE">
        <w:rPr>
          <w:rFonts w:eastAsiaTheme="majorEastAsia"/>
          <w:snapToGrid w:val="0"/>
        </w:rPr>
        <w:t>mg of levodopa for LECIG</w:t>
      </w:r>
      <w:r>
        <w:rPr>
          <w:rFonts w:eastAsiaTheme="majorEastAsia"/>
          <w:snapToGrid w:val="0"/>
        </w:rPr>
        <w:t xml:space="preserve"> (2,880 x 0.8)</w:t>
      </w:r>
    </w:p>
    <w:p w14:paraId="66756BBA" w14:textId="5896CDD2" w:rsidR="00EE68E3" w:rsidRPr="006F04EE" w:rsidRDefault="00EE68E3" w:rsidP="00EE68E3">
      <w:pPr>
        <w:numPr>
          <w:ilvl w:val="0"/>
          <w:numId w:val="2"/>
        </w:numPr>
        <w:spacing w:after="120"/>
        <w:rPr>
          <w:rFonts w:eastAsiaTheme="majorEastAsia"/>
          <w:snapToGrid w:val="0"/>
        </w:rPr>
      </w:pPr>
      <w:r>
        <w:rPr>
          <w:rFonts w:eastAsiaTheme="majorEastAsia"/>
          <w:snapToGrid w:val="0"/>
        </w:rPr>
        <w:t>2,304</w:t>
      </w:r>
      <w:r w:rsidRPr="006F04EE">
        <w:rPr>
          <w:rFonts w:eastAsiaTheme="majorEastAsia"/>
          <w:snapToGrid w:val="0"/>
        </w:rPr>
        <w:t xml:space="preserve"> mg levodopa for LECIG = 2,880 mg levodopa for LCIG which results in an equi-effective dose of 2</w:t>
      </w:r>
      <w:r>
        <w:rPr>
          <w:rFonts w:eastAsiaTheme="majorEastAsia"/>
          <w:snapToGrid w:val="0"/>
        </w:rPr>
        <w:t>.45</w:t>
      </w:r>
      <w:r w:rsidRPr="006F04EE">
        <w:rPr>
          <w:rFonts w:eastAsiaTheme="majorEastAsia"/>
          <w:snapToGrid w:val="0"/>
        </w:rPr>
        <w:t xml:space="preserve"> cartridges of LECIG = 1.6 cassettes for LCIG (</w:t>
      </w:r>
      <w:r w:rsidRPr="00C11CCB">
        <w:rPr>
          <w:rFonts w:eastAsiaTheme="majorEastAsia"/>
          <w:snapToGrid w:val="0"/>
        </w:rPr>
        <w:t>≡</w:t>
      </w:r>
      <w:r w:rsidRPr="006F04EE">
        <w:rPr>
          <w:rFonts w:eastAsiaTheme="majorEastAsia"/>
          <w:snapToGrid w:val="0"/>
        </w:rPr>
        <w:t>1:0.</w:t>
      </w:r>
      <w:r>
        <w:rPr>
          <w:rFonts w:eastAsiaTheme="majorEastAsia"/>
          <w:snapToGrid w:val="0"/>
        </w:rPr>
        <w:t>65</w:t>
      </w:r>
      <w:r w:rsidRPr="006F04EE">
        <w:rPr>
          <w:rFonts w:eastAsiaTheme="majorEastAsia"/>
          <w:snapToGrid w:val="0"/>
        </w:rPr>
        <w:t xml:space="preserve">). </w:t>
      </w:r>
    </w:p>
    <w:p w14:paraId="41B29A95" w14:textId="77777777" w:rsidR="00EE68E3" w:rsidRDefault="00EE68E3" w:rsidP="00EE68E3">
      <w:pPr>
        <w:pStyle w:val="3-BodyText"/>
        <w:rPr>
          <w:snapToGrid w:val="0"/>
        </w:rPr>
      </w:pPr>
      <w:bookmarkStart w:id="29" w:name="_Ref184367390"/>
      <w:r>
        <w:rPr>
          <w:snapToGrid w:val="0"/>
        </w:rPr>
        <w:t xml:space="preserve">The PBAC noted the approach outlined in paragraph </w:t>
      </w:r>
      <w:r>
        <w:rPr>
          <w:snapToGrid w:val="0"/>
        </w:rPr>
        <w:fldChar w:fldCharType="begin" w:fldLock="1"/>
      </w:r>
      <w:r>
        <w:rPr>
          <w:snapToGrid w:val="0"/>
        </w:rPr>
        <w:instrText xml:space="preserve"> REF _Ref184364970 \r \h </w:instrText>
      </w:r>
      <w:r>
        <w:rPr>
          <w:snapToGrid w:val="0"/>
        </w:rPr>
      </w:r>
      <w:r>
        <w:rPr>
          <w:snapToGrid w:val="0"/>
        </w:rPr>
        <w:fldChar w:fldCharType="separate"/>
      </w:r>
      <w:r>
        <w:rPr>
          <w:snapToGrid w:val="0"/>
        </w:rPr>
        <w:t>9.5</w:t>
      </w:r>
      <w:r>
        <w:rPr>
          <w:snapToGrid w:val="0"/>
        </w:rPr>
        <w:fldChar w:fldCharType="end"/>
      </w:r>
      <w:r>
        <w:rPr>
          <w:snapToGrid w:val="0"/>
        </w:rPr>
        <w:t xml:space="preserve"> resulted in the following equi-effective dosing:</w:t>
      </w:r>
      <w:bookmarkEnd w:id="29"/>
    </w:p>
    <w:p w14:paraId="7BE12210" w14:textId="77777777"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1.0 cartridge of LECIG (each cartridge contains 47 mL with a total of 940 mg of levodopa)</w:t>
      </w:r>
    </w:p>
    <w:p w14:paraId="06E4BB26" w14:textId="72DEA187" w:rsidR="00EE68E3" w:rsidRPr="002F4839" w:rsidRDefault="00EE68E3" w:rsidP="00EE68E3">
      <w:pPr>
        <w:numPr>
          <w:ilvl w:val="0"/>
          <w:numId w:val="2"/>
        </w:numPr>
        <w:spacing w:after="120"/>
        <w:rPr>
          <w:rFonts w:eastAsiaTheme="majorEastAsia"/>
          <w:snapToGrid w:val="0"/>
        </w:rPr>
      </w:pPr>
      <w:r w:rsidRPr="006F04EE">
        <w:rPr>
          <w:rFonts w:eastAsiaTheme="majorEastAsia"/>
          <w:snapToGrid w:val="0"/>
        </w:rPr>
        <w:t>0.</w:t>
      </w:r>
      <w:r>
        <w:rPr>
          <w:rFonts w:eastAsiaTheme="majorEastAsia"/>
          <w:snapToGrid w:val="0"/>
        </w:rPr>
        <w:t>65</w:t>
      </w:r>
      <w:r w:rsidRPr="006F04EE">
        <w:rPr>
          <w:rFonts w:eastAsiaTheme="majorEastAsia"/>
          <w:snapToGrid w:val="0"/>
        </w:rPr>
        <w:t xml:space="preserve"> cassette of LCIG (each cassette contains 100 mL with a total of 2,000</w:t>
      </w:r>
      <w:r w:rsidR="00A0733F">
        <w:rPr>
          <w:rFonts w:eastAsiaTheme="majorEastAsia"/>
          <w:snapToGrid w:val="0"/>
        </w:rPr>
        <w:t> </w:t>
      </w:r>
      <w:r w:rsidRPr="006F04EE">
        <w:rPr>
          <w:rFonts w:eastAsiaTheme="majorEastAsia"/>
          <w:snapToGrid w:val="0"/>
        </w:rPr>
        <w:t xml:space="preserve">mg of levodopa). </w:t>
      </w:r>
    </w:p>
    <w:p w14:paraId="0FEC53AF" w14:textId="77777777" w:rsidR="00EE68E3" w:rsidRPr="006F04EE" w:rsidRDefault="00EE68E3" w:rsidP="00EE68E3">
      <w:pPr>
        <w:keepNext/>
        <w:rPr>
          <w:rFonts w:ascii="Arial Narrow" w:eastAsiaTheme="majorEastAsia" w:hAnsi="Arial Narrow" w:cstheme="majorBidi"/>
          <w:bCs/>
          <w:i/>
          <w:sz w:val="20"/>
        </w:rPr>
      </w:pPr>
      <w:r w:rsidRPr="006F04EE">
        <w:rPr>
          <w:rFonts w:ascii="Arial Narrow" w:eastAsiaTheme="majorEastAsia" w:hAnsi="Arial Narrow" w:cstheme="majorBidi"/>
          <w:b/>
          <w:bCs/>
          <w:sz w:val="20"/>
        </w:rPr>
        <w:lastRenderedPageBreak/>
        <w:t xml:space="preserve">Table </w:t>
      </w:r>
      <w:r w:rsidRPr="006F04EE">
        <w:rPr>
          <w:rFonts w:ascii="Arial Narrow" w:eastAsiaTheme="majorEastAsia" w:hAnsi="Arial Narrow" w:cstheme="majorBidi"/>
          <w:bCs/>
          <w:i/>
          <w:sz w:val="20"/>
        </w:rPr>
        <w:fldChar w:fldCharType="begin" w:fldLock="1"/>
      </w:r>
      <w:r w:rsidRPr="006F04EE">
        <w:rPr>
          <w:rFonts w:ascii="Arial Narrow" w:eastAsiaTheme="majorEastAsia" w:hAnsi="Arial Narrow" w:cstheme="majorBidi"/>
          <w:b/>
          <w:bCs/>
          <w:sz w:val="20"/>
        </w:rPr>
        <w:instrText xml:space="preserve"> SEQ Table \* ARABIC </w:instrText>
      </w:r>
      <w:r w:rsidRPr="006F04EE">
        <w:rPr>
          <w:rFonts w:ascii="Arial Narrow" w:eastAsiaTheme="majorEastAsia" w:hAnsi="Arial Narrow" w:cstheme="majorBidi"/>
          <w:bCs/>
          <w:i/>
          <w:sz w:val="20"/>
        </w:rPr>
        <w:fldChar w:fldCharType="separate"/>
      </w:r>
      <w:r>
        <w:rPr>
          <w:rFonts w:ascii="Arial Narrow" w:eastAsiaTheme="majorEastAsia" w:hAnsi="Arial Narrow" w:cstheme="majorBidi"/>
          <w:b/>
          <w:bCs/>
          <w:noProof/>
          <w:sz w:val="20"/>
        </w:rPr>
        <w:t>8</w:t>
      </w:r>
      <w:r w:rsidRPr="006F04EE">
        <w:rPr>
          <w:rFonts w:ascii="Arial Narrow" w:eastAsiaTheme="majorEastAsia" w:hAnsi="Arial Narrow" w:cstheme="majorBidi"/>
          <w:bCs/>
          <w:i/>
          <w:sz w:val="20"/>
        </w:rPr>
        <w:fldChar w:fldCharType="end"/>
      </w:r>
      <w:r w:rsidRPr="006F04EE">
        <w:rPr>
          <w:rFonts w:ascii="Arial Narrow" w:eastAsiaTheme="majorEastAsia" w:hAnsi="Arial Narrow" w:cstheme="majorBidi"/>
          <w:b/>
          <w:bCs/>
          <w:sz w:val="20"/>
        </w:rPr>
        <w:t xml:space="preserve"> Summary of the equi-effective doses presented </w:t>
      </w:r>
    </w:p>
    <w:tbl>
      <w:tblPr>
        <w:tblStyle w:val="TableGrid"/>
        <w:tblW w:w="0" w:type="auto"/>
        <w:tblInd w:w="-5" w:type="dxa"/>
        <w:tblLayout w:type="fixed"/>
        <w:tblCellMar>
          <w:left w:w="57" w:type="dxa"/>
          <w:right w:w="57" w:type="dxa"/>
        </w:tblCellMar>
        <w:tblLook w:val="04A0" w:firstRow="1" w:lastRow="0" w:firstColumn="1" w:lastColumn="0" w:noHBand="0" w:noVBand="1"/>
        <w:tblCaption w:val="Table 8 Summary of the equi-effective doses presented "/>
      </w:tblPr>
      <w:tblGrid>
        <w:gridCol w:w="1191"/>
        <w:gridCol w:w="1077"/>
        <w:gridCol w:w="1077"/>
        <w:gridCol w:w="1077"/>
        <w:gridCol w:w="1757"/>
        <w:gridCol w:w="2835"/>
      </w:tblGrid>
      <w:tr w:rsidR="00EE68E3" w:rsidRPr="006F04EE" w14:paraId="707B9F2A" w14:textId="77777777" w:rsidTr="005B10D9">
        <w:tc>
          <w:tcPr>
            <w:tcW w:w="1191" w:type="dxa"/>
          </w:tcPr>
          <w:p w14:paraId="785320DC" w14:textId="77777777" w:rsidR="00EE68E3" w:rsidRPr="006F04EE" w:rsidRDefault="00EE68E3" w:rsidP="00736A0A">
            <w:pPr>
              <w:keepNext/>
              <w:jc w:val="left"/>
              <w:rPr>
                <w:rFonts w:ascii="Arial Narrow" w:eastAsiaTheme="majorEastAsia" w:hAnsi="Arial Narrow" w:cstheme="majorBidi"/>
                <w:b/>
                <w:sz w:val="20"/>
              </w:rPr>
            </w:pPr>
          </w:p>
        </w:tc>
        <w:tc>
          <w:tcPr>
            <w:tcW w:w="1077" w:type="dxa"/>
            <w:vAlign w:val="center"/>
          </w:tcPr>
          <w:p w14:paraId="28209248" w14:textId="77777777" w:rsidR="00EE68E3" w:rsidRPr="006F04EE" w:rsidRDefault="00EE68E3" w:rsidP="00736A0A">
            <w:pPr>
              <w:keepNext/>
              <w:jc w:val="left"/>
              <w:rPr>
                <w:rFonts w:ascii="Arial Narrow" w:eastAsiaTheme="majorEastAsia" w:hAnsi="Arial Narrow" w:cstheme="majorBidi"/>
                <w:b/>
                <w:sz w:val="20"/>
              </w:rPr>
            </w:pPr>
            <w:r w:rsidRPr="006F04EE">
              <w:rPr>
                <w:rFonts w:ascii="Arial Narrow" w:eastAsiaTheme="majorEastAsia" w:hAnsi="Arial Narrow" w:cstheme="majorBidi"/>
                <w:b/>
                <w:sz w:val="20"/>
              </w:rPr>
              <w:t>LECIG dose per day</w:t>
            </w:r>
          </w:p>
        </w:tc>
        <w:tc>
          <w:tcPr>
            <w:tcW w:w="1077" w:type="dxa"/>
            <w:vAlign w:val="center"/>
          </w:tcPr>
          <w:p w14:paraId="04989F77" w14:textId="77777777" w:rsidR="00EE68E3" w:rsidRPr="006F04EE" w:rsidRDefault="00EE68E3" w:rsidP="00736A0A">
            <w:pPr>
              <w:keepNext/>
              <w:jc w:val="left"/>
              <w:rPr>
                <w:rFonts w:ascii="Arial Narrow" w:eastAsiaTheme="majorEastAsia" w:hAnsi="Arial Narrow" w:cstheme="majorBidi"/>
                <w:b/>
                <w:sz w:val="20"/>
              </w:rPr>
            </w:pPr>
            <w:r w:rsidRPr="006F04EE">
              <w:rPr>
                <w:rFonts w:ascii="Arial Narrow" w:eastAsiaTheme="majorEastAsia" w:hAnsi="Arial Narrow" w:cstheme="majorBidi"/>
                <w:b/>
                <w:sz w:val="20"/>
              </w:rPr>
              <w:t>LCIG dose per day</w:t>
            </w:r>
          </w:p>
        </w:tc>
        <w:tc>
          <w:tcPr>
            <w:tcW w:w="1077" w:type="dxa"/>
            <w:vAlign w:val="center"/>
          </w:tcPr>
          <w:p w14:paraId="6E2A3A65" w14:textId="77777777" w:rsidR="00EE68E3" w:rsidRPr="006F04EE" w:rsidRDefault="00EE68E3" w:rsidP="00736A0A">
            <w:pPr>
              <w:keepNext/>
              <w:jc w:val="center"/>
              <w:rPr>
                <w:rFonts w:ascii="Arial Narrow" w:eastAsiaTheme="majorEastAsia" w:hAnsi="Arial Narrow" w:cstheme="majorBidi"/>
                <w:b/>
                <w:sz w:val="20"/>
              </w:rPr>
            </w:pPr>
            <w:r w:rsidRPr="006F04EE">
              <w:rPr>
                <w:rFonts w:ascii="Arial Narrow" w:eastAsiaTheme="majorEastAsia" w:hAnsi="Arial Narrow" w:cstheme="majorBidi"/>
                <w:b/>
                <w:sz w:val="20"/>
              </w:rPr>
              <w:t>LECIG:LCIG</w:t>
            </w:r>
          </w:p>
        </w:tc>
        <w:tc>
          <w:tcPr>
            <w:tcW w:w="1757" w:type="dxa"/>
            <w:vAlign w:val="center"/>
          </w:tcPr>
          <w:p w14:paraId="650F2E4C" w14:textId="77777777" w:rsidR="00EE68E3" w:rsidRPr="006F04EE" w:rsidRDefault="00EE68E3" w:rsidP="00736A0A">
            <w:pPr>
              <w:keepNext/>
              <w:jc w:val="center"/>
              <w:rPr>
                <w:rFonts w:ascii="Arial Narrow" w:eastAsiaTheme="majorEastAsia" w:hAnsi="Arial Narrow" w:cstheme="majorBidi"/>
                <w:b/>
                <w:sz w:val="20"/>
              </w:rPr>
            </w:pPr>
            <w:r w:rsidRPr="006F04EE">
              <w:rPr>
                <w:rFonts w:ascii="Arial Narrow" w:eastAsiaTheme="majorEastAsia" w:hAnsi="Arial Narrow" w:cstheme="majorBidi"/>
                <w:b/>
                <w:sz w:val="20"/>
              </w:rPr>
              <w:t>Source</w:t>
            </w:r>
          </w:p>
        </w:tc>
        <w:tc>
          <w:tcPr>
            <w:tcW w:w="2835" w:type="dxa"/>
            <w:vAlign w:val="center"/>
          </w:tcPr>
          <w:p w14:paraId="12701252" w14:textId="77777777" w:rsidR="00EE68E3" w:rsidRPr="006F04EE" w:rsidRDefault="00EE68E3" w:rsidP="00736A0A">
            <w:pPr>
              <w:keepNext/>
              <w:jc w:val="center"/>
              <w:rPr>
                <w:rFonts w:ascii="Arial Narrow" w:eastAsiaTheme="majorEastAsia" w:hAnsi="Arial Narrow" w:cstheme="majorBidi"/>
                <w:b/>
                <w:sz w:val="20"/>
              </w:rPr>
            </w:pPr>
            <w:r w:rsidRPr="006F04EE">
              <w:rPr>
                <w:rFonts w:ascii="Arial Narrow" w:eastAsiaTheme="majorEastAsia" w:hAnsi="Arial Narrow" w:cstheme="majorBidi"/>
                <w:b/>
                <w:sz w:val="20"/>
              </w:rPr>
              <w:t>Comment</w:t>
            </w:r>
          </w:p>
        </w:tc>
      </w:tr>
      <w:tr w:rsidR="005B10D9" w:rsidRPr="002F4839" w14:paraId="482FFBCB" w14:textId="77777777" w:rsidTr="00CE0C18">
        <w:tc>
          <w:tcPr>
            <w:tcW w:w="1191" w:type="dxa"/>
            <w:vAlign w:val="center"/>
          </w:tcPr>
          <w:p w14:paraId="5196041F" w14:textId="77777777" w:rsidR="00EE68E3" w:rsidRPr="002F4839" w:rsidRDefault="00EE68E3" w:rsidP="00CE0C18">
            <w:pPr>
              <w:keepNext/>
              <w:jc w:val="left"/>
              <w:rPr>
                <w:rFonts w:ascii="Arial Narrow" w:eastAsiaTheme="majorEastAsia" w:hAnsi="Arial Narrow" w:cstheme="majorBidi"/>
                <w:bCs/>
                <w:sz w:val="20"/>
              </w:rPr>
            </w:pPr>
            <w:r>
              <w:rPr>
                <w:rFonts w:ascii="Arial Narrow" w:eastAsiaTheme="majorEastAsia" w:hAnsi="Arial Narrow" w:cstheme="majorBidi"/>
                <w:bCs/>
                <w:sz w:val="20"/>
              </w:rPr>
              <w:t xml:space="preserve">November 2024 PBAC advice </w:t>
            </w:r>
          </w:p>
        </w:tc>
        <w:tc>
          <w:tcPr>
            <w:tcW w:w="1077" w:type="dxa"/>
            <w:vAlign w:val="center"/>
          </w:tcPr>
          <w:p w14:paraId="0328E877" w14:textId="77777777" w:rsidR="00EE68E3" w:rsidRPr="002F4839" w:rsidRDefault="00EE68E3" w:rsidP="00736A0A">
            <w:pPr>
              <w:keepNext/>
              <w:jc w:val="left"/>
              <w:rPr>
                <w:rFonts w:ascii="Arial Narrow" w:eastAsiaTheme="majorEastAsia" w:hAnsi="Arial Narrow" w:cstheme="majorBidi"/>
                <w:bCs/>
                <w:sz w:val="20"/>
              </w:rPr>
            </w:pPr>
            <w:r>
              <w:rPr>
                <w:rFonts w:ascii="Arial Narrow" w:eastAsiaTheme="majorEastAsia" w:hAnsi="Arial Narrow" w:cstheme="majorBidi"/>
                <w:bCs/>
                <w:sz w:val="20"/>
              </w:rPr>
              <w:t>1.0 cartridges</w:t>
            </w:r>
          </w:p>
        </w:tc>
        <w:tc>
          <w:tcPr>
            <w:tcW w:w="1077" w:type="dxa"/>
            <w:vAlign w:val="center"/>
          </w:tcPr>
          <w:p w14:paraId="536AD07B" w14:textId="77777777" w:rsidR="00EE68E3" w:rsidRPr="002F4839" w:rsidRDefault="00EE68E3" w:rsidP="00736A0A">
            <w:pPr>
              <w:keepNext/>
              <w:jc w:val="left"/>
              <w:rPr>
                <w:rFonts w:ascii="Arial Narrow" w:eastAsiaTheme="majorEastAsia" w:hAnsi="Arial Narrow" w:cstheme="majorBidi"/>
                <w:bCs/>
                <w:sz w:val="20"/>
              </w:rPr>
            </w:pPr>
            <w:r>
              <w:rPr>
                <w:rFonts w:ascii="Arial Narrow" w:eastAsiaTheme="majorEastAsia" w:hAnsi="Arial Narrow" w:cstheme="majorBidi"/>
                <w:bCs/>
                <w:sz w:val="20"/>
              </w:rPr>
              <w:t>0.65 cassette</w:t>
            </w:r>
          </w:p>
        </w:tc>
        <w:tc>
          <w:tcPr>
            <w:tcW w:w="1077" w:type="dxa"/>
            <w:vAlign w:val="center"/>
          </w:tcPr>
          <w:p w14:paraId="43CCE1D1" w14:textId="77777777" w:rsidR="00EE68E3" w:rsidRPr="002F4839" w:rsidRDefault="00EE68E3" w:rsidP="00736A0A">
            <w:pPr>
              <w:keepNext/>
              <w:jc w:val="center"/>
              <w:rPr>
                <w:rFonts w:ascii="Arial Narrow" w:eastAsiaTheme="majorEastAsia" w:hAnsi="Arial Narrow" w:cstheme="majorBidi"/>
                <w:bCs/>
                <w:sz w:val="20"/>
              </w:rPr>
            </w:pPr>
            <w:r>
              <w:rPr>
                <w:rFonts w:ascii="Arial Narrow" w:eastAsiaTheme="majorEastAsia" w:hAnsi="Arial Narrow" w:cstheme="majorBidi"/>
                <w:bCs/>
                <w:sz w:val="20"/>
              </w:rPr>
              <w:t>1.0:0.65</w:t>
            </w:r>
          </w:p>
        </w:tc>
        <w:tc>
          <w:tcPr>
            <w:tcW w:w="1757" w:type="dxa"/>
            <w:vAlign w:val="center"/>
          </w:tcPr>
          <w:p w14:paraId="25FFE552" w14:textId="0F84BFA7" w:rsidR="00EE68E3" w:rsidRPr="002F4839" w:rsidRDefault="00EE68E3" w:rsidP="00F465E2">
            <w:pPr>
              <w:keepNext/>
              <w:jc w:val="center"/>
              <w:rPr>
                <w:rFonts w:ascii="Arial Narrow" w:eastAsiaTheme="majorEastAsia" w:hAnsi="Arial Narrow" w:cstheme="majorBidi"/>
                <w:bCs/>
                <w:sz w:val="20"/>
              </w:rPr>
            </w:pPr>
            <w:r>
              <w:rPr>
                <w:rFonts w:ascii="Arial Narrow" w:eastAsiaTheme="majorEastAsia" w:hAnsi="Arial Narrow" w:cstheme="majorBidi"/>
                <w:bCs/>
                <w:sz w:val="20"/>
              </w:rPr>
              <w:t xml:space="preserve">See paragraph </w:t>
            </w:r>
            <w:r>
              <w:rPr>
                <w:rFonts w:ascii="Arial Narrow" w:eastAsiaTheme="majorEastAsia" w:hAnsi="Arial Narrow" w:cstheme="majorBidi"/>
                <w:bCs/>
                <w:sz w:val="20"/>
              </w:rPr>
              <w:fldChar w:fldCharType="begin" w:fldLock="1"/>
            </w:r>
            <w:r>
              <w:rPr>
                <w:rFonts w:ascii="Arial Narrow" w:eastAsiaTheme="majorEastAsia" w:hAnsi="Arial Narrow" w:cstheme="majorBidi"/>
                <w:bCs/>
                <w:sz w:val="20"/>
              </w:rPr>
              <w:instrText xml:space="preserve"> REF _Ref184364970 \r \h </w:instrText>
            </w:r>
            <w:r w:rsidR="00F465E2">
              <w:rPr>
                <w:rFonts w:ascii="Arial Narrow" w:eastAsiaTheme="majorEastAsia" w:hAnsi="Arial Narrow" w:cstheme="majorBidi"/>
                <w:bCs/>
                <w:sz w:val="20"/>
              </w:rPr>
              <w:instrText xml:space="preserve"> \* MERGEFORMAT </w:instrText>
            </w:r>
            <w:r>
              <w:rPr>
                <w:rFonts w:ascii="Arial Narrow" w:eastAsiaTheme="majorEastAsia" w:hAnsi="Arial Narrow" w:cstheme="majorBidi"/>
                <w:bCs/>
                <w:sz w:val="20"/>
              </w:rPr>
            </w:r>
            <w:r>
              <w:rPr>
                <w:rFonts w:ascii="Arial Narrow" w:eastAsiaTheme="majorEastAsia" w:hAnsi="Arial Narrow" w:cstheme="majorBidi"/>
                <w:bCs/>
                <w:sz w:val="20"/>
              </w:rPr>
              <w:fldChar w:fldCharType="separate"/>
            </w:r>
            <w:r w:rsidR="00F465E2">
              <w:rPr>
                <w:rFonts w:ascii="Arial Narrow" w:eastAsiaTheme="majorEastAsia" w:hAnsi="Arial Narrow" w:cstheme="majorBidi"/>
                <w:bCs/>
                <w:sz w:val="20"/>
              </w:rPr>
              <w:t>11.5</w:t>
            </w:r>
            <w:r>
              <w:rPr>
                <w:rFonts w:ascii="Arial Narrow" w:eastAsiaTheme="majorEastAsia" w:hAnsi="Arial Narrow" w:cstheme="majorBidi"/>
                <w:bCs/>
                <w:sz w:val="20"/>
              </w:rPr>
              <w:fldChar w:fldCharType="end"/>
            </w:r>
            <w:r>
              <w:rPr>
                <w:rFonts w:ascii="Arial Narrow" w:eastAsiaTheme="majorEastAsia" w:hAnsi="Arial Narrow" w:cstheme="majorBidi"/>
                <w:bCs/>
                <w:sz w:val="20"/>
              </w:rPr>
              <w:t xml:space="preserve"> for the approach taken.</w:t>
            </w:r>
          </w:p>
        </w:tc>
        <w:tc>
          <w:tcPr>
            <w:tcW w:w="2835" w:type="dxa"/>
            <w:vAlign w:val="center"/>
          </w:tcPr>
          <w:p w14:paraId="650D3ED2" w14:textId="77777777" w:rsidR="00EE68E3" w:rsidRPr="002F4839" w:rsidRDefault="00EE68E3" w:rsidP="00736A0A">
            <w:pPr>
              <w:keepNext/>
              <w:jc w:val="center"/>
              <w:rPr>
                <w:rFonts w:ascii="Arial Narrow" w:eastAsiaTheme="majorEastAsia" w:hAnsi="Arial Narrow" w:cstheme="majorBidi"/>
                <w:bCs/>
                <w:sz w:val="20"/>
              </w:rPr>
            </w:pPr>
            <w:r>
              <w:rPr>
                <w:rFonts w:ascii="Arial Narrow" w:eastAsiaTheme="majorEastAsia" w:hAnsi="Arial Narrow" w:cstheme="majorBidi"/>
                <w:bCs/>
                <w:sz w:val="20"/>
              </w:rPr>
              <w:t>The approach taken assumes a 20% reduction in levodopa required for LECIG and considers wastage for LCIG.</w:t>
            </w:r>
          </w:p>
        </w:tc>
      </w:tr>
      <w:tr w:rsidR="00CE0C18" w:rsidRPr="006F04EE" w14:paraId="7AD575E0" w14:textId="77777777" w:rsidTr="00CE0C18">
        <w:tc>
          <w:tcPr>
            <w:tcW w:w="1191" w:type="dxa"/>
            <w:vAlign w:val="center"/>
          </w:tcPr>
          <w:p w14:paraId="73DB7E19" w14:textId="77777777" w:rsidR="00EE68E3" w:rsidRPr="006F04EE" w:rsidRDefault="00EE68E3" w:rsidP="00CE0C18">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 xml:space="preserve">September 2024 sponsor </w:t>
            </w:r>
            <w:r>
              <w:rPr>
                <w:rFonts w:ascii="Arial Narrow" w:eastAsiaTheme="majorEastAsia" w:hAnsi="Arial Narrow" w:cstheme="majorBidi"/>
                <w:bCs/>
                <w:sz w:val="20"/>
              </w:rPr>
              <w:t>proposal</w:t>
            </w:r>
            <w:r w:rsidRPr="006F04EE">
              <w:rPr>
                <w:rFonts w:ascii="Arial Narrow" w:eastAsiaTheme="majorEastAsia" w:hAnsi="Arial Narrow" w:cstheme="majorBidi"/>
                <w:bCs/>
                <w:sz w:val="20"/>
              </w:rPr>
              <w:t xml:space="preserve"> </w:t>
            </w:r>
          </w:p>
        </w:tc>
        <w:tc>
          <w:tcPr>
            <w:tcW w:w="1077" w:type="dxa"/>
            <w:vAlign w:val="center"/>
          </w:tcPr>
          <w:p w14:paraId="46817FBD"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1.0 cartridges</w:t>
            </w:r>
          </w:p>
        </w:tc>
        <w:tc>
          <w:tcPr>
            <w:tcW w:w="1077" w:type="dxa"/>
            <w:vAlign w:val="center"/>
          </w:tcPr>
          <w:p w14:paraId="710E5CD5"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0.8 cassette</w:t>
            </w:r>
          </w:p>
        </w:tc>
        <w:tc>
          <w:tcPr>
            <w:tcW w:w="1077" w:type="dxa"/>
            <w:vAlign w:val="center"/>
          </w:tcPr>
          <w:p w14:paraId="4F0C5C27"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1.0 : 0.8</w:t>
            </w:r>
          </w:p>
        </w:tc>
        <w:tc>
          <w:tcPr>
            <w:tcW w:w="1757" w:type="dxa"/>
            <w:vAlign w:val="center"/>
          </w:tcPr>
          <w:p w14:paraId="283818EA" w14:textId="4101F8BD" w:rsidR="00EE68E3" w:rsidRPr="006F04EE" w:rsidRDefault="00EE68E3" w:rsidP="00F465E2">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 xml:space="preserve">See paragraph </w:t>
            </w:r>
            <w:r w:rsidRPr="006F04EE">
              <w:rPr>
                <w:rFonts w:ascii="Arial Narrow" w:eastAsiaTheme="majorEastAsia" w:hAnsi="Arial Narrow" w:cstheme="majorBidi"/>
                <w:bCs/>
                <w:sz w:val="20"/>
              </w:rPr>
              <w:fldChar w:fldCharType="begin" w:fldLock="1"/>
            </w:r>
            <w:r w:rsidRPr="006F04EE">
              <w:rPr>
                <w:rFonts w:ascii="Arial Narrow" w:eastAsiaTheme="majorEastAsia" w:hAnsi="Arial Narrow" w:cstheme="majorBidi"/>
                <w:bCs/>
                <w:sz w:val="20"/>
              </w:rPr>
              <w:instrText xml:space="preserve"> REF _Ref181006979 \r \h </w:instrText>
            </w:r>
            <w:r w:rsidR="00F465E2">
              <w:rPr>
                <w:rFonts w:ascii="Arial Narrow" w:eastAsiaTheme="majorEastAsia" w:hAnsi="Arial Narrow" w:cstheme="majorBidi"/>
                <w:bCs/>
                <w:sz w:val="20"/>
              </w:rPr>
              <w:instrText xml:space="preserve"> \* MERGEFORMAT </w:instrText>
            </w:r>
            <w:r w:rsidRPr="006F04EE">
              <w:rPr>
                <w:rFonts w:ascii="Arial Narrow" w:eastAsiaTheme="majorEastAsia" w:hAnsi="Arial Narrow" w:cstheme="majorBidi"/>
                <w:bCs/>
                <w:sz w:val="20"/>
              </w:rPr>
            </w:r>
            <w:r w:rsidRPr="006F04EE">
              <w:rPr>
                <w:rFonts w:ascii="Arial Narrow" w:eastAsiaTheme="majorEastAsia" w:hAnsi="Arial Narrow" w:cstheme="majorBidi"/>
                <w:bCs/>
                <w:sz w:val="20"/>
              </w:rPr>
              <w:fldChar w:fldCharType="separate"/>
            </w:r>
            <w:r w:rsidR="00F465E2">
              <w:rPr>
                <w:rFonts w:ascii="Arial Narrow" w:eastAsiaTheme="majorEastAsia" w:hAnsi="Arial Narrow" w:cstheme="majorBidi"/>
                <w:bCs/>
                <w:sz w:val="20"/>
              </w:rPr>
              <w:t>11.3</w:t>
            </w:r>
            <w:r w:rsidRPr="006F04EE">
              <w:rPr>
                <w:rFonts w:ascii="Arial Narrow" w:eastAsiaTheme="majorEastAsia" w:hAnsi="Arial Narrow" w:cstheme="majorBidi"/>
                <w:bCs/>
                <w:sz w:val="20"/>
              </w:rPr>
              <w:fldChar w:fldCharType="end"/>
            </w:r>
            <w:r w:rsidRPr="006F04EE">
              <w:rPr>
                <w:rFonts w:ascii="Arial Narrow" w:eastAsiaTheme="majorEastAsia" w:hAnsi="Arial Narrow" w:cstheme="majorBidi"/>
                <w:bCs/>
                <w:sz w:val="20"/>
              </w:rPr>
              <w:t xml:space="preserve"> for the approach taken</w:t>
            </w:r>
          </w:p>
        </w:tc>
        <w:tc>
          <w:tcPr>
            <w:tcW w:w="2835" w:type="dxa"/>
            <w:vAlign w:val="center"/>
          </w:tcPr>
          <w:p w14:paraId="0B208D32"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The approach taken assumes a 35% reduction in levodopa required for LECIG and considers wastage</w:t>
            </w:r>
            <w:r>
              <w:rPr>
                <w:rFonts w:ascii="Arial Narrow" w:eastAsiaTheme="majorEastAsia" w:hAnsi="Arial Narrow" w:cstheme="majorBidi"/>
                <w:bCs/>
                <w:sz w:val="20"/>
              </w:rPr>
              <w:t xml:space="preserve"> for LCIG and LECIG</w:t>
            </w:r>
            <w:r w:rsidRPr="006F04EE">
              <w:rPr>
                <w:rFonts w:ascii="Arial Narrow" w:eastAsiaTheme="majorEastAsia" w:hAnsi="Arial Narrow" w:cstheme="majorBidi"/>
                <w:bCs/>
                <w:sz w:val="20"/>
              </w:rPr>
              <w:t xml:space="preserve">. </w:t>
            </w:r>
          </w:p>
        </w:tc>
      </w:tr>
      <w:tr w:rsidR="006F411A" w:rsidRPr="006F04EE" w14:paraId="48D04537" w14:textId="77777777" w:rsidTr="00CE0C18">
        <w:tc>
          <w:tcPr>
            <w:tcW w:w="1191" w:type="dxa"/>
            <w:shd w:val="clear" w:color="auto" w:fill="B8CCE4" w:themeFill="accent1" w:themeFillTint="66"/>
            <w:vAlign w:val="center"/>
          </w:tcPr>
          <w:p w14:paraId="6A1813D9" w14:textId="77777777" w:rsidR="00EE68E3" w:rsidRPr="006F04EE" w:rsidRDefault="00EE68E3" w:rsidP="00CE0C18">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 xml:space="preserve">July 2024 resubmission PBAC advice </w:t>
            </w:r>
          </w:p>
        </w:tc>
        <w:tc>
          <w:tcPr>
            <w:tcW w:w="1077" w:type="dxa"/>
            <w:shd w:val="clear" w:color="auto" w:fill="B8CCE4" w:themeFill="accent1" w:themeFillTint="66"/>
            <w:vAlign w:val="center"/>
          </w:tcPr>
          <w:p w14:paraId="38BE673D"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1.7 cartridges</w:t>
            </w:r>
          </w:p>
        </w:tc>
        <w:tc>
          <w:tcPr>
            <w:tcW w:w="1077" w:type="dxa"/>
            <w:shd w:val="clear" w:color="auto" w:fill="B8CCE4" w:themeFill="accent1" w:themeFillTint="66"/>
            <w:vAlign w:val="center"/>
          </w:tcPr>
          <w:p w14:paraId="7B8B6F37"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1.0 cassette</w:t>
            </w:r>
          </w:p>
        </w:tc>
        <w:tc>
          <w:tcPr>
            <w:tcW w:w="1077" w:type="dxa"/>
            <w:shd w:val="clear" w:color="auto" w:fill="B8CCE4" w:themeFill="accent1" w:themeFillTint="66"/>
            <w:vAlign w:val="center"/>
          </w:tcPr>
          <w:p w14:paraId="2F368BF0"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1 : 0.59</w:t>
            </w:r>
          </w:p>
        </w:tc>
        <w:tc>
          <w:tcPr>
            <w:tcW w:w="1757" w:type="dxa"/>
            <w:shd w:val="clear" w:color="auto" w:fill="B8CCE4" w:themeFill="accent1" w:themeFillTint="66"/>
            <w:vAlign w:val="center"/>
          </w:tcPr>
          <w:p w14:paraId="5AA352DF" w14:textId="192757DE" w:rsidR="00EE68E3" w:rsidRPr="006F04EE" w:rsidRDefault="00EE68E3" w:rsidP="00F465E2">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 xml:space="preserve">See paragraph </w:t>
            </w:r>
            <w:r w:rsidRPr="006F04EE">
              <w:rPr>
                <w:rFonts w:ascii="Arial Narrow" w:eastAsiaTheme="majorEastAsia" w:hAnsi="Arial Narrow" w:cstheme="majorBidi"/>
                <w:bCs/>
                <w:sz w:val="20"/>
              </w:rPr>
              <w:fldChar w:fldCharType="begin" w:fldLock="1"/>
            </w:r>
            <w:r w:rsidRPr="006F04EE">
              <w:rPr>
                <w:rFonts w:ascii="Arial Narrow" w:eastAsiaTheme="majorEastAsia" w:hAnsi="Arial Narrow" w:cstheme="majorBidi"/>
                <w:bCs/>
                <w:sz w:val="20"/>
              </w:rPr>
              <w:instrText xml:space="preserve"> REF _Ref172707707 \r \h  \* MERGEFORMAT </w:instrText>
            </w:r>
            <w:r w:rsidRPr="006F04EE">
              <w:rPr>
                <w:rFonts w:ascii="Arial Narrow" w:eastAsiaTheme="majorEastAsia" w:hAnsi="Arial Narrow" w:cstheme="majorBidi"/>
                <w:bCs/>
                <w:sz w:val="20"/>
              </w:rPr>
            </w:r>
            <w:r w:rsidRPr="006F04EE">
              <w:rPr>
                <w:rFonts w:ascii="Arial Narrow" w:eastAsiaTheme="majorEastAsia" w:hAnsi="Arial Narrow" w:cstheme="majorBidi"/>
                <w:bCs/>
                <w:sz w:val="20"/>
              </w:rPr>
              <w:fldChar w:fldCharType="separate"/>
            </w:r>
            <w:r w:rsidR="00F465E2">
              <w:rPr>
                <w:rFonts w:ascii="Arial Narrow" w:eastAsiaTheme="majorEastAsia" w:hAnsi="Arial Narrow" w:cstheme="majorBidi"/>
                <w:bCs/>
                <w:sz w:val="20"/>
              </w:rPr>
              <w:t>5.8</w:t>
            </w:r>
            <w:r w:rsidRPr="006F04EE">
              <w:rPr>
                <w:rFonts w:ascii="Arial Narrow" w:eastAsiaTheme="majorEastAsia" w:hAnsi="Arial Narrow" w:cstheme="majorBidi"/>
                <w:bCs/>
                <w:sz w:val="20"/>
              </w:rPr>
              <w:fldChar w:fldCharType="end"/>
            </w:r>
            <w:r w:rsidRPr="006F04EE">
              <w:rPr>
                <w:rFonts w:ascii="Arial Narrow" w:eastAsiaTheme="majorEastAsia" w:hAnsi="Arial Narrow" w:cstheme="majorBidi"/>
                <w:bCs/>
                <w:sz w:val="20"/>
              </w:rPr>
              <w:t xml:space="preserve"> for the approach taken</w:t>
            </w:r>
          </w:p>
        </w:tc>
        <w:tc>
          <w:tcPr>
            <w:tcW w:w="2835" w:type="dxa"/>
            <w:shd w:val="clear" w:color="auto" w:fill="B8CCE4" w:themeFill="accent1" w:themeFillTint="66"/>
            <w:vAlign w:val="center"/>
          </w:tcPr>
          <w:p w14:paraId="46AF294D" w14:textId="64B8A6ED" w:rsidR="00EE68E3" w:rsidRPr="006F04EE" w:rsidRDefault="00EE68E3" w:rsidP="00CE0C18">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PBAC recommended equi-effective dose from July 2024 consideration. The approach assumed a 20% reduction and does not consider wastage.</w:t>
            </w:r>
          </w:p>
        </w:tc>
      </w:tr>
      <w:tr w:rsidR="006F411A" w:rsidRPr="006F04EE" w14:paraId="487B11BB" w14:textId="77777777" w:rsidTr="00CE0C18">
        <w:tc>
          <w:tcPr>
            <w:tcW w:w="1191" w:type="dxa"/>
            <w:shd w:val="clear" w:color="auto" w:fill="B8CCE4" w:themeFill="accent1" w:themeFillTint="66"/>
            <w:vAlign w:val="center"/>
          </w:tcPr>
          <w:p w14:paraId="78FC2B70" w14:textId="77777777" w:rsidR="00EE68E3" w:rsidRPr="006F04EE" w:rsidRDefault="00EE68E3" w:rsidP="00CE0C18">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July 2024 Resubmission base case</w:t>
            </w:r>
          </w:p>
        </w:tc>
        <w:tc>
          <w:tcPr>
            <w:tcW w:w="1077" w:type="dxa"/>
            <w:shd w:val="clear" w:color="auto" w:fill="B8CCE4" w:themeFill="accent1" w:themeFillTint="66"/>
            <w:vAlign w:val="center"/>
          </w:tcPr>
          <w:p w14:paraId="7D1B6D6E"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1.31 cartridges</w:t>
            </w:r>
          </w:p>
        </w:tc>
        <w:tc>
          <w:tcPr>
            <w:tcW w:w="1077" w:type="dxa"/>
            <w:shd w:val="clear" w:color="auto" w:fill="B8CCE4" w:themeFill="accent1" w:themeFillTint="66"/>
            <w:vAlign w:val="center"/>
          </w:tcPr>
          <w:p w14:paraId="20421E02" w14:textId="77777777" w:rsidR="00EE68E3" w:rsidRPr="006F04EE" w:rsidRDefault="00EE68E3" w:rsidP="00736A0A">
            <w:pPr>
              <w:keepNext/>
              <w:jc w:val="left"/>
              <w:rPr>
                <w:rFonts w:ascii="Arial Narrow" w:eastAsiaTheme="majorEastAsia" w:hAnsi="Arial Narrow" w:cstheme="majorBidi"/>
                <w:b/>
                <w:sz w:val="20"/>
              </w:rPr>
            </w:pPr>
            <w:r w:rsidRPr="006F04EE">
              <w:rPr>
                <w:rFonts w:ascii="Arial Narrow" w:eastAsiaTheme="majorEastAsia" w:hAnsi="Arial Narrow" w:cstheme="majorBidi"/>
                <w:bCs/>
                <w:sz w:val="20"/>
              </w:rPr>
              <w:t>1.15 cassette</w:t>
            </w:r>
          </w:p>
        </w:tc>
        <w:tc>
          <w:tcPr>
            <w:tcW w:w="1077" w:type="dxa"/>
            <w:shd w:val="clear" w:color="auto" w:fill="B8CCE4" w:themeFill="accent1" w:themeFillTint="66"/>
            <w:vAlign w:val="center"/>
          </w:tcPr>
          <w:p w14:paraId="2385EEBF"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1 : 0.88</w:t>
            </w:r>
          </w:p>
        </w:tc>
        <w:tc>
          <w:tcPr>
            <w:tcW w:w="1757" w:type="dxa"/>
            <w:shd w:val="clear" w:color="auto" w:fill="B8CCE4" w:themeFill="accent1" w:themeFillTint="66"/>
            <w:vAlign w:val="center"/>
          </w:tcPr>
          <w:p w14:paraId="6424DBD1" w14:textId="77777777" w:rsidR="00EE68E3" w:rsidRPr="006F04EE" w:rsidRDefault="00EE68E3" w:rsidP="00F465E2">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ELEGANCE, GLORIA and Phase III Program.</w:t>
            </w:r>
          </w:p>
        </w:tc>
        <w:tc>
          <w:tcPr>
            <w:tcW w:w="2835" w:type="dxa"/>
            <w:shd w:val="clear" w:color="auto" w:fill="B8CCE4" w:themeFill="accent1" w:themeFillTint="66"/>
            <w:vAlign w:val="center"/>
          </w:tcPr>
          <w:p w14:paraId="7511D73C" w14:textId="67B78BAB" w:rsidR="00EE68E3" w:rsidRPr="006F04EE" w:rsidRDefault="00EE68E3" w:rsidP="00CE0C18">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The LECIG dosing data reflects the average number of cartridges per day at 12 months of treatment.</w:t>
            </w:r>
          </w:p>
        </w:tc>
      </w:tr>
      <w:tr w:rsidR="006F411A" w:rsidRPr="006F04EE" w14:paraId="51458573" w14:textId="77777777" w:rsidTr="00CE0C18">
        <w:tc>
          <w:tcPr>
            <w:tcW w:w="1191" w:type="dxa"/>
            <w:shd w:val="clear" w:color="auto" w:fill="B8CCE4" w:themeFill="accent1" w:themeFillTint="66"/>
            <w:vAlign w:val="center"/>
          </w:tcPr>
          <w:p w14:paraId="3464135E" w14:textId="77777777" w:rsidR="00EE68E3" w:rsidRPr="006F04EE" w:rsidRDefault="00EE68E3" w:rsidP="00CE0C18">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March 2024 Submission’s base case</w:t>
            </w:r>
          </w:p>
        </w:tc>
        <w:tc>
          <w:tcPr>
            <w:tcW w:w="1077" w:type="dxa"/>
            <w:shd w:val="clear" w:color="auto" w:fill="B8CCE4" w:themeFill="accent1" w:themeFillTint="66"/>
            <w:vAlign w:val="center"/>
          </w:tcPr>
          <w:p w14:paraId="7E47CE38"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1.00 cartridge</w:t>
            </w:r>
          </w:p>
        </w:tc>
        <w:tc>
          <w:tcPr>
            <w:tcW w:w="1077" w:type="dxa"/>
            <w:shd w:val="clear" w:color="auto" w:fill="B8CCE4" w:themeFill="accent1" w:themeFillTint="66"/>
            <w:vAlign w:val="center"/>
          </w:tcPr>
          <w:p w14:paraId="23BF28B7"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1.00 cassette</w:t>
            </w:r>
          </w:p>
        </w:tc>
        <w:tc>
          <w:tcPr>
            <w:tcW w:w="1077" w:type="dxa"/>
            <w:shd w:val="clear" w:color="auto" w:fill="B8CCE4" w:themeFill="accent1" w:themeFillTint="66"/>
            <w:vAlign w:val="center"/>
          </w:tcPr>
          <w:p w14:paraId="7789BD62"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1 : 1</w:t>
            </w:r>
          </w:p>
        </w:tc>
        <w:tc>
          <w:tcPr>
            <w:tcW w:w="1757" w:type="dxa"/>
            <w:shd w:val="clear" w:color="auto" w:fill="B8CCE4" w:themeFill="accent1" w:themeFillTint="66"/>
            <w:vAlign w:val="center"/>
          </w:tcPr>
          <w:p w14:paraId="7A334EAF" w14:textId="77777777" w:rsidR="00EE68E3" w:rsidRPr="006F04EE" w:rsidRDefault="00EE68E3" w:rsidP="00F465E2">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Mean levodopa dose per day from the LSM-003, ELEGANCE, GLORIA, DUOGLOBE studies.</w:t>
            </w:r>
          </w:p>
        </w:tc>
        <w:tc>
          <w:tcPr>
            <w:tcW w:w="2835" w:type="dxa"/>
            <w:shd w:val="clear" w:color="auto" w:fill="B8CCE4" w:themeFill="accent1" w:themeFillTint="66"/>
            <w:vAlign w:val="center"/>
          </w:tcPr>
          <w:p w14:paraId="1D5E99F8" w14:textId="2E1A32CD" w:rsidR="00EE68E3" w:rsidRPr="006F04EE" w:rsidRDefault="00EE68E3" w:rsidP="00CE0C18">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 xml:space="preserve">The mean dose does not accurately account for all patients requiring at least one cartridge of LECIG and a proportion requiring a partial second cartridge per </w:t>
            </w:r>
            <w:proofErr w:type="spellStart"/>
            <w:r w:rsidRPr="006F04EE">
              <w:rPr>
                <w:rFonts w:ascii="Arial Narrow" w:eastAsiaTheme="majorEastAsia" w:hAnsi="Arial Narrow" w:cstheme="majorBidi"/>
                <w:bCs/>
                <w:sz w:val="20"/>
              </w:rPr>
              <w:t>day.</w:t>
            </w:r>
            <w:r w:rsidRPr="006F04EE">
              <w:rPr>
                <w:rFonts w:ascii="Arial Narrow" w:eastAsiaTheme="majorEastAsia" w:hAnsi="Arial Narrow" w:cstheme="majorBidi"/>
                <w:bCs/>
                <w:sz w:val="20"/>
                <w:vertAlign w:val="superscript"/>
              </w:rPr>
              <w:t>a</w:t>
            </w:r>
            <w:proofErr w:type="spellEnd"/>
          </w:p>
        </w:tc>
      </w:tr>
    </w:tbl>
    <w:p w14:paraId="731D7C1E" w14:textId="53F8D950" w:rsidR="00EE68E3" w:rsidRPr="006F04EE" w:rsidRDefault="00EE68E3" w:rsidP="00EE68E3">
      <w:pPr>
        <w:keepNext/>
        <w:spacing w:after="120"/>
        <w:contextualSpacing/>
        <w:rPr>
          <w:rFonts w:ascii="Arial Narrow" w:hAnsi="Arial Narrow" w:cs="Arial"/>
          <w:snapToGrid w:val="0"/>
          <w:sz w:val="18"/>
          <w:szCs w:val="22"/>
        </w:rPr>
      </w:pPr>
      <w:r w:rsidRPr="006F04EE">
        <w:rPr>
          <w:rFonts w:ascii="Arial Narrow" w:hAnsi="Arial Narrow" w:cs="Arial"/>
          <w:snapToGrid w:val="0"/>
          <w:sz w:val="18"/>
          <w:szCs w:val="22"/>
        </w:rPr>
        <w:t xml:space="preserve">Source: Table 3, levodopa with carbidopa and entacapone PBAC </w:t>
      </w:r>
      <w:r w:rsidR="003650EE">
        <w:rPr>
          <w:rFonts w:ascii="Arial Narrow" w:hAnsi="Arial Narrow" w:cs="Arial"/>
          <w:snapToGrid w:val="0"/>
          <w:sz w:val="18"/>
          <w:szCs w:val="22"/>
        </w:rPr>
        <w:t>PSD</w:t>
      </w:r>
      <w:r w:rsidRPr="006F04EE">
        <w:rPr>
          <w:rFonts w:ascii="Arial Narrow" w:hAnsi="Arial Narrow" w:cs="Arial"/>
          <w:snapToGrid w:val="0"/>
          <w:sz w:val="18"/>
          <w:szCs w:val="22"/>
        </w:rPr>
        <w:t xml:space="preserve">, July 2024 PBAC meeting, September 2024 sponsor </w:t>
      </w:r>
      <w:r>
        <w:rPr>
          <w:rFonts w:ascii="Arial Narrow" w:hAnsi="Arial Narrow" w:cs="Arial"/>
          <w:snapToGrid w:val="0"/>
          <w:sz w:val="18"/>
          <w:szCs w:val="22"/>
        </w:rPr>
        <w:t>proposal, updated during the preparation of the PBAC minutes</w:t>
      </w:r>
      <w:r w:rsidRPr="006F04EE">
        <w:rPr>
          <w:rFonts w:ascii="Arial Narrow" w:hAnsi="Arial Narrow" w:cs="Arial"/>
          <w:snapToGrid w:val="0"/>
          <w:sz w:val="18"/>
          <w:szCs w:val="22"/>
        </w:rPr>
        <w:t xml:space="preserve"> </w:t>
      </w:r>
    </w:p>
    <w:p w14:paraId="4D2F87F4" w14:textId="77777777" w:rsidR="00EE68E3" w:rsidRPr="006F04EE" w:rsidRDefault="00EE68E3" w:rsidP="00EE68E3">
      <w:pPr>
        <w:keepNext/>
        <w:spacing w:after="120"/>
        <w:contextualSpacing/>
        <w:rPr>
          <w:rFonts w:ascii="Arial Narrow" w:hAnsi="Arial Narrow" w:cs="Arial"/>
          <w:snapToGrid w:val="0"/>
          <w:sz w:val="18"/>
          <w:szCs w:val="22"/>
        </w:rPr>
      </w:pPr>
      <w:r w:rsidRPr="006F04EE">
        <w:rPr>
          <w:rFonts w:ascii="Arial Narrow" w:hAnsi="Arial Narrow" w:cs="Arial"/>
          <w:snapToGrid w:val="0"/>
          <w:sz w:val="18"/>
          <w:szCs w:val="22"/>
        </w:rPr>
        <w:t>LCIG = levodopa, carbidopa monohydrate intestinal gel; LECIG = levodopa, carbidopa monohydrate and entacapone intestinal gel</w:t>
      </w:r>
    </w:p>
    <w:p w14:paraId="337F7BA0" w14:textId="77777777" w:rsidR="00EE68E3" w:rsidRPr="00555102" w:rsidRDefault="00EE68E3" w:rsidP="00CE0C18">
      <w:pPr>
        <w:spacing w:before="240" w:after="120"/>
        <w:contextualSpacing/>
        <w:rPr>
          <w:rFonts w:ascii="Arial Narrow" w:hAnsi="Arial Narrow" w:cs="Arial"/>
          <w:snapToGrid w:val="0"/>
          <w:sz w:val="18"/>
          <w:szCs w:val="22"/>
        </w:rPr>
      </w:pPr>
      <w:r w:rsidRPr="006F04EE">
        <w:rPr>
          <w:rFonts w:ascii="Arial Narrow" w:hAnsi="Arial Narrow" w:cs="Arial"/>
          <w:snapToGrid w:val="0"/>
          <w:sz w:val="18"/>
          <w:szCs w:val="22"/>
        </w:rPr>
        <w:t xml:space="preserve">Blue shading indicates data previously seen by the PBAC. </w:t>
      </w:r>
    </w:p>
    <w:p w14:paraId="3CB676C0" w14:textId="54503CD9" w:rsidR="00EE68E3" w:rsidRPr="006F04EE" w:rsidRDefault="00EE68E3" w:rsidP="00EE68E3">
      <w:pPr>
        <w:pStyle w:val="3-BodyText"/>
        <w:rPr>
          <w:snapToGrid w:val="0"/>
        </w:rPr>
      </w:pPr>
      <w:r w:rsidRPr="006F04EE">
        <w:rPr>
          <w:snapToGrid w:val="0"/>
        </w:rPr>
        <w:t xml:space="preserve">The </w:t>
      </w:r>
      <w:r>
        <w:rPr>
          <w:snapToGrid w:val="0"/>
        </w:rPr>
        <w:t>sponsor proposal</w:t>
      </w:r>
      <w:r w:rsidRPr="006F04EE">
        <w:rPr>
          <w:snapToGrid w:val="0"/>
        </w:rPr>
        <w:t xml:space="preserve"> requested a proposed published ex-manufacturer price for LECIG of $</w:t>
      </w:r>
      <w:r w:rsidR="006C73F3" w:rsidRPr="00491515">
        <w:rPr>
          <w:snapToGrid w:val="0"/>
          <w:color w:val="000000"/>
          <w:w w:val="15"/>
          <w:shd w:val="solid" w:color="000000" w:fill="000000"/>
          <w:fitText w:val="-20" w:id="-761117184"/>
          <w14:textFill>
            <w14:solidFill>
              <w14:srgbClr w14:val="000000">
                <w14:alpha w14:val="100000"/>
              </w14:srgbClr>
            </w14:solidFill>
          </w14:textFill>
        </w:rPr>
        <w:t xml:space="preserve">|  </w:t>
      </w:r>
      <w:r w:rsidR="006C73F3" w:rsidRPr="00491515">
        <w:rPr>
          <w:snapToGrid w:val="0"/>
          <w:color w:val="000000"/>
          <w:spacing w:val="-69"/>
          <w:w w:val="15"/>
          <w:shd w:val="solid" w:color="000000" w:fill="000000"/>
          <w:fitText w:val="-20" w:id="-761117184"/>
          <w14:textFill>
            <w14:solidFill>
              <w14:srgbClr w14:val="000000">
                <w14:alpha w14:val="100000"/>
              </w14:srgbClr>
            </w14:solidFill>
          </w14:textFill>
        </w:rPr>
        <w:t>|</w:t>
      </w:r>
      <w:r w:rsidRPr="006F04EE">
        <w:rPr>
          <w:snapToGrid w:val="0"/>
        </w:rPr>
        <w:t>, stating that this was 9% lower than the price proposed in the July</w:t>
      </w:r>
      <w:r w:rsidR="00F465E2">
        <w:rPr>
          <w:snapToGrid w:val="0"/>
        </w:rPr>
        <w:t> </w:t>
      </w:r>
      <w:r w:rsidRPr="006F04EE">
        <w:rPr>
          <w:snapToGrid w:val="0"/>
        </w:rPr>
        <w:t>2024 resubmission ($</w:t>
      </w:r>
      <w:r w:rsidR="006C73F3" w:rsidRPr="00491515">
        <w:rPr>
          <w:snapToGrid w:val="0"/>
          <w:color w:val="000000"/>
          <w:w w:val="15"/>
          <w:shd w:val="solid" w:color="000000" w:fill="000000"/>
          <w:fitText w:val="-20" w:id="-761117183"/>
          <w14:textFill>
            <w14:solidFill>
              <w14:srgbClr w14:val="000000">
                <w14:alpha w14:val="100000"/>
              </w14:srgbClr>
            </w14:solidFill>
          </w14:textFill>
        </w:rPr>
        <w:t xml:space="preserve">|  </w:t>
      </w:r>
      <w:r w:rsidR="006C73F3" w:rsidRPr="00491515">
        <w:rPr>
          <w:snapToGrid w:val="0"/>
          <w:color w:val="000000"/>
          <w:spacing w:val="-69"/>
          <w:w w:val="15"/>
          <w:shd w:val="solid" w:color="000000" w:fill="000000"/>
          <w:fitText w:val="-20" w:id="-761117183"/>
          <w14:textFill>
            <w14:solidFill>
              <w14:srgbClr w14:val="000000">
                <w14:alpha w14:val="100000"/>
              </w14:srgbClr>
            </w14:solidFill>
          </w14:textFill>
        </w:rPr>
        <w:t>|</w:t>
      </w:r>
      <w:r w:rsidRPr="006F04EE">
        <w:rPr>
          <w:snapToGrid w:val="0"/>
        </w:rPr>
        <w:t>) (</w:t>
      </w:r>
      <w:r w:rsidRPr="006F04EE">
        <w:rPr>
          <w:snapToGrid w:val="0"/>
        </w:rPr>
        <w:fldChar w:fldCharType="begin" w:fldLock="1"/>
      </w:r>
      <w:r w:rsidRPr="006F04EE">
        <w:rPr>
          <w:snapToGrid w:val="0"/>
        </w:rPr>
        <w:instrText xml:space="preserve"> REF _Ref153988393 \h  \* MERGEFORMAT </w:instrText>
      </w:r>
      <w:r w:rsidRPr="006F04EE">
        <w:rPr>
          <w:snapToGrid w:val="0"/>
        </w:rPr>
      </w:r>
      <w:r w:rsidRPr="006F04EE">
        <w:rPr>
          <w:snapToGrid w:val="0"/>
        </w:rPr>
        <w:fldChar w:fldCharType="separate"/>
      </w:r>
      <w:r w:rsidRPr="001D2C00">
        <w:rPr>
          <w:snapToGrid w:val="0"/>
        </w:rPr>
        <w:t>Table 5</w:t>
      </w:r>
      <w:r w:rsidRPr="006F04EE">
        <w:rPr>
          <w:snapToGrid w:val="0"/>
        </w:rPr>
        <w:fldChar w:fldCharType="end"/>
      </w:r>
      <w:r w:rsidRPr="006F04EE">
        <w:rPr>
          <w:snapToGrid w:val="0"/>
        </w:rPr>
        <w:t xml:space="preserve">). </w:t>
      </w:r>
    </w:p>
    <w:p w14:paraId="3EF6847C" w14:textId="77777777" w:rsidR="00EE68E3" w:rsidRPr="006F04EE" w:rsidRDefault="00EE68E3" w:rsidP="00EE68E3">
      <w:pPr>
        <w:keepNext/>
        <w:rPr>
          <w:rFonts w:ascii="Arial Narrow" w:eastAsiaTheme="majorEastAsia" w:hAnsi="Arial Narrow" w:cstheme="majorBidi"/>
          <w:b/>
          <w:bCs/>
          <w:sz w:val="20"/>
        </w:rPr>
      </w:pPr>
      <w:r w:rsidRPr="006F04EE">
        <w:rPr>
          <w:rFonts w:ascii="Arial Narrow" w:eastAsiaTheme="majorEastAsia" w:hAnsi="Arial Narrow" w:cstheme="majorBidi"/>
          <w:b/>
          <w:bCs/>
          <w:sz w:val="20"/>
        </w:rPr>
        <w:t xml:space="preserve">Table </w:t>
      </w:r>
      <w:r w:rsidRPr="006F04EE">
        <w:rPr>
          <w:rFonts w:ascii="Arial Narrow" w:eastAsiaTheme="majorEastAsia" w:hAnsi="Arial Narrow" w:cstheme="majorBidi"/>
          <w:b/>
          <w:bCs/>
          <w:sz w:val="20"/>
        </w:rPr>
        <w:fldChar w:fldCharType="begin" w:fldLock="1"/>
      </w:r>
      <w:r w:rsidRPr="006F04EE">
        <w:rPr>
          <w:rFonts w:ascii="Arial Narrow" w:eastAsiaTheme="majorEastAsia" w:hAnsi="Arial Narrow" w:cstheme="majorBidi"/>
          <w:b/>
          <w:bCs/>
          <w:sz w:val="20"/>
        </w:rPr>
        <w:instrText xml:space="preserve"> SEQ Table \* ARABIC </w:instrText>
      </w:r>
      <w:r w:rsidRPr="006F04EE">
        <w:rPr>
          <w:rFonts w:ascii="Arial Narrow" w:eastAsiaTheme="majorEastAsia" w:hAnsi="Arial Narrow" w:cstheme="majorBidi"/>
          <w:b/>
          <w:bCs/>
          <w:sz w:val="20"/>
        </w:rPr>
        <w:fldChar w:fldCharType="separate"/>
      </w:r>
      <w:r>
        <w:rPr>
          <w:rFonts w:ascii="Arial Narrow" w:eastAsiaTheme="majorEastAsia" w:hAnsi="Arial Narrow" w:cstheme="majorBidi"/>
          <w:b/>
          <w:bCs/>
          <w:noProof/>
          <w:sz w:val="20"/>
        </w:rPr>
        <w:t>9</w:t>
      </w:r>
      <w:r w:rsidRPr="006F04EE">
        <w:rPr>
          <w:rFonts w:ascii="Arial Narrow" w:eastAsiaTheme="majorEastAsia" w:hAnsi="Arial Narrow" w:cstheme="majorBidi"/>
          <w:b/>
          <w:bCs/>
          <w:sz w:val="20"/>
        </w:rPr>
        <w:fldChar w:fldCharType="end"/>
      </w:r>
      <w:r w:rsidRPr="006F04EE">
        <w:rPr>
          <w:rFonts w:ascii="Arial Narrow" w:eastAsiaTheme="majorEastAsia" w:hAnsi="Arial Narrow" w:cstheme="majorBidi"/>
          <w:b/>
          <w:bCs/>
          <w:sz w:val="20"/>
        </w:rPr>
        <w:t xml:space="preserve"> Results of the cost-minimisation approach based on the published AEMP of LCIG</w:t>
      </w:r>
      <w:r>
        <w:rPr>
          <w:rFonts w:ascii="Arial Narrow" w:eastAsiaTheme="majorEastAsia" w:hAnsi="Arial Narrow" w:cstheme="majorBidi"/>
          <w:b/>
          <w:bCs/>
          <w:sz w:val="20"/>
        </w:rPr>
        <w:t xml:space="preserve"> using equi-effective dosing as per paragraph </w:t>
      </w:r>
      <w:r>
        <w:rPr>
          <w:rFonts w:ascii="Arial Narrow" w:eastAsiaTheme="majorEastAsia" w:hAnsi="Arial Narrow" w:cstheme="majorBidi"/>
          <w:b/>
          <w:bCs/>
          <w:sz w:val="20"/>
          <w:highlight w:val="yellow"/>
        </w:rPr>
        <w:fldChar w:fldCharType="begin" w:fldLock="1"/>
      </w:r>
      <w:r>
        <w:rPr>
          <w:rFonts w:ascii="Arial Narrow" w:eastAsiaTheme="majorEastAsia" w:hAnsi="Arial Narrow" w:cstheme="majorBidi"/>
          <w:b/>
          <w:bCs/>
          <w:sz w:val="20"/>
        </w:rPr>
        <w:instrText xml:space="preserve"> REF _Ref184638429 \r \h </w:instrText>
      </w:r>
      <w:r>
        <w:rPr>
          <w:rFonts w:ascii="Arial Narrow" w:eastAsiaTheme="majorEastAsia" w:hAnsi="Arial Narrow" w:cstheme="majorBidi"/>
          <w:b/>
          <w:bCs/>
          <w:sz w:val="20"/>
          <w:highlight w:val="yellow"/>
        </w:rPr>
      </w:r>
      <w:r>
        <w:rPr>
          <w:rFonts w:ascii="Arial Narrow" w:eastAsiaTheme="majorEastAsia" w:hAnsi="Arial Narrow" w:cstheme="majorBidi"/>
          <w:b/>
          <w:bCs/>
          <w:sz w:val="20"/>
          <w:highlight w:val="yellow"/>
        </w:rPr>
        <w:fldChar w:fldCharType="separate"/>
      </w:r>
      <w:r>
        <w:rPr>
          <w:rFonts w:ascii="Arial Narrow" w:eastAsiaTheme="majorEastAsia" w:hAnsi="Arial Narrow" w:cstheme="majorBidi"/>
          <w:b/>
          <w:bCs/>
          <w:sz w:val="20"/>
        </w:rPr>
        <w:t>9.4</w:t>
      </w:r>
      <w:r>
        <w:rPr>
          <w:rFonts w:ascii="Arial Narrow" w:eastAsiaTheme="majorEastAsia" w:hAnsi="Arial Narrow" w:cstheme="majorBidi"/>
          <w:b/>
          <w:bCs/>
          <w:sz w:val="20"/>
          <w:highlight w:val="yellow"/>
        </w:rPr>
        <w:fldChar w:fldCharType="end"/>
      </w:r>
      <w:r w:rsidRPr="00187BAC">
        <w:rPr>
          <w:rFonts w:ascii="Arial Narrow" w:eastAsiaTheme="majorEastAsia" w:hAnsi="Arial Narrow" w:cstheme="majorBidi"/>
          <w:b/>
          <w:bCs/>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the cost-minimisation approach based on the published AEMP of LCIG using equi-effective dosing as per paragraph 9.4."/>
      </w:tblPr>
      <w:tblGrid>
        <w:gridCol w:w="3037"/>
        <w:gridCol w:w="2992"/>
        <w:gridCol w:w="2992"/>
      </w:tblGrid>
      <w:tr w:rsidR="00EE68E3" w:rsidRPr="006F04EE" w14:paraId="3C45FDEC" w14:textId="77777777" w:rsidTr="00736A0A">
        <w:tc>
          <w:tcPr>
            <w:tcW w:w="3038" w:type="dxa"/>
          </w:tcPr>
          <w:p w14:paraId="12454FA2" w14:textId="77777777" w:rsidR="00EE68E3" w:rsidRPr="006F04EE" w:rsidRDefault="00EE68E3" w:rsidP="00736A0A">
            <w:pPr>
              <w:keepNext/>
              <w:jc w:val="left"/>
              <w:rPr>
                <w:rFonts w:ascii="Arial Narrow" w:eastAsiaTheme="majorEastAsia" w:hAnsi="Arial Narrow"/>
                <w:b/>
                <w:sz w:val="20"/>
              </w:rPr>
            </w:pPr>
            <w:r w:rsidRPr="006F04EE">
              <w:rPr>
                <w:rFonts w:ascii="Arial Narrow" w:eastAsiaTheme="majorEastAsia" w:hAnsi="Arial Narrow"/>
                <w:b/>
                <w:sz w:val="20"/>
              </w:rPr>
              <w:t>Component</w:t>
            </w:r>
          </w:p>
        </w:tc>
        <w:tc>
          <w:tcPr>
            <w:tcW w:w="2992" w:type="dxa"/>
          </w:tcPr>
          <w:p w14:paraId="080CB161" w14:textId="77777777" w:rsidR="00EE68E3" w:rsidRPr="006F04EE" w:rsidRDefault="00EE68E3" w:rsidP="00736A0A">
            <w:pPr>
              <w:keepNext/>
              <w:jc w:val="center"/>
              <w:rPr>
                <w:rFonts w:ascii="Arial Narrow" w:eastAsiaTheme="majorEastAsia" w:hAnsi="Arial Narrow"/>
                <w:b/>
                <w:sz w:val="20"/>
              </w:rPr>
            </w:pPr>
            <w:r w:rsidRPr="006F04EE">
              <w:rPr>
                <w:rFonts w:ascii="Arial Narrow" w:eastAsiaTheme="majorEastAsia" w:hAnsi="Arial Narrow"/>
                <w:b/>
                <w:sz w:val="20"/>
              </w:rPr>
              <w:t>LECIG</w:t>
            </w:r>
          </w:p>
        </w:tc>
        <w:tc>
          <w:tcPr>
            <w:tcW w:w="2992" w:type="dxa"/>
          </w:tcPr>
          <w:p w14:paraId="69FD7A34" w14:textId="77777777" w:rsidR="00EE68E3" w:rsidRPr="006F04EE" w:rsidRDefault="00EE68E3" w:rsidP="00736A0A">
            <w:pPr>
              <w:keepNext/>
              <w:jc w:val="center"/>
              <w:rPr>
                <w:rFonts w:ascii="Arial Narrow" w:eastAsiaTheme="majorEastAsia" w:hAnsi="Arial Narrow"/>
                <w:b/>
                <w:sz w:val="20"/>
              </w:rPr>
            </w:pPr>
            <w:r w:rsidRPr="006F04EE">
              <w:rPr>
                <w:rFonts w:ascii="Arial Narrow" w:eastAsiaTheme="majorEastAsia" w:hAnsi="Arial Narrow"/>
                <w:b/>
                <w:sz w:val="20"/>
              </w:rPr>
              <w:t>LCIG</w:t>
            </w:r>
          </w:p>
        </w:tc>
      </w:tr>
      <w:tr w:rsidR="00EE68E3" w:rsidRPr="006F04EE" w14:paraId="34E8BDCA" w14:textId="77777777" w:rsidTr="00736A0A">
        <w:tc>
          <w:tcPr>
            <w:tcW w:w="3038" w:type="dxa"/>
          </w:tcPr>
          <w:p w14:paraId="642B2930"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Proposed AEMP/AEMP per pack</w:t>
            </w:r>
          </w:p>
        </w:tc>
        <w:tc>
          <w:tcPr>
            <w:tcW w:w="2992" w:type="dxa"/>
            <w:vAlign w:val="center"/>
          </w:tcPr>
          <w:p w14:paraId="66D80A33" w14:textId="7C391500"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2992" w:type="dxa"/>
            <w:vAlign w:val="center"/>
          </w:tcPr>
          <w:p w14:paraId="090C38B9" w14:textId="7953DF18"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EE68E3" w:rsidRPr="006F04EE" w14:paraId="6D11E49E" w14:textId="77777777" w:rsidTr="00736A0A">
        <w:tc>
          <w:tcPr>
            <w:tcW w:w="3038" w:type="dxa"/>
          </w:tcPr>
          <w:p w14:paraId="5FC5CB24"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Cartridges/cassettes per pack</w:t>
            </w:r>
          </w:p>
        </w:tc>
        <w:tc>
          <w:tcPr>
            <w:tcW w:w="2992" w:type="dxa"/>
            <w:vAlign w:val="center"/>
          </w:tcPr>
          <w:p w14:paraId="420F1F56"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7</w:t>
            </w:r>
          </w:p>
        </w:tc>
        <w:tc>
          <w:tcPr>
            <w:tcW w:w="2992" w:type="dxa"/>
            <w:vAlign w:val="center"/>
          </w:tcPr>
          <w:p w14:paraId="5931F85D"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7</w:t>
            </w:r>
          </w:p>
        </w:tc>
      </w:tr>
      <w:tr w:rsidR="00EE68E3" w:rsidRPr="006F04EE" w14:paraId="47635CDD" w14:textId="77777777" w:rsidTr="00736A0A">
        <w:tc>
          <w:tcPr>
            <w:tcW w:w="3038" w:type="dxa"/>
          </w:tcPr>
          <w:p w14:paraId="627C839F"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Cost per cartridge/cassette</w:t>
            </w:r>
          </w:p>
        </w:tc>
        <w:tc>
          <w:tcPr>
            <w:tcW w:w="2992" w:type="dxa"/>
            <w:vAlign w:val="center"/>
          </w:tcPr>
          <w:p w14:paraId="5DD25F46" w14:textId="1EBFEF4F"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2992" w:type="dxa"/>
            <w:vAlign w:val="center"/>
          </w:tcPr>
          <w:p w14:paraId="6A9DEB93" w14:textId="04CDD7B9"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EE68E3" w:rsidRPr="006F04EE" w14:paraId="31F61246" w14:textId="77777777" w:rsidTr="00736A0A">
        <w:tc>
          <w:tcPr>
            <w:tcW w:w="3038" w:type="dxa"/>
          </w:tcPr>
          <w:p w14:paraId="49EE6ACB"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Cartridge/cassette used per day</w:t>
            </w:r>
          </w:p>
        </w:tc>
        <w:tc>
          <w:tcPr>
            <w:tcW w:w="2992" w:type="dxa"/>
            <w:vAlign w:val="center"/>
          </w:tcPr>
          <w:p w14:paraId="5A83C5C9"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2</w:t>
            </w:r>
          </w:p>
        </w:tc>
        <w:tc>
          <w:tcPr>
            <w:tcW w:w="2992" w:type="dxa"/>
            <w:vAlign w:val="center"/>
          </w:tcPr>
          <w:p w14:paraId="0C479A45"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1.6</w:t>
            </w:r>
          </w:p>
        </w:tc>
      </w:tr>
      <w:tr w:rsidR="00EE68E3" w:rsidRPr="006F04EE" w14:paraId="43D76230" w14:textId="77777777" w:rsidTr="00736A0A">
        <w:tc>
          <w:tcPr>
            <w:tcW w:w="3038" w:type="dxa"/>
          </w:tcPr>
          <w:p w14:paraId="4827CCAA"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Cost per day</w:t>
            </w:r>
          </w:p>
        </w:tc>
        <w:tc>
          <w:tcPr>
            <w:tcW w:w="2992" w:type="dxa"/>
            <w:vAlign w:val="center"/>
          </w:tcPr>
          <w:p w14:paraId="39E3694E" w14:textId="6C293BF9"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2992" w:type="dxa"/>
            <w:vAlign w:val="center"/>
          </w:tcPr>
          <w:p w14:paraId="644B9D1E" w14:textId="665166D4"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EE68E3" w:rsidRPr="006F04EE" w14:paraId="6C4EAD81" w14:textId="77777777" w:rsidTr="00736A0A">
        <w:tc>
          <w:tcPr>
            <w:tcW w:w="3038" w:type="dxa"/>
          </w:tcPr>
          <w:p w14:paraId="38DEA08F"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Difference in cost per day</w:t>
            </w:r>
          </w:p>
        </w:tc>
        <w:tc>
          <w:tcPr>
            <w:tcW w:w="5984" w:type="dxa"/>
            <w:gridSpan w:val="2"/>
            <w:vAlign w:val="center"/>
          </w:tcPr>
          <w:p w14:paraId="4FC24E9D"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$0</w:t>
            </w:r>
          </w:p>
        </w:tc>
      </w:tr>
    </w:tbl>
    <w:p w14:paraId="21633137" w14:textId="77777777" w:rsidR="00EE68E3" w:rsidRPr="006F04EE" w:rsidRDefault="00EE68E3" w:rsidP="00EE68E3">
      <w:pPr>
        <w:keepNext/>
        <w:spacing w:after="120"/>
        <w:contextualSpacing/>
        <w:rPr>
          <w:rFonts w:ascii="Arial Narrow" w:hAnsi="Arial Narrow" w:cs="Arial"/>
          <w:snapToGrid w:val="0"/>
          <w:sz w:val="18"/>
          <w:szCs w:val="22"/>
        </w:rPr>
      </w:pPr>
      <w:r w:rsidRPr="006F04EE">
        <w:rPr>
          <w:rFonts w:ascii="Arial Narrow" w:hAnsi="Arial Narrow" w:cs="Arial"/>
          <w:snapToGrid w:val="0"/>
          <w:sz w:val="18"/>
          <w:szCs w:val="22"/>
        </w:rPr>
        <w:t xml:space="preserve">Source: Table 1, September 2024 sponsor </w:t>
      </w:r>
      <w:r>
        <w:rPr>
          <w:rFonts w:ascii="Arial Narrow" w:hAnsi="Arial Narrow" w:cs="Arial"/>
          <w:snapToGrid w:val="0"/>
          <w:sz w:val="18"/>
          <w:szCs w:val="22"/>
        </w:rPr>
        <w:t>proposal</w:t>
      </w:r>
      <w:r w:rsidRPr="006F04EE">
        <w:rPr>
          <w:rFonts w:ascii="Arial Narrow" w:hAnsi="Arial Narrow" w:cs="Arial"/>
          <w:snapToGrid w:val="0"/>
          <w:sz w:val="18"/>
          <w:szCs w:val="22"/>
        </w:rPr>
        <w:t xml:space="preserve">. </w:t>
      </w:r>
    </w:p>
    <w:p w14:paraId="7563CE7D" w14:textId="77777777" w:rsidR="00EE68E3" w:rsidRPr="006F04EE" w:rsidRDefault="00EE68E3" w:rsidP="00301DFC">
      <w:pPr>
        <w:spacing w:after="120"/>
        <w:contextualSpacing/>
        <w:rPr>
          <w:rFonts w:ascii="Arial Narrow" w:hAnsi="Arial Narrow" w:cs="Arial"/>
          <w:snapToGrid w:val="0"/>
          <w:sz w:val="18"/>
          <w:szCs w:val="22"/>
        </w:rPr>
      </w:pPr>
      <w:r w:rsidRPr="006F04EE">
        <w:rPr>
          <w:rFonts w:ascii="Arial Narrow" w:hAnsi="Arial Narrow" w:cs="Arial"/>
          <w:snapToGrid w:val="0"/>
          <w:sz w:val="18"/>
          <w:szCs w:val="22"/>
        </w:rPr>
        <w:t xml:space="preserve">AEMP = approved ex-manufacturer price; LCIG = levodopa, carbidopa monohydrate intestinal gel; LECIG = levodopa, carbidopa monohydrate and entacapone intestinal gel. </w:t>
      </w:r>
    </w:p>
    <w:p w14:paraId="10F58481" w14:textId="35331AAF" w:rsidR="00EE68E3" w:rsidRDefault="00EE68E3" w:rsidP="00EE68E3">
      <w:pPr>
        <w:pStyle w:val="3-BodyText"/>
        <w:rPr>
          <w:rFonts w:cstheme="minorHAnsi"/>
          <w:i/>
          <w:iCs/>
        </w:rPr>
      </w:pPr>
      <w:r>
        <w:rPr>
          <w:rFonts w:cstheme="minorHAnsi"/>
        </w:rPr>
        <w:t xml:space="preserve">The PBAC noted the results of the cost-minimisation approach based on the published AEMP of LCIG using equi-effective dosing as per paragraph </w:t>
      </w:r>
      <w:r>
        <w:rPr>
          <w:rFonts w:cstheme="minorHAnsi"/>
        </w:rPr>
        <w:fldChar w:fldCharType="begin" w:fldLock="1"/>
      </w:r>
      <w:r>
        <w:rPr>
          <w:rFonts w:cstheme="minorHAnsi"/>
        </w:rPr>
        <w:instrText xml:space="preserve"> REF _Ref184367390 \r \h </w:instrText>
      </w:r>
      <w:r>
        <w:rPr>
          <w:rFonts w:cstheme="minorHAnsi"/>
        </w:rPr>
      </w:r>
      <w:r>
        <w:rPr>
          <w:rFonts w:cstheme="minorHAnsi"/>
        </w:rPr>
        <w:fldChar w:fldCharType="separate"/>
      </w:r>
      <w:r w:rsidR="00F465E2">
        <w:rPr>
          <w:rFonts w:cstheme="minorHAnsi"/>
        </w:rPr>
        <w:t>11.6</w:t>
      </w:r>
      <w:r>
        <w:rPr>
          <w:rFonts w:cstheme="minorHAnsi"/>
        </w:rPr>
        <w:fldChar w:fldCharType="end"/>
      </w:r>
      <w:r>
        <w:rPr>
          <w:rFonts w:cstheme="minorHAnsi"/>
        </w:rPr>
        <w:t>.</w:t>
      </w:r>
    </w:p>
    <w:p w14:paraId="35E8FC57" w14:textId="77777777" w:rsidR="00EE68E3" w:rsidRPr="001D2C00" w:rsidRDefault="00EE68E3" w:rsidP="00EE68E3">
      <w:pPr>
        <w:pStyle w:val="TableFigureHeading"/>
        <w:rPr>
          <w:snapToGrid w:val="0"/>
        </w:rPr>
      </w:pPr>
      <w:r w:rsidRPr="001D2C00">
        <w:rPr>
          <w:snapToGrid w:val="0"/>
        </w:rPr>
        <w:lastRenderedPageBreak/>
        <w:t xml:space="preserve">Table </w:t>
      </w:r>
      <w:r w:rsidRPr="001D2C00">
        <w:rPr>
          <w:snapToGrid w:val="0"/>
        </w:rPr>
        <w:fldChar w:fldCharType="begin" w:fldLock="1"/>
      </w:r>
      <w:r w:rsidRPr="001D2C00">
        <w:rPr>
          <w:snapToGrid w:val="0"/>
        </w:rPr>
        <w:instrText xml:space="preserve"> SEQ Table \* ARABIC </w:instrText>
      </w:r>
      <w:r w:rsidRPr="001D2C00">
        <w:rPr>
          <w:snapToGrid w:val="0"/>
        </w:rPr>
        <w:fldChar w:fldCharType="separate"/>
      </w:r>
      <w:r>
        <w:rPr>
          <w:noProof/>
        </w:rPr>
        <w:t>10</w:t>
      </w:r>
      <w:r w:rsidRPr="001D2C00">
        <w:rPr>
          <w:snapToGrid w:val="0"/>
        </w:rPr>
        <w:fldChar w:fldCharType="end"/>
      </w:r>
      <w:r w:rsidRPr="001D2C00">
        <w:rPr>
          <w:snapToGrid w:val="0"/>
        </w:rPr>
        <w:t xml:space="preserve"> Results of the cost-minimisation approach based on the published AEMP of LCIG</w:t>
      </w:r>
      <w:r>
        <w:rPr>
          <w:snapToGrid w:val="0"/>
        </w:rPr>
        <w:t xml:space="preserve"> using equi-effective dosing as per paragraph </w:t>
      </w:r>
      <w:r>
        <w:rPr>
          <w:snapToGrid w:val="0"/>
        </w:rPr>
        <w:fldChar w:fldCharType="begin" w:fldLock="1"/>
      </w:r>
      <w:r>
        <w:rPr>
          <w:snapToGrid w:val="0"/>
        </w:rPr>
        <w:instrText xml:space="preserve"> REF _Ref184367390 \r \h </w:instrText>
      </w:r>
      <w:r>
        <w:rPr>
          <w:snapToGrid w:val="0"/>
        </w:rPr>
      </w:r>
      <w:r>
        <w:rPr>
          <w:snapToGrid w:val="0"/>
        </w:rPr>
        <w:fldChar w:fldCharType="separate"/>
      </w:r>
      <w:r>
        <w:rPr>
          <w:snapToGrid w:val="0"/>
        </w:rPr>
        <w:t>9.6</w:t>
      </w:r>
      <w:r>
        <w:rPr>
          <w:snapToGrid w:val="0"/>
        </w:rPr>
        <w:fldChar w:fldCharType="end"/>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he cost-minimisation approach based on the published AEMP of LCIG using equi-effective dosing as per paragraph 9.6"/>
      </w:tblPr>
      <w:tblGrid>
        <w:gridCol w:w="3037"/>
        <w:gridCol w:w="2992"/>
        <w:gridCol w:w="2992"/>
      </w:tblGrid>
      <w:tr w:rsidR="00EE68E3" w:rsidRPr="006F04EE" w14:paraId="3F7152BA" w14:textId="77777777" w:rsidTr="00736A0A">
        <w:tc>
          <w:tcPr>
            <w:tcW w:w="3038" w:type="dxa"/>
          </w:tcPr>
          <w:p w14:paraId="46256747" w14:textId="77777777" w:rsidR="00EE68E3" w:rsidRPr="006F04EE" w:rsidRDefault="00EE68E3" w:rsidP="00736A0A">
            <w:pPr>
              <w:keepNext/>
              <w:jc w:val="left"/>
              <w:rPr>
                <w:rFonts w:ascii="Arial Narrow" w:eastAsiaTheme="majorEastAsia" w:hAnsi="Arial Narrow"/>
                <w:b/>
                <w:sz w:val="20"/>
              </w:rPr>
            </w:pPr>
            <w:r w:rsidRPr="006F04EE">
              <w:rPr>
                <w:rFonts w:ascii="Arial Narrow" w:eastAsiaTheme="majorEastAsia" w:hAnsi="Arial Narrow"/>
                <w:b/>
                <w:sz w:val="20"/>
              </w:rPr>
              <w:t>Component</w:t>
            </w:r>
          </w:p>
        </w:tc>
        <w:tc>
          <w:tcPr>
            <w:tcW w:w="2992" w:type="dxa"/>
          </w:tcPr>
          <w:p w14:paraId="23F7E82F" w14:textId="77777777" w:rsidR="00EE68E3" w:rsidRPr="006F04EE" w:rsidRDefault="00EE68E3" w:rsidP="00736A0A">
            <w:pPr>
              <w:keepNext/>
              <w:jc w:val="center"/>
              <w:rPr>
                <w:rFonts w:ascii="Arial Narrow" w:eastAsiaTheme="majorEastAsia" w:hAnsi="Arial Narrow"/>
                <w:b/>
                <w:sz w:val="20"/>
              </w:rPr>
            </w:pPr>
            <w:r w:rsidRPr="006F04EE">
              <w:rPr>
                <w:rFonts w:ascii="Arial Narrow" w:eastAsiaTheme="majorEastAsia" w:hAnsi="Arial Narrow"/>
                <w:b/>
                <w:sz w:val="20"/>
              </w:rPr>
              <w:t>LECIG</w:t>
            </w:r>
          </w:p>
        </w:tc>
        <w:tc>
          <w:tcPr>
            <w:tcW w:w="2992" w:type="dxa"/>
          </w:tcPr>
          <w:p w14:paraId="7893214C" w14:textId="77777777" w:rsidR="00EE68E3" w:rsidRPr="006F04EE" w:rsidRDefault="00EE68E3" w:rsidP="00736A0A">
            <w:pPr>
              <w:keepNext/>
              <w:jc w:val="center"/>
              <w:rPr>
                <w:rFonts w:ascii="Arial Narrow" w:eastAsiaTheme="majorEastAsia" w:hAnsi="Arial Narrow"/>
                <w:b/>
                <w:sz w:val="20"/>
              </w:rPr>
            </w:pPr>
            <w:r w:rsidRPr="006F04EE">
              <w:rPr>
                <w:rFonts w:ascii="Arial Narrow" w:eastAsiaTheme="majorEastAsia" w:hAnsi="Arial Narrow"/>
                <w:b/>
                <w:sz w:val="20"/>
              </w:rPr>
              <w:t>LCIG</w:t>
            </w:r>
          </w:p>
        </w:tc>
      </w:tr>
      <w:tr w:rsidR="00EE68E3" w:rsidRPr="006F04EE" w14:paraId="310BEF16" w14:textId="77777777" w:rsidTr="00736A0A">
        <w:tc>
          <w:tcPr>
            <w:tcW w:w="3038" w:type="dxa"/>
          </w:tcPr>
          <w:p w14:paraId="797F759F"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Proposed AEMP/AEMP per pack</w:t>
            </w:r>
          </w:p>
        </w:tc>
        <w:tc>
          <w:tcPr>
            <w:tcW w:w="2992" w:type="dxa"/>
            <w:vAlign w:val="center"/>
          </w:tcPr>
          <w:p w14:paraId="29D03C9D" w14:textId="4CFB4415"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2992" w:type="dxa"/>
            <w:vAlign w:val="center"/>
          </w:tcPr>
          <w:p w14:paraId="34B22396" w14:textId="29CBFEED"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EE68E3" w:rsidRPr="006F04EE" w14:paraId="4DFB980E" w14:textId="77777777" w:rsidTr="00736A0A">
        <w:tc>
          <w:tcPr>
            <w:tcW w:w="3038" w:type="dxa"/>
          </w:tcPr>
          <w:p w14:paraId="31DFDE4F"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Cartridges/cassettes per pack</w:t>
            </w:r>
          </w:p>
        </w:tc>
        <w:tc>
          <w:tcPr>
            <w:tcW w:w="2992" w:type="dxa"/>
            <w:vAlign w:val="center"/>
          </w:tcPr>
          <w:p w14:paraId="746042D4"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7</w:t>
            </w:r>
          </w:p>
        </w:tc>
        <w:tc>
          <w:tcPr>
            <w:tcW w:w="2992" w:type="dxa"/>
            <w:vAlign w:val="center"/>
          </w:tcPr>
          <w:p w14:paraId="2BF0BFD2"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7</w:t>
            </w:r>
          </w:p>
        </w:tc>
      </w:tr>
      <w:tr w:rsidR="00EE68E3" w:rsidRPr="006F04EE" w14:paraId="518D0A78" w14:textId="77777777" w:rsidTr="00736A0A">
        <w:tc>
          <w:tcPr>
            <w:tcW w:w="3038" w:type="dxa"/>
          </w:tcPr>
          <w:p w14:paraId="480536D7"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Cost per cartridge/cassette</w:t>
            </w:r>
          </w:p>
        </w:tc>
        <w:tc>
          <w:tcPr>
            <w:tcW w:w="2992" w:type="dxa"/>
            <w:vAlign w:val="center"/>
          </w:tcPr>
          <w:p w14:paraId="0B15A336" w14:textId="57DCF509"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2992" w:type="dxa"/>
            <w:vAlign w:val="center"/>
          </w:tcPr>
          <w:p w14:paraId="5822FE92" w14:textId="04B6E48B"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EE68E3" w:rsidRPr="006F04EE" w14:paraId="64D83C9E" w14:textId="77777777" w:rsidTr="00736A0A">
        <w:tc>
          <w:tcPr>
            <w:tcW w:w="3038" w:type="dxa"/>
          </w:tcPr>
          <w:p w14:paraId="2AD778DC"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Cartridge/cassette used per day</w:t>
            </w:r>
          </w:p>
        </w:tc>
        <w:tc>
          <w:tcPr>
            <w:tcW w:w="2992" w:type="dxa"/>
            <w:vAlign w:val="center"/>
          </w:tcPr>
          <w:p w14:paraId="27444C8A"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2</w:t>
            </w:r>
            <w:r>
              <w:rPr>
                <w:rFonts w:ascii="Arial Narrow" w:eastAsiaTheme="majorEastAsia" w:hAnsi="Arial Narrow" w:cstheme="majorBidi"/>
                <w:bCs/>
                <w:sz w:val="20"/>
              </w:rPr>
              <w:t>.45</w:t>
            </w:r>
          </w:p>
        </w:tc>
        <w:tc>
          <w:tcPr>
            <w:tcW w:w="2992" w:type="dxa"/>
            <w:vAlign w:val="center"/>
          </w:tcPr>
          <w:p w14:paraId="023921F4"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1.6</w:t>
            </w:r>
          </w:p>
        </w:tc>
      </w:tr>
      <w:tr w:rsidR="00EE68E3" w:rsidRPr="006F04EE" w14:paraId="2A930C8F" w14:textId="77777777" w:rsidTr="00736A0A">
        <w:tc>
          <w:tcPr>
            <w:tcW w:w="3038" w:type="dxa"/>
          </w:tcPr>
          <w:p w14:paraId="569A7555"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Cost per day</w:t>
            </w:r>
          </w:p>
        </w:tc>
        <w:tc>
          <w:tcPr>
            <w:tcW w:w="2992" w:type="dxa"/>
            <w:vAlign w:val="center"/>
          </w:tcPr>
          <w:p w14:paraId="7E9418FD" w14:textId="33037D9E"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2992" w:type="dxa"/>
            <w:vAlign w:val="center"/>
          </w:tcPr>
          <w:p w14:paraId="128F9D52" w14:textId="0ABBC9DC"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w:t>
            </w:r>
            <w:r w:rsidR="006C73F3" w:rsidRPr="006C73F3">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EE68E3" w:rsidRPr="006F04EE" w14:paraId="7707CBF5" w14:textId="77777777" w:rsidTr="00736A0A">
        <w:tc>
          <w:tcPr>
            <w:tcW w:w="3038" w:type="dxa"/>
          </w:tcPr>
          <w:p w14:paraId="6655A582" w14:textId="77777777" w:rsidR="00EE68E3" w:rsidRPr="006F04EE" w:rsidRDefault="00EE68E3" w:rsidP="00736A0A">
            <w:pPr>
              <w:keepNext/>
              <w:jc w:val="left"/>
              <w:rPr>
                <w:rFonts w:ascii="Arial Narrow" w:eastAsiaTheme="majorEastAsia" w:hAnsi="Arial Narrow" w:cstheme="majorBidi"/>
                <w:bCs/>
                <w:sz w:val="20"/>
              </w:rPr>
            </w:pPr>
            <w:r w:rsidRPr="006F04EE">
              <w:rPr>
                <w:rFonts w:ascii="Arial Narrow" w:eastAsiaTheme="majorEastAsia" w:hAnsi="Arial Narrow" w:cstheme="majorBidi"/>
                <w:bCs/>
                <w:sz w:val="20"/>
              </w:rPr>
              <w:t>Difference in cost per day</w:t>
            </w:r>
          </w:p>
        </w:tc>
        <w:tc>
          <w:tcPr>
            <w:tcW w:w="5984" w:type="dxa"/>
            <w:gridSpan w:val="2"/>
            <w:vAlign w:val="center"/>
          </w:tcPr>
          <w:p w14:paraId="7EBB6B14" w14:textId="77777777" w:rsidR="00EE68E3" w:rsidRPr="006F04EE" w:rsidRDefault="00EE68E3" w:rsidP="00736A0A">
            <w:pPr>
              <w:keepNext/>
              <w:jc w:val="center"/>
              <w:rPr>
                <w:rFonts w:ascii="Arial Narrow" w:eastAsiaTheme="majorEastAsia" w:hAnsi="Arial Narrow" w:cstheme="majorBidi"/>
                <w:bCs/>
                <w:sz w:val="20"/>
              </w:rPr>
            </w:pPr>
            <w:r w:rsidRPr="006F04EE">
              <w:rPr>
                <w:rFonts w:ascii="Arial Narrow" w:eastAsiaTheme="majorEastAsia" w:hAnsi="Arial Narrow" w:cstheme="majorBidi"/>
                <w:bCs/>
                <w:sz w:val="20"/>
              </w:rPr>
              <w:t>$0</w:t>
            </w:r>
          </w:p>
        </w:tc>
      </w:tr>
    </w:tbl>
    <w:p w14:paraId="01287337" w14:textId="77777777" w:rsidR="00EE68E3" w:rsidRPr="001D2C00" w:rsidRDefault="00EE68E3" w:rsidP="00EE68E3">
      <w:pPr>
        <w:keepNext/>
        <w:spacing w:after="120"/>
        <w:contextualSpacing/>
        <w:rPr>
          <w:rFonts w:ascii="Arial Narrow" w:hAnsi="Arial Narrow" w:cs="Arial"/>
          <w:snapToGrid w:val="0"/>
          <w:sz w:val="18"/>
          <w:szCs w:val="22"/>
        </w:rPr>
      </w:pPr>
      <w:r w:rsidRPr="001D2C00">
        <w:rPr>
          <w:rFonts w:ascii="Arial Narrow" w:hAnsi="Arial Narrow" w:cs="Arial"/>
          <w:snapToGrid w:val="0"/>
          <w:sz w:val="18"/>
          <w:szCs w:val="22"/>
        </w:rPr>
        <w:t>Source: Constructed during the preparation of the</w:t>
      </w:r>
      <w:r>
        <w:rPr>
          <w:rFonts w:ascii="Arial Narrow" w:hAnsi="Arial Narrow" w:cs="Arial"/>
          <w:snapToGrid w:val="0"/>
          <w:sz w:val="18"/>
          <w:szCs w:val="22"/>
        </w:rPr>
        <w:t xml:space="preserve"> PBAC minutes</w:t>
      </w:r>
    </w:p>
    <w:p w14:paraId="07D8A62D" w14:textId="77777777" w:rsidR="00EE68E3" w:rsidRPr="001D2C00" w:rsidRDefault="00EE68E3" w:rsidP="00301DFC">
      <w:pPr>
        <w:keepLines/>
        <w:spacing w:after="120"/>
        <w:contextualSpacing/>
        <w:rPr>
          <w:rFonts w:ascii="Arial Narrow" w:hAnsi="Arial Narrow" w:cs="Arial"/>
          <w:snapToGrid w:val="0"/>
          <w:sz w:val="18"/>
          <w:szCs w:val="22"/>
        </w:rPr>
      </w:pPr>
      <w:r w:rsidRPr="001D2C00">
        <w:rPr>
          <w:rFonts w:ascii="Arial Narrow" w:hAnsi="Arial Narrow" w:cs="Arial"/>
          <w:snapToGrid w:val="0"/>
          <w:sz w:val="18"/>
          <w:szCs w:val="22"/>
        </w:rPr>
        <w:t xml:space="preserve">AEMP = approved ex-manufacturer price; LCIG = levodopa, carbidopa monohydrate intestinal gel; LECIG = levodopa, carbidopa monohydrate and entacapone intestinal gel. </w:t>
      </w:r>
    </w:p>
    <w:p w14:paraId="1D6BD1BC" w14:textId="298B4F3A" w:rsidR="00EE68E3" w:rsidRDefault="00EE68E3" w:rsidP="00EE68E3">
      <w:pPr>
        <w:pStyle w:val="3-BodyText"/>
        <w:numPr>
          <w:ilvl w:val="0"/>
          <w:numId w:val="0"/>
        </w:numPr>
        <w:ind w:firstLine="720"/>
      </w:pPr>
      <w:r w:rsidRPr="005654F7">
        <w:rPr>
          <w:rFonts w:cstheme="minorHAnsi"/>
          <w:i/>
          <w:iCs/>
        </w:rPr>
        <w:t xml:space="preserve">For more detail on PBAC’s view, see section </w:t>
      </w:r>
      <w:r w:rsidR="00E97F14">
        <w:rPr>
          <w:rFonts w:cstheme="minorHAnsi"/>
          <w:i/>
          <w:iCs/>
        </w:rPr>
        <w:t>12</w:t>
      </w:r>
      <w:r w:rsidRPr="005654F7">
        <w:rPr>
          <w:rFonts w:cstheme="minorHAnsi"/>
          <w:i/>
          <w:iCs/>
        </w:rPr>
        <w:t xml:space="preserve"> PBAC outcome</w:t>
      </w:r>
    </w:p>
    <w:p w14:paraId="4C59DFEB" w14:textId="77777777" w:rsidR="00EE68E3" w:rsidRDefault="00EE68E3" w:rsidP="00EE68E3">
      <w:pPr>
        <w:pStyle w:val="2-SectionHeading"/>
      </w:pPr>
      <w:r w:rsidRPr="00D04DB4">
        <w:t>PBAC Outcome</w:t>
      </w:r>
    </w:p>
    <w:p w14:paraId="2EF0088F" w14:textId="3A21DB2A" w:rsidR="00EE68E3" w:rsidRPr="00187BAC" w:rsidRDefault="00EE68E3" w:rsidP="00EE68E3">
      <w:pPr>
        <w:pStyle w:val="3-BodyText"/>
        <w:rPr>
          <w:snapToGrid w:val="0"/>
        </w:rPr>
      </w:pPr>
      <w:r>
        <w:rPr>
          <w:snapToGrid w:val="0"/>
        </w:rPr>
        <w:t xml:space="preserve">The PBAC provided further advice </w:t>
      </w:r>
      <w:proofErr w:type="gramStart"/>
      <w:r>
        <w:rPr>
          <w:snapToGrid w:val="0"/>
        </w:rPr>
        <w:t>in regard to</w:t>
      </w:r>
      <w:proofErr w:type="gramEnd"/>
      <w:r>
        <w:rPr>
          <w:snapToGrid w:val="0"/>
        </w:rPr>
        <w:t xml:space="preserve"> its July 2024 recommendation for the listing of l</w:t>
      </w:r>
      <w:r w:rsidRPr="006F04EE">
        <w:rPr>
          <w:snapToGrid w:val="0"/>
        </w:rPr>
        <w:t>evodopa with carbidopa and entacapone intestinal gel (LECIG cartridges)</w:t>
      </w:r>
      <w:r>
        <w:rPr>
          <w:snapToGrid w:val="0"/>
        </w:rPr>
        <w:t xml:space="preserve"> </w:t>
      </w:r>
      <w:r w:rsidRPr="006F04EE">
        <w:rPr>
          <w:snapToGrid w:val="0"/>
        </w:rPr>
        <w:t>for the treatment of advanced idiopathic Parkinson disease with severe motor fluctuations despite optimised alternative pharmacological treatment</w:t>
      </w:r>
      <w:r>
        <w:rPr>
          <w:snapToGrid w:val="0"/>
        </w:rPr>
        <w:t xml:space="preserve">. </w:t>
      </w:r>
      <w:r w:rsidRPr="00187BAC">
        <w:rPr>
          <w:snapToGrid w:val="0"/>
        </w:rPr>
        <w:t>While the PBAC did not accept the alternative equi-effective dosing outlined in the sponsor proposal, it did accept revisions to the equi-effective dosing recommended by the Committee in July 2024. As such, the PBAC</w:t>
      </w:r>
      <w:r>
        <w:rPr>
          <w:snapToGrid w:val="0"/>
        </w:rPr>
        <w:t xml:space="preserve"> advised </w:t>
      </w:r>
      <w:r w:rsidRPr="00187BAC">
        <w:rPr>
          <w:snapToGrid w:val="0"/>
        </w:rPr>
        <w:t xml:space="preserve">that the cost-effectiveness of LECIG would be acceptable if it were cost-minimised against levodopa, carbidopa monohydrate intestinal gel (LCIG) using the revised equi-effective doses recommended by the Committee (see paragraph </w:t>
      </w:r>
      <w:r w:rsidRPr="00187BAC">
        <w:rPr>
          <w:snapToGrid w:val="0"/>
        </w:rPr>
        <w:fldChar w:fldCharType="begin" w:fldLock="1"/>
      </w:r>
      <w:r w:rsidRPr="00187BAC">
        <w:rPr>
          <w:snapToGrid w:val="0"/>
        </w:rPr>
        <w:instrText xml:space="preserve"> REF _Ref184370946 \r \h </w:instrText>
      </w:r>
      <w:r w:rsidRPr="00187BAC">
        <w:rPr>
          <w:snapToGrid w:val="0"/>
        </w:rPr>
      </w:r>
      <w:r w:rsidRPr="00187BAC">
        <w:rPr>
          <w:snapToGrid w:val="0"/>
        </w:rPr>
        <w:fldChar w:fldCharType="separate"/>
      </w:r>
      <w:r w:rsidR="007B67C9">
        <w:rPr>
          <w:snapToGrid w:val="0"/>
        </w:rPr>
        <w:t>12.3</w:t>
      </w:r>
      <w:r w:rsidRPr="00187BAC">
        <w:rPr>
          <w:snapToGrid w:val="0"/>
        </w:rPr>
        <w:fldChar w:fldCharType="end"/>
      </w:r>
      <w:r w:rsidRPr="00187BAC">
        <w:rPr>
          <w:snapToGrid w:val="0"/>
        </w:rPr>
        <w:t>). The PBAC reaffirmed its July</w:t>
      </w:r>
      <w:r w:rsidR="007B67C9">
        <w:rPr>
          <w:snapToGrid w:val="0"/>
        </w:rPr>
        <w:t> </w:t>
      </w:r>
      <w:r w:rsidRPr="00187BAC">
        <w:rPr>
          <w:snapToGrid w:val="0"/>
        </w:rPr>
        <w:t xml:space="preserve">2024 advice that LECIG be included in the same risk sharing arrangements as LCIG to contain risks associated with the potential use of higher doses of LECIG through the PBS versus trial data or in a broader population given the different device. </w:t>
      </w:r>
    </w:p>
    <w:p w14:paraId="4985315D" w14:textId="72F59678" w:rsidR="00EE68E3" w:rsidRPr="00126C3B" w:rsidRDefault="00EE68E3" w:rsidP="00EE68E3">
      <w:pPr>
        <w:pStyle w:val="3-BodyText"/>
        <w:rPr>
          <w:snapToGrid w:val="0"/>
        </w:rPr>
      </w:pPr>
      <w:r w:rsidRPr="00687BFF">
        <w:rPr>
          <w:iCs/>
          <w:snapToGrid w:val="0"/>
        </w:rPr>
        <w:t>The</w:t>
      </w:r>
      <w:r w:rsidRPr="00687BFF">
        <w:rPr>
          <w:snapToGrid w:val="0"/>
        </w:rPr>
        <w:t xml:space="preserve"> PBAC </w:t>
      </w:r>
      <w:r>
        <w:rPr>
          <w:snapToGrid w:val="0"/>
        </w:rPr>
        <w:t xml:space="preserve">again </w:t>
      </w:r>
      <w:r w:rsidRPr="00687BFF">
        <w:rPr>
          <w:snapToGrid w:val="0"/>
        </w:rPr>
        <w:t xml:space="preserve">reaffirmed its </w:t>
      </w:r>
      <w:r>
        <w:rPr>
          <w:snapToGrid w:val="0"/>
        </w:rPr>
        <w:t>March</w:t>
      </w:r>
      <w:r w:rsidRPr="00687BFF">
        <w:rPr>
          <w:snapToGrid w:val="0"/>
        </w:rPr>
        <w:t xml:space="preserve"> 2024 advice that the claim of non-inferior comparative effectiveness was subject to considerable uncertainty, given the nature of the clinical evidence presented in the submission but on balance was prepared to accept the clinical claim (paragraph 6.2, </w:t>
      </w:r>
      <w:r w:rsidRPr="00687BFF">
        <w:t xml:space="preserve">levodopa with carbidopa and entacapone PBAC </w:t>
      </w:r>
      <w:r w:rsidR="00CB476C">
        <w:t>PSD</w:t>
      </w:r>
      <w:r w:rsidRPr="00687BFF">
        <w:t>, March 2024 PBAC Meeting)</w:t>
      </w:r>
      <w:r w:rsidRPr="00687BFF">
        <w:rPr>
          <w:snapToGrid w:val="0"/>
        </w:rPr>
        <w:t>.</w:t>
      </w:r>
      <w:r>
        <w:rPr>
          <w:snapToGrid w:val="0"/>
        </w:rPr>
        <w:t xml:space="preserve"> In addition, the PBAC again </w:t>
      </w:r>
      <w:r w:rsidRPr="00126C3B">
        <w:rPr>
          <w:snapToGrid w:val="0"/>
        </w:rPr>
        <w:t>reaffirmed its March 2024 advice that the claim of non-inferior comparative safety was likely reasonable (paragraph 6.30,</w:t>
      </w:r>
      <w:r w:rsidRPr="00687BFF">
        <w:t xml:space="preserve"> levodopa with carbidopa and entacapone PBAC </w:t>
      </w:r>
      <w:r w:rsidR="00CB476C">
        <w:t>PSD</w:t>
      </w:r>
      <w:r w:rsidRPr="00687BFF">
        <w:t>, March 2024 PBAC Meeting)</w:t>
      </w:r>
      <w:r w:rsidRPr="00126C3B">
        <w:rPr>
          <w:snapToGrid w:val="0"/>
        </w:rPr>
        <w:t>.</w:t>
      </w:r>
    </w:p>
    <w:p w14:paraId="15C38757" w14:textId="50A5B760" w:rsidR="00EE68E3" w:rsidRPr="00626CD7" w:rsidRDefault="00EE68E3" w:rsidP="00EE68E3">
      <w:pPr>
        <w:pStyle w:val="3-BodyText"/>
      </w:pPr>
      <w:bookmarkStart w:id="30" w:name="_Ref184370946"/>
      <w:r>
        <w:rPr>
          <w:snapToGrid w:val="0"/>
        </w:rPr>
        <w:t xml:space="preserve">The PBAC noted the sponsor proposal outlining an </w:t>
      </w:r>
      <w:r w:rsidRPr="006F04EE">
        <w:rPr>
          <w:snapToGrid w:val="0"/>
        </w:rPr>
        <w:t>alternative to the equi-effective dosing recommended by the PBAC in July 2024 for LECIG cartridges and LCIG cassettes</w:t>
      </w:r>
      <w:r>
        <w:rPr>
          <w:snapToGrid w:val="0"/>
        </w:rPr>
        <w:t xml:space="preserve">. The PBAC noted the approach used to determine the alternative equi-effective doses proposed by the sponsor assumed a </w:t>
      </w:r>
      <w:r w:rsidRPr="006F04EE">
        <w:rPr>
          <w:snapToGrid w:val="0"/>
        </w:rPr>
        <w:t>35% reduction in levodopa required for LECIG administration</w:t>
      </w:r>
      <w:r>
        <w:rPr>
          <w:snapToGrid w:val="0"/>
        </w:rPr>
        <w:t xml:space="preserve"> and accounted for wastage of both LECIG and LCIG. The PBAC recalled its March 2024 advice that, in the context of a claim of non-inferiority supported by clinical evidence with significant limitations, a conservative approach to the calculation of equi-effective dose was required (see paragraph </w:t>
      </w:r>
      <w:r w:rsidR="004D2863">
        <w:rPr>
          <w:snapToGrid w:val="0"/>
        </w:rPr>
        <w:fldChar w:fldCharType="begin" w:fldLock="1"/>
      </w:r>
      <w:r w:rsidR="004D2863">
        <w:rPr>
          <w:snapToGrid w:val="0"/>
        </w:rPr>
        <w:instrText xml:space="preserve"> REF _Ref172620225 \r \h </w:instrText>
      </w:r>
      <w:r w:rsidR="004D2863">
        <w:rPr>
          <w:snapToGrid w:val="0"/>
        </w:rPr>
      </w:r>
      <w:r w:rsidR="004D2863">
        <w:rPr>
          <w:snapToGrid w:val="0"/>
        </w:rPr>
        <w:fldChar w:fldCharType="separate"/>
      </w:r>
      <w:r w:rsidR="004D2863">
        <w:rPr>
          <w:snapToGrid w:val="0"/>
        </w:rPr>
        <w:t>4.9</w:t>
      </w:r>
      <w:r w:rsidR="004D2863">
        <w:rPr>
          <w:snapToGrid w:val="0"/>
        </w:rPr>
        <w:fldChar w:fldCharType="end"/>
      </w:r>
      <w:r>
        <w:rPr>
          <w:snapToGrid w:val="0"/>
        </w:rPr>
        <w:t xml:space="preserve">). </w:t>
      </w:r>
      <w:r>
        <w:t xml:space="preserve">The PBAC recalled </w:t>
      </w:r>
      <w:r>
        <w:lastRenderedPageBreak/>
        <w:t xml:space="preserve">that in July 2024 it had noted that in Study LSM-003 the LECIG dosing was administered at approximately 80% of the optimised LCIG dose and had advised that it was sufficiently conservative to assume the levodopa dose as part of LECIG would be 80% of that as part of LCIG (see paragraph </w:t>
      </w:r>
      <w:r w:rsidR="00E97F14">
        <w:fldChar w:fldCharType="begin" w:fldLock="1"/>
      </w:r>
      <w:r w:rsidR="00E97F14">
        <w:instrText xml:space="preserve"> REF _Ref172707707 \r \h </w:instrText>
      </w:r>
      <w:r w:rsidR="00E97F14">
        <w:fldChar w:fldCharType="separate"/>
      </w:r>
      <w:r w:rsidR="00E97F14">
        <w:t>5.8</w:t>
      </w:r>
      <w:r w:rsidR="00E97F14">
        <w:fldChar w:fldCharType="end"/>
      </w:r>
      <w:r>
        <w:t xml:space="preserve">). This equates to a 20% reduction in levodopa required for LECIG administration. The PBAC noted the arguments proposed by the sponsor in support of the assumption of a 35% reduction in levodopa required for LECIG administration. However, the PBAC considered a 20% reduction remained appropriate as it addressed the Committees previous concerns regarding the need for a conservative approach to the calculation of equi-effective doses. The PBAC accepted the sponsors </w:t>
      </w:r>
      <w:r>
        <w:rPr>
          <w:snapToGrid w:val="0"/>
        </w:rPr>
        <w:t xml:space="preserve">proposal to assume 10% wastage for LCIG and, noting the extended cartridge life for LECIG (see paragraph </w:t>
      </w:r>
      <w:r>
        <w:rPr>
          <w:snapToGrid w:val="0"/>
        </w:rPr>
        <w:fldChar w:fldCharType="begin" w:fldLock="1"/>
      </w:r>
      <w:r>
        <w:rPr>
          <w:snapToGrid w:val="0"/>
        </w:rPr>
        <w:instrText xml:space="preserve"> REF _Ref184370582 \r \h </w:instrText>
      </w:r>
      <w:r>
        <w:rPr>
          <w:snapToGrid w:val="0"/>
        </w:rPr>
      </w:r>
      <w:r>
        <w:rPr>
          <w:snapToGrid w:val="0"/>
        </w:rPr>
        <w:fldChar w:fldCharType="separate"/>
      </w:r>
      <w:r w:rsidR="007B67C9">
        <w:rPr>
          <w:snapToGrid w:val="0"/>
        </w:rPr>
        <w:t>11.2</w:t>
      </w:r>
      <w:r>
        <w:rPr>
          <w:snapToGrid w:val="0"/>
        </w:rPr>
        <w:fldChar w:fldCharType="end"/>
      </w:r>
      <w:r>
        <w:rPr>
          <w:snapToGrid w:val="0"/>
        </w:rPr>
        <w:t xml:space="preserve">), considered that wastage considerations were not required for LECIG. As such, the PBAC considered the approach outlined in paragraph </w:t>
      </w:r>
      <w:r>
        <w:rPr>
          <w:snapToGrid w:val="0"/>
        </w:rPr>
        <w:fldChar w:fldCharType="begin" w:fldLock="1"/>
      </w:r>
      <w:r>
        <w:rPr>
          <w:snapToGrid w:val="0"/>
        </w:rPr>
        <w:instrText xml:space="preserve"> REF _Ref184364970 \r \h </w:instrText>
      </w:r>
      <w:r>
        <w:rPr>
          <w:snapToGrid w:val="0"/>
        </w:rPr>
      </w:r>
      <w:r>
        <w:rPr>
          <w:snapToGrid w:val="0"/>
        </w:rPr>
        <w:fldChar w:fldCharType="separate"/>
      </w:r>
      <w:r w:rsidR="007B67C9">
        <w:rPr>
          <w:snapToGrid w:val="0"/>
        </w:rPr>
        <w:t>11.5</w:t>
      </w:r>
      <w:r>
        <w:rPr>
          <w:snapToGrid w:val="0"/>
        </w:rPr>
        <w:fldChar w:fldCharType="end"/>
      </w:r>
      <w:r>
        <w:rPr>
          <w:snapToGrid w:val="0"/>
        </w:rPr>
        <w:t xml:space="preserve"> was appropriate for determining equi-effective doses for </w:t>
      </w:r>
      <w:r w:rsidRPr="006F04EE">
        <w:rPr>
          <w:snapToGrid w:val="0"/>
        </w:rPr>
        <w:t>LECIG cartridges and LCIG cassettes</w:t>
      </w:r>
      <w:r>
        <w:rPr>
          <w:snapToGrid w:val="0"/>
        </w:rPr>
        <w:t xml:space="preserve">. </w:t>
      </w:r>
      <w:r>
        <w:t>T</w:t>
      </w:r>
      <w:r w:rsidRPr="00626CD7">
        <w:rPr>
          <w:snapToGrid w:val="0"/>
        </w:rPr>
        <w:t xml:space="preserve">he PBAC </w:t>
      </w:r>
      <w:r>
        <w:rPr>
          <w:snapToGrid w:val="0"/>
        </w:rPr>
        <w:t xml:space="preserve">therefore </w:t>
      </w:r>
      <w:r w:rsidRPr="00626CD7">
        <w:rPr>
          <w:snapToGrid w:val="0"/>
        </w:rPr>
        <w:t xml:space="preserve">considered the following </w:t>
      </w:r>
      <w:r>
        <w:rPr>
          <w:snapToGrid w:val="0"/>
        </w:rPr>
        <w:t xml:space="preserve">revised </w:t>
      </w:r>
      <w:r w:rsidRPr="00626CD7">
        <w:rPr>
          <w:snapToGrid w:val="0"/>
        </w:rPr>
        <w:t>equi-effective dosing appropriate</w:t>
      </w:r>
      <w:r>
        <w:rPr>
          <w:snapToGrid w:val="0"/>
        </w:rPr>
        <w:t xml:space="preserve"> for the CMA</w:t>
      </w:r>
      <w:r w:rsidRPr="00626CD7">
        <w:rPr>
          <w:snapToGrid w:val="0"/>
        </w:rPr>
        <w:t>:</w:t>
      </w:r>
      <w:bookmarkEnd w:id="30"/>
    </w:p>
    <w:p w14:paraId="092BE42F" w14:textId="77777777" w:rsidR="00EE68E3" w:rsidRPr="006F04EE" w:rsidRDefault="00EE68E3" w:rsidP="00EE68E3">
      <w:pPr>
        <w:numPr>
          <w:ilvl w:val="0"/>
          <w:numId w:val="2"/>
        </w:numPr>
        <w:spacing w:after="120"/>
        <w:rPr>
          <w:rFonts w:eastAsiaTheme="majorEastAsia"/>
          <w:snapToGrid w:val="0"/>
        </w:rPr>
      </w:pPr>
      <w:r w:rsidRPr="006F04EE">
        <w:rPr>
          <w:rFonts w:eastAsiaTheme="majorEastAsia"/>
          <w:snapToGrid w:val="0"/>
        </w:rPr>
        <w:t>1.0 cartridge of LECIG (each cartridge contains 47 mL with a total of 940 mg of levodopa)</w:t>
      </w:r>
    </w:p>
    <w:p w14:paraId="73DD8ECD" w14:textId="3C6CE826" w:rsidR="00EE68E3" w:rsidRPr="007E0A9B" w:rsidRDefault="00EE68E3" w:rsidP="00EE68E3">
      <w:pPr>
        <w:numPr>
          <w:ilvl w:val="0"/>
          <w:numId w:val="2"/>
        </w:numPr>
        <w:spacing w:after="120"/>
        <w:rPr>
          <w:rFonts w:eastAsiaTheme="majorEastAsia"/>
          <w:snapToGrid w:val="0"/>
        </w:rPr>
      </w:pPr>
      <w:r w:rsidRPr="006F04EE">
        <w:rPr>
          <w:rFonts w:eastAsiaTheme="majorEastAsia"/>
          <w:snapToGrid w:val="0"/>
        </w:rPr>
        <w:t>0.</w:t>
      </w:r>
      <w:r>
        <w:rPr>
          <w:rFonts w:eastAsiaTheme="majorEastAsia"/>
          <w:snapToGrid w:val="0"/>
        </w:rPr>
        <w:t>65</w:t>
      </w:r>
      <w:r w:rsidRPr="006F04EE">
        <w:rPr>
          <w:rFonts w:eastAsiaTheme="majorEastAsia"/>
          <w:snapToGrid w:val="0"/>
        </w:rPr>
        <w:t xml:space="preserve"> cassette of LCIG (each cassette contains 100 mL with a total of 2,000</w:t>
      </w:r>
      <w:r w:rsidR="009844C3">
        <w:rPr>
          <w:rFonts w:eastAsiaTheme="majorEastAsia"/>
          <w:snapToGrid w:val="0"/>
        </w:rPr>
        <w:t> </w:t>
      </w:r>
      <w:r w:rsidRPr="006F04EE">
        <w:rPr>
          <w:rFonts w:eastAsiaTheme="majorEastAsia"/>
          <w:snapToGrid w:val="0"/>
        </w:rPr>
        <w:t xml:space="preserve">mg of levodopa). </w:t>
      </w:r>
    </w:p>
    <w:p w14:paraId="15BC435D" w14:textId="6468BDDD" w:rsidR="00EE68E3" w:rsidRPr="00626CD7" w:rsidRDefault="00EE68E3" w:rsidP="00EE68E3">
      <w:pPr>
        <w:pStyle w:val="3-BodyText"/>
        <w:rPr>
          <w:snapToGrid w:val="0"/>
        </w:rPr>
      </w:pPr>
      <w:r w:rsidRPr="00CE472E">
        <w:rPr>
          <w:snapToGrid w:val="0"/>
        </w:rPr>
        <w:t>The PBAC re-iterated its previous consideration</w:t>
      </w:r>
      <w:r>
        <w:rPr>
          <w:snapToGrid w:val="0"/>
        </w:rPr>
        <w:t xml:space="preserve"> that the market share approached used to estimate the financial implications of listing LECIG was appropriate </w:t>
      </w:r>
      <w:proofErr w:type="gramStart"/>
      <w:r>
        <w:rPr>
          <w:snapToGrid w:val="0"/>
        </w:rPr>
        <w:t>with the exception of</w:t>
      </w:r>
      <w:proofErr w:type="gramEnd"/>
      <w:r>
        <w:rPr>
          <w:snapToGrid w:val="0"/>
        </w:rPr>
        <w:t xml:space="preserve"> the substitution rate. The PBAC considered the substitution rate should be updated to reflect the revised equi-effective dosing it deemed appropriate (paragraph </w:t>
      </w:r>
      <w:r>
        <w:rPr>
          <w:snapToGrid w:val="0"/>
        </w:rPr>
        <w:fldChar w:fldCharType="begin" w:fldLock="1"/>
      </w:r>
      <w:r>
        <w:rPr>
          <w:snapToGrid w:val="0"/>
        </w:rPr>
        <w:instrText xml:space="preserve"> REF _Ref184370946 \r \h </w:instrText>
      </w:r>
      <w:r>
        <w:rPr>
          <w:snapToGrid w:val="0"/>
        </w:rPr>
      </w:r>
      <w:r>
        <w:rPr>
          <w:snapToGrid w:val="0"/>
        </w:rPr>
        <w:fldChar w:fldCharType="separate"/>
      </w:r>
      <w:r w:rsidR="007B67C9">
        <w:rPr>
          <w:snapToGrid w:val="0"/>
        </w:rPr>
        <w:t>12.3</w:t>
      </w:r>
      <w:r>
        <w:rPr>
          <w:snapToGrid w:val="0"/>
        </w:rPr>
        <w:fldChar w:fldCharType="end"/>
      </w:r>
      <w:r>
        <w:rPr>
          <w:snapToGrid w:val="0"/>
        </w:rPr>
        <w:t xml:space="preserve">). In addition, the PBAC advised that the financial estimates should be amended to account for the outcomes of the CMA outlined in paragraph </w:t>
      </w:r>
      <w:r>
        <w:rPr>
          <w:snapToGrid w:val="0"/>
        </w:rPr>
        <w:fldChar w:fldCharType="begin" w:fldLock="1"/>
      </w:r>
      <w:r>
        <w:rPr>
          <w:snapToGrid w:val="0"/>
        </w:rPr>
        <w:instrText xml:space="preserve"> REF _Ref184370946 \r \h </w:instrText>
      </w:r>
      <w:r>
        <w:rPr>
          <w:snapToGrid w:val="0"/>
        </w:rPr>
      </w:r>
      <w:r>
        <w:rPr>
          <w:snapToGrid w:val="0"/>
        </w:rPr>
        <w:fldChar w:fldCharType="separate"/>
      </w:r>
      <w:r w:rsidR="007B67C9">
        <w:rPr>
          <w:snapToGrid w:val="0"/>
        </w:rPr>
        <w:t>12.3</w:t>
      </w:r>
      <w:r>
        <w:rPr>
          <w:snapToGrid w:val="0"/>
        </w:rPr>
        <w:fldChar w:fldCharType="end"/>
      </w:r>
      <w:r>
        <w:rPr>
          <w:snapToGrid w:val="0"/>
        </w:rPr>
        <w:t xml:space="preserve">. </w:t>
      </w:r>
      <w:r w:rsidRPr="00CE472E">
        <w:rPr>
          <w:snapToGrid w:val="0"/>
        </w:rPr>
        <w:t>The PBAC re-iterated its previous consideration</w:t>
      </w:r>
      <w:r>
        <w:rPr>
          <w:snapToGrid w:val="0"/>
        </w:rPr>
        <w:t xml:space="preserve"> that the Drug Utilisation Sub Committee undertake a utilisation analysis at an appropriate </w:t>
      </w:r>
      <w:proofErr w:type="gramStart"/>
      <w:r>
        <w:rPr>
          <w:snapToGrid w:val="0"/>
        </w:rPr>
        <w:t>time period</w:t>
      </w:r>
      <w:proofErr w:type="gramEnd"/>
      <w:r>
        <w:rPr>
          <w:snapToGrid w:val="0"/>
        </w:rPr>
        <w:t xml:space="preserve"> to review use of LECIG and LCIG (see paragraph </w:t>
      </w:r>
      <w:r w:rsidR="00E97F14">
        <w:rPr>
          <w:snapToGrid w:val="0"/>
        </w:rPr>
        <w:fldChar w:fldCharType="begin" w:fldLock="1"/>
      </w:r>
      <w:r w:rsidR="00E97F14">
        <w:rPr>
          <w:snapToGrid w:val="0"/>
        </w:rPr>
        <w:instrText xml:space="preserve"> REF _Ref190933151 \r \h </w:instrText>
      </w:r>
      <w:r w:rsidR="00E97F14">
        <w:rPr>
          <w:snapToGrid w:val="0"/>
        </w:rPr>
      </w:r>
      <w:r w:rsidR="00E97F14">
        <w:rPr>
          <w:snapToGrid w:val="0"/>
        </w:rPr>
        <w:fldChar w:fldCharType="separate"/>
      </w:r>
      <w:r w:rsidR="00E97F14">
        <w:rPr>
          <w:snapToGrid w:val="0"/>
        </w:rPr>
        <w:t>5.9</w:t>
      </w:r>
      <w:r w:rsidR="00E97F14">
        <w:rPr>
          <w:snapToGrid w:val="0"/>
        </w:rPr>
        <w:fldChar w:fldCharType="end"/>
      </w:r>
      <w:r>
        <w:rPr>
          <w:snapToGrid w:val="0"/>
        </w:rPr>
        <w:t>).</w:t>
      </w:r>
    </w:p>
    <w:p w14:paraId="7271080C" w14:textId="53225CD6" w:rsidR="00EE68E3" w:rsidRPr="00275478" w:rsidRDefault="00EE68E3" w:rsidP="00EE68E3">
      <w:pPr>
        <w:pStyle w:val="3-BodyText"/>
        <w:keepLines/>
      </w:pPr>
      <w:r w:rsidRPr="00CE472E">
        <w:rPr>
          <w:snapToGrid w:val="0"/>
        </w:rPr>
        <w:t>The PBAC re-iterated its previous consideration</w:t>
      </w:r>
      <w:r>
        <w:rPr>
          <w:snapToGrid w:val="0"/>
        </w:rPr>
        <w:t xml:space="preserve"> that </w:t>
      </w:r>
      <w:r>
        <w:t xml:space="preserve">LECIG be included in the same Risk Sharing Arrangement with LCIG with no increase in the financial caps (see paragraph </w:t>
      </w:r>
      <w:r w:rsidR="00E97F14">
        <w:fldChar w:fldCharType="begin" w:fldLock="1"/>
      </w:r>
      <w:r w:rsidR="00E97F14">
        <w:instrText xml:space="preserve"> REF _Ref190933164 \r \h </w:instrText>
      </w:r>
      <w:r w:rsidR="00E97F14">
        <w:fldChar w:fldCharType="separate"/>
      </w:r>
      <w:r w:rsidR="00E97F14">
        <w:t>5.10</w:t>
      </w:r>
      <w:r w:rsidR="00E97F14">
        <w:fldChar w:fldCharType="end"/>
      </w:r>
      <w:r>
        <w:t xml:space="preserve">). </w:t>
      </w:r>
    </w:p>
    <w:p w14:paraId="754E9636" w14:textId="77777777" w:rsidR="00EE68E3" w:rsidRPr="00E563C2" w:rsidRDefault="00EE68E3" w:rsidP="00EE68E3">
      <w:pPr>
        <w:pStyle w:val="3-BodyText"/>
        <w:rPr>
          <w:snapToGrid w:val="0"/>
        </w:rPr>
      </w:pPr>
      <w:r w:rsidRPr="00E563C2">
        <w:rPr>
          <w:snapToGrid w:val="0"/>
        </w:rPr>
        <w:t xml:space="preserve">The PBAC </w:t>
      </w:r>
      <w:r>
        <w:rPr>
          <w:snapToGrid w:val="0"/>
        </w:rPr>
        <w:t xml:space="preserve">recalled that its July 2024 </w:t>
      </w:r>
      <w:r w:rsidRPr="00E563C2">
        <w:rPr>
          <w:snapToGrid w:val="0"/>
        </w:rPr>
        <w:t xml:space="preserve">recommendation was on a cost-minimisation basis and </w:t>
      </w:r>
      <w:r>
        <w:rPr>
          <w:snapToGrid w:val="0"/>
        </w:rPr>
        <w:t>maintained its July 2024 advice</w:t>
      </w:r>
      <w:r w:rsidRPr="00E563C2">
        <w:rPr>
          <w:snapToGrid w:val="0"/>
        </w:rPr>
        <w:t xml:space="preserve"> that, because </w:t>
      </w:r>
      <w:r>
        <w:rPr>
          <w:snapToGrid w:val="0"/>
        </w:rPr>
        <w:t>LECIG</w:t>
      </w:r>
      <w:r w:rsidRPr="00E563C2">
        <w:rPr>
          <w:snapToGrid w:val="0"/>
        </w:rPr>
        <w:t xml:space="preserve"> is not expected to provide a substantial and clinically relevant improvement in efficacy, or reduction of toxicity, over </w:t>
      </w:r>
      <w:r>
        <w:rPr>
          <w:snapToGrid w:val="0"/>
        </w:rPr>
        <w:t>LCIG</w:t>
      </w:r>
      <w:r w:rsidRPr="00E563C2">
        <w:rPr>
          <w:snapToGrid w:val="0"/>
        </w:rPr>
        <w:t xml:space="preserve">, or not expected to address a high and urgent unmet clinical need given the presence of an alternative therapy, the criteria prescribed by the </w:t>
      </w:r>
      <w:r w:rsidRPr="00623172">
        <w:rPr>
          <w:i/>
          <w:iCs/>
          <w:snapToGrid w:val="0"/>
        </w:rPr>
        <w:t>National Health (Pharmaceuticals and Vaccines – Cost Recovery) Regulations 2022</w:t>
      </w:r>
      <w:r w:rsidRPr="00E563C2">
        <w:rPr>
          <w:snapToGrid w:val="0"/>
        </w:rPr>
        <w:t xml:space="preserve"> for Pricing Pathway A were not met.</w:t>
      </w:r>
    </w:p>
    <w:p w14:paraId="62E59E82" w14:textId="77777777" w:rsidR="00EE68E3" w:rsidRPr="00D04DB4" w:rsidRDefault="00EE68E3" w:rsidP="00EE68E3">
      <w:pPr>
        <w:spacing w:before="240"/>
        <w:rPr>
          <w:rFonts w:asciiTheme="minorHAnsi" w:hAnsiTheme="minorHAnsi" w:cs="Arial"/>
          <w:b/>
          <w:bCs/>
          <w:snapToGrid w:val="0"/>
          <w:lang w:val="en-GB" w:eastAsia="en-US"/>
        </w:rPr>
      </w:pPr>
      <w:r w:rsidRPr="00D04DB4">
        <w:rPr>
          <w:rFonts w:asciiTheme="minorHAnsi" w:hAnsiTheme="minorHAnsi" w:cs="Arial"/>
          <w:b/>
          <w:bCs/>
          <w:snapToGrid w:val="0"/>
          <w:lang w:val="en-GB" w:eastAsia="en-US"/>
        </w:rPr>
        <w:t>Outcome:</w:t>
      </w:r>
    </w:p>
    <w:p w14:paraId="1DFEDC09" w14:textId="42869278" w:rsidR="00EE68E3" w:rsidRDefault="00152DA6" w:rsidP="00EE68E3">
      <w:pPr>
        <w:spacing w:after="120"/>
        <w:rPr>
          <w:rFonts w:asciiTheme="minorHAnsi" w:hAnsiTheme="minorHAnsi" w:cs="Arial"/>
          <w:bCs/>
          <w:snapToGrid w:val="0"/>
          <w:lang w:val="en-GB" w:eastAsia="en-US"/>
        </w:rPr>
      </w:pPr>
      <w:r>
        <w:rPr>
          <w:rFonts w:asciiTheme="minorHAnsi" w:hAnsiTheme="minorHAnsi" w:cs="Arial"/>
          <w:bCs/>
          <w:snapToGrid w:val="0"/>
          <w:lang w:val="en-GB" w:eastAsia="en-US"/>
        </w:rPr>
        <w:t>Advice Provide</w:t>
      </w:r>
      <w:r w:rsidR="00EE68E3">
        <w:rPr>
          <w:rFonts w:asciiTheme="minorHAnsi" w:hAnsiTheme="minorHAnsi" w:cs="Arial"/>
          <w:bCs/>
          <w:snapToGrid w:val="0"/>
          <w:lang w:val="en-GB" w:eastAsia="en-US"/>
        </w:rPr>
        <w:t>d</w:t>
      </w:r>
    </w:p>
    <w:p w14:paraId="591F3D08" w14:textId="77777777" w:rsidR="001B1874" w:rsidRPr="001B1874" w:rsidRDefault="001B1874" w:rsidP="00152DA6">
      <w:pPr>
        <w:pStyle w:val="2-SectionHeading"/>
      </w:pPr>
      <w:r w:rsidRPr="001B1874">
        <w:lastRenderedPageBreak/>
        <w:t>Context for Decision</w:t>
      </w:r>
    </w:p>
    <w:p w14:paraId="1E7534A0" w14:textId="77777777" w:rsidR="001B1874" w:rsidRPr="001B1874" w:rsidRDefault="001B1874" w:rsidP="001B1874">
      <w:pPr>
        <w:spacing w:after="120"/>
        <w:ind w:left="720"/>
        <w:rPr>
          <w:rFonts w:eastAsia="Calibri" w:cstheme="minorBidi"/>
          <w:iCs/>
          <w:szCs w:val="22"/>
        </w:rPr>
      </w:pPr>
      <w:r w:rsidRPr="001B1874">
        <w:rPr>
          <w:rFonts w:eastAsia="Calibri" w:cstheme="minorBidi"/>
          <w:iCs/>
          <w:szCs w:val="22"/>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 </w:t>
      </w:r>
    </w:p>
    <w:p w14:paraId="11709400" w14:textId="77777777" w:rsidR="001B1874" w:rsidRPr="001B1874" w:rsidRDefault="001B1874" w:rsidP="00152DA6">
      <w:pPr>
        <w:pStyle w:val="2-SectionHeading"/>
      </w:pPr>
      <w:r w:rsidRPr="001B1874">
        <w:t>Sponsor’s Comment</w:t>
      </w:r>
    </w:p>
    <w:p w14:paraId="212297B8" w14:textId="6693BDA5" w:rsidR="00EE68E3" w:rsidRPr="00152DA6" w:rsidRDefault="001B1874" w:rsidP="00152DA6">
      <w:pPr>
        <w:spacing w:after="120"/>
        <w:ind w:left="720"/>
        <w:rPr>
          <w:rFonts w:eastAsia="Calibri" w:cstheme="minorBidi"/>
          <w:iCs/>
          <w:szCs w:val="22"/>
        </w:rPr>
      </w:pPr>
      <w:r w:rsidRPr="001B1874">
        <w:rPr>
          <w:rFonts w:eastAsia="Calibri" w:cstheme="minorBidi"/>
          <w:iCs/>
          <w:szCs w:val="22"/>
        </w:rPr>
        <w:t>The sponsor had no comment. </w:t>
      </w:r>
    </w:p>
    <w:sectPr w:rsidR="00EE68E3" w:rsidRPr="00152DA6"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16A38" w14:textId="77777777" w:rsidR="00D9172A" w:rsidRDefault="00D9172A">
      <w:r>
        <w:separator/>
      </w:r>
    </w:p>
    <w:p w14:paraId="6F44B9D0" w14:textId="77777777" w:rsidR="00D9172A" w:rsidRDefault="00D9172A"/>
    <w:p w14:paraId="3A9947BD" w14:textId="77777777" w:rsidR="00D9172A" w:rsidRDefault="00D9172A"/>
  </w:endnote>
  <w:endnote w:type="continuationSeparator" w:id="0">
    <w:p w14:paraId="3B12F327" w14:textId="77777777" w:rsidR="00D9172A" w:rsidRDefault="00D9172A">
      <w:r>
        <w:continuationSeparator/>
      </w:r>
    </w:p>
    <w:p w14:paraId="61070598" w14:textId="77777777" w:rsidR="00D9172A" w:rsidRDefault="00D9172A"/>
    <w:p w14:paraId="656E7DAB" w14:textId="77777777" w:rsidR="00D9172A" w:rsidRDefault="00D9172A"/>
  </w:endnote>
  <w:endnote w:type="continuationNotice" w:id="1">
    <w:p w14:paraId="2C944AB5" w14:textId="77777777" w:rsidR="00D9172A" w:rsidRDefault="00D9172A"/>
    <w:p w14:paraId="5002BD52" w14:textId="77777777" w:rsidR="00D9172A" w:rsidRDefault="00D91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9A4EC" w14:textId="77777777" w:rsidR="00774465" w:rsidRDefault="00774465" w:rsidP="00774465">
    <w:pPr>
      <w:pStyle w:val="Footer"/>
    </w:pPr>
  </w:p>
  <w:sdt>
    <w:sdtPr>
      <w:id w:val="95759956"/>
      <w:docPartObj>
        <w:docPartGallery w:val="Page Numbers (Bottom of Page)"/>
        <w:docPartUnique/>
      </w:docPartObj>
    </w:sdtPr>
    <w:sdtEndPr>
      <w:rPr>
        <w:b/>
        <w:bCs/>
        <w:noProof/>
      </w:rPr>
    </w:sdtEndPr>
    <w:sdtContent>
      <w:p w14:paraId="07DAAF98" w14:textId="01A59AA0" w:rsidR="00CF066B" w:rsidRPr="003C2A26" w:rsidRDefault="00774465" w:rsidP="00774465">
        <w:pPr>
          <w:pStyle w:val="Footer"/>
          <w:rPr>
            <w:b/>
            <w:bCs/>
          </w:rPr>
        </w:pPr>
        <w:r w:rsidRPr="003C2A26">
          <w:rPr>
            <w:b/>
            <w:bCs/>
          </w:rPr>
          <w:fldChar w:fldCharType="begin"/>
        </w:r>
        <w:r w:rsidRPr="003C2A26">
          <w:rPr>
            <w:b/>
            <w:bCs/>
          </w:rPr>
          <w:instrText xml:space="preserve"> PAGE   \* MERGEFORMAT </w:instrText>
        </w:r>
        <w:r w:rsidRPr="003C2A26">
          <w:rPr>
            <w:b/>
            <w:bCs/>
          </w:rPr>
          <w:fldChar w:fldCharType="separate"/>
        </w:r>
        <w:r w:rsidRPr="003C2A26">
          <w:rPr>
            <w:b/>
            <w:bCs/>
            <w:noProof/>
          </w:rPr>
          <w:t>2</w:t>
        </w:r>
        <w:r w:rsidRPr="003C2A26">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9EF8" w14:textId="77777777" w:rsidR="00972CA9" w:rsidRDefault="00972C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CA897" w14:textId="77777777" w:rsidR="00D9172A" w:rsidRDefault="00D9172A">
      <w:r>
        <w:separator/>
      </w:r>
    </w:p>
    <w:p w14:paraId="45BC937A" w14:textId="77777777" w:rsidR="00D9172A" w:rsidRDefault="00D9172A"/>
    <w:p w14:paraId="6E729B5D" w14:textId="77777777" w:rsidR="00D9172A" w:rsidRDefault="00D9172A"/>
  </w:footnote>
  <w:footnote w:type="continuationSeparator" w:id="0">
    <w:p w14:paraId="6C730692" w14:textId="77777777" w:rsidR="00D9172A" w:rsidRDefault="00D9172A">
      <w:r>
        <w:continuationSeparator/>
      </w:r>
    </w:p>
    <w:p w14:paraId="13CFF28C" w14:textId="77777777" w:rsidR="00D9172A" w:rsidRDefault="00D9172A"/>
    <w:p w14:paraId="2B98A0BB" w14:textId="77777777" w:rsidR="00D9172A" w:rsidRDefault="00D9172A"/>
  </w:footnote>
  <w:footnote w:type="continuationNotice" w:id="1">
    <w:p w14:paraId="4E13FA27" w14:textId="77777777" w:rsidR="00D9172A" w:rsidRDefault="00D9172A"/>
    <w:p w14:paraId="6F707BFD" w14:textId="77777777" w:rsidR="00D9172A" w:rsidRDefault="00D9172A"/>
  </w:footnote>
  <w:footnote w:id="2">
    <w:p w14:paraId="4166B7F6" w14:textId="64C1B06C" w:rsidR="00EB2CA4" w:rsidRDefault="00EB2CA4">
      <w:pPr>
        <w:pStyle w:val="FootnoteText"/>
      </w:pPr>
      <w:r>
        <w:rPr>
          <w:rStyle w:val="FootnoteReference"/>
        </w:rPr>
        <w:footnoteRef/>
      </w:r>
      <w:r>
        <w:t xml:space="preserve"> Item codes: 08970D, 09743T, 09744W, 11910W, 11913B, 11919H.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D45E5" w14:textId="6F60685A" w:rsidR="00774465" w:rsidRPr="003C2A26" w:rsidRDefault="00996C89" w:rsidP="00774465">
    <w:pPr>
      <w:keepNext/>
      <w:tabs>
        <w:tab w:val="center" w:pos="4513"/>
        <w:tab w:val="right" w:pos="9026"/>
      </w:tabs>
      <w:jc w:val="center"/>
      <w:rPr>
        <w:rFonts w:asciiTheme="minorHAnsi" w:eastAsiaTheme="minorEastAsia" w:hAnsiTheme="minorHAnsi" w:cstheme="minorHAnsi"/>
        <w:i/>
      </w:rPr>
    </w:pPr>
    <w:bookmarkStart w:id="31" w:name="_Hlk177458301"/>
    <w:r w:rsidRPr="00996C89">
      <w:rPr>
        <w:rFonts w:asciiTheme="minorHAnsi" w:eastAsiaTheme="minorEastAsia" w:hAnsiTheme="minorHAnsi" w:cstheme="minorHAnsi"/>
        <w:i/>
      </w:rPr>
      <w:t>Public Summary Document</w:t>
    </w:r>
    <w:bookmarkEnd w:id="31"/>
    <w:r w:rsidR="00774465" w:rsidRPr="003C2A26">
      <w:rPr>
        <w:rFonts w:asciiTheme="minorHAnsi" w:eastAsiaTheme="minorEastAsia" w:hAnsiTheme="minorHAnsi" w:cstheme="minorHAnsi"/>
        <w:i/>
      </w:rPr>
      <w:t>–</w:t>
    </w:r>
    <w:r w:rsidR="003C2A26" w:rsidRPr="003C2A26">
      <w:rPr>
        <w:rFonts w:asciiTheme="minorHAnsi" w:eastAsiaTheme="minorEastAsia" w:hAnsiTheme="minorHAnsi" w:cstheme="minorHAnsi"/>
        <w:i/>
      </w:rPr>
      <w:t xml:space="preserve"> July 2024</w:t>
    </w:r>
    <w:r w:rsidR="00774465" w:rsidRPr="003C2A26">
      <w:rPr>
        <w:rFonts w:asciiTheme="minorHAnsi" w:eastAsiaTheme="minorEastAsia" w:hAnsiTheme="minorHAnsi" w:cstheme="minorHAnsi"/>
        <w:i/>
      </w:rPr>
      <w:t xml:space="preserve"> PBAC Meeting</w:t>
    </w:r>
    <w:r w:rsidR="00907A02" w:rsidRPr="00907A02">
      <w:rPr>
        <w:rFonts w:asciiTheme="minorHAnsi" w:eastAsiaTheme="minorEastAsia" w:hAnsiTheme="minorHAnsi" w:cstheme="minorHAnsi"/>
        <w:i/>
      </w:rPr>
      <w:t xml:space="preserve"> with November 2024 Addendum</w:t>
    </w:r>
  </w:p>
  <w:p w14:paraId="74A766A4" w14:textId="77777777" w:rsidR="00240165" w:rsidRDefault="00240165" w:rsidP="007744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5DEB" w14:textId="77777777" w:rsidR="00972CA9" w:rsidRDefault="00972C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F078C"/>
    <w:multiLevelType w:val="hybridMultilevel"/>
    <w:tmpl w:val="8C10CFBA"/>
    <w:lvl w:ilvl="0" w:tplc="0C4E4756">
      <w:start w:val="1"/>
      <w:numFmt w:val="lowerLetter"/>
      <w:pStyle w:val="NormalLett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6BB6001"/>
    <w:multiLevelType w:val="multilevel"/>
    <w:tmpl w:val="A7A29592"/>
    <w:lvl w:ilvl="0">
      <w:start w:val="1"/>
      <w:numFmt w:val="bullet"/>
      <w:lvlText w:val="o"/>
      <w:lvlJc w:val="left"/>
      <w:pPr>
        <w:ind w:left="1440" w:hanging="720"/>
      </w:pPr>
      <w:rPr>
        <w:rFonts w:ascii="Courier New" w:hAnsi="Courier New" w:cs="Courier New" w:hint="default"/>
      </w:rPr>
    </w:lvl>
    <w:lvl w:ilvl="1">
      <w:start w:val="1"/>
      <w:numFmt w:val="decimal"/>
      <w:lvlText w:val="%1.%2"/>
      <w:lvlJc w:val="left"/>
      <w:pPr>
        <w:ind w:left="1440" w:hanging="720"/>
      </w:pPr>
      <w:rPr>
        <w:rFonts w:hint="default"/>
        <w:color w:val="auto"/>
      </w:rPr>
    </w:lvl>
    <w:lvl w:ilvl="2">
      <w:start w:val="1"/>
      <w:numFmt w:val="lowerRoman"/>
      <w:lvlText w:val="%3."/>
      <w:lvlJc w:val="right"/>
      <w:pPr>
        <w:ind w:left="3237" w:hanging="17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 w15:restartNumberingAfterBreak="0">
    <w:nsid w:val="3FDA598B"/>
    <w:multiLevelType w:val="multilevel"/>
    <w:tmpl w:val="CAD4E43E"/>
    <w:lvl w:ilvl="0">
      <w:start w:val="1"/>
      <w:numFmt w:val="bullet"/>
      <w:lvlText w:val=""/>
      <w:lvlJc w:val="left"/>
      <w:pPr>
        <w:ind w:left="1440" w:hanging="720"/>
      </w:pPr>
      <w:rPr>
        <w:rFonts w:ascii="Symbol" w:hAnsi="Symbol" w:hint="default"/>
      </w:rPr>
    </w:lvl>
    <w:lvl w:ilvl="1">
      <w:start w:val="1"/>
      <w:numFmt w:val="decimal"/>
      <w:lvlText w:val="%1.%2"/>
      <w:lvlJc w:val="left"/>
      <w:pPr>
        <w:ind w:left="1440" w:hanging="720"/>
      </w:pPr>
      <w:rPr>
        <w:rFonts w:hint="default"/>
        <w:color w:val="auto"/>
      </w:rPr>
    </w:lvl>
    <w:lvl w:ilvl="2">
      <w:start w:val="1"/>
      <w:numFmt w:val="lowerRoman"/>
      <w:lvlText w:val="%3."/>
      <w:lvlJc w:val="right"/>
      <w:pPr>
        <w:ind w:left="3237" w:hanging="177"/>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3" w15:restartNumberingAfterBreak="0">
    <w:nsid w:val="5DAC5FFD"/>
    <w:multiLevelType w:val="multilevel"/>
    <w:tmpl w:val="366EA706"/>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16cid:durableId="1742173966">
    <w:abstractNumId w:val="3"/>
  </w:num>
  <w:num w:numId="2" w16cid:durableId="234127176">
    <w:abstractNumId w:val="2"/>
  </w:num>
  <w:num w:numId="3" w16cid:durableId="154227749">
    <w:abstractNumId w:val="0"/>
  </w:num>
  <w:num w:numId="4" w16cid:durableId="221985976">
    <w:abstractNumId w:val="3"/>
  </w:num>
  <w:num w:numId="5" w16cid:durableId="65032659">
    <w:abstractNumId w:val="3"/>
  </w:num>
  <w:num w:numId="6" w16cid:durableId="1647121514">
    <w:abstractNumId w:val="1"/>
  </w:num>
  <w:num w:numId="7" w16cid:durableId="858544101">
    <w:abstractNumId w:val="3"/>
  </w:num>
  <w:num w:numId="8" w16cid:durableId="37736046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296B"/>
    <w:rsid w:val="00002E5D"/>
    <w:rsid w:val="0000335D"/>
    <w:rsid w:val="00010CFD"/>
    <w:rsid w:val="00011A59"/>
    <w:rsid w:val="00016A41"/>
    <w:rsid w:val="000214D1"/>
    <w:rsid w:val="0002464A"/>
    <w:rsid w:val="00025A04"/>
    <w:rsid w:val="00027E00"/>
    <w:rsid w:val="0003050E"/>
    <w:rsid w:val="00030F7D"/>
    <w:rsid w:val="0003106B"/>
    <w:rsid w:val="00033C1D"/>
    <w:rsid w:val="00034905"/>
    <w:rsid w:val="000421A1"/>
    <w:rsid w:val="0004240E"/>
    <w:rsid w:val="00044EC4"/>
    <w:rsid w:val="00045E26"/>
    <w:rsid w:val="000514B5"/>
    <w:rsid w:val="0005322E"/>
    <w:rsid w:val="00054E2B"/>
    <w:rsid w:val="00060E64"/>
    <w:rsid w:val="00061D1F"/>
    <w:rsid w:val="000628B7"/>
    <w:rsid w:val="00066193"/>
    <w:rsid w:val="00066755"/>
    <w:rsid w:val="000674CF"/>
    <w:rsid w:val="00067B6B"/>
    <w:rsid w:val="00071A5B"/>
    <w:rsid w:val="0007337F"/>
    <w:rsid w:val="000763D5"/>
    <w:rsid w:val="00076C38"/>
    <w:rsid w:val="00077143"/>
    <w:rsid w:val="00077DF7"/>
    <w:rsid w:val="00077E51"/>
    <w:rsid w:val="0008050C"/>
    <w:rsid w:val="00082169"/>
    <w:rsid w:val="000834BE"/>
    <w:rsid w:val="00083F01"/>
    <w:rsid w:val="00087C4C"/>
    <w:rsid w:val="000918CB"/>
    <w:rsid w:val="00091B06"/>
    <w:rsid w:val="000940E6"/>
    <w:rsid w:val="000951C4"/>
    <w:rsid w:val="00095ADA"/>
    <w:rsid w:val="000969AD"/>
    <w:rsid w:val="000975FB"/>
    <w:rsid w:val="00097A04"/>
    <w:rsid w:val="000A36BE"/>
    <w:rsid w:val="000A3AA2"/>
    <w:rsid w:val="000A44B2"/>
    <w:rsid w:val="000A52F6"/>
    <w:rsid w:val="000B1E19"/>
    <w:rsid w:val="000B3990"/>
    <w:rsid w:val="000B44C3"/>
    <w:rsid w:val="000B558D"/>
    <w:rsid w:val="000B5A89"/>
    <w:rsid w:val="000B65F6"/>
    <w:rsid w:val="000B7767"/>
    <w:rsid w:val="000C42B7"/>
    <w:rsid w:val="000C5F95"/>
    <w:rsid w:val="000C6996"/>
    <w:rsid w:val="000C7C46"/>
    <w:rsid w:val="000D09E9"/>
    <w:rsid w:val="000D113F"/>
    <w:rsid w:val="000D23BA"/>
    <w:rsid w:val="000D48AA"/>
    <w:rsid w:val="000D5D6C"/>
    <w:rsid w:val="000E19B7"/>
    <w:rsid w:val="000E20FC"/>
    <w:rsid w:val="000E24A9"/>
    <w:rsid w:val="000E3DFB"/>
    <w:rsid w:val="000E5EA1"/>
    <w:rsid w:val="000E681E"/>
    <w:rsid w:val="000E7E52"/>
    <w:rsid w:val="000F0003"/>
    <w:rsid w:val="000F0807"/>
    <w:rsid w:val="000F161C"/>
    <w:rsid w:val="000F3384"/>
    <w:rsid w:val="000F4E6A"/>
    <w:rsid w:val="000F7354"/>
    <w:rsid w:val="00101ABE"/>
    <w:rsid w:val="00102202"/>
    <w:rsid w:val="00102700"/>
    <w:rsid w:val="0010289B"/>
    <w:rsid w:val="00102A78"/>
    <w:rsid w:val="00103118"/>
    <w:rsid w:val="00103DFC"/>
    <w:rsid w:val="00104227"/>
    <w:rsid w:val="001107BF"/>
    <w:rsid w:val="00113649"/>
    <w:rsid w:val="00113D5C"/>
    <w:rsid w:val="0012417C"/>
    <w:rsid w:val="00124BF2"/>
    <w:rsid w:val="0012597F"/>
    <w:rsid w:val="00126AAF"/>
    <w:rsid w:val="0012749D"/>
    <w:rsid w:val="001306A5"/>
    <w:rsid w:val="001311AE"/>
    <w:rsid w:val="0013691E"/>
    <w:rsid w:val="00140B74"/>
    <w:rsid w:val="00140D94"/>
    <w:rsid w:val="00142395"/>
    <w:rsid w:val="00142714"/>
    <w:rsid w:val="00144D09"/>
    <w:rsid w:val="001452ED"/>
    <w:rsid w:val="00146447"/>
    <w:rsid w:val="00147566"/>
    <w:rsid w:val="00147D84"/>
    <w:rsid w:val="00152DA6"/>
    <w:rsid w:val="001549C1"/>
    <w:rsid w:val="00156C8D"/>
    <w:rsid w:val="0016037D"/>
    <w:rsid w:val="00160F4D"/>
    <w:rsid w:val="00161063"/>
    <w:rsid w:val="00161CA4"/>
    <w:rsid w:val="00162BDD"/>
    <w:rsid w:val="00162D4E"/>
    <w:rsid w:val="00163329"/>
    <w:rsid w:val="00164623"/>
    <w:rsid w:val="001652DE"/>
    <w:rsid w:val="00165B64"/>
    <w:rsid w:val="00176B9D"/>
    <w:rsid w:val="00180713"/>
    <w:rsid w:val="00180720"/>
    <w:rsid w:val="001830CE"/>
    <w:rsid w:val="00183635"/>
    <w:rsid w:val="001836E3"/>
    <w:rsid w:val="00183DC3"/>
    <w:rsid w:val="00184C39"/>
    <w:rsid w:val="00184E17"/>
    <w:rsid w:val="0018643B"/>
    <w:rsid w:val="001868CC"/>
    <w:rsid w:val="00192397"/>
    <w:rsid w:val="00196307"/>
    <w:rsid w:val="001A0D10"/>
    <w:rsid w:val="001A33EA"/>
    <w:rsid w:val="001A4413"/>
    <w:rsid w:val="001A4C4F"/>
    <w:rsid w:val="001A5A2B"/>
    <w:rsid w:val="001A76FB"/>
    <w:rsid w:val="001A7F3E"/>
    <w:rsid w:val="001B017F"/>
    <w:rsid w:val="001B0B79"/>
    <w:rsid w:val="001B1874"/>
    <w:rsid w:val="001B2BBC"/>
    <w:rsid w:val="001B3A40"/>
    <w:rsid w:val="001B3FFE"/>
    <w:rsid w:val="001B5129"/>
    <w:rsid w:val="001B7667"/>
    <w:rsid w:val="001C0B4C"/>
    <w:rsid w:val="001C0EC4"/>
    <w:rsid w:val="001C1195"/>
    <w:rsid w:val="001C12AE"/>
    <w:rsid w:val="001C1E84"/>
    <w:rsid w:val="001C2E42"/>
    <w:rsid w:val="001C55FC"/>
    <w:rsid w:val="001C607C"/>
    <w:rsid w:val="001C758C"/>
    <w:rsid w:val="001D1F5F"/>
    <w:rsid w:val="001D24C0"/>
    <w:rsid w:val="001D46EE"/>
    <w:rsid w:val="001D49B2"/>
    <w:rsid w:val="001E06D2"/>
    <w:rsid w:val="001E17C4"/>
    <w:rsid w:val="001E2B15"/>
    <w:rsid w:val="001F005B"/>
    <w:rsid w:val="001F1850"/>
    <w:rsid w:val="001F1D9C"/>
    <w:rsid w:val="001F1FBF"/>
    <w:rsid w:val="001F2311"/>
    <w:rsid w:val="001F2F1C"/>
    <w:rsid w:val="001F3189"/>
    <w:rsid w:val="001F330E"/>
    <w:rsid w:val="00201B69"/>
    <w:rsid w:val="00201FB8"/>
    <w:rsid w:val="002025D2"/>
    <w:rsid w:val="00203FAC"/>
    <w:rsid w:val="00205C6F"/>
    <w:rsid w:val="00207391"/>
    <w:rsid w:val="002115F1"/>
    <w:rsid w:val="00212964"/>
    <w:rsid w:val="00213CFB"/>
    <w:rsid w:val="00214F76"/>
    <w:rsid w:val="0021553C"/>
    <w:rsid w:val="0021557B"/>
    <w:rsid w:val="002174FD"/>
    <w:rsid w:val="00217BE1"/>
    <w:rsid w:val="002214B9"/>
    <w:rsid w:val="002253EA"/>
    <w:rsid w:val="0022551B"/>
    <w:rsid w:val="00230F63"/>
    <w:rsid w:val="00234252"/>
    <w:rsid w:val="0023466E"/>
    <w:rsid w:val="00236302"/>
    <w:rsid w:val="00237AC6"/>
    <w:rsid w:val="00240165"/>
    <w:rsid w:val="00243285"/>
    <w:rsid w:val="00243519"/>
    <w:rsid w:val="00244139"/>
    <w:rsid w:val="00244490"/>
    <w:rsid w:val="00244D0F"/>
    <w:rsid w:val="00245B9C"/>
    <w:rsid w:val="00247188"/>
    <w:rsid w:val="00253499"/>
    <w:rsid w:val="002551A4"/>
    <w:rsid w:val="00257664"/>
    <w:rsid w:val="00265151"/>
    <w:rsid w:val="00265C2C"/>
    <w:rsid w:val="00266509"/>
    <w:rsid w:val="002708FD"/>
    <w:rsid w:val="00271BA1"/>
    <w:rsid w:val="00272551"/>
    <w:rsid w:val="00273AC5"/>
    <w:rsid w:val="00274455"/>
    <w:rsid w:val="00274DA1"/>
    <w:rsid w:val="00275478"/>
    <w:rsid w:val="002762FA"/>
    <w:rsid w:val="00277505"/>
    <w:rsid w:val="0028158C"/>
    <w:rsid w:val="002823B6"/>
    <w:rsid w:val="00284CAF"/>
    <w:rsid w:val="00290C03"/>
    <w:rsid w:val="00294274"/>
    <w:rsid w:val="0029458F"/>
    <w:rsid w:val="00295BA2"/>
    <w:rsid w:val="002A018F"/>
    <w:rsid w:val="002A0381"/>
    <w:rsid w:val="002A0E04"/>
    <w:rsid w:val="002A104C"/>
    <w:rsid w:val="002A1EF7"/>
    <w:rsid w:val="002A494D"/>
    <w:rsid w:val="002A4960"/>
    <w:rsid w:val="002A636A"/>
    <w:rsid w:val="002B0518"/>
    <w:rsid w:val="002B0AE0"/>
    <w:rsid w:val="002B152F"/>
    <w:rsid w:val="002B1AE6"/>
    <w:rsid w:val="002B1D51"/>
    <w:rsid w:val="002B22CE"/>
    <w:rsid w:val="002B2DE8"/>
    <w:rsid w:val="002B30F8"/>
    <w:rsid w:val="002B3507"/>
    <w:rsid w:val="002B3553"/>
    <w:rsid w:val="002B388A"/>
    <w:rsid w:val="002B5596"/>
    <w:rsid w:val="002B77D7"/>
    <w:rsid w:val="002C212F"/>
    <w:rsid w:val="002C2F35"/>
    <w:rsid w:val="002C633F"/>
    <w:rsid w:val="002C6AA9"/>
    <w:rsid w:val="002C7485"/>
    <w:rsid w:val="002C7EFD"/>
    <w:rsid w:val="002D147F"/>
    <w:rsid w:val="002D2641"/>
    <w:rsid w:val="002D283A"/>
    <w:rsid w:val="002D44AD"/>
    <w:rsid w:val="002D4543"/>
    <w:rsid w:val="002D57F8"/>
    <w:rsid w:val="002E2A21"/>
    <w:rsid w:val="002E3153"/>
    <w:rsid w:val="002E5292"/>
    <w:rsid w:val="002E72CA"/>
    <w:rsid w:val="002F1D07"/>
    <w:rsid w:val="002F3BB0"/>
    <w:rsid w:val="002F600D"/>
    <w:rsid w:val="002F7E47"/>
    <w:rsid w:val="003002AA"/>
    <w:rsid w:val="00300AD6"/>
    <w:rsid w:val="00300B1B"/>
    <w:rsid w:val="003019D0"/>
    <w:rsid w:val="00301DFC"/>
    <w:rsid w:val="003054DF"/>
    <w:rsid w:val="003064AF"/>
    <w:rsid w:val="00307EC9"/>
    <w:rsid w:val="003104CC"/>
    <w:rsid w:val="00310A8B"/>
    <w:rsid w:val="00310B68"/>
    <w:rsid w:val="0031236D"/>
    <w:rsid w:val="003160D2"/>
    <w:rsid w:val="003173FC"/>
    <w:rsid w:val="00317C6C"/>
    <w:rsid w:val="00320B80"/>
    <w:rsid w:val="00320CD3"/>
    <w:rsid w:val="003266C3"/>
    <w:rsid w:val="00326E79"/>
    <w:rsid w:val="0032748A"/>
    <w:rsid w:val="003301B1"/>
    <w:rsid w:val="00331189"/>
    <w:rsid w:val="00332633"/>
    <w:rsid w:val="0033263D"/>
    <w:rsid w:val="0033518A"/>
    <w:rsid w:val="00335535"/>
    <w:rsid w:val="003367EF"/>
    <w:rsid w:val="00341AE4"/>
    <w:rsid w:val="00344944"/>
    <w:rsid w:val="003476EE"/>
    <w:rsid w:val="003541DD"/>
    <w:rsid w:val="00354DA6"/>
    <w:rsid w:val="00356E5B"/>
    <w:rsid w:val="0036231F"/>
    <w:rsid w:val="003650EE"/>
    <w:rsid w:val="00370B3C"/>
    <w:rsid w:val="00373691"/>
    <w:rsid w:val="003736C9"/>
    <w:rsid w:val="00375C71"/>
    <w:rsid w:val="00383B77"/>
    <w:rsid w:val="00384988"/>
    <w:rsid w:val="003872CF"/>
    <w:rsid w:val="00394F06"/>
    <w:rsid w:val="0039782C"/>
    <w:rsid w:val="003A13A6"/>
    <w:rsid w:val="003A5B4A"/>
    <w:rsid w:val="003A5D95"/>
    <w:rsid w:val="003B0D3A"/>
    <w:rsid w:val="003B2302"/>
    <w:rsid w:val="003B23C5"/>
    <w:rsid w:val="003B2A75"/>
    <w:rsid w:val="003B49B2"/>
    <w:rsid w:val="003B6124"/>
    <w:rsid w:val="003B7960"/>
    <w:rsid w:val="003C0235"/>
    <w:rsid w:val="003C093A"/>
    <w:rsid w:val="003C15CB"/>
    <w:rsid w:val="003C1ECF"/>
    <w:rsid w:val="003C2A26"/>
    <w:rsid w:val="003C2FB5"/>
    <w:rsid w:val="003C6D3F"/>
    <w:rsid w:val="003D24C5"/>
    <w:rsid w:val="003D4594"/>
    <w:rsid w:val="003D4AC4"/>
    <w:rsid w:val="003D63B7"/>
    <w:rsid w:val="003D74C5"/>
    <w:rsid w:val="003E0761"/>
    <w:rsid w:val="003E3C10"/>
    <w:rsid w:val="003E4214"/>
    <w:rsid w:val="003E4374"/>
    <w:rsid w:val="003E468B"/>
    <w:rsid w:val="003E4BBF"/>
    <w:rsid w:val="003E62BD"/>
    <w:rsid w:val="003F044F"/>
    <w:rsid w:val="003F0C3A"/>
    <w:rsid w:val="003F15F0"/>
    <w:rsid w:val="003F3228"/>
    <w:rsid w:val="003F59B9"/>
    <w:rsid w:val="003F5C8C"/>
    <w:rsid w:val="003F63CE"/>
    <w:rsid w:val="003F775A"/>
    <w:rsid w:val="00400E55"/>
    <w:rsid w:val="0040128E"/>
    <w:rsid w:val="0040216B"/>
    <w:rsid w:val="00404ABE"/>
    <w:rsid w:val="00407347"/>
    <w:rsid w:val="00420400"/>
    <w:rsid w:val="004252EC"/>
    <w:rsid w:val="00430B50"/>
    <w:rsid w:val="00430D39"/>
    <w:rsid w:val="004353F3"/>
    <w:rsid w:val="00442C91"/>
    <w:rsid w:val="00444CF1"/>
    <w:rsid w:val="004465BD"/>
    <w:rsid w:val="00446938"/>
    <w:rsid w:val="004528FA"/>
    <w:rsid w:val="004538F5"/>
    <w:rsid w:val="00457075"/>
    <w:rsid w:val="00461A44"/>
    <w:rsid w:val="00462D26"/>
    <w:rsid w:val="0046385A"/>
    <w:rsid w:val="00466ADA"/>
    <w:rsid w:val="004702BB"/>
    <w:rsid w:val="0047284A"/>
    <w:rsid w:val="0047494B"/>
    <w:rsid w:val="0047568B"/>
    <w:rsid w:val="00476245"/>
    <w:rsid w:val="00477A9B"/>
    <w:rsid w:val="0048153C"/>
    <w:rsid w:val="00481E1D"/>
    <w:rsid w:val="00483035"/>
    <w:rsid w:val="004857C0"/>
    <w:rsid w:val="00485940"/>
    <w:rsid w:val="00486C95"/>
    <w:rsid w:val="004877C2"/>
    <w:rsid w:val="00487C65"/>
    <w:rsid w:val="0049000E"/>
    <w:rsid w:val="004904B9"/>
    <w:rsid w:val="00491515"/>
    <w:rsid w:val="00493C57"/>
    <w:rsid w:val="00495F61"/>
    <w:rsid w:val="00496662"/>
    <w:rsid w:val="00496E18"/>
    <w:rsid w:val="004A0290"/>
    <w:rsid w:val="004A0730"/>
    <w:rsid w:val="004A2484"/>
    <w:rsid w:val="004A2DA2"/>
    <w:rsid w:val="004A5A85"/>
    <w:rsid w:val="004A71D1"/>
    <w:rsid w:val="004A7C5B"/>
    <w:rsid w:val="004B0FE7"/>
    <w:rsid w:val="004B1845"/>
    <w:rsid w:val="004B1ED9"/>
    <w:rsid w:val="004B2348"/>
    <w:rsid w:val="004B2E01"/>
    <w:rsid w:val="004B2E98"/>
    <w:rsid w:val="004B5640"/>
    <w:rsid w:val="004B6084"/>
    <w:rsid w:val="004B7616"/>
    <w:rsid w:val="004BCF29"/>
    <w:rsid w:val="004C03D0"/>
    <w:rsid w:val="004C0DDD"/>
    <w:rsid w:val="004C1BD7"/>
    <w:rsid w:val="004C239C"/>
    <w:rsid w:val="004C31FE"/>
    <w:rsid w:val="004C524C"/>
    <w:rsid w:val="004C5FFA"/>
    <w:rsid w:val="004C691D"/>
    <w:rsid w:val="004C6C07"/>
    <w:rsid w:val="004C7E15"/>
    <w:rsid w:val="004D2863"/>
    <w:rsid w:val="004D2CD1"/>
    <w:rsid w:val="004D4FF6"/>
    <w:rsid w:val="004D5ADD"/>
    <w:rsid w:val="004E1B22"/>
    <w:rsid w:val="004E41D0"/>
    <w:rsid w:val="004E67AD"/>
    <w:rsid w:val="004E692D"/>
    <w:rsid w:val="004E7230"/>
    <w:rsid w:val="004E7D17"/>
    <w:rsid w:val="004E7D87"/>
    <w:rsid w:val="004F228B"/>
    <w:rsid w:val="004F2553"/>
    <w:rsid w:val="004F306A"/>
    <w:rsid w:val="004F328D"/>
    <w:rsid w:val="004F4D4D"/>
    <w:rsid w:val="004F5C3B"/>
    <w:rsid w:val="004F6160"/>
    <w:rsid w:val="00501548"/>
    <w:rsid w:val="00501554"/>
    <w:rsid w:val="00502AFE"/>
    <w:rsid w:val="00502E64"/>
    <w:rsid w:val="00503AD7"/>
    <w:rsid w:val="00504E0C"/>
    <w:rsid w:val="00504E13"/>
    <w:rsid w:val="005105C0"/>
    <w:rsid w:val="005109D4"/>
    <w:rsid w:val="00514CD7"/>
    <w:rsid w:val="005167EC"/>
    <w:rsid w:val="005170DA"/>
    <w:rsid w:val="00517F42"/>
    <w:rsid w:val="00520D6A"/>
    <w:rsid w:val="0052135F"/>
    <w:rsid w:val="00522ACA"/>
    <w:rsid w:val="00522DB6"/>
    <w:rsid w:val="005264A7"/>
    <w:rsid w:val="0052792D"/>
    <w:rsid w:val="00527DC6"/>
    <w:rsid w:val="005319B2"/>
    <w:rsid w:val="00532402"/>
    <w:rsid w:val="00532615"/>
    <w:rsid w:val="00532C74"/>
    <w:rsid w:val="00534E2E"/>
    <w:rsid w:val="00535D14"/>
    <w:rsid w:val="0054064C"/>
    <w:rsid w:val="00544552"/>
    <w:rsid w:val="00545130"/>
    <w:rsid w:val="005503B7"/>
    <w:rsid w:val="0055286A"/>
    <w:rsid w:val="00555745"/>
    <w:rsid w:val="00557D4F"/>
    <w:rsid w:val="0056122E"/>
    <w:rsid w:val="00563B2B"/>
    <w:rsid w:val="0056484E"/>
    <w:rsid w:val="005654F7"/>
    <w:rsid w:val="005655FE"/>
    <w:rsid w:val="00567D8A"/>
    <w:rsid w:val="005710C0"/>
    <w:rsid w:val="005764CD"/>
    <w:rsid w:val="00576931"/>
    <w:rsid w:val="00577C4D"/>
    <w:rsid w:val="00580532"/>
    <w:rsid w:val="00581932"/>
    <w:rsid w:val="00583FBD"/>
    <w:rsid w:val="00585FB1"/>
    <w:rsid w:val="005913AF"/>
    <w:rsid w:val="00591B2F"/>
    <w:rsid w:val="005963BB"/>
    <w:rsid w:val="005A1847"/>
    <w:rsid w:val="005A3173"/>
    <w:rsid w:val="005A3223"/>
    <w:rsid w:val="005A3796"/>
    <w:rsid w:val="005A3DA3"/>
    <w:rsid w:val="005A52C4"/>
    <w:rsid w:val="005A618D"/>
    <w:rsid w:val="005A63A1"/>
    <w:rsid w:val="005A6966"/>
    <w:rsid w:val="005B10D9"/>
    <w:rsid w:val="005B2851"/>
    <w:rsid w:val="005C02D4"/>
    <w:rsid w:val="005C037F"/>
    <w:rsid w:val="005C44ED"/>
    <w:rsid w:val="005C4E9F"/>
    <w:rsid w:val="005C4F73"/>
    <w:rsid w:val="005C5E71"/>
    <w:rsid w:val="005D03AB"/>
    <w:rsid w:val="005D401D"/>
    <w:rsid w:val="005D5017"/>
    <w:rsid w:val="005D63FA"/>
    <w:rsid w:val="005D73C7"/>
    <w:rsid w:val="005E0C2D"/>
    <w:rsid w:val="005E0D82"/>
    <w:rsid w:val="005E1333"/>
    <w:rsid w:val="005E2782"/>
    <w:rsid w:val="005E2BD4"/>
    <w:rsid w:val="005E3136"/>
    <w:rsid w:val="005E507D"/>
    <w:rsid w:val="005F0AD0"/>
    <w:rsid w:val="005F1CA5"/>
    <w:rsid w:val="005F4D4E"/>
    <w:rsid w:val="005F593D"/>
    <w:rsid w:val="00601A91"/>
    <w:rsid w:val="00602BA3"/>
    <w:rsid w:val="00605B63"/>
    <w:rsid w:val="00605F9A"/>
    <w:rsid w:val="00606442"/>
    <w:rsid w:val="00606EED"/>
    <w:rsid w:val="00607CFD"/>
    <w:rsid w:val="00612A95"/>
    <w:rsid w:val="00612E34"/>
    <w:rsid w:val="00614159"/>
    <w:rsid w:val="006157FD"/>
    <w:rsid w:val="006158A3"/>
    <w:rsid w:val="00616C5F"/>
    <w:rsid w:val="00616DAC"/>
    <w:rsid w:val="00617725"/>
    <w:rsid w:val="00617C00"/>
    <w:rsid w:val="00621D65"/>
    <w:rsid w:val="00623172"/>
    <w:rsid w:val="00623C01"/>
    <w:rsid w:val="006263BF"/>
    <w:rsid w:val="00626CD7"/>
    <w:rsid w:val="0062748A"/>
    <w:rsid w:val="00630A2C"/>
    <w:rsid w:val="006352E6"/>
    <w:rsid w:val="00635772"/>
    <w:rsid w:val="0063682E"/>
    <w:rsid w:val="00640088"/>
    <w:rsid w:val="00642672"/>
    <w:rsid w:val="00642DA8"/>
    <w:rsid w:val="006436CD"/>
    <w:rsid w:val="00645D23"/>
    <w:rsid w:val="00645DFD"/>
    <w:rsid w:val="00651169"/>
    <w:rsid w:val="00653D69"/>
    <w:rsid w:val="006552E6"/>
    <w:rsid w:val="00655794"/>
    <w:rsid w:val="00655851"/>
    <w:rsid w:val="0065773E"/>
    <w:rsid w:val="00657C63"/>
    <w:rsid w:val="00661CBC"/>
    <w:rsid w:val="0066212F"/>
    <w:rsid w:val="006628A9"/>
    <w:rsid w:val="00662B85"/>
    <w:rsid w:val="006648B5"/>
    <w:rsid w:val="0066546F"/>
    <w:rsid w:val="00666038"/>
    <w:rsid w:val="00666C49"/>
    <w:rsid w:val="006670BE"/>
    <w:rsid w:val="00667AA5"/>
    <w:rsid w:val="00670A76"/>
    <w:rsid w:val="006711AA"/>
    <w:rsid w:val="00672B57"/>
    <w:rsid w:val="00673F1F"/>
    <w:rsid w:val="006749F9"/>
    <w:rsid w:val="00675622"/>
    <w:rsid w:val="006770B5"/>
    <w:rsid w:val="0067747D"/>
    <w:rsid w:val="006775B1"/>
    <w:rsid w:val="0068077C"/>
    <w:rsid w:val="006818D5"/>
    <w:rsid w:val="00681CA4"/>
    <w:rsid w:val="006822BD"/>
    <w:rsid w:val="00687BFF"/>
    <w:rsid w:val="0069039D"/>
    <w:rsid w:val="006906DB"/>
    <w:rsid w:val="00691900"/>
    <w:rsid w:val="00691E6C"/>
    <w:rsid w:val="0069342D"/>
    <w:rsid w:val="00693DFB"/>
    <w:rsid w:val="0069501D"/>
    <w:rsid w:val="006960B0"/>
    <w:rsid w:val="00696129"/>
    <w:rsid w:val="00697CF2"/>
    <w:rsid w:val="006A12A5"/>
    <w:rsid w:val="006A2515"/>
    <w:rsid w:val="006A5E20"/>
    <w:rsid w:val="006A7F2F"/>
    <w:rsid w:val="006B0D94"/>
    <w:rsid w:val="006B14FA"/>
    <w:rsid w:val="006B45A1"/>
    <w:rsid w:val="006B485D"/>
    <w:rsid w:val="006B4BD1"/>
    <w:rsid w:val="006B5831"/>
    <w:rsid w:val="006B6F1D"/>
    <w:rsid w:val="006B7352"/>
    <w:rsid w:val="006C0C45"/>
    <w:rsid w:val="006C334C"/>
    <w:rsid w:val="006C5B33"/>
    <w:rsid w:val="006C6C10"/>
    <w:rsid w:val="006C708E"/>
    <w:rsid w:val="006C73F3"/>
    <w:rsid w:val="006D14E7"/>
    <w:rsid w:val="006D409C"/>
    <w:rsid w:val="006D4444"/>
    <w:rsid w:val="006D6493"/>
    <w:rsid w:val="006D6EC7"/>
    <w:rsid w:val="006E0D60"/>
    <w:rsid w:val="006E0FBE"/>
    <w:rsid w:val="006E1BCD"/>
    <w:rsid w:val="006E2732"/>
    <w:rsid w:val="006E30B9"/>
    <w:rsid w:val="006E59CD"/>
    <w:rsid w:val="006E7B99"/>
    <w:rsid w:val="006F0A71"/>
    <w:rsid w:val="006F40C2"/>
    <w:rsid w:val="006F411A"/>
    <w:rsid w:val="006F5125"/>
    <w:rsid w:val="006F7104"/>
    <w:rsid w:val="006F733D"/>
    <w:rsid w:val="00702B6F"/>
    <w:rsid w:val="007038AD"/>
    <w:rsid w:val="00704069"/>
    <w:rsid w:val="00705D53"/>
    <w:rsid w:val="00706A2F"/>
    <w:rsid w:val="00706CB3"/>
    <w:rsid w:val="0070718E"/>
    <w:rsid w:val="00707354"/>
    <w:rsid w:val="00707E52"/>
    <w:rsid w:val="00710259"/>
    <w:rsid w:val="0071031F"/>
    <w:rsid w:val="00710C00"/>
    <w:rsid w:val="007129F8"/>
    <w:rsid w:val="0071340B"/>
    <w:rsid w:val="00713792"/>
    <w:rsid w:val="0071436D"/>
    <w:rsid w:val="00715BBB"/>
    <w:rsid w:val="007174BB"/>
    <w:rsid w:val="0072025D"/>
    <w:rsid w:val="00722859"/>
    <w:rsid w:val="00722E60"/>
    <w:rsid w:val="00723328"/>
    <w:rsid w:val="007276B4"/>
    <w:rsid w:val="0073137C"/>
    <w:rsid w:val="007337E0"/>
    <w:rsid w:val="007340B9"/>
    <w:rsid w:val="007353D3"/>
    <w:rsid w:val="0074156B"/>
    <w:rsid w:val="00741619"/>
    <w:rsid w:val="00747092"/>
    <w:rsid w:val="00751FF1"/>
    <w:rsid w:val="007526E6"/>
    <w:rsid w:val="00754DF9"/>
    <w:rsid w:val="007555E8"/>
    <w:rsid w:val="00755CC5"/>
    <w:rsid w:val="0076420C"/>
    <w:rsid w:val="00771D07"/>
    <w:rsid w:val="00773BE3"/>
    <w:rsid w:val="007743DD"/>
    <w:rsid w:val="00774465"/>
    <w:rsid w:val="00774E2C"/>
    <w:rsid w:val="0077518D"/>
    <w:rsid w:val="007753C2"/>
    <w:rsid w:val="00777E18"/>
    <w:rsid w:val="007838B8"/>
    <w:rsid w:val="00784219"/>
    <w:rsid w:val="007915BA"/>
    <w:rsid w:val="00791844"/>
    <w:rsid w:val="007979BD"/>
    <w:rsid w:val="007A5F69"/>
    <w:rsid w:val="007A6A2F"/>
    <w:rsid w:val="007B024E"/>
    <w:rsid w:val="007B3DDC"/>
    <w:rsid w:val="007B67C9"/>
    <w:rsid w:val="007B72A6"/>
    <w:rsid w:val="007C06D2"/>
    <w:rsid w:val="007C08E0"/>
    <w:rsid w:val="007C0F57"/>
    <w:rsid w:val="007C40B6"/>
    <w:rsid w:val="007C5E8B"/>
    <w:rsid w:val="007C729F"/>
    <w:rsid w:val="007D503D"/>
    <w:rsid w:val="007D5864"/>
    <w:rsid w:val="007D59E7"/>
    <w:rsid w:val="007D5F2A"/>
    <w:rsid w:val="007E1D28"/>
    <w:rsid w:val="007F0021"/>
    <w:rsid w:val="007F0312"/>
    <w:rsid w:val="007F1B32"/>
    <w:rsid w:val="007F2641"/>
    <w:rsid w:val="007F2F58"/>
    <w:rsid w:val="007F7C36"/>
    <w:rsid w:val="008055AF"/>
    <w:rsid w:val="008057CD"/>
    <w:rsid w:val="00806796"/>
    <w:rsid w:val="00810167"/>
    <w:rsid w:val="00811CC0"/>
    <w:rsid w:val="00813DAA"/>
    <w:rsid w:val="008147AE"/>
    <w:rsid w:val="008151D6"/>
    <w:rsid w:val="008164DF"/>
    <w:rsid w:val="00821527"/>
    <w:rsid w:val="00822696"/>
    <w:rsid w:val="00825A6C"/>
    <w:rsid w:val="008260BB"/>
    <w:rsid w:val="0082617E"/>
    <w:rsid w:val="008268BB"/>
    <w:rsid w:val="00826910"/>
    <w:rsid w:val="00826F6D"/>
    <w:rsid w:val="008306F3"/>
    <w:rsid w:val="0083071D"/>
    <w:rsid w:val="00830E40"/>
    <w:rsid w:val="00832D9A"/>
    <w:rsid w:val="00833EDC"/>
    <w:rsid w:val="00835C62"/>
    <w:rsid w:val="0083662A"/>
    <w:rsid w:val="008368A1"/>
    <w:rsid w:val="008403BF"/>
    <w:rsid w:val="00840EF7"/>
    <w:rsid w:val="00841F33"/>
    <w:rsid w:val="00844C0A"/>
    <w:rsid w:val="00846056"/>
    <w:rsid w:val="0084681F"/>
    <w:rsid w:val="00847EC0"/>
    <w:rsid w:val="0085419F"/>
    <w:rsid w:val="00855FD6"/>
    <w:rsid w:val="00856DDD"/>
    <w:rsid w:val="00863E68"/>
    <w:rsid w:val="008647B5"/>
    <w:rsid w:val="00864AB9"/>
    <w:rsid w:val="00867D64"/>
    <w:rsid w:val="00875DCB"/>
    <w:rsid w:val="0087755A"/>
    <w:rsid w:val="00880AF3"/>
    <w:rsid w:val="00882085"/>
    <w:rsid w:val="0088279C"/>
    <w:rsid w:val="00883188"/>
    <w:rsid w:val="00884A0C"/>
    <w:rsid w:val="00886ACA"/>
    <w:rsid w:val="0089031E"/>
    <w:rsid w:val="0089460B"/>
    <w:rsid w:val="00897D58"/>
    <w:rsid w:val="00897F22"/>
    <w:rsid w:val="008A0B39"/>
    <w:rsid w:val="008A17A3"/>
    <w:rsid w:val="008A1956"/>
    <w:rsid w:val="008A1E85"/>
    <w:rsid w:val="008A2419"/>
    <w:rsid w:val="008A4937"/>
    <w:rsid w:val="008A50F1"/>
    <w:rsid w:val="008A59D9"/>
    <w:rsid w:val="008A643E"/>
    <w:rsid w:val="008A6819"/>
    <w:rsid w:val="008B1B32"/>
    <w:rsid w:val="008B2074"/>
    <w:rsid w:val="008B2EC0"/>
    <w:rsid w:val="008B6DCF"/>
    <w:rsid w:val="008D0945"/>
    <w:rsid w:val="008D1003"/>
    <w:rsid w:val="008D1409"/>
    <w:rsid w:val="008D15CC"/>
    <w:rsid w:val="008D1729"/>
    <w:rsid w:val="008D1B5C"/>
    <w:rsid w:val="008D3C82"/>
    <w:rsid w:val="008D3FC7"/>
    <w:rsid w:val="008D447E"/>
    <w:rsid w:val="008D650D"/>
    <w:rsid w:val="008D6ACF"/>
    <w:rsid w:val="008D7A41"/>
    <w:rsid w:val="008E0299"/>
    <w:rsid w:val="008E0570"/>
    <w:rsid w:val="008E2C72"/>
    <w:rsid w:val="008E2D5C"/>
    <w:rsid w:val="008E3448"/>
    <w:rsid w:val="008E3680"/>
    <w:rsid w:val="008E3C38"/>
    <w:rsid w:val="008E45EC"/>
    <w:rsid w:val="008E5870"/>
    <w:rsid w:val="008E77E4"/>
    <w:rsid w:val="008F0213"/>
    <w:rsid w:val="008F07ED"/>
    <w:rsid w:val="008F11F8"/>
    <w:rsid w:val="008F1434"/>
    <w:rsid w:val="008F1E5D"/>
    <w:rsid w:val="008F2BB9"/>
    <w:rsid w:val="008F3D6A"/>
    <w:rsid w:val="008F54C3"/>
    <w:rsid w:val="008F6D08"/>
    <w:rsid w:val="008F7355"/>
    <w:rsid w:val="009023DC"/>
    <w:rsid w:val="0090242D"/>
    <w:rsid w:val="009027C5"/>
    <w:rsid w:val="00904413"/>
    <w:rsid w:val="00905BB7"/>
    <w:rsid w:val="009067B7"/>
    <w:rsid w:val="00906D30"/>
    <w:rsid w:val="0090775A"/>
    <w:rsid w:val="00907A02"/>
    <w:rsid w:val="00907DFD"/>
    <w:rsid w:val="00914ACA"/>
    <w:rsid w:val="0091747D"/>
    <w:rsid w:val="00917D69"/>
    <w:rsid w:val="0092082C"/>
    <w:rsid w:val="00920B6D"/>
    <w:rsid w:val="00922653"/>
    <w:rsid w:val="00924C0E"/>
    <w:rsid w:val="00926560"/>
    <w:rsid w:val="00926B15"/>
    <w:rsid w:val="00930291"/>
    <w:rsid w:val="00930937"/>
    <w:rsid w:val="00930BB1"/>
    <w:rsid w:val="009324A6"/>
    <w:rsid w:val="009335C1"/>
    <w:rsid w:val="00933E6C"/>
    <w:rsid w:val="00935A6E"/>
    <w:rsid w:val="00937958"/>
    <w:rsid w:val="009401E6"/>
    <w:rsid w:val="00940300"/>
    <w:rsid w:val="009406E5"/>
    <w:rsid w:val="00941602"/>
    <w:rsid w:val="00942160"/>
    <w:rsid w:val="00942D6F"/>
    <w:rsid w:val="00946921"/>
    <w:rsid w:val="009510A8"/>
    <w:rsid w:val="0095146F"/>
    <w:rsid w:val="00954840"/>
    <w:rsid w:val="00957944"/>
    <w:rsid w:val="009602C5"/>
    <w:rsid w:val="00961A44"/>
    <w:rsid w:val="00962223"/>
    <w:rsid w:val="0096252B"/>
    <w:rsid w:val="0096593B"/>
    <w:rsid w:val="00966D0D"/>
    <w:rsid w:val="00967732"/>
    <w:rsid w:val="0096783C"/>
    <w:rsid w:val="00967ED0"/>
    <w:rsid w:val="00970271"/>
    <w:rsid w:val="009722B3"/>
    <w:rsid w:val="00972CA9"/>
    <w:rsid w:val="00973E24"/>
    <w:rsid w:val="00974B23"/>
    <w:rsid w:val="00974C21"/>
    <w:rsid w:val="00975948"/>
    <w:rsid w:val="00977BF3"/>
    <w:rsid w:val="00977E07"/>
    <w:rsid w:val="009803E4"/>
    <w:rsid w:val="00980B0E"/>
    <w:rsid w:val="00981B72"/>
    <w:rsid w:val="009829B2"/>
    <w:rsid w:val="009836A3"/>
    <w:rsid w:val="009844C3"/>
    <w:rsid w:val="009855A8"/>
    <w:rsid w:val="009858F0"/>
    <w:rsid w:val="00985D1A"/>
    <w:rsid w:val="00986A10"/>
    <w:rsid w:val="00990024"/>
    <w:rsid w:val="009913F4"/>
    <w:rsid w:val="00991782"/>
    <w:rsid w:val="00992B88"/>
    <w:rsid w:val="009937F7"/>
    <w:rsid w:val="0099465B"/>
    <w:rsid w:val="009951A1"/>
    <w:rsid w:val="00996C89"/>
    <w:rsid w:val="00997A44"/>
    <w:rsid w:val="009A02F7"/>
    <w:rsid w:val="009A0CDD"/>
    <w:rsid w:val="009A26E4"/>
    <w:rsid w:val="009A3168"/>
    <w:rsid w:val="009A5A5C"/>
    <w:rsid w:val="009A5D04"/>
    <w:rsid w:val="009A61CA"/>
    <w:rsid w:val="009B0C64"/>
    <w:rsid w:val="009B0F67"/>
    <w:rsid w:val="009B25F2"/>
    <w:rsid w:val="009B3F8C"/>
    <w:rsid w:val="009B750F"/>
    <w:rsid w:val="009C41E2"/>
    <w:rsid w:val="009C5B72"/>
    <w:rsid w:val="009C703C"/>
    <w:rsid w:val="009D1C50"/>
    <w:rsid w:val="009D206E"/>
    <w:rsid w:val="009D3CAA"/>
    <w:rsid w:val="009D55E2"/>
    <w:rsid w:val="009D6532"/>
    <w:rsid w:val="009D71FD"/>
    <w:rsid w:val="009D7B02"/>
    <w:rsid w:val="009E2588"/>
    <w:rsid w:val="009E2E8E"/>
    <w:rsid w:val="009E40E1"/>
    <w:rsid w:val="009E6D02"/>
    <w:rsid w:val="009F0EFA"/>
    <w:rsid w:val="009F4A32"/>
    <w:rsid w:val="009F4E46"/>
    <w:rsid w:val="009F5B65"/>
    <w:rsid w:val="009F5F2E"/>
    <w:rsid w:val="00A01432"/>
    <w:rsid w:val="00A02B48"/>
    <w:rsid w:val="00A04843"/>
    <w:rsid w:val="00A05733"/>
    <w:rsid w:val="00A06225"/>
    <w:rsid w:val="00A0658C"/>
    <w:rsid w:val="00A0733F"/>
    <w:rsid w:val="00A07C4C"/>
    <w:rsid w:val="00A110D1"/>
    <w:rsid w:val="00A12587"/>
    <w:rsid w:val="00A125E3"/>
    <w:rsid w:val="00A128E6"/>
    <w:rsid w:val="00A1369B"/>
    <w:rsid w:val="00A144D3"/>
    <w:rsid w:val="00A21080"/>
    <w:rsid w:val="00A22AC3"/>
    <w:rsid w:val="00A23F3F"/>
    <w:rsid w:val="00A24067"/>
    <w:rsid w:val="00A24A4B"/>
    <w:rsid w:val="00A25C1F"/>
    <w:rsid w:val="00A2744D"/>
    <w:rsid w:val="00A30BB8"/>
    <w:rsid w:val="00A30D16"/>
    <w:rsid w:val="00A33732"/>
    <w:rsid w:val="00A34E6C"/>
    <w:rsid w:val="00A34FD0"/>
    <w:rsid w:val="00A36398"/>
    <w:rsid w:val="00A37697"/>
    <w:rsid w:val="00A37C8D"/>
    <w:rsid w:val="00A4020E"/>
    <w:rsid w:val="00A40FB5"/>
    <w:rsid w:val="00A42826"/>
    <w:rsid w:val="00A429B3"/>
    <w:rsid w:val="00A43B76"/>
    <w:rsid w:val="00A44EC1"/>
    <w:rsid w:val="00A510E4"/>
    <w:rsid w:val="00A5243C"/>
    <w:rsid w:val="00A5273B"/>
    <w:rsid w:val="00A53A9D"/>
    <w:rsid w:val="00A55FEE"/>
    <w:rsid w:val="00A57422"/>
    <w:rsid w:val="00A62C1A"/>
    <w:rsid w:val="00A6426D"/>
    <w:rsid w:val="00A665C1"/>
    <w:rsid w:val="00A673A4"/>
    <w:rsid w:val="00A67664"/>
    <w:rsid w:val="00A7001A"/>
    <w:rsid w:val="00A70026"/>
    <w:rsid w:val="00A70622"/>
    <w:rsid w:val="00A70977"/>
    <w:rsid w:val="00A70D58"/>
    <w:rsid w:val="00A73D30"/>
    <w:rsid w:val="00A744F9"/>
    <w:rsid w:val="00A77613"/>
    <w:rsid w:val="00A77B87"/>
    <w:rsid w:val="00A81851"/>
    <w:rsid w:val="00A8390C"/>
    <w:rsid w:val="00A86AE0"/>
    <w:rsid w:val="00A91362"/>
    <w:rsid w:val="00A9151C"/>
    <w:rsid w:val="00A919C6"/>
    <w:rsid w:val="00A927CB"/>
    <w:rsid w:val="00A928BD"/>
    <w:rsid w:val="00A9442F"/>
    <w:rsid w:val="00A950AA"/>
    <w:rsid w:val="00A97DE9"/>
    <w:rsid w:val="00AA12CD"/>
    <w:rsid w:val="00AA4D1C"/>
    <w:rsid w:val="00AA52FD"/>
    <w:rsid w:val="00AA7006"/>
    <w:rsid w:val="00AA7B1D"/>
    <w:rsid w:val="00AB5856"/>
    <w:rsid w:val="00AC193C"/>
    <w:rsid w:val="00AC30C1"/>
    <w:rsid w:val="00AC4DE5"/>
    <w:rsid w:val="00AC4E19"/>
    <w:rsid w:val="00AC5206"/>
    <w:rsid w:val="00AD3106"/>
    <w:rsid w:val="00AD4322"/>
    <w:rsid w:val="00AE11A5"/>
    <w:rsid w:val="00AE13E2"/>
    <w:rsid w:val="00AE22D3"/>
    <w:rsid w:val="00AE5A49"/>
    <w:rsid w:val="00AF11D8"/>
    <w:rsid w:val="00AF5867"/>
    <w:rsid w:val="00AF62DF"/>
    <w:rsid w:val="00AF68CC"/>
    <w:rsid w:val="00AF70D7"/>
    <w:rsid w:val="00B00087"/>
    <w:rsid w:val="00B00534"/>
    <w:rsid w:val="00B01FF4"/>
    <w:rsid w:val="00B0326D"/>
    <w:rsid w:val="00B04DAE"/>
    <w:rsid w:val="00B0509C"/>
    <w:rsid w:val="00B06478"/>
    <w:rsid w:val="00B07533"/>
    <w:rsid w:val="00B07CFB"/>
    <w:rsid w:val="00B1059E"/>
    <w:rsid w:val="00B14A36"/>
    <w:rsid w:val="00B1572A"/>
    <w:rsid w:val="00B16273"/>
    <w:rsid w:val="00B170A5"/>
    <w:rsid w:val="00B176C8"/>
    <w:rsid w:val="00B17EE5"/>
    <w:rsid w:val="00B2002E"/>
    <w:rsid w:val="00B205AA"/>
    <w:rsid w:val="00B22E84"/>
    <w:rsid w:val="00B233AD"/>
    <w:rsid w:val="00B23E25"/>
    <w:rsid w:val="00B25F75"/>
    <w:rsid w:val="00B26B3F"/>
    <w:rsid w:val="00B2778F"/>
    <w:rsid w:val="00B311AC"/>
    <w:rsid w:val="00B327E2"/>
    <w:rsid w:val="00B33635"/>
    <w:rsid w:val="00B342AE"/>
    <w:rsid w:val="00B35648"/>
    <w:rsid w:val="00B42AF4"/>
    <w:rsid w:val="00B43E90"/>
    <w:rsid w:val="00B467DC"/>
    <w:rsid w:val="00B4700B"/>
    <w:rsid w:val="00B5392A"/>
    <w:rsid w:val="00B53CFD"/>
    <w:rsid w:val="00B56118"/>
    <w:rsid w:val="00B566E1"/>
    <w:rsid w:val="00B57CD8"/>
    <w:rsid w:val="00B60AB6"/>
    <w:rsid w:val="00B6773F"/>
    <w:rsid w:val="00B70EB3"/>
    <w:rsid w:val="00B7286D"/>
    <w:rsid w:val="00B72906"/>
    <w:rsid w:val="00B73216"/>
    <w:rsid w:val="00B743AB"/>
    <w:rsid w:val="00B74574"/>
    <w:rsid w:val="00B7496F"/>
    <w:rsid w:val="00B7525E"/>
    <w:rsid w:val="00B760FB"/>
    <w:rsid w:val="00B76766"/>
    <w:rsid w:val="00B767AB"/>
    <w:rsid w:val="00B801BA"/>
    <w:rsid w:val="00B812D6"/>
    <w:rsid w:val="00B84D5C"/>
    <w:rsid w:val="00B85AF6"/>
    <w:rsid w:val="00B94032"/>
    <w:rsid w:val="00B956ED"/>
    <w:rsid w:val="00BA2DA8"/>
    <w:rsid w:val="00BA347C"/>
    <w:rsid w:val="00BB17F1"/>
    <w:rsid w:val="00BB26C8"/>
    <w:rsid w:val="00BB3469"/>
    <w:rsid w:val="00BB349B"/>
    <w:rsid w:val="00BB5C49"/>
    <w:rsid w:val="00BB6240"/>
    <w:rsid w:val="00BB6285"/>
    <w:rsid w:val="00BB69F5"/>
    <w:rsid w:val="00BB7EC3"/>
    <w:rsid w:val="00BC470E"/>
    <w:rsid w:val="00BC4B9A"/>
    <w:rsid w:val="00BC7838"/>
    <w:rsid w:val="00BD02C3"/>
    <w:rsid w:val="00BD1A90"/>
    <w:rsid w:val="00BD3E47"/>
    <w:rsid w:val="00BD7483"/>
    <w:rsid w:val="00BD784C"/>
    <w:rsid w:val="00BE020A"/>
    <w:rsid w:val="00BE13DF"/>
    <w:rsid w:val="00BE25D7"/>
    <w:rsid w:val="00BF0927"/>
    <w:rsid w:val="00BF092C"/>
    <w:rsid w:val="00BF0DD0"/>
    <w:rsid w:val="00BF27A0"/>
    <w:rsid w:val="00BF4CB6"/>
    <w:rsid w:val="00C00DA7"/>
    <w:rsid w:val="00C04CDE"/>
    <w:rsid w:val="00C064D5"/>
    <w:rsid w:val="00C068A6"/>
    <w:rsid w:val="00C12768"/>
    <w:rsid w:val="00C12D70"/>
    <w:rsid w:val="00C13DDC"/>
    <w:rsid w:val="00C16724"/>
    <w:rsid w:val="00C21B09"/>
    <w:rsid w:val="00C2673A"/>
    <w:rsid w:val="00C27B58"/>
    <w:rsid w:val="00C27E4B"/>
    <w:rsid w:val="00C33186"/>
    <w:rsid w:val="00C34897"/>
    <w:rsid w:val="00C35996"/>
    <w:rsid w:val="00C459F9"/>
    <w:rsid w:val="00C4747E"/>
    <w:rsid w:val="00C50162"/>
    <w:rsid w:val="00C5151E"/>
    <w:rsid w:val="00C5342C"/>
    <w:rsid w:val="00C53B2B"/>
    <w:rsid w:val="00C57465"/>
    <w:rsid w:val="00C60272"/>
    <w:rsid w:val="00C603D4"/>
    <w:rsid w:val="00C61495"/>
    <w:rsid w:val="00C6256A"/>
    <w:rsid w:val="00C62DE6"/>
    <w:rsid w:val="00C63D4E"/>
    <w:rsid w:val="00C64EBC"/>
    <w:rsid w:val="00C664D2"/>
    <w:rsid w:val="00C710E2"/>
    <w:rsid w:val="00C71C3F"/>
    <w:rsid w:val="00C73516"/>
    <w:rsid w:val="00C7409E"/>
    <w:rsid w:val="00C74A74"/>
    <w:rsid w:val="00C74D6D"/>
    <w:rsid w:val="00C76657"/>
    <w:rsid w:val="00C76E76"/>
    <w:rsid w:val="00C77891"/>
    <w:rsid w:val="00C829A9"/>
    <w:rsid w:val="00C8317D"/>
    <w:rsid w:val="00C84814"/>
    <w:rsid w:val="00C87B80"/>
    <w:rsid w:val="00C87FC6"/>
    <w:rsid w:val="00C91449"/>
    <w:rsid w:val="00C92D10"/>
    <w:rsid w:val="00C965A1"/>
    <w:rsid w:val="00CA431E"/>
    <w:rsid w:val="00CA48D9"/>
    <w:rsid w:val="00CB1193"/>
    <w:rsid w:val="00CB2D82"/>
    <w:rsid w:val="00CB4767"/>
    <w:rsid w:val="00CB476C"/>
    <w:rsid w:val="00CB493D"/>
    <w:rsid w:val="00CC3B97"/>
    <w:rsid w:val="00CC3CA3"/>
    <w:rsid w:val="00CD0AC7"/>
    <w:rsid w:val="00CD0D51"/>
    <w:rsid w:val="00CD7C0B"/>
    <w:rsid w:val="00CE0C18"/>
    <w:rsid w:val="00CE10C4"/>
    <w:rsid w:val="00CE27B5"/>
    <w:rsid w:val="00CE6D35"/>
    <w:rsid w:val="00CE6DAF"/>
    <w:rsid w:val="00CE77D0"/>
    <w:rsid w:val="00CF066B"/>
    <w:rsid w:val="00CF12E9"/>
    <w:rsid w:val="00CF410A"/>
    <w:rsid w:val="00D0321E"/>
    <w:rsid w:val="00D03BE6"/>
    <w:rsid w:val="00D04DB4"/>
    <w:rsid w:val="00D069D8"/>
    <w:rsid w:val="00D069EB"/>
    <w:rsid w:val="00D07A8A"/>
    <w:rsid w:val="00D11199"/>
    <w:rsid w:val="00D115A5"/>
    <w:rsid w:val="00D1219E"/>
    <w:rsid w:val="00D1455A"/>
    <w:rsid w:val="00D14A70"/>
    <w:rsid w:val="00D22093"/>
    <w:rsid w:val="00D31150"/>
    <w:rsid w:val="00D3138B"/>
    <w:rsid w:val="00D31FCE"/>
    <w:rsid w:val="00D3280C"/>
    <w:rsid w:val="00D3297F"/>
    <w:rsid w:val="00D34011"/>
    <w:rsid w:val="00D3406A"/>
    <w:rsid w:val="00D40B11"/>
    <w:rsid w:val="00D429EC"/>
    <w:rsid w:val="00D43F05"/>
    <w:rsid w:val="00D441F1"/>
    <w:rsid w:val="00D4572C"/>
    <w:rsid w:val="00D469B2"/>
    <w:rsid w:val="00D54B09"/>
    <w:rsid w:val="00D60E54"/>
    <w:rsid w:val="00D6243E"/>
    <w:rsid w:val="00D631E5"/>
    <w:rsid w:val="00D65658"/>
    <w:rsid w:val="00D67EB2"/>
    <w:rsid w:val="00D72B6F"/>
    <w:rsid w:val="00D741EB"/>
    <w:rsid w:val="00D762E3"/>
    <w:rsid w:val="00D7679C"/>
    <w:rsid w:val="00D820F3"/>
    <w:rsid w:val="00D83605"/>
    <w:rsid w:val="00D84934"/>
    <w:rsid w:val="00D85B4A"/>
    <w:rsid w:val="00D866EB"/>
    <w:rsid w:val="00D87D1A"/>
    <w:rsid w:val="00D91271"/>
    <w:rsid w:val="00D9172A"/>
    <w:rsid w:val="00D919F5"/>
    <w:rsid w:val="00D9298B"/>
    <w:rsid w:val="00D92A46"/>
    <w:rsid w:val="00D9401A"/>
    <w:rsid w:val="00D945F6"/>
    <w:rsid w:val="00D94F03"/>
    <w:rsid w:val="00D95161"/>
    <w:rsid w:val="00D95AB5"/>
    <w:rsid w:val="00DA0A82"/>
    <w:rsid w:val="00DA0D14"/>
    <w:rsid w:val="00DA0F23"/>
    <w:rsid w:val="00DA1FC9"/>
    <w:rsid w:val="00DA2CB5"/>
    <w:rsid w:val="00DA4BAC"/>
    <w:rsid w:val="00DB0151"/>
    <w:rsid w:val="00DB0206"/>
    <w:rsid w:val="00DB0C9C"/>
    <w:rsid w:val="00DB3E29"/>
    <w:rsid w:val="00DB50E1"/>
    <w:rsid w:val="00DB5102"/>
    <w:rsid w:val="00DC0566"/>
    <w:rsid w:val="00DC1499"/>
    <w:rsid w:val="00DC2B01"/>
    <w:rsid w:val="00DC2C3E"/>
    <w:rsid w:val="00DC3137"/>
    <w:rsid w:val="00DC39D9"/>
    <w:rsid w:val="00DC4880"/>
    <w:rsid w:val="00DC5F7B"/>
    <w:rsid w:val="00DC6911"/>
    <w:rsid w:val="00DC70FE"/>
    <w:rsid w:val="00DD42AB"/>
    <w:rsid w:val="00DD5C35"/>
    <w:rsid w:val="00DE06AF"/>
    <w:rsid w:val="00DE1E86"/>
    <w:rsid w:val="00DE2396"/>
    <w:rsid w:val="00DE616E"/>
    <w:rsid w:val="00DE6D27"/>
    <w:rsid w:val="00DF01F8"/>
    <w:rsid w:val="00DF021D"/>
    <w:rsid w:val="00DF217D"/>
    <w:rsid w:val="00DF26A7"/>
    <w:rsid w:val="00DF3277"/>
    <w:rsid w:val="00DF37AD"/>
    <w:rsid w:val="00DF4821"/>
    <w:rsid w:val="00DF5714"/>
    <w:rsid w:val="00DF77A1"/>
    <w:rsid w:val="00DF7919"/>
    <w:rsid w:val="00E0207E"/>
    <w:rsid w:val="00E02AE6"/>
    <w:rsid w:val="00E02EC5"/>
    <w:rsid w:val="00E02F3C"/>
    <w:rsid w:val="00E03912"/>
    <w:rsid w:val="00E04748"/>
    <w:rsid w:val="00E078D9"/>
    <w:rsid w:val="00E10293"/>
    <w:rsid w:val="00E103A0"/>
    <w:rsid w:val="00E10989"/>
    <w:rsid w:val="00E122C9"/>
    <w:rsid w:val="00E13634"/>
    <w:rsid w:val="00E13E60"/>
    <w:rsid w:val="00E15627"/>
    <w:rsid w:val="00E164B3"/>
    <w:rsid w:val="00E16910"/>
    <w:rsid w:val="00E16C00"/>
    <w:rsid w:val="00E239E2"/>
    <w:rsid w:val="00E24E09"/>
    <w:rsid w:val="00E27234"/>
    <w:rsid w:val="00E316EE"/>
    <w:rsid w:val="00E3495C"/>
    <w:rsid w:val="00E400C7"/>
    <w:rsid w:val="00E42BDB"/>
    <w:rsid w:val="00E563C2"/>
    <w:rsid w:val="00E5726D"/>
    <w:rsid w:val="00E57EEB"/>
    <w:rsid w:val="00E62D94"/>
    <w:rsid w:val="00E64F37"/>
    <w:rsid w:val="00E65091"/>
    <w:rsid w:val="00E65E54"/>
    <w:rsid w:val="00E661C7"/>
    <w:rsid w:val="00E679F0"/>
    <w:rsid w:val="00E702F3"/>
    <w:rsid w:val="00E74E41"/>
    <w:rsid w:val="00E80155"/>
    <w:rsid w:val="00E8134B"/>
    <w:rsid w:val="00E81E0D"/>
    <w:rsid w:val="00E81F28"/>
    <w:rsid w:val="00E848C0"/>
    <w:rsid w:val="00E91B96"/>
    <w:rsid w:val="00E935DA"/>
    <w:rsid w:val="00E93D1E"/>
    <w:rsid w:val="00E941A1"/>
    <w:rsid w:val="00E95CE3"/>
    <w:rsid w:val="00E96128"/>
    <w:rsid w:val="00E97F14"/>
    <w:rsid w:val="00EA0856"/>
    <w:rsid w:val="00EA1437"/>
    <w:rsid w:val="00EA252F"/>
    <w:rsid w:val="00EA2825"/>
    <w:rsid w:val="00EA6518"/>
    <w:rsid w:val="00EA71A2"/>
    <w:rsid w:val="00EA7466"/>
    <w:rsid w:val="00EA7EDE"/>
    <w:rsid w:val="00EB0B63"/>
    <w:rsid w:val="00EB1936"/>
    <w:rsid w:val="00EB2CA4"/>
    <w:rsid w:val="00EB3545"/>
    <w:rsid w:val="00EB37BE"/>
    <w:rsid w:val="00EB4FEF"/>
    <w:rsid w:val="00EB5088"/>
    <w:rsid w:val="00EC2726"/>
    <w:rsid w:val="00EC3C11"/>
    <w:rsid w:val="00EC40E8"/>
    <w:rsid w:val="00ED0CB6"/>
    <w:rsid w:val="00ED1644"/>
    <w:rsid w:val="00ED2593"/>
    <w:rsid w:val="00ED6D02"/>
    <w:rsid w:val="00ED7D55"/>
    <w:rsid w:val="00ED7D9C"/>
    <w:rsid w:val="00EE1701"/>
    <w:rsid w:val="00EE31A2"/>
    <w:rsid w:val="00EE68E3"/>
    <w:rsid w:val="00EF0069"/>
    <w:rsid w:val="00EF44A0"/>
    <w:rsid w:val="00EF4580"/>
    <w:rsid w:val="00EF4BA4"/>
    <w:rsid w:val="00EF4FED"/>
    <w:rsid w:val="00EF51D0"/>
    <w:rsid w:val="00EF5F45"/>
    <w:rsid w:val="00EF6843"/>
    <w:rsid w:val="00EF6FB3"/>
    <w:rsid w:val="00F007C6"/>
    <w:rsid w:val="00F0172E"/>
    <w:rsid w:val="00F01C76"/>
    <w:rsid w:val="00F050BD"/>
    <w:rsid w:val="00F05657"/>
    <w:rsid w:val="00F05AB0"/>
    <w:rsid w:val="00F06638"/>
    <w:rsid w:val="00F06DCC"/>
    <w:rsid w:val="00F07577"/>
    <w:rsid w:val="00F12E16"/>
    <w:rsid w:val="00F153A7"/>
    <w:rsid w:val="00F1559A"/>
    <w:rsid w:val="00F17368"/>
    <w:rsid w:val="00F17ED6"/>
    <w:rsid w:val="00F20676"/>
    <w:rsid w:val="00F209E2"/>
    <w:rsid w:val="00F25578"/>
    <w:rsid w:val="00F258E5"/>
    <w:rsid w:val="00F25B9C"/>
    <w:rsid w:val="00F25ED3"/>
    <w:rsid w:val="00F25FDD"/>
    <w:rsid w:val="00F2675A"/>
    <w:rsid w:val="00F26CC6"/>
    <w:rsid w:val="00F300BC"/>
    <w:rsid w:val="00F3263C"/>
    <w:rsid w:val="00F33329"/>
    <w:rsid w:val="00F3334E"/>
    <w:rsid w:val="00F366BE"/>
    <w:rsid w:val="00F36CCB"/>
    <w:rsid w:val="00F374E5"/>
    <w:rsid w:val="00F37694"/>
    <w:rsid w:val="00F37B93"/>
    <w:rsid w:val="00F37BAD"/>
    <w:rsid w:val="00F37ECA"/>
    <w:rsid w:val="00F400E1"/>
    <w:rsid w:val="00F40A1C"/>
    <w:rsid w:val="00F43AF2"/>
    <w:rsid w:val="00F45216"/>
    <w:rsid w:val="00F45764"/>
    <w:rsid w:val="00F465E2"/>
    <w:rsid w:val="00F5007E"/>
    <w:rsid w:val="00F50EC4"/>
    <w:rsid w:val="00F52232"/>
    <w:rsid w:val="00F52DC2"/>
    <w:rsid w:val="00F54ECA"/>
    <w:rsid w:val="00F550CF"/>
    <w:rsid w:val="00F553D2"/>
    <w:rsid w:val="00F57A6D"/>
    <w:rsid w:val="00F6244E"/>
    <w:rsid w:val="00F62F19"/>
    <w:rsid w:val="00F638CC"/>
    <w:rsid w:val="00F64C9E"/>
    <w:rsid w:val="00F64CC1"/>
    <w:rsid w:val="00F64DB6"/>
    <w:rsid w:val="00F72317"/>
    <w:rsid w:val="00F73DC1"/>
    <w:rsid w:val="00F7499A"/>
    <w:rsid w:val="00F75BB8"/>
    <w:rsid w:val="00F76A84"/>
    <w:rsid w:val="00F80469"/>
    <w:rsid w:val="00F80475"/>
    <w:rsid w:val="00F81390"/>
    <w:rsid w:val="00F81F7A"/>
    <w:rsid w:val="00F8247A"/>
    <w:rsid w:val="00F82E5C"/>
    <w:rsid w:val="00F83F58"/>
    <w:rsid w:val="00F87CEA"/>
    <w:rsid w:val="00F92F97"/>
    <w:rsid w:val="00F9629A"/>
    <w:rsid w:val="00F97EFC"/>
    <w:rsid w:val="00FA0C7C"/>
    <w:rsid w:val="00FA1BDD"/>
    <w:rsid w:val="00FA305C"/>
    <w:rsid w:val="00FA3C24"/>
    <w:rsid w:val="00FA462E"/>
    <w:rsid w:val="00FA4A4A"/>
    <w:rsid w:val="00FA4DD5"/>
    <w:rsid w:val="00FA5883"/>
    <w:rsid w:val="00FA5B70"/>
    <w:rsid w:val="00FA6055"/>
    <w:rsid w:val="00FA632D"/>
    <w:rsid w:val="00FB0B39"/>
    <w:rsid w:val="00FB13D0"/>
    <w:rsid w:val="00FB2355"/>
    <w:rsid w:val="00FB322F"/>
    <w:rsid w:val="00FB442F"/>
    <w:rsid w:val="00FB4C90"/>
    <w:rsid w:val="00FB6214"/>
    <w:rsid w:val="00FC0696"/>
    <w:rsid w:val="00FC118C"/>
    <w:rsid w:val="00FC1929"/>
    <w:rsid w:val="00FC3501"/>
    <w:rsid w:val="00FC5B46"/>
    <w:rsid w:val="00FD0B5B"/>
    <w:rsid w:val="00FD0DCB"/>
    <w:rsid w:val="00FD1D4F"/>
    <w:rsid w:val="00FD24BF"/>
    <w:rsid w:val="00FD3B6E"/>
    <w:rsid w:val="00FD4A86"/>
    <w:rsid w:val="00FD4BEB"/>
    <w:rsid w:val="00FD57EB"/>
    <w:rsid w:val="00FD6D8E"/>
    <w:rsid w:val="00FE0663"/>
    <w:rsid w:val="00FE0E94"/>
    <w:rsid w:val="00FE369C"/>
    <w:rsid w:val="00FE3CD9"/>
    <w:rsid w:val="00FE4F6D"/>
    <w:rsid w:val="00FE57B2"/>
    <w:rsid w:val="00FE69AC"/>
    <w:rsid w:val="00FF00BD"/>
    <w:rsid w:val="00FF0B13"/>
    <w:rsid w:val="00FF1ED4"/>
    <w:rsid w:val="00FF2801"/>
    <w:rsid w:val="00FF280A"/>
    <w:rsid w:val="00FF357B"/>
    <w:rsid w:val="00FF6A98"/>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Table Legend,Bullet1,Bullet 1,Bullet List,Section 5,Figure_name,Numbered Indented Text,List NUmber"/>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Table Legend Char,Bullet1 Char,Bullet 1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CMA Table Template,ASD Table,Header Table,NICE instructions,Source table_,HealthConsult"/>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nhideWhenUsed/>
    <w:qFormat/>
    <w:rsid w:val="00CF066B"/>
    <w:pPr>
      <w:jc w:val="right"/>
    </w:pPr>
  </w:style>
  <w:style w:type="character" w:customStyle="1" w:styleId="HeaderChar">
    <w:name w:val="Header Char"/>
    <w:aliases w:val="Page Header Char,Header title Char,he=header Char,cntr/bld Char"/>
    <w:basedOn w:val="DefaultParagraphFont"/>
    <w:link w:val="Header"/>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NoSpacing">
    <w:name w:val="No Spacing"/>
    <w:basedOn w:val="Normal"/>
    <w:link w:val="NoSpacingChar"/>
    <w:uiPriority w:val="1"/>
    <w:qFormat/>
    <w:rsid w:val="00774465"/>
    <w:rPr>
      <w:rFonts w:ascii="Arial" w:hAnsi="Arial"/>
      <w:sz w:val="22"/>
      <w:szCs w:val="22"/>
    </w:rPr>
  </w:style>
  <w:style w:type="character" w:customStyle="1" w:styleId="NoSpacingChar">
    <w:name w:val="No Spacing Char"/>
    <w:basedOn w:val="DefaultParagraphFont"/>
    <w:link w:val="NoSpacing"/>
    <w:uiPriority w:val="1"/>
    <w:rsid w:val="00774465"/>
    <w:rPr>
      <w:rFonts w:ascii="Arial" w:hAnsi="Arial"/>
      <w:sz w:val="22"/>
      <w:szCs w:val="22"/>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c"/>
    <w:basedOn w:val="Normal"/>
    <w:next w:val="Normal"/>
    <w:link w:val="CaptionChar"/>
    <w:uiPriority w:val="35"/>
    <w:unhideWhenUsed/>
    <w:qFormat/>
    <w:rsid w:val="002D44AD"/>
    <w:pPr>
      <w:spacing w:after="200"/>
    </w:pPr>
    <w:rPr>
      <w:i/>
      <w:iCs/>
      <w:color w:val="1F497D" w:themeColor="text2"/>
      <w:sz w:val="18"/>
      <w:szCs w:val="18"/>
    </w:rPr>
  </w:style>
  <w:style w:type="paragraph" w:customStyle="1" w:styleId="FooterTableFigure">
    <w:name w:val="Footer Table/Figure"/>
    <w:basedOn w:val="Normal"/>
    <w:link w:val="FooterTableFigureChar"/>
    <w:qFormat/>
    <w:rsid w:val="00906D30"/>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906D30"/>
    <w:rPr>
      <w:rFonts w:ascii="Arial Narrow" w:hAnsi="Arial Narrow" w:cs="Arial"/>
      <w:snapToGrid w:val="0"/>
      <w:sz w:val="18"/>
      <w:szCs w:val="22"/>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c Char"/>
    <w:link w:val="Caption"/>
    <w:uiPriority w:val="35"/>
    <w:rsid w:val="00EF4BA4"/>
    <w:rPr>
      <w:rFonts w:ascii="Calibri" w:hAnsi="Calibri"/>
      <w:i/>
      <w:iCs/>
      <w:color w:val="1F497D" w:themeColor="text2"/>
      <w:sz w:val="18"/>
      <w:szCs w:val="18"/>
    </w:rPr>
  </w:style>
  <w:style w:type="character" w:styleId="FootnoteReference">
    <w:name w:val="footnote reference"/>
    <w:basedOn w:val="DefaultParagraphFont"/>
    <w:unhideWhenUsed/>
    <w:rsid w:val="00EF4BA4"/>
    <w:rPr>
      <w:vertAlign w:val="superscript"/>
    </w:rPr>
  </w:style>
  <w:style w:type="paragraph" w:customStyle="1" w:styleId="NormalLetters">
    <w:name w:val="Normal Letters"/>
    <w:basedOn w:val="Normal"/>
    <w:uiPriority w:val="3"/>
    <w:qFormat/>
    <w:rsid w:val="009E6D02"/>
    <w:pPr>
      <w:numPr>
        <w:numId w:val="3"/>
      </w:numPr>
      <w:spacing w:after="240" w:line="276" w:lineRule="auto"/>
      <w:ind w:left="357" w:hanging="357"/>
      <w:contextualSpacing/>
      <w:jc w:val="left"/>
    </w:pPr>
    <w:rPr>
      <w:rFonts w:eastAsiaTheme="majorEastAsia" w:cstheme="majorBidi"/>
      <w:sz w:val="22"/>
      <w:szCs w:val="22"/>
      <w:lang w:eastAsia="en-US" w:bidi="en-US"/>
    </w:rPr>
  </w:style>
  <w:style w:type="paragraph" w:styleId="FootnoteText">
    <w:name w:val="footnote text"/>
    <w:basedOn w:val="Normal"/>
    <w:link w:val="FootnoteTextChar"/>
    <w:semiHidden/>
    <w:unhideWhenUsed/>
    <w:rsid w:val="00EB2CA4"/>
    <w:rPr>
      <w:sz w:val="20"/>
      <w:szCs w:val="20"/>
    </w:rPr>
  </w:style>
  <w:style w:type="character" w:customStyle="1" w:styleId="FootnoteTextChar">
    <w:name w:val="Footnote Text Char"/>
    <w:basedOn w:val="DefaultParagraphFont"/>
    <w:link w:val="FootnoteText"/>
    <w:semiHidden/>
    <w:rsid w:val="00EB2CA4"/>
    <w:rPr>
      <w:rFonts w:ascii="Calibri" w:hAnsi="Calibri"/>
    </w:rPr>
  </w:style>
  <w:style w:type="character" w:customStyle="1" w:styleId="Small">
    <w:name w:val="Small"/>
    <w:basedOn w:val="DefaultParagraphFont"/>
    <w:uiPriority w:val="4"/>
    <w:qFormat/>
    <w:rsid w:val="00E13634"/>
    <w:rPr>
      <w:rFonts w:ascii="Calibri" w:hAnsi="Calibri"/>
      <w:sz w:val="20"/>
    </w:rPr>
  </w:style>
  <w:style w:type="paragraph" w:customStyle="1" w:styleId="3-SubsectionHeading">
    <w:name w:val="3-Subsection Heading"/>
    <w:basedOn w:val="Heading2"/>
    <w:next w:val="Normal"/>
    <w:link w:val="3-SubsectionHeadingChar"/>
    <w:qFormat/>
    <w:rsid w:val="005654F7"/>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5654F7"/>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COMH1numbered">
    <w:name w:val="COM H1 numbered"/>
    <w:next w:val="Normal"/>
    <w:qFormat/>
    <w:rsid w:val="00D04DB4"/>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qFormat/>
    <w:rsid w:val="00D04DB4"/>
    <w:pPr>
      <w:ind w:left="720" w:hanging="720"/>
      <w:jc w:val="both"/>
    </w:pPr>
  </w:style>
  <w:style w:type="character" w:styleId="UnresolvedMention">
    <w:name w:val="Unresolved Mention"/>
    <w:basedOn w:val="DefaultParagraphFont"/>
    <w:uiPriority w:val="99"/>
    <w:semiHidden/>
    <w:unhideWhenUsed/>
    <w:rsid w:val="009829B2"/>
    <w:rPr>
      <w:color w:val="605E5C"/>
      <w:shd w:val="clear" w:color="auto" w:fill="E1DFDD"/>
    </w:rPr>
  </w:style>
  <w:style w:type="character" w:customStyle="1" w:styleId="normaltextrun">
    <w:name w:val="normaltextrun"/>
    <w:basedOn w:val="DefaultParagraphFont"/>
    <w:rsid w:val="0091747D"/>
  </w:style>
  <w:style w:type="character" w:customStyle="1" w:styleId="eop">
    <w:name w:val="eop"/>
    <w:basedOn w:val="DefaultParagraphFont"/>
    <w:rsid w:val="00917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85904449">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603F6-AA06-4666-A24A-E9A46EB56435}">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2.xml><?xml version="1.0" encoding="utf-8"?>
<ds:datastoreItem xmlns:ds="http://schemas.openxmlformats.org/officeDocument/2006/customXml" ds:itemID="{8BF9F66E-1188-4790-B880-F8C50C597211}">
  <ds:schemaRefs>
    <ds:schemaRef ds:uri="http://schemas.microsoft.com/sharepoint/v3/contenttype/forms"/>
  </ds:schemaRefs>
</ds:datastoreItem>
</file>

<file path=customXml/itemProps3.xml><?xml version="1.0" encoding="utf-8"?>
<ds:datastoreItem xmlns:ds="http://schemas.openxmlformats.org/officeDocument/2006/customXml" ds:itemID="{F0C45981-9781-413C-932C-CB9A6E57F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25</Pages>
  <Words>9097</Words>
  <Characters>51856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2025-03-03T04:56:00Z</dcterms:created>
  <dcterms:modified xsi:type="dcterms:W3CDTF">2025-03-03T04:57:00Z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0x0101007FED174C5281F747A8037A05221D6DBD</vt:lpwstr>
  </property>
</Properties>
</file>