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50F8A665" w:rsidR="00B60939" w:rsidRPr="00EB6886" w:rsidRDefault="0058231A" w:rsidP="004A6040">
      <w:pPr>
        <w:pStyle w:val="COMH1-non-numbered"/>
      </w:pPr>
      <w:bookmarkStart w:id="0" w:name="_Toc167262976"/>
      <w:r>
        <w:t>5</w:t>
      </w:r>
      <w:r w:rsidR="00433044" w:rsidRPr="00A473B4">
        <w:t>.</w:t>
      </w:r>
      <w:r>
        <w:t>07</w:t>
      </w:r>
      <w:r w:rsidR="00163F66" w:rsidRPr="00A473B4">
        <w:tab/>
      </w:r>
      <w:r w:rsidR="00A473B4" w:rsidRPr="00EB6886">
        <w:t>IPTACOPAN</w:t>
      </w:r>
      <w:r w:rsidR="00163F66" w:rsidRPr="00EB6886">
        <w:t>,</w:t>
      </w:r>
      <w:r w:rsidR="00163F66" w:rsidRPr="00EB6886">
        <w:br/>
      </w:r>
      <w:r w:rsidR="00EE57B9" w:rsidRPr="00EB6886">
        <w:t>Capsule 200 mg</w:t>
      </w:r>
      <w:r w:rsidR="00163F66" w:rsidRPr="00EB6886">
        <w:t>,</w:t>
      </w:r>
      <w:r w:rsidR="00163F66" w:rsidRPr="00EB6886">
        <w:br/>
      </w:r>
      <w:r w:rsidR="00EE57B9" w:rsidRPr="00EB6886">
        <w:t>Fabhalta</w:t>
      </w:r>
      <w:r w:rsidR="00EE57B9" w:rsidRPr="00EB6886">
        <w:rPr>
          <w:rFonts w:cstheme="minorHAnsi"/>
        </w:rPr>
        <w:t>®,</w:t>
      </w:r>
      <w:r w:rsidR="00163F66" w:rsidRPr="00EB6886">
        <w:br/>
      </w:r>
      <w:r w:rsidR="007E5054" w:rsidRPr="00EB6886">
        <w:t>NOVARTIS PHARMACEUTICALS AUSTRALIA PTY LIMITED</w:t>
      </w:r>
      <w:r w:rsidR="00B60939" w:rsidRPr="00EB6886">
        <w:t>.</w:t>
      </w:r>
      <w:bookmarkEnd w:id="0"/>
    </w:p>
    <w:p w14:paraId="11C00795" w14:textId="3DFB6D23" w:rsidR="00B50DB8" w:rsidRPr="00A473B4" w:rsidRDefault="00B50DB8" w:rsidP="004A6040">
      <w:pPr>
        <w:pStyle w:val="COMH1numbered"/>
      </w:pPr>
      <w:bookmarkStart w:id="1" w:name="_Toc167262978"/>
      <w:r w:rsidRPr="00A473B4">
        <w:t xml:space="preserve">Purpose of </w:t>
      </w:r>
      <w:r w:rsidR="00CD7193" w:rsidRPr="00A473B4">
        <w:t>s</w:t>
      </w:r>
      <w:r w:rsidR="00BB3A45" w:rsidRPr="00A473B4">
        <w:t>ubmission</w:t>
      </w:r>
      <w:bookmarkEnd w:id="1"/>
    </w:p>
    <w:p w14:paraId="0B104377" w14:textId="6768220C" w:rsidR="00020433" w:rsidRDefault="007170DA" w:rsidP="004E18E9">
      <w:pPr>
        <w:pStyle w:val="COMexecsumnumberedpara"/>
      </w:pPr>
      <w:r w:rsidRPr="00A473B4">
        <w:t xml:space="preserve">The </w:t>
      </w:r>
      <w:r w:rsidR="00F73E08" w:rsidRPr="00B62D85">
        <w:t xml:space="preserve">Category </w:t>
      </w:r>
      <w:r w:rsidR="00ED769E">
        <w:t xml:space="preserve">1 </w:t>
      </w:r>
      <w:r w:rsidR="00020433">
        <w:t xml:space="preserve">submission requested </w:t>
      </w:r>
      <w:r w:rsidR="00020433" w:rsidRPr="00020433">
        <w:t>a Section 100 (Highly Specialised Drugs Program) Authority Required (Written) listing of iptacopan for the treatment of adults with paroxysmal nocturnal haemoglobinuria (PNH) who have inadequate clinical response to C5 inhibitor treatment.</w:t>
      </w:r>
    </w:p>
    <w:p w14:paraId="059A1B6B" w14:textId="52E88B89" w:rsidR="001D211F" w:rsidRPr="00BD32BE" w:rsidRDefault="00020433" w:rsidP="00BD32BE">
      <w:pPr>
        <w:pStyle w:val="COMexecsumnumberedpara"/>
      </w:pPr>
      <w:r>
        <w:t>Listing was requested on the basis of a cost-minimisation approach versus pegcetacoplan.</w:t>
      </w:r>
    </w:p>
    <w:p w14:paraId="3718DE61" w14:textId="40F0623C" w:rsidR="008B1757" w:rsidRPr="00A473B4" w:rsidRDefault="00696EF9" w:rsidP="004A6040">
      <w:pPr>
        <w:pStyle w:val="COMtablefigcaption"/>
      </w:pPr>
      <w:r w:rsidRPr="00A473B4">
        <w:t xml:space="preserve">Table </w:t>
      </w:r>
      <w:r w:rsidR="00C52DBB">
        <w:fldChar w:fldCharType="begin"/>
      </w:r>
      <w:r w:rsidR="00C52DBB">
        <w:instrText xml:space="preserve"> SEQ Table \* ARABIC </w:instrText>
      </w:r>
      <w:r w:rsidR="00C52DBB">
        <w:fldChar w:fldCharType="separate"/>
      </w:r>
      <w:r w:rsidR="002E7F91">
        <w:rPr>
          <w:noProof/>
        </w:rPr>
        <w:t>1</w:t>
      </w:r>
      <w:r w:rsidR="00C52DBB">
        <w:rPr>
          <w:noProof/>
        </w:rPr>
        <w:fldChar w:fldCharType="end"/>
      </w:r>
      <w:r w:rsidRPr="00A473B4">
        <w:t>:</w:t>
      </w:r>
      <w:r w:rsidR="00BC591F" w:rsidRPr="00A473B4">
        <w:t xml:space="preserve"> </w:t>
      </w:r>
      <w:r w:rsidR="00974A25" w:rsidRPr="00974A25">
        <w:t>Key components of the clinical issue addressed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in the submission"/>
        <w:tblDescription w:val="Table 1: Key components of the clinical issue addressed in the submission"/>
      </w:tblPr>
      <w:tblGrid>
        <w:gridCol w:w="1414"/>
        <w:gridCol w:w="7603"/>
      </w:tblGrid>
      <w:tr w:rsidR="00A473B4" w:rsidRPr="00A473B4" w14:paraId="569F5103" w14:textId="77777777" w:rsidTr="00E114B1">
        <w:trPr>
          <w:cantSplit/>
          <w:tblHeader/>
        </w:trPr>
        <w:tc>
          <w:tcPr>
            <w:tcW w:w="784" w:type="pct"/>
            <w:shd w:val="clear" w:color="auto" w:fill="auto"/>
          </w:tcPr>
          <w:p w14:paraId="501803FB" w14:textId="77777777" w:rsidR="008B1757" w:rsidRPr="00A473B4" w:rsidRDefault="008B1757" w:rsidP="00C20E86">
            <w:pPr>
              <w:pStyle w:val="COMTableheadingrow"/>
              <w:rPr>
                <w:szCs w:val="20"/>
              </w:rPr>
            </w:pPr>
            <w:r w:rsidRPr="00A473B4">
              <w:t>Component</w:t>
            </w:r>
          </w:p>
        </w:tc>
        <w:tc>
          <w:tcPr>
            <w:tcW w:w="4216" w:type="pct"/>
            <w:shd w:val="clear" w:color="auto" w:fill="auto"/>
          </w:tcPr>
          <w:p w14:paraId="445D9EBB" w14:textId="77777777" w:rsidR="008B1757" w:rsidRPr="00A473B4" w:rsidRDefault="008B1757" w:rsidP="00C20E86">
            <w:pPr>
              <w:pStyle w:val="COMTableheadingrow"/>
              <w:jc w:val="center"/>
            </w:pPr>
            <w:r w:rsidRPr="00A473B4">
              <w:t>Description</w:t>
            </w:r>
          </w:p>
        </w:tc>
      </w:tr>
      <w:tr w:rsidR="00974A25" w:rsidRPr="00A473B4" w14:paraId="2EB546E2" w14:textId="77777777" w:rsidTr="00E114B1">
        <w:trPr>
          <w:cantSplit/>
        </w:trPr>
        <w:tc>
          <w:tcPr>
            <w:tcW w:w="784" w:type="pct"/>
            <w:shd w:val="clear" w:color="auto" w:fill="auto"/>
          </w:tcPr>
          <w:p w14:paraId="38F3BB34" w14:textId="77777777" w:rsidR="00974A25" w:rsidRPr="00A473B4" w:rsidRDefault="00974A25" w:rsidP="00974A25">
            <w:pPr>
              <w:pStyle w:val="COMTabletext"/>
            </w:pPr>
            <w:r w:rsidRPr="00A473B4">
              <w:t>Population</w:t>
            </w:r>
          </w:p>
        </w:tc>
        <w:tc>
          <w:tcPr>
            <w:tcW w:w="4216" w:type="pct"/>
            <w:shd w:val="clear" w:color="auto" w:fill="auto"/>
          </w:tcPr>
          <w:p w14:paraId="79618EEE" w14:textId="3127FEFF" w:rsidR="00974A25" w:rsidRPr="00A473B4" w:rsidRDefault="00974A25" w:rsidP="00974A25">
            <w:pPr>
              <w:pStyle w:val="COMTabletext"/>
              <w:rPr>
                <w:szCs w:val="20"/>
              </w:rPr>
            </w:pPr>
            <w:r w:rsidRPr="00CF4241">
              <w:t>Patients with PNH with residual anaemia despite treatment with a C5 inhibitor.</w:t>
            </w:r>
          </w:p>
        </w:tc>
      </w:tr>
      <w:tr w:rsidR="00974A25" w:rsidRPr="00A473B4" w14:paraId="0CA523AF" w14:textId="77777777" w:rsidTr="00E114B1">
        <w:trPr>
          <w:cantSplit/>
        </w:trPr>
        <w:tc>
          <w:tcPr>
            <w:tcW w:w="784" w:type="pct"/>
            <w:shd w:val="clear" w:color="auto" w:fill="auto"/>
          </w:tcPr>
          <w:p w14:paraId="7B6D20D8" w14:textId="77777777" w:rsidR="00974A25" w:rsidRPr="00A473B4" w:rsidRDefault="00974A25" w:rsidP="00974A25">
            <w:pPr>
              <w:pStyle w:val="COMTabletext"/>
            </w:pPr>
            <w:r w:rsidRPr="00A473B4">
              <w:t>Intervention</w:t>
            </w:r>
          </w:p>
        </w:tc>
        <w:tc>
          <w:tcPr>
            <w:tcW w:w="4216" w:type="pct"/>
            <w:shd w:val="clear" w:color="auto" w:fill="auto"/>
          </w:tcPr>
          <w:p w14:paraId="2491E905" w14:textId="557D3C73" w:rsidR="00974A25" w:rsidRPr="00A473B4" w:rsidRDefault="00974A25" w:rsidP="00974A25">
            <w:pPr>
              <w:pStyle w:val="COMTabletext"/>
            </w:pPr>
            <w:r w:rsidRPr="00CF4241">
              <w:t>Iptacopan 200</w:t>
            </w:r>
            <w:r>
              <w:t> </w:t>
            </w:r>
            <w:r w:rsidRPr="00CF4241">
              <w:t>mg orally twice a day.</w:t>
            </w:r>
          </w:p>
        </w:tc>
      </w:tr>
      <w:tr w:rsidR="00974A25" w:rsidRPr="00A473B4" w14:paraId="0F81EBE4" w14:textId="77777777" w:rsidTr="00E114B1">
        <w:trPr>
          <w:cantSplit/>
        </w:trPr>
        <w:tc>
          <w:tcPr>
            <w:tcW w:w="784" w:type="pct"/>
            <w:shd w:val="clear" w:color="auto" w:fill="auto"/>
          </w:tcPr>
          <w:p w14:paraId="3656B343" w14:textId="77777777" w:rsidR="00974A25" w:rsidRPr="00A473B4" w:rsidRDefault="00974A25" w:rsidP="00974A25">
            <w:pPr>
              <w:pStyle w:val="COMTabletext"/>
            </w:pPr>
            <w:r w:rsidRPr="00A473B4">
              <w:t>Comparator</w:t>
            </w:r>
          </w:p>
        </w:tc>
        <w:tc>
          <w:tcPr>
            <w:tcW w:w="4216" w:type="pct"/>
            <w:shd w:val="clear" w:color="auto" w:fill="auto"/>
          </w:tcPr>
          <w:p w14:paraId="3727DE24" w14:textId="7E8111CE" w:rsidR="00974A25" w:rsidRPr="004E2174" w:rsidRDefault="00974A25" w:rsidP="00974A25">
            <w:pPr>
              <w:pStyle w:val="COMTabletext"/>
              <w:rPr>
                <w:vertAlign w:val="superscript"/>
              </w:rPr>
            </w:pPr>
            <w:r w:rsidRPr="00CF4241">
              <w:t>Pegcetacoplan</w:t>
            </w:r>
            <w:r>
              <w:t> </w:t>
            </w:r>
            <w:r w:rsidRPr="00CF4241">
              <w:t>1,080 mg administered by subcutaneous infusion twice weekly</w:t>
            </w:r>
            <w:r w:rsidR="00927A5C">
              <w:t xml:space="preserve"> </w:t>
            </w:r>
            <w:r w:rsidR="004E2174">
              <w:rPr>
                <w:vertAlign w:val="superscript"/>
              </w:rPr>
              <w:t>a</w:t>
            </w:r>
          </w:p>
        </w:tc>
      </w:tr>
      <w:tr w:rsidR="00974A25" w:rsidRPr="00A473B4" w14:paraId="02F86F0D" w14:textId="77777777" w:rsidTr="00E114B1">
        <w:trPr>
          <w:cantSplit/>
        </w:trPr>
        <w:tc>
          <w:tcPr>
            <w:tcW w:w="784" w:type="pct"/>
            <w:shd w:val="clear" w:color="auto" w:fill="auto"/>
          </w:tcPr>
          <w:p w14:paraId="06433105" w14:textId="77777777" w:rsidR="00974A25" w:rsidRPr="00A473B4" w:rsidRDefault="00974A25" w:rsidP="00974A25">
            <w:pPr>
              <w:pStyle w:val="COMTabletext"/>
            </w:pPr>
            <w:r w:rsidRPr="00A473B4">
              <w:t>Outcomes</w:t>
            </w:r>
          </w:p>
        </w:tc>
        <w:tc>
          <w:tcPr>
            <w:tcW w:w="4216" w:type="pct"/>
            <w:shd w:val="clear" w:color="auto" w:fill="auto"/>
          </w:tcPr>
          <w:p w14:paraId="5ABC4037" w14:textId="1680D9DD" w:rsidR="00974A25" w:rsidRPr="00A473B4" w:rsidRDefault="00974A25" w:rsidP="00974A25">
            <w:pPr>
              <w:pStyle w:val="COMTabletext"/>
              <w:rPr>
                <w:rFonts w:eastAsia="Times New Roman" w:cs="Arial"/>
                <w:bCs w:val="0"/>
                <w:snapToGrid w:val="0"/>
                <w:szCs w:val="20"/>
              </w:rPr>
            </w:pPr>
            <w:r w:rsidRPr="00CF4241">
              <w:t>Change from baseline in haemoglobin levels, transfusion avoidance, change from baseline in LDH, change from baseline in absolute reticulocyte count, change from baseline in FACIT-Fatigue score, adverse events.</w:t>
            </w:r>
          </w:p>
        </w:tc>
      </w:tr>
      <w:tr w:rsidR="00974A25" w:rsidRPr="00A473B4" w14:paraId="22223890" w14:textId="77777777" w:rsidTr="00E114B1">
        <w:trPr>
          <w:cantSplit/>
        </w:trPr>
        <w:tc>
          <w:tcPr>
            <w:tcW w:w="784" w:type="pct"/>
            <w:shd w:val="clear" w:color="auto" w:fill="auto"/>
          </w:tcPr>
          <w:p w14:paraId="0FC8FCE0" w14:textId="77777777" w:rsidR="00974A25" w:rsidRPr="00A473B4" w:rsidRDefault="00974A25" w:rsidP="00974A25">
            <w:pPr>
              <w:pStyle w:val="COMTabletext"/>
            </w:pPr>
            <w:r w:rsidRPr="00A473B4">
              <w:t>Clinical claim</w:t>
            </w:r>
          </w:p>
        </w:tc>
        <w:tc>
          <w:tcPr>
            <w:tcW w:w="4216" w:type="pct"/>
            <w:shd w:val="clear" w:color="auto" w:fill="auto"/>
          </w:tcPr>
          <w:p w14:paraId="2C99C4DE" w14:textId="1288503B" w:rsidR="00974A25" w:rsidRPr="00A473B4" w:rsidRDefault="00974A25" w:rsidP="00974A25">
            <w:pPr>
              <w:pStyle w:val="COMTabletext"/>
              <w:rPr>
                <w:rFonts w:eastAsia="Times New Roman" w:cs="Arial"/>
                <w:bCs w:val="0"/>
                <w:snapToGrid w:val="0"/>
                <w:szCs w:val="20"/>
              </w:rPr>
            </w:pPr>
            <w:r w:rsidRPr="00CF4241">
              <w:t xml:space="preserve">In patients with persistent anaemia despite C5 inhibitor therapy, iptacopan is non-inferior in terms of effectiveness and safety compared </w:t>
            </w:r>
            <w:r w:rsidR="00E114B1">
              <w:t>to</w:t>
            </w:r>
            <w:r w:rsidRPr="00CF4241">
              <w:t xml:space="preserve"> pegcetacoplan.</w:t>
            </w:r>
          </w:p>
        </w:tc>
      </w:tr>
    </w:tbl>
    <w:p w14:paraId="026B5847" w14:textId="52ACC7A7" w:rsidR="00974A25" w:rsidRDefault="00974A25" w:rsidP="00974A25">
      <w:pPr>
        <w:pStyle w:val="COMTablefooter"/>
      </w:pPr>
      <w:r>
        <w:t>Source: Table 1-</w:t>
      </w:r>
      <w:r w:rsidR="00576889">
        <w:t>1, of</w:t>
      </w:r>
      <w:r>
        <w:t xml:space="preserve"> the submission.</w:t>
      </w:r>
    </w:p>
    <w:p w14:paraId="575D7D36" w14:textId="77777777" w:rsidR="004E2174" w:rsidRDefault="00974A25" w:rsidP="00974A25">
      <w:pPr>
        <w:pStyle w:val="COMTablefooter"/>
      </w:pPr>
      <w:r>
        <w:t>Abbreviations: FACIT, Functional Assessment of Chronic Illness Therapy; LDH, lactate dehydrogenase; PNH, paroxysmal nocturnal haemoglobinuria.</w:t>
      </w:r>
    </w:p>
    <w:p w14:paraId="527CA7F0" w14:textId="40D7615B" w:rsidR="004E43B2" w:rsidRPr="00A473B4" w:rsidRDefault="004E2174" w:rsidP="00974A25">
      <w:pPr>
        <w:pStyle w:val="COMTablefooter"/>
        <w:rPr>
          <w:sz w:val="20"/>
        </w:rPr>
      </w:pPr>
      <w:r>
        <w:rPr>
          <w:vertAlign w:val="superscript"/>
        </w:rPr>
        <w:t>a</w:t>
      </w:r>
      <w:r>
        <w:t xml:space="preserve"> </w:t>
      </w:r>
      <w:r w:rsidR="00E114B1">
        <w:t>P</w:t>
      </w:r>
      <w:r w:rsidR="00E114B1" w:rsidRPr="00E114B1">
        <w:t>atients initiated pegcetacoplan at a dose of 1,080 mg twice a week but may have increased to 1,080 mg every third day if they did not respond sufficiently to treatment.</w:t>
      </w:r>
    </w:p>
    <w:p w14:paraId="6B4AB6C2" w14:textId="7F01D731" w:rsidR="005C25FF" w:rsidRPr="00A473B4" w:rsidRDefault="005C25FF" w:rsidP="004A6040">
      <w:pPr>
        <w:pStyle w:val="COMH1numbered"/>
      </w:pPr>
      <w:bookmarkStart w:id="2" w:name="_Toc167262979"/>
      <w:r w:rsidRPr="00A473B4">
        <w:t>Background</w:t>
      </w:r>
      <w:bookmarkEnd w:id="2"/>
    </w:p>
    <w:p w14:paraId="2C521D6D" w14:textId="78CF03EE" w:rsidR="005C25FF" w:rsidRPr="00A473B4" w:rsidRDefault="005C25FF" w:rsidP="004A6040">
      <w:pPr>
        <w:pStyle w:val="COMH2-non-numbered"/>
      </w:pPr>
      <w:bookmarkStart w:id="3" w:name="_Toc22897638"/>
      <w:bookmarkStart w:id="4" w:name="_Toc167262980"/>
      <w:r w:rsidRPr="00A473B4">
        <w:t>Registration status</w:t>
      </w:r>
      <w:bookmarkEnd w:id="3"/>
      <w:bookmarkEnd w:id="4"/>
    </w:p>
    <w:p w14:paraId="21149C2D" w14:textId="5D6FCF18" w:rsidR="00402270" w:rsidRPr="009929EF" w:rsidRDefault="006A523F" w:rsidP="00402270">
      <w:pPr>
        <w:pStyle w:val="COMexecsumnumberedpara"/>
      </w:pPr>
      <w:r w:rsidRPr="00B42BD4">
        <w:rPr>
          <w:rFonts w:ascii="Calibri" w:eastAsia="Calibri" w:hAnsi="Calibri"/>
          <w:b/>
          <w:i/>
          <w:iCs/>
          <w:szCs w:val="22"/>
        </w:rPr>
        <w:t xml:space="preserve">TGA status at time of </w:t>
      </w:r>
      <w:r w:rsidR="00B42BD4" w:rsidRPr="00B42BD4">
        <w:rPr>
          <w:rFonts w:ascii="Calibri" w:eastAsia="Calibri" w:hAnsi="Calibri"/>
          <w:b/>
          <w:i/>
          <w:iCs/>
          <w:szCs w:val="22"/>
        </w:rPr>
        <w:t>PBAC</w:t>
      </w:r>
      <w:r w:rsidRPr="00B42BD4">
        <w:rPr>
          <w:rFonts w:ascii="Calibri" w:eastAsia="Calibri" w:hAnsi="Calibri"/>
          <w:b/>
          <w:i/>
          <w:iCs/>
          <w:szCs w:val="22"/>
        </w:rPr>
        <w:t xml:space="preserve"> advice</w:t>
      </w:r>
      <w:r w:rsidRPr="00B42BD4">
        <w:rPr>
          <w:rFonts w:ascii="Calibri" w:eastAsia="Calibri" w:hAnsi="Calibri"/>
          <w:i/>
          <w:iCs/>
          <w:szCs w:val="22"/>
        </w:rPr>
        <w:t>:</w:t>
      </w:r>
      <w:r w:rsidRPr="00D07CBD">
        <w:rPr>
          <w:rFonts w:ascii="Calibri" w:eastAsia="Calibri" w:hAnsi="Calibri"/>
          <w:i/>
          <w:iCs/>
          <w:szCs w:val="22"/>
        </w:rPr>
        <w:t xml:space="preserve"> </w:t>
      </w:r>
      <w:r w:rsidR="00402270">
        <w:t xml:space="preserve">The submission was made under the TGA/PBAC Parallel Process. At the time of the evaluation for PBAC consideration, the second round clinical evaluation report was available. </w:t>
      </w:r>
      <w:r w:rsidR="00402270" w:rsidRPr="009929EF">
        <w:t xml:space="preserve">The TGA delegate’s overview </w:t>
      </w:r>
      <w:r w:rsidR="00314D07" w:rsidRPr="009929EF">
        <w:t>wa</w:t>
      </w:r>
      <w:r w:rsidR="00402270" w:rsidRPr="009929EF">
        <w:t xml:space="preserve">s </w:t>
      </w:r>
      <w:r w:rsidR="00314D07" w:rsidRPr="009929EF">
        <w:t>provided</w:t>
      </w:r>
      <w:r w:rsidR="00402270" w:rsidRPr="009929EF">
        <w:t xml:space="preserve"> on </w:t>
      </w:r>
      <w:r w:rsidR="00314D07" w:rsidRPr="009929EF">
        <w:t>3 June</w:t>
      </w:r>
      <w:r w:rsidR="00402270" w:rsidRPr="009929EF">
        <w:t xml:space="preserve"> 2024</w:t>
      </w:r>
      <w:r w:rsidR="00416C0E" w:rsidRPr="009929EF">
        <w:t xml:space="preserve"> </w:t>
      </w:r>
      <w:r w:rsidR="00314D07" w:rsidRPr="009929EF">
        <w:t xml:space="preserve">with the TGA delegate requesting independent expert advice rather than </w:t>
      </w:r>
      <w:r w:rsidR="00402270" w:rsidRPr="009929EF">
        <w:t>consider</w:t>
      </w:r>
      <w:r w:rsidR="00314D07" w:rsidRPr="009929EF">
        <w:t>ation</w:t>
      </w:r>
      <w:r w:rsidR="00402270" w:rsidRPr="009929EF">
        <w:t xml:space="preserve"> at the 7 June 2024 ACM meeting.</w:t>
      </w:r>
    </w:p>
    <w:p w14:paraId="6A4B6314" w14:textId="77777777" w:rsidR="00402270" w:rsidRDefault="00402270" w:rsidP="00402270">
      <w:pPr>
        <w:pStyle w:val="COMexecsumnumberedpara"/>
      </w:pPr>
      <w:r>
        <w:t>The proposed indication for iptacopan is for the treatment of adult patients with PNH.</w:t>
      </w:r>
    </w:p>
    <w:p w14:paraId="19B6E94A" w14:textId="3A862EFE" w:rsidR="00402270" w:rsidRPr="0025780C" w:rsidRDefault="00402270" w:rsidP="00402270">
      <w:pPr>
        <w:pStyle w:val="COMexecsumnumberedpara"/>
      </w:pPr>
      <w:r w:rsidRPr="0025780C">
        <w:t xml:space="preserve">The second round TGA clinical evaluator recommended approval of iptacopan for the treatment of adult patients with PNH who have been previously treated with </w:t>
      </w:r>
      <w:r w:rsidR="000C2EB9" w:rsidRPr="0025780C">
        <w:t>a</w:t>
      </w:r>
      <w:r w:rsidR="00416C0E" w:rsidRPr="0025780C">
        <w:t xml:space="preserve"> C5 </w:t>
      </w:r>
      <w:r w:rsidR="000C2EB9" w:rsidRPr="0025780C">
        <w:t>inhibitor</w:t>
      </w:r>
      <w:r w:rsidRPr="0025780C">
        <w:t xml:space="preserve"> and experienced an inadequate response, based on the favourable benefit-risk balance in this population. The evaluator noted that there are residual </w:t>
      </w:r>
      <w:r w:rsidRPr="0025780C">
        <w:lastRenderedPageBreak/>
        <w:t>uncertainties with regard to use of iptacopan for the treatment of adults with PNH as first-line therapy, due to the lack of controlled clinical trial data in this population.</w:t>
      </w:r>
    </w:p>
    <w:p w14:paraId="60D586F5" w14:textId="5F3892D1" w:rsidR="00627BEB" w:rsidRPr="009929EF" w:rsidRDefault="00627BEB" w:rsidP="00627BEB">
      <w:pPr>
        <w:pStyle w:val="COMexecsumnumberedpara"/>
      </w:pPr>
      <w:r w:rsidRPr="009929EF">
        <w:t>The Delegate was inclined to approve registration. One of the issues the Delegate identified for independent expert advice was as follows:</w:t>
      </w:r>
    </w:p>
    <w:p w14:paraId="453BC9FD" w14:textId="74377CEB" w:rsidR="00627BEB" w:rsidRPr="009929EF" w:rsidRDefault="00627BEB" w:rsidP="00333D68">
      <w:pPr>
        <w:pStyle w:val="COMexecsumnumberedpara"/>
        <w:numPr>
          <w:ilvl w:val="0"/>
          <w:numId w:val="0"/>
        </w:numPr>
        <w:ind w:left="720"/>
        <w:rPr>
          <w:sz w:val="21"/>
          <w:szCs w:val="21"/>
        </w:rPr>
      </w:pPr>
      <w:r w:rsidRPr="009929EF">
        <w:t xml:space="preserve">“The clinical evaluator has recommended restricting the indication to patients who have previously had a C5 inhibitor, due to the lack of comparative data for patients who are anti-C5 antibody naïve. However, the delegate is of the view that the magnitude of benefit seen in the APPOINT-PNH study </w:t>
      </w:r>
      <w:r w:rsidR="00E067D1" w:rsidRPr="009929EF">
        <w:t xml:space="preserve">[single arm trial of in patients naive to complement inhibitor therapy] </w:t>
      </w:r>
      <w:r w:rsidRPr="009929EF">
        <w:t>is sufficient evidence to support an unrestricted indication. The FDA and EMA have not restricted the indication, but the EMA indication does specify patients with ‘haemolytic anaemia.’”</w:t>
      </w:r>
    </w:p>
    <w:p w14:paraId="70164AF7" w14:textId="6738D2BB" w:rsidR="00550754" w:rsidRDefault="00550754" w:rsidP="004E18E9">
      <w:pPr>
        <w:pStyle w:val="COMexecsumnumberedpara"/>
      </w:pPr>
      <w:r w:rsidRPr="00550754">
        <w:t>Iptacopan was approved by the FDA on 5 December 2023 for the treatment of adults with PNH. Iptacopan received a positive opinion from the Committee for Medicinal Products for Human Use (CHMP) on 21 March 2024, for use as monotherapy in the treatment of adult patients with PNH who have haemolytic anaemia.</w:t>
      </w:r>
    </w:p>
    <w:p w14:paraId="7BFDF593" w14:textId="400AB572" w:rsidR="00B14AE8" w:rsidRPr="00B14AE8" w:rsidRDefault="00B14AE8" w:rsidP="00B14AE8">
      <w:pPr>
        <w:pStyle w:val="COMexecsumnumberedpara"/>
        <w:numPr>
          <w:ilvl w:val="0"/>
          <w:numId w:val="0"/>
        </w:numPr>
        <w:ind w:left="720"/>
        <w:rPr>
          <w:i/>
          <w:iCs/>
        </w:rPr>
      </w:pPr>
      <w:bookmarkStart w:id="5" w:name="_Hlk76375324"/>
      <w:r w:rsidRPr="00B14AE8">
        <w:rPr>
          <w:i/>
          <w:iCs/>
        </w:rPr>
        <w:t>For more detail on PBAC’s view, see section 7 PBAC outcome.</w:t>
      </w:r>
      <w:bookmarkEnd w:id="5"/>
    </w:p>
    <w:p w14:paraId="76E4EF3C" w14:textId="13040F70" w:rsidR="00B60939" w:rsidRDefault="00B50DB8" w:rsidP="008A5067">
      <w:pPr>
        <w:pStyle w:val="COMH1numbered"/>
        <w:keepLines/>
      </w:pPr>
      <w:bookmarkStart w:id="6" w:name="_Toc107902078"/>
      <w:bookmarkStart w:id="7" w:name="_Toc167262981"/>
      <w:bookmarkEnd w:id="6"/>
      <w:r w:rsidRPr="00A473B4">
        <w:t>Requested listing</w:t>
      </w:r>
      <w:bookmarkEnd w:id="7"/>
    </w:p>
    <w:p w14:paraId="2F61C415" w14:textId="12C492B2" w:rsidR="00BD32BE" w:rsidRPr="00BD32BE" w:rsidRDefault="00BD32BE" w:rsidP="00BD32BE">
      <w:pPr>
        <w:pStyle w:val="COMexecsumnumberedpara"/>
      </w:pPr>
      <w:r w:rsidRPr="00F91542">
        <w:t>Suggestions and additions proposed by the Secretariat are added in italics and suggested deletions are crossed out with strikethrough</w:t>
      </w:r>
      <w:r>
        <w:t>.</w:t>
      </w:r>
    </w:p>
    <w:tbl>
      <w:tblPr>
        <w:tblW w:w="50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780"/>
        <w:gridCol w:w="844"/>
        <w:gridCol w:w="851"/>
        <w:gridCol w:w="1495"/>
        <w:gridCol w:w="812"/>
        <w:gridCol w:w="811"/>
        <w:gridCol w:w="812"/>
        <w:gridCol w:w="1887"/>
      </w:tblGrid>
      <w:tr w:rsidR="008A5067" w:rsidRPr="00A473B4" w14:paraId="73E16E29" w14:textId="77777777" w:rsidTr="00A4207F">
        <w:trPr>
          <w:trHeight w:val="20"/>
        </w:trPr>
        <w:tc>
          <w:tcPr>
            <w:tcW w:w="2404" w:type="dxa"/>
            <w:gridSpan w:val="3"/>
            <w:vAlign w:val="center"/>
          </w:tcPr>
          <w:p w14:paraId="4660296B" w14:textId="77777777" w:rsidR="008A5067" w:rsidRPr="00A473B4" w:rsidRDefault="008A5067" w:rsidP="00E70C72">
            <w:pPr>
              <w:keepLines/>
              <w:rPr>
                <w:rFonts w:ascii="Arial Narrow" w:hAnsi="Arial Narrow"/>
                <w:b/>
                <w:bCs/>
                <w:sz w:val="20"/>
                <w:szCs w:val="20"/>
              </w:rPr>
            </w:pPr>
            <w:bookmarkStart w:id="8" w:name="_Hlk104809055"/>
            <w:r w:rsidRPr="00A473B4">
              <w:rPr>
                <w:rFonts w:ascii="Arial Narrow" w:hAnsi="Arial Narrow"/>
                <w:b/>
                <w:bCs/>
                <w:sz w:val="20"/>
                <w:szCs w:val="20"/>
              </w:rPr>
              <w:t>MEDICINAL PRODUCT</w:t>
            </w:r>
          </w:p>
          <w:p w14:paraId="7221C2FD" w14:textId="77777777" w:rsidR="008A5067" w:rsidRPr="00A473B4" w:rsidRDefault="008A5067" w:rsidP="00E70C72">
            <w:pPr>
              <w:keepLines/>
              <w:rPr>
                <w:rFonts w:ascii="Arial Narrow" w:hAnsi="Arial Narrow"/>
                <w:b/>
                <w:sz w:val="20"/>
                <w:szCs w:val="20"/>
              </w:rPr>
            </w:pPr>
            <w:r w:rsidRPr="00A473B4">
              <w:rPr>
                <w:rFonts w:ascii="Arial Narrow" w:hAnsi="Arial Narrow"/>
                <w:b/>
                <w:bCs/>
                <w:sz w:val="20"/>
                <w:szCs w:val="20"/>
              </w:rPr>
              <w:t>medicinal product pack</w:t>
            </w:r>
          </w:p>
        </w:tc>
        <w:tc>
          <w:tcPr>
            <w:tcW w:w="851" w:type="dxa"/>
            <w:vAlign w:val="center"/>
          </w:tcPr>
          <w:p w14:paraId="63BF1273" w14:textId="0500706C" w:rsidR="008A5067" w:rsidRPr="00A473B4" w:rsidRDefault="008A5067" w:rsidP="00E70C72">
            <w:pPr>
              <w:pStyle w:val="COMTabletext"/>
              <w:keepNext w:val="0"/>
              <w:keepLines/>
              <w:jc w:val="center"/>
              <w:rPr>
                <w:b/>
                <w:bCs w:val="0"/>
                <w:szCs w:val="20"/>
              </w:rPr>
            </w:pPr>
            <w:r>
              <w:rPr>
                <w:b/>
                <w:bCs w:val="0"/>
                <w:szCs w:val="20"/>
              </w:rPr>
              <w:t>PBS item code</w:t>
            </w:r>
          </w:p>
        </w:tc>
        <w:tc>
          <w:tcPr>
            <w:tcW w:w="1495" w:type="dxa"/>
            <w:vAlign w:val="center"/>
          </w:tcPr>
          <w:p w14:paraId="14424AF1" w14:textId="6D51F856" w:rsidR="008A5067" w:rsidRPr="00A473B4" w:rsidRDefault="008A5067" w:rsidP="00E70C72">
            <w:pPr>
              <w:pStyle w:val="COMTabletext"/>
              <w:keepNext w:val="0"/>
              <w:keepLines/>
              <w:jc w:val="center"/>
              <w:rPr>
                <w:b/>
                <w:bCs w:val="0"/>
                <w:szCs w:val="20"/>
              </w:rPr>
            </w:pPr>
            <w:r w:rsidRPr="00A473B4">
              <w:rPr>
                <w:b/>
                <w:bCs w:val="0"/>
                <w:snapToGrid w:val="0"/>
              </w:rPr>
              <w:t>Dispensed Price for Max. Qty</w:t>
            </w:r>
          </w:p>
        </w:tc>
        <w:tc>
          <w:tcPr>
            <w:tcW w:w="812" w:type="dxa"/>
            <w:vAlign w:val="center"/>
          </w:tcPr>
          <w:p w14:paraId="4E41A9BC" w14:textId="0E3A90D0" w:rsidR="008A5067" w:rsidRPr="00A473B4" w:rsidRDefault="008A5067" w:rsidP="00E70C72">
            <w:pPr>
              <w:keepLines/>
              <w:jc w:val="center"/>
              <w:rPr>
                <w:rFonts w:ascii="Arial Narrow" w:hAnsi="Arial Narrow"/>
                <w:b/>
                <w:sz w:val="20"/>
                <w:szCs w:val="20"/>
              </w:rPr>
            </w:pPr>
            <w:r w:rsidRPr="00A473B4">
              <w:rPr>
                <w:rFonts w:ascii="Arial Narrow" w:hAnsi="Arial Narrow"/>
                <w:b/>
                <w:sz w:val="20"/>
                <w:szCs w:val="20"/>
              </w:rPr>
              <w:t>Max. qty packs</w:t>
            </w:r>
          </w:p>
        </w:tc>
        <w:tc>
          <w:tcPr>
            <w:tcW w:w="811" w:type="dxa"/>
            <w:vAlign w:val="center"/>
          </w:tcPr>
          <w:p w14:paraId="48197540" w14:textId="77777777" w:rsidR="008A5067" w:rsidRPr="00A473B4" w:rsidRDefault="008A5067" w:rsidP="00E70C72">
            <w:pPr>
              <w:keepLines/>
              <w:jc w:val="center"/>
              <w:rPr>
                <w:rFonts w:ascii="Arial Narrow" w:hAnsi="Arial Narrow"/>
                <w:b/>
                <w:sz w:val="20"/>
                <w:szCs w:val="20"/>
              </w:rPr>
            </w:pPr>
            <w:r w:rsidRPr="00A473B4">
              <w:rPr>
                <w:rFonts w:ascii="Arial Narrow" w:hAnsi="Arial Narrow"/>
                <w:b/>
                <w:sz w:val="20"/>
                <w:szCs w:val="20"/>
              </w:rPr>
              <w:t>Max. qty units</w:t>
            </w:r>
          </w:p>
        </w:tc>
        <w:tc>
          <w:tcPr>
            <w:tcW w:w="812" w:type="dxa"/>
            <w:vAlign w:val="center"/>
          </w:tcPr>
          <w:p w14:paraId="13B3FDEE" w14:textId="77777777" w:rsidR="008A5067" w:rsidRPr="00A473B4" w:rsidRDefault="008A5067" w:rsidP="00E70C72">
            <w:pPr>
              <w:keepLines/>
              <w:jc w:val="center"/>
              <w:rPr>
                <w:rFonts w:ascii="Arial Narrow" w:hAnsi="Arial Narrow"/>
                <w:b/>
                <w:sz w:val="20"/>
                <w:szCs w:val="20"/>
              </w:rPr>
            </w:pPr>
            <w:r w:rsidRPr="00A473B4">
              <w:rPr>
                <w:rFonts w:ascii="Arial Narrow" w:hAnsi="Arial Narrow"/>
                <w:b/>
                <w:sz w:val="20"/>
                <w:szCs w:val="20"/>
              </w:rPr>
              <w:t>№.of</w:t>
            </w:r>
          </w:p>
          <w:p w14:paraId="7B215997" w14:textId="77777777" w:rsidR="008A5067" w:rsidRPr="00A473B4" w:rsidRDefault="008A5067" w:rsidP="00E70C72">
            <w:pPr>
              <w:keepLines/>
              <w:jc w:val="center"/>
              <w:rPr>
                <w:rFonts w:ascii="Arial Narrow" w:hAnsi="Arial Narrow"/>
                <w:b/>
                <w:sz w:val="20"/>
                <w:szCs w:val="20"/>
              </w:rPr>
            </w:pPr>
            <w:r w:rsidRPr="00A473B4">
              <w:rPr>
                <w:rFonts w:ascii="Arial Narrow" w:hAnsi="Arial Narrow"/>
                <w:b/>
                <w:sz w:val="20"/>
                <w:szCs w:val="20"/>
              </w:rPr>
              <w:t>Rpts</w:t>
            </w:r>
          </w:p>
        </w:tc>
        <w:tc>
          <w:tcPr>
            <w:tcW w:w="1887" w:type="dxa"/>
            <w:vAlign w:val="center"/>
          </w:tcPr>
          <w:p w14:paraId="4976F6A8" w14:textId="77777777" w:rsidR="008A5067" w:rsidRPr="00A473B4" w:rsidRDefault="008A5067" w:rsidP="00E70C72">
            <w:pPr>
              <w:keepLines/>
              <w:jc w:val="center"/>
              <w:rPr>
                <w:rFonts w:ascii="Arial Narrow" w:hAnsi="Arial Narrow"/>
                <w:b/>
                <w:sz w:val="20"/>
                <w:szCs w:val="20"/>
                <w:lang w:val="fr-FR"/>
              </w:rPr>
            </w:pPr>
            <w:r w:rsidRPr="00A473B4">
              <w:rPr>
                <w:rFonts w:ascii="Arial Narrow" w:hAnsi="Arial Narrow"/>
                <w:b/>
                <w:sz w:val="20"/>
                <w:szCs w:val="20"/>
              </w:rPr>
              <w:t>Available brands</w:t>
            </w:r>
          </w:p>
        </w:tc>
      </w:tr>
      <w:tr w:rsidR="00A473B4" w:rsidRPr="00A473B4" w14:paraId="40C1AD8E" w14:textId="77777777" w:rsidTr="00A4207F">
        <w:trPr>
          <w:trHeight w:val="20"/>
        </w:trPr>
        <w:tc>
          <w:tcPr>
            <w:tcW w:w="9072" w:type="dxa"/>
            <w:gridSpan w:val="9"/>
            <w:vAlign w:val="center"/>
          </w:tcPr>
          <w:p w14:paraId="2A4C00A6" w14:textId="3990954C" w:rsidR="00046D64" w:rsidRPr="00A473B4" w:rsidRDefault="001D54CA" w:rsidP="00E70C72">
            <w:pPr>
              <w:pStyle w:val="COMTabletext"/>
              <w:keepNext w:val="0"/>
              <w:keepLines/>
              <w:rPr>
                <w:rFonts w:cs="Arial"/>
                <w:szCs w:val="20"/>
              </w:rPr>
            </w:pPr>
            <w:r>
              <w:rPr>
                <w:smallCaps/>
              </w:rPr>
              <w:t>Iptacopan</w:t>
            </w:r>
          </w:p>
        </w:tc>
      </w:tr>
      <w:tr w:rsidR="008A5067" w:rsidRPr="00A473B4" w14:paraId="1DC2CC67" w14:textId="77777777" w:rsidTr="00E128A2">
        <w:trPr>
          <w:trHeight w:val="20"/>
        </w:trPr>
        <w:tc>
          <w:tcPr>
            <w:tcW w:w="2404" w:type="dxa"/>
            <w:gridSpan w:val="3"/>
            <w:vAlign w:val="center"/>
          </w:tcPr>
          <w:p w14:paraId="612C04D7" w14:textId="512E405A" w:rsidR="008A5067" w:rsidRPr="00A473B4" w:rsidRDefault="008A5067" w:rsidP="00E70C72">
            <w:pPr>
              <w:keepLines/>
              <w:rPr>
                <w:rFonts w:ascii="Arial Narrow" w:hAnsi="Arial Narrow"/>
                <w:sz w:val="20"/>
                <w:szCs w:val="20"/>
              </w:rPr>
            </w:pPr>
            <w:r w:rsidRPr="001D54CA">
              <w:rPr>
                <w:rFonts w:ascii="Arial Narrow" w:eastAsiaTheme="majorEastAsia" w:hAnsi="Arial Narrow" w:cstheme="majorBidi"/>
                <w:bCs/>
                <w:sz w:val="20"/>
              </w:rPr>
              <w:t>Iptacopan 200 mg capsule, 56</w:t>
            </w:r>
          </w:p>
        </w:tc>
        <w:tc>
          <w:tcPr>
            <w:tcW w:w="851" w:type="dxa"/>
            <w:vAlign w:val="center"/>
          </w:tcPr>
          <w:p w14:paraId="19A5A4A2" w14:textId="08DA811D" w:rsidR="008A5067" w:rsidRDefault="008A5067" w:rsidP="00E70C72">
            <w:pPr>
              <w:pStyle w:val="COMTabletext"/>
              <w:keepNext w:val="0"/>
              <w:keepLines/>
              <w:jc w:val="center"/>
            </w:pPr>
            <w:r>
              <w:t>NEW</w:t>
            </w:r>
          </w:p>
        </w:tc>
        <w:tc>
          <w:tcPr>
            <w:tcW w:w="1495" w:type="dxa"/>
          </w:tcPr>
          <w:p w14:paraId="7FD0B4D1" w14:textId="77777777" w:rsidR="008A5067" w:rsidRDefault="008A5067" w:rsidP="00E70C72">
            <w:pPr>
              <w:pStyle w:val="COMTabletext"/>
              <w:keepNext w:val="0"/>
              <w:keepLines/>
              <w:jc w:val="center"/>
            </w:pPr>
            <w:r>
              <w:t>Public hospital: $38,657.22</w:t>
            </w:r>
          </w:p>
          <w:p w14:paraId="70C2874A" w14:textId="14F11574" w:rsidR="008A5067" w:rsidRPr="00A473B4" w:rsidRDefault="008A5067" w:rsidP="00E70C72">
            <w:pPr>
              <w:pStyle w:val="COMTabletext"/>
              <w:keepNext w:val="0"/>
              <w:keepLines/>
              <w:jc w:val="center"/>
              <w:rPr>
                <w:szCs w:val="20"/>
              </w:rPr>
            </w:pPr>
            <w:r>
              <w:t>Private hospital: $38,705.59</w:t>
            </w:r>
          </w:p>
        </w:tc>
        <w:tc>
          <w:tcPr>
            <w:tcW w:w="812" w:type="dxa"/>
            <w:vAlign w:val="center"/>
          </w:tcPr>
          <w:p w14:paraId="71CD2441" w14:textId="642E03B6" w:rsidR="008A5067" w:rsidRPr="00A473B4" w:rsidRDefault="008A5067" w:rsidP="00E70C72">
            <w:pPr>
              <w:keepLines/>
              <w:jc w:val="center"/>
              <w:rPr>
                <w:rFonts w:ascii="Arial Narrow" w:hAnsi="Arial Narrow"/>
                <w:sz w:val="20"/>
                <w:szCs w:val="20"/>
              </w:rPr>
            </w:pPr>
            <w:r>
              <w:rPr>
                <w:rFonts w:ascii="Arial Narrow" w:hAnsi="Arial Narrow"/>
                <w:sz w:val="20"/>
              </w:rPr>
              <w:t>1</w:t>
            </w:r>
          </w:p>
        </w:tc>
        <w:tc>
          <w:tcPr>
            <w:tcW w:w="811" w:type="dxa"/>
            <w:vAlign w:val="center"/>
          </w:tcPr>
          <w:p w14:paraId="65F4D3E9" w14:textId="1BE62A27" w:rsidR="008A5067" w:rsidRPr="00A473B4" w:rsidRDefault="008A5067" w:rsidP="00E70C72">
            <w:pPr>
              <w:keepLines/>
              <w:jc w:val="center"/>
              <w:rPr>
                <w:rFonts w:ascii="Arial Narrow" w:hAnsi="Arial Narrow"/>
                <w:sz w:val="20"/>
                <w:szCs w:val="20"/>
              </w:rPr>
            </w:pPr>
            <w:r>
              <w:rPr>
                <w:rFonts w:ascii="Arial Narrow" w:hAnsi="Arial Narrow"/>
                <w:sz w:val="20"/>
              </w:rPr>
              <w:t>56</w:t>
            </w:r>
          </w:p>
        </w:tc>
        <w:tc>
          <w:tcPr>
            <w:tcW w:w="812" w:type="dxa"/>
            <w:vAlign w:val="center"/>
          </w:tcPr>
          <w:p w14:paraId="7C728D0C" w14:textId="3D4757D1" w:rsidR="008A5067" w:rsidRPr="00525F9E" w:rsidRDefault="008A5067" w:rsidP="00E70C72">
            <w:pPr>
              <w:keepLines/>
              <w:jc w:val="center"/>
              <w:rPr>
                <w:rFonts w:ascii="Arial Narrow" w:hAnsi="Arial Narrow"/>
                <w:sz w:val="20"/>
                <w:szCs w:val="20"/>
              </w:rPr>
            </w:pPr>
            <w:r w:rsidRPr="00525F9E">
              <w:rPr>
                <w:rFonts w:ascii="Arial Narrow" w:hAnsi="Arial Narrow"/>
                <w:strike/>
                <w:sz w:val="20"/>
              </w:rPr>
              <w:t>0</w:t>
            </w:r>
            <w:r w:rsidRPr="008A5067">
              <w:rPr>
                <w:rFonts w:ascii="Arial Narrow" w:hAnsi="Arial Narrow"/>
                <w:sz w:val="20"/>
              </w:rPr>
              <w:t xml:space="preserve"> </w:t>
            </w:r>
            <w:r w:rsidRPr="008A5067">
              <w:rPr>
                <w:rFonts w:ascii="Arial Narrow" w:hAnsi="Arial Narrow"/>
                <w:i/>
                <w:iCs/>
                <w:sz w:val="20"/>
              </w:rPr>
              <w:t>5</w:t>
            </w:r>
          </w:p>
        </w:tc>
        <w:tc>
          <w:tcPr>
            <w:tcW w:w="1887" w:type="dxa"/>
            <w:vAlign w:val="center"/>
          </w:tcPr>
          <w:p w14:paraId="519A0BC8" w14:textId="6B3CE1F0" w:rsidR="008A5067" w:rsidRPr="00A473B4" w:rsidRDefault="008A5067" w:rsidP="00E70C72">
            <w:pPr>
              <w:keepLines/>
              <w:jc w:val="center"/>
              <w:rPr>
                <w:rFonts w:ascii="Arial Narrow" w:hAnsi="Arial Narrow"/>
                <w:sz w:val="20"/>
                <w:szCs w:val="20"/>
              </w:rPr>
            </w:pPr>
            <w:r>
              <w:rPr>
                <w:rFonts w:ascii="Arial Narrow" w:hAnsi="Arial Narrow"/>
                <w:sz w:val="20"/>
                <w:szCs w:val="20"/>
              </w:rPr>
              <w:t>Fabhalta</w:t>
            </w:r>
          </w:p>
        </w:tc>
      </w:tr>
      <w:tr w:rsidR="001D54CA" w:rsidRPr="00A473B4" w14:paraId="0FE79F0E" w14:textId="77777777" w:rsidTr="00A4207F">
        <w:trPr>
          <w:trHeight w:val="20"/>
        </w:trPr>
        <w:tc>
          <w:tcPr>
            <w:tcW w:w="9072" w:type="dxa"/>
            <w:gridSpan w:val="9"/>
            <w:vAlign w:val="center"/>
          </w:tcPr>
          <w:p w14:paraId="3788A325" w14:textId="7500CD35" w:rsidR="001D54CA" w:rsidRPr="001D54CA" w:rsidRDefault="001D54CA" w:rsidP="00E70C72">
            <w:pPr>
              <w:keepLines/>
              <w:jc w:val="left"/>
              <w:rPr>
                <w:rFonts w:ascii="Arial Narrow" w:hAnsi="Arial Narrow"/>
                <w:b/>
                <w:bCs/>
                <w:sz w:val="20"/>
                <w:szCs w:val="20"/>
              </w:rPr>
            </w:pPr>
          </w:p>
        </w:tc>
      </w:tr>
      <w:bookmarkEnd w:id="8"/>
      <w:tr w:rsidR="00525F9E" w:rsidRPr="00B27C8C" w14:paraId="5B5AAA27" w14:textId="77777777" w:rsidTr="00A4207F">
        <w:trPr>
          <w:trHeight w:val="20"/>
        </w:trPr>
        <w:tc>
          <w:tcPr>
            <w:tcW w:w="9071" w:type="dxa"/>
            <w:gridSpan w:val="9"/>
            <w:vAlign w:val="center"/>
          </w:tcPr>
          <w:p w14:paraId="364A4C37" w14:textId="77777777" w:rsidR="00525F9E" w:rsidRPr="00B27C8C" w:rsidRDefault="00525F9E" w:rsidP="00E70C72">
            <w:pPr>
              <w:keepLines/>
              <w:jc w:val="left"/>
              <w:rPr>
                <w:rFonts w:ascii="Arial Narrow" w:hAnsi="Arial Narrow"/>
                <w:b/>
                <w:bCs/>
                <w:sz w:val="20"/>
                <w:szCs w:val="20"/>
              </w:rPr>
            </w:pPr>
            <w:r w:rsidRPr="00B27C8C">
              <w:rPr>
                <w:rFonts w:ascii="Arial Narrow" w:hAnsi="Arial Narrow"/>
                <w:b/>
                <w:bCs/>
                <w:sz w:val="20"/>
                <w:szCs w:val="20"/>
              </w:rPr>
              <w:t>Restriction Summary [new] / Treatment of Concept: [new]</w:t>
            </w:r>
          </w:p>
        </w:tc>
      </w:tr>
      <w:tr w:rsidR="00525F9E" w:rsidRPr="00B27C8C" w14:paraId="6010648B" w14:textId="77777777" w:rsidTr="00A4207F">
        <w:trPr>
          <w:trHeight w:val="20"/>
        </w:trPr>
        <w:tc>
          <w:tcPr>
            <w:tcW w:w="1560" w:type="dxa"/>
            <w:gridSpan w:val="2"/>
            <w:vMerge w:val="restart"/>
            <w:vAlign w:val="center"/>
          </w:tcPr>
          <w:p w14:paraId="403E81A5" w14:textId="2A515D9C" w:rsidR="00525F9E" w:rsidRDefault="00525F9E" w:rsidP="00E70C72">
            <w:pPr>
              <w:keepLines/>
              <w:jc w:val="center"/>
              <w:rPr>
                <w:rFonts w:ascii="Arial Narrow" w:hAnsi="Arial Narrow"/>
                <w:sz w:val="20"/>
                <w:szCs w:val="20"/>
              </w:rPr>
            </w:pPr>
          </w:p>
        </w:tc>
        <w:tc>
          <w:tcPr>
            <w:tcW w:w="7511" w:type="dxa"/>
            <w:gridSpan w:val="7"/>
          </w:tcPr>
          <w:p w14:paraId="39006ADD" w14:textId="2134EF55" w:rsidR="00525F9E" w:rsidRPr="00B27C8C" w:rsidRDefault="00525F9E" w:rsidP="00E70C72">
            <w:pPr>
              <w:keepLines/>
              <w:jc w:val="left"/>
              <w:rPr>
                <w:rFonts w:ascii="Arial Narrow" w:hAnsi="Arial Narrow"/>
                <w:sz w:val="20"/>
                <w:szCs w:val="20"/>
              </w:rPr>
            </w:pPr>
            <w:r w:rsidRPr="00B27C8C">
              <w:rPr>
                <w:rFonts w:ascii="Arial Narrow" w:hAnsi="Arial Narrow"/>
                <w:b/>
                <w:sz w:val="20"/>
                <w:szCs w:val="20"/>
              </w:rPr>
              <w:t xml:space="preserve">Category / Program: </w:t>
            </w:r>
            <w:r w:rsidRPr="00CB56BC">
              <w:rPr>
                <w:rFonts w:ascii="Arial Narrow" w:hAnsi="Arial Narrow"/>
                <w:strike/>
                <w:sz w:val="20"/>
                <w:szCs w:val="20"/>
              </w:rPr>
              <w:t>Section 100</w:t>
            </w:r>
            <w:r>
              <w:rPr>
                <w:rFonts w:ascii="Arial Narrow" w:hAnsi="Arial Narrow"/>
                <w:strike/>
                <w:sz w:val="20"/>
                <w:szCs w:val="20"/>
              </w:rPr>
              <w:t xml:space="preserve"> </w:t>
            </w:r>
            <w:r w:rsidRPr="00CB56BC">
              <w:rPr>
                <w:rFonts w:ascii="Arial Narrow" w:hAnsi="Arial Narrow"/>
                <w:i/>
                <w:iCs/>
                <w:sz w:val="20"/>
                <w:szCs w:val="20"/>
              </w:rPr>
              <w:t xml:space="preserve">General </w:t>
            </w:r>
            <w:r>
              <w:rPr>
                <w:rFonts w:ascii="Arial Narrow" w:hAnsi="Arial Narrow"/>
                <w:i/>
                <w:iCs/>
                <w:sz w:val="20"/>
                <w:szCs w:val="20"/>
              </w:rPr>
              <w:t>schedule (code:</w:t>
            </w:r>
            <w:r w:rsidR="00ED35E0">
              <w:rPr>
                <w:rFonts w:ascii="Arial Narrow" w:hAnsi="Arial Narrow"/>
                <w:i/>
                <w:iCs/>
                <w:sz w:val="20"/>
                <w:szCs w:val="20"/>
              </w:rPr>
              <w:t xml:space="preserve"> </w:t>
            </w:r>
            <w:r>
              <w:rPr>
                <w:rFonts w:ascii="Arial Narrow" w:hAnsi="Arial Narrow"/>
                <w:i/>
                <w:iCs/>
                <w:sz w:val="20"/>
                <w:szCs w:val="20"/>
              </w:rPr>
              <w:t>GE)</w:t>
            </w:r>
          </w:p>
        </w:tc>
      </w:tr>
      <w:tr w:rsidR="00525F9E" w:rsidRPr="00B27C8C" w14:paraId="086E63E8" w14:textId="77777777" w:rsidTr="00A4207F">
        <w:trPr>
          <w:trHeight w:val="20"/>
        </w:trPr>
        <w:tc>
          <w:tcPr>
            <w:tcW w:w="1560" w:type="dxa"/>
            <w:gridSpan w:val="2"/>
            <w:vMerge/>
            <w:vAlign w:val="center"/>
          </w:tcPr>
          <w:p w14:paraId="6FEE148A" w14:textId="77777777" w:rsidR="00525F9E" w:rsidRDefault="00525F9E" w:rsidP="00E70C72">
            <w:pPr>
              <w:keepLines/>
              <w:jc w:val="center"/>
              <w:rPr>
                <w:rFonts w:ascii="Arial Narrow" w:hAnsi="Arial Narrow"/>
                <w:sz w:val="20"/>
                <w:szCs w:val="20"/>
              </w:rPr>
            </w:pPr>
          </w:p>
        </w:tc>
        <w:tc>
          <w:tcPr>
            <w:tcW w:w="7511" w:type="dxa"/>
            <w:gridSpan w:val="7"/>
          </w:tcPr>
          <w:p w14:paraId="1B96EF7E" w14:textId="77777777" w:rsidR="00525F9E" w:rsidRPr="00B27C8C" w:rsidRDefault="00525F9E" w:rsidP="00E70C72">
            <w:pPr>
              <w:keepLines/>
              <w:jc w:val="left"/>
              <w:rPr>
                <w:rFonts w:ascii="Arial Narrow" w:hAnsi="Arial Narrow"/>
                <w:sz w:val="20"/>
                <w:szCs w:val="20"/>
              </w:rPr>
            </w:pPr>
            <w:r w:rsidRPr="00B27C8C">
              <w:rPr>
                <w:rFonts w:ascii="Arial Narrow" w:hAnsi="Arial Narrow"/>
                <w:b/>
                <w:sz w:val="20"/>
                <w:szCs w:val="20"/>
              </w:rPr>
              <w:t xml:space="preserve">Prescriber type: </w:t>
            </w:r>
            <w:r w:rsidRPr="00B27C8C">
              <w:rPr>
                <w:rFonts w:ascii="Arial Narrow" w:hAnsi="Arial Narrow"/>
                <w:sz w:val="20"/>
                <w:szCs w:val="20"/>
              </w:rPr>
              <w:fldChar w:fldCharType="begin">
                <w:ffData>
                  <w:name w:val=""/>
                  <w:enabled/>
                  <w:calcOnExit w:val="0"/>
                  <w:checkBox>
                    <w:sizeAuto/>
                    <w:default w:val="1"/>
                  </w:checkBox>
                </w:ffData>
              </w:fldChar>
            </w:r>
            <w:r w:rsidRPr="00B27C8C">
              <w:rPr>
                <w:rFonts w:ascii="Arial Narrow" w:hAnsi="Arial Narrow"/>
                <w:sz w:val="20"/>
                <w:szCs w:val="20"/>
              </w:rPr>
              <w:instrText xml:space="preserve"> FORMCHECKBOX </w:instrText>
            </w:r>
            <w:r w:rsidR="002E7F91">
              <w:rPr>
                <w:rFonts w:ascii="Arial Narrow" w:hAnsi="Arial Narrow"/>
                <w:sz w:val="20"/>
                <w:szCs w:val="20"/>
              </w:rPr>
            </w:r>
            <w:r w:rsidR="002E7F91">
              <w:rPr>
                <w:rFonts w:ascii="Arial Narrow" w:hAnsi="Arial Narrow"/>
                <w:sz w:val="20"/>
                <w:szCs w:val="20"/>
              </w:rPr>
              <w:fldChar w:fldCharType="separate"/>
            </w:r>
            <w:r w:rsidRPr="00B27C8C">
              <w:rPr>
                <w:rFonts w:ascii="Arial Narrow" w:hAnsi="Arial Narrow"/>
                <w:sz w:val="20"/>
                <w:szCs w:val="20"/>
              </w:rPr>
              <w:fldChar w:fldCharType="end"/>
            </w:r>
            <w:r w:rsidRPr="00B27C8C">
              <w:rPr>
                <w:rFonts w:ascii="Arial Narrow" w:hAnsi="Arial Narrow"/>
                <w:sz w:val="20"/>
                <w:szCs w:val="20"/>
              </w:rPr>
              <w:t xml:space="preserve">Medical Practitioners </w:t>
            </w:r>
          </w:p>
        </w:tc>
      </w:tr>
      <w:tr w:rsidR="00525F9E" w:rsidRPr="00B27C8C" w14:paraId="6F3D1916" w14:textId="77777777" w:rsidTr="00A4207F">
        <w:trPr>
          <w:trHeight w:val="20"/>
        </w:trPr>
        <w:tc>
          <w:tcPr>
            <w:tcW w:w="1560" w:type="dxa"/>
            <w:gridSpan w:val="2"/>
            <w:vMerge/>
            <w:vAlign w:val="center"/>
          </w:tcPr>
          <w:p w14:paraId="0DFB786D" w14:textId="77777777" w:rsidR="00525F9E" w:rsidRDefault="00525F9E" w:rsidP="00E70C72">
            <w:pPr>
              <w:keepLines/>
              <w:jc w:val="center"/>
              <w:rPr>
                <w:rFonts w:ascii="Arial Narrow" w:hAnsi="Arial Narrow"/>
                <w:sz w:val="20"/>
                <w:szCs w:val="20"/>
              </w:rPr>
            </w:pPr>
          </w:p>
        </w:tc>
        <w:tc>
          <w:tcPr>
            <w:tcW w:w="7511" w:type="dxa"/>
            <w:gridSpan w:val="7"/>
          </w:tcPr>
          <w:p w14:paraId="0347A978" w14:textId="77777777" w:rsidR="00525F9E" w:rsidRPr="00B27C8C" w:rsidRDefault="00525F9E" w:rsidP="00E70C72">
            <w:pPr>
              <w:keepLines/>
              <w:jc w:val="left"/>
              <w:rPr>
                <w:rFonts w:ascii="Arial Narrow" w:hAnsi="Arial Narrow"/>
                <w:sz w:val="20"/>
                <w:szCs w:val="20"/>
              </w:rPr>
            </w:pPr>
            <w:r w:rsidRPr="00B27C8C">
              <w:rPr>
                <w:rFonts w:ascii="Arial Narrow" w:hAnsi="Arial Narrow"/>
                <w:b/>
                <w:sz w:val="20"/>
                <w:szCs w:val="20"/>
              </w:rPr>
              <w:t xml:space="preserve">Restriction type: </w:t>
            </w:r>
            <w:r w:rsidRPr="00B27C8C">
              <w:rPr>
                <w:rFonts w:ascii="Arial Narrow" w:hAnsi="Arial Narrow"/>
                <w:sz w:val="20"/>
                <w:szCs w:val="20"/>
              </w:rPr>
              <w:fldChar w:fldCharType="begin">
                <w:ffData>
                  <w:name w:val=""/>
                  <w:enabled/>
                  <w:calcOnExit w:val="0"/>
                  <w:checkBox>
                    <w:sizeAuto/>
                    <w:default w:val="1"/>
                  </w:checkBox>
                </w:ffData>
              </w:fldChar>
            </w:r>
            <w:r w:rsidRPr="00B27C8C">
              <w:rPr>
                <w:rFonts w:ascii="Arial Narrow" w:hAnsi="Arial Narrow"/>
                <w:sz w:val="20"/>
                <w:szCs w:val="20"/>
              </w:rPr>
              <w:instrText xml:space="preserve"> FORMCHECKBOX </w:instrText>
            </w:r>
            <w:r w:rsidR="002E7F91">
              <w:rPr>
                <w:rFonts w:ascii="Arial Narrow" w:hAnsi="Arial Narrow"/>
                <w:sz w:val="20"/>
                <w:szCs w:val="20"/>
              </w:rPr>
            </w:r>
            <w:r w:rsidR="002E7F91">
              <w:rPr>
                <w:rFonts w:ascii="Arial Narrow" w:hAnsi="Arial Narrow"/>
                <w:sz w:val="20"/>
                <w:szCs w:val="20"/>
              </w:rPr>
              <w:fldChar w:fldCharType="separate"/>
            </w:r>
            <w:r w:rsidRPr="00B27C8C">
              <w:rPr>
                <w:rFonts w:ascii="Arial Narrow" w:hAnsi="Arial Narrow"/>
                <w:sz w:val="20"/>
                <w:szCs w:val="20"/>
              </w:rPr>
              <w:fldChar w:fldCharType="end"/>
            </w:r>
            <w:r w:rsidRPr="00B27C8C">
              <w:rPr>
                <w:rFonts w:ascii="Arial Narrow" w:hAnsi="Arial Narrow"/>
                <w:sz w:val="20"/>
                <w:szCs w:val="20"/>
              </w:rPr>
              <w:t xml:space="preserve">Authority Required – In Writing/HPOS  </w:t>
            </w:r>
          </w:p>
        </w:tc>
      </w:tr>
      <w:tr w:rsidR="00525F9E" w:rsidRPr="003A0DA8" w14:paraId="7452E248" w14:textId="77777777" w:rsidTr="00A4207F">
        <w:trPr>
          <w:trHeight w:val="20"/>
        </w:trPr>
        <w:tc>
          <w:tcPr>
            <w:tcW w:w="780" w:type="dxa"/>
            <w:vMerge w:val="restart"/>
            <w:vAlign w:val="center"/>
          </w:tcPr>
          <w:p w14:paraId="15F85F8D" w14:textId="77777777" w:rsidR="00525F9E" w:rsidRDefault="00525F9E" w:rsidP="00E70C72">
            <w:pPr>
              <w:keepLines/>
              <w:jc w:val="center"/>
              <w:rPr>
                <w:rFonts w:ascii="Arial Narrow" w:hAnsi="Arial Narrow"/>
                <w:sz w:val="20"/>
                <w:szCs w:val="20"/>
              </w:rPr>
            </w:pPr>
            <w:r w:rsidRPr="00CB56BC">
              <w:rPr>
                <w:rFonts w:ascii="Arial Narrow" w:eastAsia="Calibri" w:hAnsi="Arial Narrow"/>
                <w:sz w:val="20"/>
                <w:szCs w:val="20"/>
                <w:lang w:eastAsia="en-US"/>
              </w:rPr>
              <w:t>Prescribing rule level</w:t>
            </w:r>
          </w:p>
        </w:tc>
        <w:tc>
          <w:tcPr>
            <w:tcW w:w="780" w:type="dxa"/>
            <w:vAlign w:val="center"/>
          </w:tcPr>
          <w:p w14:paraId="747666AE" w14:textId="79AABA1D" w:rsidR="00525F9E" w:rsidRDefault="00525F9E" w:rsidP="00E70C72">
            <w:pPr>
              <w:keepLines/>
              <w:jc w:val="center"/>
              <w:rPr>
                <w:rFonts w:ascii="Arial Narrow" w:hAnsi="Arial Narrow"/>
                <w:sz w:val="20"/>
                <w:szCs w:val="20"/>
              </w:rPr>
            </w:pPr>
          </w:p>
        </w:tc>
        <w:tc>
          <w:tcPr>
            <w:tcW w:w="7511" w:type="dxa"/>
            <w:gridSpan w:val="7"/>
          </w:tcPr>
          <w:p w14:paraId="7D4E25D5" w14:textId="77777777" w:rsidR="00525F9E" w:rsidRPr="003A0DA8" w:rsidRDefault="00525F9E" w:rsidP="00E70C72">
            <w:pPr>
              <w:keepLines/>
              <w:jc w:val="left"/>
              <w:rPr>
                <w:rFonts w:ascii="Arial Narrow" w:hAnsi="Arial Narrow"/>
                <w:b/>
                <w:bCs/>
                <w:i/>
                <w:iCs/>
                <w:sz w:val="20"/>
                <w:szCs w:val="20"/>
              </w:rPr>
            </w:pPr>
            <w:r w:rsidRPr="003A0DA8">
              <w:rPr>
                <w:rFonts w:ascii="Arial Narrow" w:hAnsi="Arial Narrow"/>
                <w:b/>
                <w:bCs/>
                <w:i/>
                <w:iCs/>
                <w:sz w:val="20"/>
                <w:szCs w:val="20"/>
              </w:rPr>
              <w:t xml:space="preserve">Caution: </w:t>
            </w:r>
          </w:p>
          <w:p w14:paraId="3A0E49B3" w14:textId="77777777" w:rsidR="00525F9E" w:rsidRPr="003A0DA8" w:rsidRDefault="00525F9E" w:rsidP="00E70C72">
            <w:pPr>
              <w:pStyle w:val="NormalWeb"/>
              <w:keepLines/>
              <w:shd w:val="clear" w:color="auto" w:fill="FFFFFF"/>
              <w:spacing w:before="0" w:beforeAutospacing="0" w:after="0" w:afterAutospacing="0"/>
              <w:textAlignment w:val="baseline"/>
              <w:rPr>
                <w:rFonts w:ascii="Arial Narrow" w:eastAsia="SimSun" w:hAnsi="Arial Narrow" w:cs="Arial"/>
                <w:i/>
                <w:iCs/>
                <w:sz w:val="20"/>
                <w:szCs w:val="20"/>
              </w:rPr>
            </w:pPr>
            <w:r w:rsidRPr="003A0DA8">
              <w:rPr>
                <w:rFonts w:ascii="Arial Narrow" w:eastAsia="SimSun" w:hAnsi="Arial Narrow" w:cs="Arial"/>
                <w:i/>
                <w:iCs/>
                <w:sz w:val="20"/>
                <w:szCs w:val="20"/>
              </w:rPr>
              <w:t>This drug increases the risk of encapsulated bacterial infections.</w:t>
            </w:r>
          </w:p>
          <w:p w14:paraId="512E3277" w14:textId="77777777" w:rsidR="00525F9E" w:rsidRPr="003A0DA8" w:rsidRDefault="00525F9E" w:rsidP="00E70C72">
            <w:pPr>
              <w:keepLines/>
              <w:jc w:val="left"/>
              <w:rPr>
                <w:rFonts w:ascii="Arial Narrow" w:hAnsi="Arial Narrow"/>
                <w:b/>
                <w:i/>
                <w:iCs/>
                <w:sz w:val="20"/>
                <w:szCs w:val="20"/>
              </w:rPr>
            </w:pPr>
            <w:r w:rsidRPr="003A0DA8">
              <w:rPr>
                <w:rFonts w:ascii="Arial Narrow" w:hAnsi="Arial Narrow"/>
                <w:i/>
                <w:iCs/>
                <w:sz w:val="20"/>
                <w:szCs w:val="20"/>
              </w:rPr>
              <w:t>Consult the approved Product Information for information about vaccination against meningococcal, pneumococcal and Haemophilus influenzae type B (Hib) infection.</w:t>
            </w:r>
          </w:p>
        </w:tc>
      </w:tr>
      <w:tr w:rsidR="00525F9E" w:rsidRPr="003A0DA8" w14:paraId="4E22985D" w14:textId="77777777" w:rsidTr="00A4207F">
        <w:trPr>
          <w:trHeight w:val="20"/>
        </w:trPr>
        <w:tc>
          <w:tcPr>
            <w:tcW w:w="780" w:type="dxa"/>
            <w:vMerge/>
            <w:vAlign w:val="center"/>
          </w:tcPr>
          <w:p w14:paraId="2ABFE94E" w14:textId="77777777" w:rsidR="00525F9E" w:rsidRDefault="00525F9E" w:rsidP="00E70C72">
            <w:pPr>
              <w:keepLines/>
              <w:jc w:val="center"/>
              <w:rPr>
                <w:rFonts w:ascii="Arial Narrow" w:hAnsi="Arial Narrow"/>
                <w:sz w:val="20"/>
                <w:szCs w:val="20"/>
              </w:rPr>
            </w:pPr>
          </w:p>
        </w:tc>
        <w:tc>
          <w:tcPr>
            <w:tcW w:w="780" w:type="dxa"/>
            <w:vAlign w:val="center"/>
          </w:tcPr>
          <w:p w14:paraId="1F6626A3" w14:textId="25B2E5CB" w:rsidR="00525F9E" w:rsidRDefault="00525F9E" w:rsidP="00E70C72">
            <w:pPr>
              <w:keepLines/>
              <w:jc w:val="center"/>
              <w:rPr>
                <w:rFonts w:ascii="Arial Narrow" w:hAnsi="Arial Narrow"/>
                <w:sz w:val="20"/>
                <w:szCs w:val="20"/>
              </w:rPr>
            </w:pPr>
          </w:p>
        </w:tc>
        <w:tc>
          <w:tcPr>
            <w:tcW w:w="7511" w:type="dxa"/>
            <w:gridSpan w:val="7"/>
          </w:tcPr>
          <w:p w14:paraId="2CE4F1C4" w14:textId="77777777" w:rsidR="00525F9E" w:rsidRPr="003A0DA8" w:rsidRDefault="00525F9E" w:rsidP="00E70C72">
            <w:pPr>
              <w:keepLines/>
              <w:jc w:val="left"/>
              <w:rPr>
                <w:rFonts w:ascii="Arial Narrow" w:hAnsi="Arial Narrow"/>
                <w:b/>
                <w:i/>
                <w:iCs/>
                <w:sz w:val="20"/>
                <w:szCs w:val="20"/>
              </w:rPr>
            </w:pPr>
            <w:r w:rsidRPr="003A0DA8">
              <w:rPr>
                <w:rFonts w:ascii="Arial Narrow" w:hAnsi="Arial Narrow"/>
                <w:b/>
                <w:i/>
                <w:iCs/>
                <w:sz w:val="20"/>
                <w:szCs w:val="20"/>
              </w:rPr>
              <w:t xml:space="preserve">Administrative Advice: </w:t>
            </w:r>
          </w:p>
          <w:p w14:paraId="661BA8AB" w14:textId="77777777" w:rsidR="00525F9E" w:rsidRPr="003A0DA8" w:rsidRDefault="00525F9E" w:rsidP="00E70C72">
            <w:pPr>
              <w:keepLines/>
              <w:jc w:val="left"/>
              <w:rPr>
                <w:rFonts w:ascii="Arial Narrow" w:hAnsi="Arial Narrow"/>
                <w:bCs/>
                <w:i/>
                <w:iCs/>
                <w:sz w:val="20"/>
                <w:szCs w:val="20"/>
              </w:rPr>
            </w:pPr>
            <w:r w:rsidRPr="003A0DA8">
              <w:rPr>
                <w:rFonts w:ascii="Arial Narrow" w:hAnsi="Arial Narrow"/>
                <w:bCs/>
                <w:i/>
                <w:iCs/>
                <w:sz w:val="20"/>
                <w:szCs w:val="20"/>
              </w:rPr>
              <w:t>Complement 5 (C5) inhibitors are defined as eculizumab or ravulizumab</w:t>
            </w:r>
          </w:p>
        </w:tc>
      </w:tr>
      <w:tr w:rsidR="00525F9E" w:rsidRPr="003A0DA8" w14:paraId="674AF1D1" w14:textId="77777777" w:rsidTr="00A4207F">
        <w:trPr>
          <w:trHeight w:val="20"/>
        </w:trPr>
        <w:tc>
          <w:tcPr>
            <w:tcW w:w="780" w:type="dxa"/>
            <w:vMerge/>
            <w:vAlign w:val="center"/>
          </w:tcPr>
          <w:p w14:paraId="203C055F" w14:textId="77777777" w:rsidR="00525F9E" w:rsidRDefault="00525F9E" w:rsidP="00E70C72">
            <w:pPr>
              <w:keepLines/>
              <w:jc w:val="center"/>
              <w:rPr>
                <w:rFonts w:ascii="Arial Narrow" w:hAnsi="Arial Narrow"/>
                <w:sz w:val="20"/>
                <w:szCs w:val="20"/>
              </w:rPr>
            </w:pPr>
          </w:p>
        </w:tc>
        <w:tc>
          <w:tcPr>
            <w:tcW w:w="780" w:type="dxa"/>
            <w:vAlign w:val="center"/>
          </w:tcPr>
          <w:p w14:paraId="39A6E255" w14:textId="5B266EF1" w:rsidR="00525F9E" w:rsidRPr="003A0DA8" w:rsidRDefault="00525F9E" w:rsidP="00E70C72">
            <w:pPr>
              <w:keepLines/>
              <w:jc w:val="center"/>
              <w:rPr>
                <w:rFonts w:ascii="Arial Narrow" w:hAnsi="Arial Narrow"/>
                <w:i/>
                <w:iCs/>
                <w:sz w:val="20"/>
                <w:szCs w:val="20"/>
              </w:rPr>
            </w:pPr>
          </w:p>
        </w:tc>
        <w:tc>
          <w:tcPr>
            <w:tcW w:w="7511" w:type="dxa"/>
            <w:gridSpan w:val="7"/>
          </w:tcPr>
          <w:p w14:paraId="5245A208" w14:textId="77777777" w:rsidR="00525F9E" w:rsidRPr="003A0DA8" w:rsidRDefault="00525F9E" w:rsidP="00E70C72">
            <w:pPr>
              <w:keepLines/>
              <w:jc w:val="left"/>
              <w:rPr>
                <w:rFonts w:ascii="Arial Narrow" w:hAnsi="Arial Narrow"/>
                <w:b/>
                <w:i/>
                <w:iCs/>
                <w:sz w:val="20"/>
                <w:szCs w:val="20"/>
              </w:rPr>
            </w:pPr>
            <w:r w:rsidRPr="003A0DA8">
              <w:rPr>
                <w:rFonts w:ascii="Arial Narrow" w:hAnsi="Arial Narrow"/>
                <w:b/>
                <w:i/>
                <w:iCs/>
                <w:sz w:val="20"/>
                <w:szCs w:val="20"/>
              </w:rPr>
              <w:t>Administrative Advice:</w:t>
            </w:r>
          </w:p>
          <w:p w14:paraId="5465EDDD" w14:textId="77777777" w:rsidR="00525F9E" w:rsidRPr="003A0DA8" w:rsidRDefault="00525F9E" w:rsidP="00E70C72">
            <w:pPr>
              <w:keepLines/>
              <w:jc w:val="left"/>
              <w:rPr>
                <w:rFonts w:ascii="Arial Narrow" w:hAnsi="Arial Narrow"/>
                <w:bCs/>
                <w:i/>
                <w:iCs/>
                <w:sz w:val="20"/>
                <w:szCs w:val="20"/>
              </w:rPr>
            </w:pPr>
            <w:r w:rsidRPr="003A0DA8">
              <w:rPr>
                <w:rFonts w:ascii="Arial Narrow" w:hAnsi="Arial Narrow"/>
                <w:bCs/>
                <w:i/>
                <w:iCs/>
                <w:sz w:val="20"/>
                <w:szCs w:val="20"/>
              </w:rPr>
              <w:t>Any queries concerning the arrangements to prescribe may be directed to Services Australia on 1800 700 270 (hours of operation 8 a.m. to 5 p.m. Monday to Friday).</w:t>
            </w:r>
          </w:p>
          <w:p w14:paraId="656312C5" w14:textId="77777777" w:rsidR="00525F9E" w:rsidRPr="003A0DA8" w:rsidRDefault="00525F9E" w:rsidP="00E70C72">
            <w:pPr>
              <w:keepLines/>
              <w:jc w:val="left"/>
              <w:rPr>
                <w:rFonts w:ascii="Arial Narrow" w:hAnsi="Arial Narrow"/>
                <w:bCs/>
                <w:i/>
                <w:iCs/>
                <w:sz w:val="20"/>
                <w:szCs w:val="20"/>
              </w:rPr>
            </w:pPr>
            <w:r w:rsidRPr="003A0DA8">
              <w:rPr>
                <w:rFonts w:ascii="Arial Narrow" w:hAnsi="Arial Narrow"/>
                <w:bCs/>
                <w:i/>
                <w:iCs/>
                <w:sz w:val="20"/>
                <w:szCs w:val="20"/>
              </w:rPr>
              <w:t>Prescribing information (including Authority Application forms and other relevant documentation as applicable) is available on the Services Australia website at www.servicesaustralia.gov.au</w:t>
            </w:r>
          </w:p>
          <w:p w14:paraId="24D40774" w14:textId="77777777" w:rsidR="00525F9E" w:rsidRPr="003A0DA8" w:rsidRDefault="00525F9E" w:rsidP="00E70C72">
            <w:pPr>
              <w:keepLines/>
              <w:jc w:val="left"/>
              <w:rPr>
                <w:rFonts w:ascii="Arial Narrow" w:hAnsi="Arial Narrow"/>
                <w:bCs/>
                <w:i/>
                <w:iCs/>
                <w:sz w:val="20"/>
                <w:szCs w:val="20"/>
              </w:rPr>
            </w:pPr>
            <w:r w:rsidRPr="003A0DA8">
              <w:rPr>
                <w:rFonts w:ascii="Arial Narrow" w:hAnsi="Arial Narrow"/>
                <w:bCs/>
                <w:i/>
                <w:iCs/>
                <w:sz w:val="20"/>
                <w:szCs w:val="20"/>
              </w:rPr>
              <w:t>Applications for authority to prescribe should be submitted online using the form upload facility in Health Professional Online Services (HPOS) at www.servicesaustralia.gov.au/hpos</w:t>
            </w:r>
          </w:p>
          <w:p w14:paraId="752EB897" w14:textId="77777777" w:rsidR="00525F9E" w:rsidRPr="003A0DA8" w:rsidRDefault="00525F9E" w:rsidP="00E70C72">
            <w:pPr>
              <w:keepLines/>
              <w:jc w:val="left"/>
              <w:rPr>
                <w:rFonts w:ascii="Arial Narrow" w:hAnsi="Arial Narrow"/>
                <w:bCs/>
                <w:i/>
                <w:iCs/>
                <w:sz w:val="20"/>
                <w:szCs w:val="20"/>
              </w:rPr>
            </w:pPr>
            <w:r w:rsidRPr="003A0DA8">
              <w:rPr>
                <w:rFonts w:ascii="Arial Narrow" w:hAnsi="Arial Narrow"/>
                <w:bCs/>
                <w:i/>
                <w:iCs/>
                <w:sz w:val="20"/>
                <w:szCs w:val="20"/>
              </w:rPr>
              <w:lastRenderedPageBreak/>
              <w:t>Or mailed to:</w:t>
            </w:r>
          </w:p>
          <w:p w14:paraId="1C6C75B0" w14:textId="77777777" w:rsidR="00525F9E" w:rsidRPr="003A0DA8" w:rsidRDefault="00525F9E" w:rsidP="00E70C72">
            <w:pPr>
              <w:keepLines/>
              <w:jc w:val="left"/>
              <w:rPr>
                <w:rFonts w:ascii="Arial Narrow" w:hAnsi="Arial Narrow"/>
                <w:bCs/>
                <w:i/>
                <w:iCs/>
                <w:sz w:val="20"/>
                <w:szCs w:val="20"/>
              </w:rPr>
            </w:pPr>
            <w:r w:rsidRPr="003A0DA8">
              <w:rPr>
                <w:rFonts w:ascii="Arial Narrow" w:hAnsi="Arial Narrow"/>
                <w:bCs/>
                <w:i/>
                <w:iCs/>
                <w:sz w:val="20"/>
                <w:szCs w:val="20"/>
              </w:rPr>
              <w:t>Services Australia</w:t>
            </w:r>
          </w:p>
          <w:p w14:paraId="07EBAC18" w14:textId="77777777" w:rsidR="00525F9E" w:rsidRPr="003A0DA8" w:rsidRDefault="00525F9E" w:rsidP="00E70C72">
            <w:pPr>
              <w:keepLines/>
              <w:jc w:val="left"/>
              <w:rPr>
                <w:rFonts w:ascii="Arial Narrow" w:hAnsi="Arial Narrow"/>
                <w:bCs/>
                <w:i/>
                <w:iCs/>
                <w:sz w:val="20"/>
                <w:szCs w:val="20"/>
              </w:rPr>
            </w:pPr>
            <w:r w:rsidRPr="003A0DA8">
              <w:rPr>
                <w:rFonts w:ascii="Arial Narrow" w:hAnsi="Arial Narrow"/>
                <w:bCs/>
                <w:i/>
                <w:iCs/>
                <w:sz w:val="20"/>
                <w:szCs w:val="20"/>
              </w:rPr>
              <w:t>Complex Drugs</w:t>
            </w:r>
          </w:p>
          <w:p w14:paraId="7735CF4F" w14:textId="77777777" w:rsidR="00525F9E" w:rsidRPr="003A0DA8" w:rsidRDefault="00525F9E" w:rsidP="00E70C72">
            <w:pPr>
              <w:keepLines/>
              <w:jc w:val="left"/>
              <w:rPr>
                <w:rFonts w:ascii="Arial Narrow" w:hAnsi="Arial Narrow"/>
                <w:bCs/>
                <w:i/>
                <w:iCs/>
                <w:sz w:val="20"/>
                <w:szCs w:val="20"/>
              </w:rPr>
            </w:pPr>
            <w:r w:rsidRPr="003A0DA8">
              <w:rPr>
                <w:rFonts w:ascii="Arial Narrow" w:hAnsi="Arial Narrow"/>
                <w:bCs/>
                <w:i/>
                <w:iCs/>
                <w:sz w:val="20"/>
                <w:szCs w:val="20"/>
              </w:rPr>
              <w:t>Reply Paid 9826</w:t>
            </w:r>
          </w:p>
          <w:p w14:paraId="665F0B8C" w14:textId="77777777" w:rsidR="00525F9E" w:rsidRPr="003A0DA8" w:rsidRDefault="00525F9E" w:rsidP="00E70C72">
            <w:pPr>
              <w:keepLines/>
              <w:jc w:val="left"/>
              <w:rPr>
                <w:rFonts w:ascii="Arial Narrow" w:hAnsi="Arial Narrow"/>
                <w:b/>
                <w:i/>
                <w:iCs/>
                <w:sz w:val="20"/>
                <w:szCs w:val="20"/>
              </w:rPr>
            </w:pPr>
            <w:r w:rsidRPr="003A0DA8">
              <w:rPr>
                <w:rFonts w:ascii="Arial Narrow" w:hAnsi="Arial Narrow"/>
                <w:bCs/>
                <w:i/>
                <w:iCs/>
                <w:sz w:val="20"/>
                <w:szCs w:val="20"/>
              </w:rPr>
              <w:t>HOBART TAS 7001</w:t>
            </w:r>
          </w:p>
        </w:tc>
      </w:tr>
      <w:tr w:rsidR="00525F9E" w:rsidRPr="003A0DA8" w14:paraId="7858761B" w14:textId="77777777" w:rsidTr="00A4207F">
        <w:trPr>
          <w:trHeight w:val="20"/>
        </w:trPr>
        <w:tc>
          <w:tcPr>
            <w:tcW w:w="780" w:type="dxa"/>
            <w:vMerge/>
            <w:vAlign w:val="center"/>
          </w:tcPr>
          <w:p w14:paraId="412BD7B6" w14:textId="77777777" w:rsidR="00525F9E" w:rsidRDefault="00525F9E" w:rsidP="00E70C72">
            <w:pPr>
              <w:keepLines/>
              <w:jc w:val="center"/>
              <w:rPr>
                <w:rFonts w:ascii="Arial Narrow" w:hAnsi="Arial Narrow"/>
                <w:sz w:val="20"/>
                <w:szCs w:val="20"/>
              </w:rPr>
            </w:pPr>
          </w:p>
        </w:tc>
        <w:tc>
          <w:tcPr>
            <w:tcW w:w="780" w:type="dxa"/>
            <w:vAlign w:val="center"/>
          </w:tcPr>
          <w:p w14:paraId="49FF3377" w14:textId="6C7AF75A" w:rsidR="00525F9E" w:rsidRPr="003A0DA8" w:rsidRDefault="00525F9E" w:rsidP="00E70C72">
            <w:pPr>
              <w:keepLines/>
              <w:jc w:val="center"/>
              <w:rPr>
                <w:rFonts w:ascii="Arial Narrow" w:hAnsi="Arial Narrow"/>
                <w:i/>
                <w:iCs/>
                <w:sz w:val="20"/>
                <w:szCs w:val="20"/>
              </w:rPr>
            </w:pPr>
          </w:p>
        </w:tc>
        <w:tc>
          <w:tcPr>
            <w:tcW w:w="7511" w:type="dxa"/>
            <w:gridSpan w:val="7"/>
          </w:tcPr>
          <w:p w14:paraId="5E66279B" w14:textId="77777777" w:rsidR="00525F9E" w:rsidRPr="003A0DA8" w:rsidRDefault="00525F9E" w:rsidP="00E70C72">
            <w:pPr>
              <w:keepLines/>
              <w:jc w:val="left"/>
              <w:rPr>
                <w:rFonts w:ascii="Arial Narrow" w:hAnsi="Arial Narrow"/>
                <w:b/>
                <w:i/>
                <w:iCs/>
                <w:sz w:val="20"/>
                <w:szCs w:val="20"/>
              </w:rPr>
            </w:pPr>
            <w:r w:rsidRPr="003A0DA8">
              <w:rPr>
                <w:rFonts w:ascii="Arial Narrow" w:hAnsi="Arial Narrow"/>
                <w:b/>
                <w:i/>
                <w:iCs/>
                <w:sz w:val="20"/>
                <w:szCs w:val="20"/>
              </w:rPr>
              <w:t>Administrative Advice:</w:t>
            </w:r>
          </w:p>
          <w:p w14:paraId="100A5B2D" w14:textId="77777777" w:rsidR="00525F9E" w:rsidRPr="003A0DA8" w:rsidRDefault="00525F9E" w:rsidP="00E70C72">
            <w:pPr>
              <w:keepLines/>
              <w:jc w:val="left"/>
              <w:rPr>
                <w:rFonts w:ascii="Arial Narrow" w:hAnsi="Arial Narrow"/>
                <w:bCs/>
                <w:i/>
                <w:iCs/>
                <w:sz w:val="20"/>
                <w:szCs w:val="20"/>
              </w:rPr>
            </w:pPr>
            <w:r w:rsidRPr="003A0DA8">
              <w:rPr>
                <w:rFonts w:ascii="Arial Narrow" w:hAnsi="Arial Narrow"/>
                <w:bCs/>
                <w:i/>
                <w:iCs/>
                <w:sz w:val="20"/>
                <w:szCs w:val="20"/>
              </w:rPr>
              <w:t>No increase in the maximum quantity or number of units may be authorised.</w:t>
            </w:r>
          </w:p>
        </w:tc>
      </w:tr>
      <w:tr w:rsidR="00525F9E" w:rsidRPr="003A0DA8" w14:paraId="68C386D1" w14:textId="77777777" w:rsidTr="00A4207F">
        <w:trPr>
          <w:trHeight w:val="20"/>
        </w:trPr>
        <w:tc>
          <w:tcPr>
            <w:tcW w:w="780" w:type="dxa"/>
            <w:vMerge/>
            <w:vAlign w:val="center"/>
          </w:tcPr>
          <w:p w14:paraId="74B7E2D1" w14:textId="77777777" w:rsidR="00525F9E" w:rsidRDefault="00525F9E" w:rsidP="00E70C72">
            <w:pPr>
              <w:keepLines/>
              <w:jc w:val="center"/>
              <w:rPr>
                <w:rFonts w:ascii="Arial Narrow" w:hAnsi="Arial Narrow"/>
                <w:sz w:val="20"/>
                <w:szCs w:val="20"/>
              </w:rPr>
            </w:pPr>
          </w:p>
        </w:tc>
        <w:tc>
          <w:tcPr>
            <w:tcW w:w="780" w:type="dxa"/>
            <w:vAlign w:val="center"/>
          </w:tcPr>
          <w:p w14:paraId="4D855340" w14:textId="447035CD" w:rsidR="00525F9E" w:rsidRPr="003A0DA8" w:rsidRDefault="00525F9E" w:rsidP="00E70C72">
            <w:pPr>
              <w:keepLines/>
              <w:jc w:val="center"/>
              <w:rPr>
                <w:rFonts w:ascii="Arial Narrow" w:hAnsi="Arial Narrow"/>
                <w:i/>
                <w:iCs/>
                <w:sz w:val="20"/>
                <w:szCs w:val="20"/>
              </w:rPr>
            </w:pPr>
          </w:p>
        </w:tc>
        <w:tc>
          <w:tcPr>
            <w:tcW w:w="7511" w:type="dxa"/>
            <w:gridSpan w:val="7"/>
          </w:tcPr>
          <w:p w14:paraId="0ED7AAAD" w14:textId="77777777" w:rsidR="00525F9E" w:rsidRPr="003A0DA8" w:rsidRDefault="00525F9E" w:rsidP="00E70C72">
            <w:pPr>
              <w:keepLines/>
              <w:jc w:val="left"/>
              <w:rPr>
                <w:rFonts w:ascii="Arial Narrow" w:hAnsi="Arial Narrow"/>
                <w:b/>
                <w:i/>
                <w:iCs/>
                <w:sz w:val="20"/>
                <w:szCs w:val="20"/>
              </w:rPr>
            </w:pPr>
            <w:r w:rsidRPr="003A0DA8">
              <w:rPr>
                <w:rFonts w:ascii="Arial Narrow" w:hAnsi="Arial Narrow"/>
                <w:b/>
                <w:i/>
                <w:iCs/>
                <w:sz w:val="20"/>
                <w:szCs w:val="20"/>
              </w:rPr>
              <w:t>Administrative Advice:</w:t>
            </w:r>
          </w:p>
          <w:p w14:paraId="02BB5BF5" w14:textId="77777777" w:rsidR="00525F9E" w:rsidRPr="003A0DA8" w:rsidRDefault="00525F9E" w:rsidP="00E70C72">
            <w:pPr>
              <w:keepLines/>
              <w:jc w:val="left"/>
              <w:rPr>
                <w:rFonts w:ascii="Arial Narrow" w:hAnsi="Arial Narrow"/>
                <w:bCs/>
                <w:i/>
                <w:iCs/>
                <w:sz w:val="20"/>
                <w:szCs w:val="20"/>
              </w:rPr>
            </w:pPr>
            <w:r w:rsidRPr="003A0DA8">
              <w:rPr>
                <w:rFonts w:ascii="Arial Narrow" w:hAnsi="Arial Narrow"/>
                <w:bCs/>
                <w:i/>
                <w:iCs/>
                <w:sz w:val="20"/>
                <w:szCs w:val="20"/>
              </w:rPr>
              <w:t>No increase in the maximum number of repeats may be authorised.</w:t>
            </w:r>
          </w:p>
        </w:tc>
      </w:tr>
      <w:tr w:rsidR="00525F9E" w:rsidRPr="00B27C8C" w14:paraId="4BC9EF64" w14:textId="77777777" w:rsidTr="00A4207F">
        <w:trPr>
          <w:trHeight w:val="20"/>
        </w:trPr>
        <w:tc>
          <w:tcPr>
            <w:tcW w:w="1560" w:type="dxa"/>
            <w:gridSpan w:val="2"/>
            <w:vAlign w:val="center"/>
          </w:tcPr>
          <w:p w14:paraId="3017DE57" w14:textId="1FCCC7ED" w:rsidR="00525F9E" w:rsidRDefault="00525F9E" w:rsidP="00E70C72">
            <w:pPr>
              <w:keepLines/>
              <w:jc w:val="center"/>
              <w:rPr>
                <w:rFonts w:ascii="Arial Narrow" w:hAnsi="Arial Narrow"/>
                <w:sz w:val="20"/>
                <w:szCs w:val="20"/>
              </w:rPr>
            </w:pPr>
          </w:p>
        </w:tc>
        <w:tc>
          <w:tcPr>
            <w:tcW w:w="7511" w:type="dxa"/>
            <w:gridSpan w:val="7"/>
            <w:vAlign w:val="center"/>
          </w:tcPr>
          <w:p w14:paraId="1EB974FE" w14:textId="77777777" w:rsidR="00525F9E" w:rsidRPr="00B27C8C" w:rsidRDefault="00525F9E" w:rsidP="00E70C72">
            <w:pPr>
              <w:keepLines/>
              <w:jc w:val="left"/>
              <w:rPr>
                <w:rFonts w:ascii="Arial Narrow" w:hAnsi="Arial Narrow"/>
                <w:sz w:val="20"/>
                <w:szCs w:val="20"/>
              </w:rPr>
            </w:pPr>
            <w:r w:rsidRPr="00B27C8C">
              <w:rPr>
                <w:rFonts w:ascii="Arial Narrow" w:hAnsi="Arial Narrow"/>
                <w:b/>
                <w:sz w:val="20"/>
                <w:szCs w:val="20"/>
              </w:rPr>
              <w:t>Indication:</w:t>
            </w:r>
            <w:r w:rsidRPr="00B27C8C">
              <w:rPr>
                <w:rFonts w:ascii="Arial Narrow" w:hAnsi="Arial Narrow"/>
                <w:sz w:val="20"/>
                <w:szCs w:val="20"/>
              </w:rPr>
              <w:t xml:space="preserve"> Paroxysmal nocturnal haemoglobinuria (PNH)</w:t>
            </w:r>
          </w:p>
        </w:tc>
      </w:tr>
      <w:tr w:rsidR="00525F9E" w:rsidRPr="00B27C8C" w14:paraId="61D4B708" w14:textId="77777777" w:rsidTr="00A4207F">
        <w:trPr>
          <w:trHeight w:val="20"/>
        </w:trPr>
        <w:tc>
          <w:tcPr>
            <w:tcW w:w="1560" w:type="dxa"/>
            <w:gridSpan w:val="2"/>
            <w:vAlign w:val="center"/>
          </w:tcPr>
          <w:p w14:paraId="1CF1B53C" w14:textId="77777777" w:rsidR="00525F9E" w:rsidRDefault="00525F9E" w:rsidP="00E70C72">
            <w:pPr>
              <w:keepLines/>
              <w:jc w:val="center"/>
              <w:rPr>
                <w:rFonts w:ascii="Arial Narrow" w:hAnsi="Arial Narrow"/>
                <w:sz w:val="20"/>
                <w:szCs w:val="20"/>
              </w:rPr>
            </w:pPr>
          </w:p>
        </w:tc>
        <w:tc>
          <w:tcPr>
            <w:tcW w:w="7511" w:type="dxa"/>
            <w:gridSpan w:val="7"/>
            <w:vAlign w:val="center"/>
          </w:tcPr>
          <w:p w14:paraId="7FC27378" w14:textId="77777777" w:rsidR="00525F9E" w:rsidRPr="00B27C8C" w:rsidRDefault="00525F9E" w:rsidP="00E70C72">
            <w:pPr>
              <w:keepLines/>
              <w:jc w:val="left"/>
              <w:rPr>
                <w:rFonts w:ascii="Arial Narrow" w:hAnsi="Arial Narrow"/>
                <w:sz w:val="20"/>
                <w:szCs w:val="20"/>
              </w:rPr>
            </w:pPr>
            <w:r w:rsidRPr="00B27C8C">
              <w:rPr>
                <w:rFonts w:ascii="Arial Narrow" w:hAnsi="Arial Narrow"/>
                <w:b/>
                <w:sz w:val="20"/>
                <w:szCs w:val="20"/>
              </w:rPr>
              <w:t>Treatment Phase:</w:t>
            </w:r>
            <w:r w:rsidRPr="00B27C8C">
              <w:rPr>
                <w:rFonts w:ascii="Arial Narrow" w:hAnsi="Arial Narrow"/>
                <w:sz w:val="20"/>
                <w:szCs w:val="20"/>
              </w:rPr>
              <w:t xml:space="preserve"> Initial treatment (new patient)</w:t>
            </w:r>
          </w:p>
        </w:tc>
      </w:tr>
      <w:tr w:rsidR="00525F9E" w:rsidRPr="00B27C8C" w14:paraId="6C680D87" w14:textId="77777777" w:rsidTr="00A4207F">
        <w:trPr>
          <w:trHeight w:val="20"/>
        </w:trPr>
        <w:tc>
          <w:tcPr>
            <w:tcW w:w="1560" w:type="dxa"/>
            <w:gridSpan w:val="2"/>
            <w:vAlign w:val="center"/>
          </w:tcPr>
          <w:p w14:paraId="387E923C" w14:textId="0E1E8965" w:rsidR="00525F9E" w:rsidRDefault="00525F9E" w:rsidP="00E70C72">
            <w:pPr>
              <w:keepLines/>
              <w:jc w:val="center"/>
              <w:rPr>
                <w:rFonts w:ascii="Arial Narrow" w:hAnsi="Arial Narrow"/>
                <w:sz w:val="20"/>
                <w:szCs w:val="20"/>
              </w:rPr>
            </w:pPr>
          </w:p>
        </w:tc>
        <w:tc>
          <w:tcPr>
            <w:tcW w:w="7511" w:type="dxa"/>
            <w:gridSpan w:val="7"/>
            <w:vAlign w:val="center"/>
          </w:tcPr>
          <w:p w14:paraId="6ABCE9F3" w14:textId="77777777" w:rsidR="00525F9E" w:rsidRPr="00B27C8C" w:rsidRDefault="00525F9E" w:rsidP="00E70C72">
            <w:pPr>
              <w:keepLines/>
              <w:jc w:val="left"/>
              <w:rPr>
                <w:rFonts w:ascii="Arial Narrow" w:hAnsi="Arial Narrow"/>
                <w:sz w:val="20"/>
                <w:szCs w:val="20"/>
              </w:rPr>
            </w:pPr>
            <w:r w:rsidRPr="00B27C8C">
              <w:rPr>
                <w:rFonts w:ascii="Arial Narrow" w:hAnsi="Arial Narrow"/>
                <w:b/>
                <w:sz w:val="20"/>
                <w:szCs w:val="20"/>
              </w:rPr>
              <w:t>Clinical criteria:</w:t>
            </w:r>
          </w:p>
        </w:tc>
      </w:tr>
      <w:tr w:rsidR="00525F9E" w:rsidRPr="00B27C8C" w14:paraId="70EE7BCE" w14:textId="77777777" w:rsidTr="00A4207F">
        <w:trPr>
          <w:trHeight w:val="20"/>
        </w:trPr>
        <w:tc>
          <w:tcPr>
            <w:tcW w:w="1560" w:type="dxa"/>
            <w:gridSpan w:val="2"/>
            <w:vAlign w:val="center"/>
          </w:tcPr>
          <w:p w14:paraId="6EDBF6B7" w14:textId="4489A74E" w:rsidR="00525F9E" w:rsidRDefault="00525F9E" w:rsidP="00E70C72">
            <w:pPr>
              <w:keepLines/>
              <w:jc w:val="center"/>
              <w:rPr>
                <w:rFonts w:ascii="Arial Narrow" w:hAnsi="Arial Narrow"/>
                <w:sz w:val="20"/>
                <w:szCs w:val="20"/>
              </w:rPr>
            </w:pPr>
          </w:p>
        </w:tc>
        <w:tc>
          <w:tcPr>
            <w:tcW w:w="7511" w:type="dxa"/>
            <w:gridSpan w:val="7"/>
            <w:vAlign w:val="center"/>
          </w:tcPr>
          <w:p w14:paraId="0794C24B" w14:textId="77777777" w:rsidR="00525F9E" w:rsidRPr="00B27C8C" w:rsidRDefault="00525F9E" w:rsidP="00E70C72">
            <w:pPr>
              <w:keepLines/>
              <w:jc w:val="left"/>
              <w:rPr>
                <w:rFonts w:ascii="Arial Narrow" w:hAnsi="Arial Narrow"/>
                <w:sz w:val="20"/>
                <w:szCs w:val="20"/>
              </w:rPr>
            </w:pPr>
            <w:r w:rsidRPr="00B27C8C">
              <w:rPr>
                <w:rFonts w:ascii="Arial Narrow" w:hAnsi="Arial Narrow"/>
                <w:sz w:val="20"/>
                <w:szCs w:val="20"/>
              </w:rPr>
              <w:t>Patient must not have received prior treatment with this drug for this condition,</w:t>
            </w:r>
          </w:p>
        </w:tc>
      </w:tr>
      <w:tr w:rsidR="00525F9E" w:rsidRPr="00B27C8C" w14:paraId="60AE072F" w14:textId="77777777" w:rsidTr="00A4207F">
        <w:trPr>
          <w:trHeight w:val="20"/>
        </w:trPr>
        <w:tc>
          <w:tcPr>
            <w:tcW w:w="1560" w:type="dxa"/>
            <w:gridSpan w:val="2"/>
            <w:vAlign w:val="center"/>
          </w:tcPr>
          <w:p w14:paraId="08106F65" w14:textId="77777777" w:rsidR="00525F9E" w:rsidRDefault="00525F9E" w:rsidP="00E70C72">
            <w:pPr>
              <w:keepLines/>
              <w:jc w:val="center"/>
              <w:rPr>
                <w:rFonts w:ascii="Arial Narrow" w:hAnsi="Arial Narrow"/>
                <w:sz w:val="20"/>
                <w:szCs w:val="20"/>
              </w:rPr>
            </w:pPr>
          </w:p>
        </w:tc>
        <w:tc>
          <w:tcPr>
            <w:tcW w:w="7511" w:type="dxa"/>
            <w:gridSpan w:val="7"/>
            <w:vAlign w:val="center"/>
          </w:tcPr>
          <w:p w14:paraId="798E3C58" w14:textId="77777777" w:rsidR="00525F9E" w:rsidRPr="00B27C8C" w:rsidRDefault="00525F9E" w:rsidP="00E70C72">
            <w:pPr>
              <w:keepLines/>
              <w:jc w:val="left"/>
              <w:rPr>
                <w:rFonts w:ascii="Arial Narrow" w:hAnsi="Arial Narrow"/>
                <w:sz w:val="20"/>
                <w:szCs w:val="20"/>
              </w:rPr>
            </w:pPr>
            <w:r w:rsidRPr="00B27C8C">
              <w:rPr>
                <w:rFonts w:ascii="Arial Narrow" w:hAnsi="Arial Narrow"/>
                <w:b/>
                <w:sz w:val="20"/>
                <w:szCs w:val="20"/>
              </w:rPr>
              <w:t>AND</w:t>
            </w:r>
          </w:p>
        </w:tc>
      </w:tr>
      <w:tr w:rsidR="00525F9E" w:rsidRPr="00B27C8C" w14:paraId="50386A0C" w14:textId="77777777" w:rsidTr="00A4207F">
        <w:trPr>
          <w:trHeight w:val="20"/>
        </w:trPr>
        <w:tc>
          <w:tcPr>
            <w:tcW w:w="1560" w:type="dxa"/>
            <w:gridSpan w:val="2"/>
            <w:vAlign w:val="center"/>
          </w:tcPr>
          <w:p w14:paraId="0F5682CC" w14:textId="6FE43D57" w:rsidR="00525F9E" w:rsidRDefault="00525F9E" w:rsidP="00E70C72">
            <w:pPr>
              <w:keepLines/>
              <w:jc w:val="center"/>
              <w:rPr>
                <w:rFonts w:ascii="Arial Narrow" w:hAnsi="Arial Narrow"/>
                <w:sz w:val="20"/>
                <w:szCs w:val="20"/>
              </w:rPr>
            </w:pPr>
          </w:p>
        </w:tc>
        <w:tc>
          <w:tcPr>
            <w:tcW w:w="7511" w:type="dxa"/>
            <w:gridSpan w:val="7"/>
            <w:vAlign w:val="center"/>
          </w:tcPr>
          <w:p w14:paraId="04E49518" w14:textId="77777777" w:rsidR="00525F9E" w:rsidRPr="00B27C8C" w:rsidRDefault="00525F9E" w:rsidP="00E70C72">
            <w:pPr>
              <w:keepLines/>
              <w:jc w:val="left"/>
              <w:rPr>
                <w:rFonts w:ascii="Arial Narrow" w:hAnsi="Arial Narrow"/>
                <w:sz w:val="20"/>
                <w:szCs w:val="20"/>
              </w:rPr>
            </w:pPr>
            <w:r w:rsidRPr="00B27C8C">
              <w:rPr>
                <w:rFonts w:ascii="Arial Narrow" w:hAnsi="Arial Narrow"/>
                <w:b/>
                <w:sz w:val="20"/>
                <w:szCs w:val="20"/>
              </w:rPr>
              <w:t>Clinical criteria:</w:t>
            </w:r>
          </w:p>
        </w:tc>
      </w:tr>
      <w:tr w:rsidR="00525F9E" w:rsidRPr="00B27C8C" w14:paraId="4A47450F" w14:textId="77777777" w:rsidTr="00A4207F">
        <w:trPr>
          <w:trHeight w:val="20"/>
        </w:trPr>
        <w:tc>
          <w:tcPr>
            <w:tcW w:w="1560" w:type="dxa"/>
            <w:gridSpan w:val="2"/>
            <w:vAlign w:val="center"/>
          </w:tcPr>
          <w:p w14:paraId="1F492E45" w14:textId="221222ED" w:rsidR="00525F9E" w:rsidRDefault="00525F9E" w:rsidP="00E70C72">
            <w:pPr>
              <w:keepLines/>
              <w:jc w:val="center"/>
              <w:rPr>
                <w:rFonts w:ascii="Arial Narrow" w:hAnsi="Arial Narrow"/>
                <w:sz w:val="20"/>
                <w:szCs w:val="20"/>
              </w:rPr>
            </w:pPr>
          </w:p>
        </w:tc>
        <w:tc>
          <w:tcPr>
            <w:tcW w:w="7511" w:type="dxa"/>
            <w:gridSpan w:val="7"/>
            <w:vAlign w:val="center"/>
          </w:tcPr>
          <w:p w14:paraId="5580D3B9" w14:textId="77777777" w:rsidR="00525F9E" w:rsidRPr="00B27C8C" w:rsidRDefault="00525F9E" w:rsidP="00E70C72">
            <w:pPr>
              <w:keepLines/>
              <w:jc w:val="left"/>
              <w:rPr>
                <w:rFonts w:ascii="Arial Narrow" w:hAnsi="Arial Narrow"/>
                <w:sz w:val="20"/>
                <w:szCs w:val="20"/>
              </w:rPr>
            </w:pPr>
            <w:r w:rsidRPr="00B27C8C">
              <w:rPr>
                <w:rFonts w:ascii="Arial Narrow" w:hAnsi="Arial Narrow"/>
                <w:sz w:val="20"/>
                <w:szCs w:val="20"/>
              </w:rPr>
              <w:t>Patient must have PNH granulocyte clone size equal to or greater than 10% within the last 3 months,</w:t>
            </w:r>
          </w:p>
        </w:tc>
      </w:tr>
      <w:tr w:rsidR="00525F9E" w:rsidRPr="00B27C8C" w14:paraId="3BA0CBA4" w14:textId="77777777" w:rsidTr="00A4207F">
        <w:trPr>
          <w:trHeight w:val="20"/>
        </w:trPr>
        <w:tc>
          <w:tcPr>
            <w:tcW w:w="1560" w:type="dxa"/>
            <w:gridSpan w:val="2"/>
            <w:vAlign w:val="center"/>
          </w:tcPr>
          <w:p w14:paraId="2B313D06" w14:textId="77777777" w:rsidR="00525F9E" w:rsidRDefault="00525F9E" w:rsidP="00E70C72">
            <w:pPr>
              <w:keepLines/>
              <w:jc w:val="center"/>
              <w:rPr>
                <w:rFonts w:ascii="Arial Narrow" w:hAnsi="Arial Narrow"/>
                <w:sz w:val="20"/>
                <w:szCs w:val="20"/>
              </w:rPr>
            </w:pPr>
          </w:p>
        </w:tc>
        <w:tc>
          <w:tcPr>
            <w:tcW w:w="7511" w:type="dxa"/>
            <w:gridSpan w:val="7"/>
            <w:vAlign w:val="center"/>
          </w:tcPr>
          <w:p w14:paraId="1AFECA3A" w14:textId="77777777" w:rsidR="00525F9E" w:rsidRPr="00B27C8C" w:rsidRDefault="00525F9E" w:rsidP="00E70C72">
            <w:pPr>
              <w:keepLines/>
              <w:jc w:val="left"/>
              <w:rPr>
                <w:rFonts w:ascii="Arial Narrow" w:hAnsi="Arial Narrow"/>
                <w:sz w:val="20"/>
                <w:szCs w:val="20"/>
              </w:rPr>
            </w:pPr>
            <w:r w:rsidRPr="00B27C8C">
              <w:rPr>
                <w:rFonts w:ascii="Arial Narrow" w:hAnsi="Arial Narrow"/>
                <w:b/>
                <w:sz w:val="20"/>
                <w:szCs w:val="20"/>
              </w:rPr>
              <w:t>AND</w:t>
            </w:r>
          </w:p>
        </w:tc>
      </w:tr>
      <w:tr w:rsidR="00525F9E" w:rsidRPr="00B27C8C" w14:paraId="3117CA20" w14:textId="77777777" w:rsidTr="00A4207F">
        <w:trPr>
          <w:trHeight w:val="20"/>
        </w:trPr>
        <w:tc>
          <w:tcPr>
            <w:tcW w:w="1560" w:type="dxa"/>
            <w:gridSpan w:val="2"/>
            <w:vAlign w:val="center"/>
          </w:tcPr>
          <w:p w14:paraId="22B131BD" w14:textId="2CD29C5D" w:rsidR="00525F9E" w:rsidRDefault="00525F9E" w:rsidP="00E70C72">
            <w:pPr>
              <w:keepLines/>
              <w:jc w:val="center"/>
              <w:rPr>
                <w:rFonts w:ascii="Arial Narrow" w:hAnsi="Arial Narrow"/>
                <w:sz w:val="20"/>
                <w:szCs w:val="20"/>
              </w:rPr>
            </w:pPr>
          </w:p>
        </w:tc>
        <w:tc>
          <w:tcPr>
            <w:tcW w:w="7511" w:type="dxa"/>
            <w:gridSpan w:val="7"/>
            <w:vAlign w:val="center"/>
          </w:tcPr>
          <w:p w14:paraId="02CDED5D" w14:textId="77777777" w:rsidR="00525F9E" w:rsidRPr="00B27C8C" w:rsidRDefault="00525F9E" w:rsidP="00E70C72">
            <w:pPr>
              <w:keepLines/>
              <w:jc w:val="left"/>
              <w:rPr>
                <w:rFonts w:ascii="Arial Narrow" w:hAnsi="Arial Narrow"/>
                <w:sz w:val="20"/>
                <w:szCs w:val="20"/>
              </w:rPr>
            </w:pPr>
            <w:r w:rsidRPr="00B27C8C">
              <w:rPr>
                <w:rFonts w:ascii="Arial Narrow" w:hAnsi="Arial Narrow"/>
                <w:b/>
                <w:sz w:val="20"/>
                <w:szCs w:val="20"/>
              </w:rPr>
              <w:t>Clinical criteria:</w:t>
            </w:r>
          </w:p>
        </w:tc>
      </w:tr>
      <w:tr w:rsidR="00525F9E" w:rsidRPr="00B27C8C" w14:paraId="0B89AECC" w14:textId="77777777" w:rsidTr="00A4207F">
        <w:trPr>
          <w:trHeight w:val="20"/>
        </w:trPr>
        <w:tc>
          <w:tcPr>
            <w:tcW w:w="1560" w:type="dxa"/>
            <w:gridSpan w:val="2"/>
            <w:vAlign w:val="center"/>
          </w:tcPr>
          <w:p w14:paraId="78B1F016" w14:textId="26C57374" w:rsidR="00525F9E" w:rsidRDefault="00525F9E" w:rsidP="00E70C72">
            <w:pPr>
              <w:keepLines/>
              <w:jc w:val="center"/>
              <w:rPr>
                <w:rFonts w:ascii="Arial Narrow" w:hAnsi="Arial Narrow"/>
                <w:sz w:val="20"/>
                <w:szCs w:val="20"/>
              </w:rPr>
            </w:pPr>
          </w:p>
        </w:tc>
        <w:tc>
          <w:tcPr>
            <w:tcW w:w="7511" w:type="dxa"/>
            <w:gridSpan w:val="7"/>
            <w:vAlign w:val="center"/>
          </w:tcPr>
          <w:p w14:paraId="5D547141" w14:textId="77777777" w:rsidR="00525F9E" w:rsidRPr="00B27C8C" w:rsidRDefault="00525F9E" w:rsidP="00E70C72">
            <w:pPr>
              <w:keepLines/>
              <w:jc w:val="left"/>
              <w:rPr>
                <w:rFonts w:ascii="Arial Narrow" w:hAnsi="Arial Narrow"/>
                <w:sz w:val="20"/>
                <w:szCs w:val="20"/>
              </w:rPr>
            </w:pPr>
            <w:r w:rsidRPr="00B27C8C">
              <w:rPr>
                <w:rFonts w:ascii="Arial Narrow" w:hAnsi="Arial Narrow"/>
                <w:sz w:val="20"/>
                <w:szCs w:val="20"/>
              </w:rPr>
              <w:t>Patient must have experienced an inadequate response to a complement 5 (C5) inhibitor demonstrated by a haemoglobin level of less than 105 g/L; OR</w:t>
            </w:r>
          </w:p>
        </w:tc>
      </w:tr>
      <w:tr w:rsidR="00525F9E" w:rsidRPr="00B27C8C" w14:paraId="5B174DD9" w14:textId="77777777" w:rsidTr="00A4207F">
        <w:trPr>
          <w:trHeight w:val="20"/>
        </w:trPr>
        <w:tc>
          <w:tcPr>
            <w:tcW w:w="1560" w:type="dxa"/>
            <w:gridSpan w:val="2"/>
            <w:vAlign w:val="center"/>
          </w:tcPr>
          <w:p w14:paraId="3C0375F7" w14:textId="7FEAF08B" w:rsidR="00525F9E" w:rsidRDefault="00525F9E" w:rsidP="00E70C72">
            <w:pPr>
              <w:keepLines/>
              <w:jc w:val="center"/>
              <w:rPr>
                <w:rFonts w:ascii="Arial Narrow" w:hAnsi="Arial Narrow"/>
                <w:sz w:val="20"/>
                <w:szCs w:val="20"/>
              </w:rPr>
            </w:pPr>
          </w:p>
        </w:tc>
        <w:tc>
          <w:tcPr>
            <w:tcW w:w="7511" w:type="dxa"/>
            <w:gridSpan w:val="7"/>
            <w:vAlign w:val="center"/>
          </w:tcPr>
          <w:p w14:paraId="6BD164DC" w14:textId="77777777" w:rsidR="00525F9E" w:rsidRPr="00B27C8C" w:rsidRDefault="00525F9E" w:rsidP="00E70C72">
            <w:pPr>
              <w:keepLines/>
              <w:jc w:val="left"/>
              <w:rPr>
                <w:rFonts w:ascii="Arial Narrow" w:hAnsi="Arial Narrow"/>
                <w:sz w:val="20"/>
                <w:szCs w:val="20"/>
              </w:rPr>
            </w:pPr>
            <w:r w:rsidRPr="00B27C8C">
              <w:rPr>
                <w:rFonts w:ascii="Arial Narrow" w:hAnsi="Arial Narrow"/>
                <w:sz w:val="20"/>
                <w:szCs w:val="20"/>
              </w:rPr>
              <w:t>Patient must be intolerant to C5 inhibitors as determined by the treating physician,</w:t>
            </w:r>
          </w:p>
        </w:tc>
      </w:tr>
      <w:tr w:rsidR="00525F9E" w:rsidRPr="00B27C8C" w14:paraId="37E2C0AC" w14:textId="77777777" w:rsidTr="00A4207F">
        <w:trPr>
          <w:trHeight w:val="20"/>
        </w:trPr>
        <w:tc>
          <w:tcPr>
            <w:tcW w:w="1560" w:type="dxa"/>
            <w:gridSpan w:val="2"/>
            <w:vAlign w:val="center"/>
          </w:tcPr>
          <w:p w14:paraId="28125679" w14:textId="77777777" w:rsidR="00525F9E" w:rsidRDefault="00525F9E" w:rsidP="00E70C72">
            <w:pPr>
              <w:keepLines/>
              <w:jc w:val="center"/>
              <w:rPr>
                <w:rFonts w:ascii="Arial Narrow" w:hAnsi="Arial Narrow"/>
                <w:sz w:val="20"/>
                <w:szCs w:val="20"/>
              </w:rPr>
            </w:pPr>
          </w:p>
        </w:tc>
        <w:tc>
          <w:tcPr>
            <w:tcW w:w="7511" w:type="dxa"/>
            <w:gridSpan w:val="7"/>
            <w:vAlign w:val="center"/>
          </w:tcPr>
          <w:p w14:paraId="628C3539" w14:textId="77777777" w:rsidR="00525F9E" w:rsidRPr="00B27C8C" w:rsidRDefault="00525F9E" w:rsidP="00E70C72">
            <w:pPr>
              <w:keepLines/>
              <w:jc w:val="left"/>
              <w:rPr>
                <w:rFonts w:ascii="Arial Narrow" w:hAnsi="Arial Narrow"/>
                <w:sz w:val="20"/>
                <w:szCs w:val="20"/>
              </w:rPr>
            </w:pPr>
            <w:r w:rsidRPr="00B27C8C">
              <w:rPr>
                <w:rFonts w:ascii="Arial Narrow" w:hAnsi="Arial Narrow"/>
                <w:b/>
                <w:sz w:val="20"/>
                <w:szCs w:val="20"/>
              </w:rPr>
              <w:t>AND</w:t>
            </w:r>
          </w:p>
        </w:tc>
      </w:tr>
      <w:tr w:rsidR="00525F9E" w:rsidRPr="00B27C8C" w14:paraId="2B3D40BD" w14:textId="77777777" w:rsidTr="00A4207F">
        <w:trPr>
          <w:trHeight w:val="20"/>
        </w:trPr>
        <w:tc>
          <w:tcPr>
            <w:tcW w:w="1560" w:type="dxa"/>
            <w:gridSpan w:val="2"/>
            <w:vAlign w:val="center"/>
          </w:tcPr>
          <w:p w14:paraId="11064EB8" w14:textId="731B08AB" w:rsidR="00525F9E" w:rsidRDefault="00525F9E" w:rsidP="00E70C72">
            <w:pPr>
              <w:keepLines/>
              <w:jc w:val="center"/>
              <w:rPr>
                <w:rFonts w:ascii="Arial Narrow" w:hAnsi="Arial Narrow"/>
                <w:sz w:val="20"/>
                <w:szCs w:val="20"/>
              </w:rPr>
            </w:pPr>
          </w:p>
        </w:tc>
        <w:tc>
          <w:tcPr>
            <w:tcW w:w="7511" w:type="dxa"/>
            <w:gridSpan w:val="7"/>
            <w:vAlign w:val="center"/>
          </w:tcPr>
          <w:p w14:paraId="3A06A037" w14:textId="77777777" w:rsidR="00525F9E" w:rsidRPr="00B27C8C" w:rsidRDefault="00525F9E" w:rsidP="00E70C72">
            <w:pPr>
              <w:keepLines/>
              <w:jc w:val="left"/>
              <w:rPr>
                <w:rFonts w:ascii="Arial Narrow" w:hAnsi="Arial Narrow"/>
                <w:sz w:val="20"/>
                <w:szCs w:val="20"/>
              </w:rPr>
            </w:pPr>
            <w:r w:rsidRPr="00B27C8C">
              <w:rPr>
                <w:rFonts w:ascii="Arial Narrow" w:hAnsi="Arial Narrow"/>
                <w:b/>
                <w:sz w:val="20"/>
                <w:szCs w:val="20"/>
              </w:rPr>
              <w:t>Clinical criteria:</w:t>
            </w:r>
          </w:p>
        </w:tc>
      </w:tr>
      <w:tr w:rsidR="00525F9E" w:rsidRPr="00B27C8C" w14:paraId="648AAAD4" w14:textId="77777777" w:rsidTr="00A4207F">
        <w:trPr>
          <w:trHeight w:val="20"/>
        </w:trPr>
        <w:tc>
          <w:tcPr>
            <w:tcW w:w="1560" w:type="dxa"/>
            <w:gridSpan w:val="2"/>
            <w:vAlign w:val="center"/>
          </w:tcPr>
          <w:p w14:paraId="67E95592" w14:textId="6F2871D8" w:rsidR="00525F9E" w:rsidRDefault="00525F9E" w:rsidP="00E70C72">
            <w:pPr>
              <w:keepLines/>
              <w:jc w:val="center"/>
              <w:rPr>
                <w:rFonts w:ascii="Arial Narrow" w:hAnsi="Arial Narrow"/>
                <w:sz w:val="20"/>
                <w:szCs w:val="20"/>
              </w:rPr>
            </w:pPr>
          </w:p>
        </w:tc>
        <w:tc>
          <w:tcPr>
            <w:tcW w:w="7511" w:type="dxa"/>
            <w:gridSpan w:val="7"/>
            <w:vAlign w:val="center"/>
          </w:tcPr>
          <w:p w14:paraId="7D84A3BE" w14:textId="77777777" w:rsidR="00525F9E" w:rsidRPr="00B27C8C" w:rsidRDefault="00525F9E" w:rsidP="00E70C72">
            <w:pPr>
              <w:keepLines/>
              <w:jc w:val="left"/>
              <w:rPr>
                <w:rFonts w:ascii="Arial Narrow" w:hAnsi="Arial Narrow"/>
                <w:sz w:val="20"/>
                <w:szCs w:val="20"/>
              </w:rPr>
            </w:pPr>
            <w:r w:rsidRPr="00B27C8C">
              <w:rPr>
                <w:rFonts w:ascii="Arial Narrow" w:hAnsi="Arial Narrow"/>
                <w:sz w:val="20"/>
                <w:szCs w:val="20"/>
              </w:rPr>
              <w:t>Patient must have received treatment with at least one C5 inhibitor for at least 3 months before initiating treatment with this drug unless intolerance of severity necessitating permanent treatment withdrawal had occurred.</w:t>
            </w:r>
          </w:p>
        </w:tc>
      </w:tr>
      <w:tr w:rsidR="00525F9E" w:rsidRPr="00184EB8" w14:paraId="1F2DD807" w14:textId="77777777" w:rsidTr="00A4207F">
        <w:trPr>
          <w:trHeight w:val="20"/>
        </w:trPr>
        <w:tc>
          <w:tcPr>
            <w:tcW w:w="1560" w:type="dxa"/>
            <w:gridSpan w:val="2"/>
            <w:vAlign w:val="center"/>
          </w:tcPr>
          <w:p w14:paraId="36C87C21" w14:textId="77777777" w:rsidR="00525F9E" w:rsidRPr="00184EB8" w:rsidRDefault="00525F9E" w:rsidP="00E70C72">
            <w:pPr>
              <w:keepLines/>
              <w:jc w:val="center"/>
              <w:rPr>
                <w:rFonts w:ascii="Arial Narrow" w:hAnsi="Arial Narrow"/>
                <w:i/>
                <w:iCs/>
                <w:sz w:val="20"/>
                <w:szCs w:val="20"/>
              </w:rPr>
            </w:pPr>
          </w:p>
        </w:tc>
        <w:tc>
          <w:tcPr>
            <w:tcW w:w="7511" w:type="dxa"/>
            <w:gridSpan w:val="7"/>
            <w:vAlign w:val="center"/>
          </w:tcPr>
          <w:p w14:paraId="444ED428" w14:textId="77777777" w:rsidR="00525F9E" w:rsidRPr="00184EB8" w:rsidRDefault="00525F9E" w:rsidP="00E70C72">
            <w:pPr>
              <w:keepLines/>
              <w:jc w:val="left"/>
              <w:rPr>
                <w:rFonts w:ascii="Arial Narrow" w:hAnsi="Arial Narrow"/>
                <w:i/>
                <w:iCs/>
                <w:sz w:val="20"/>
                <w:szCs w:val="20"/>
              </w:rPr>
            </w:pPr>
            <w:r w:rsidRPr="00184EB8">
              <w:rPr>
                <w:rFonts w:ascii="Arial Narrow" w:hAnsi="Arial Narrow"/>
                <w:b/>
                <w:bCs/>
                <w:i/>
                <w:iCs/>
                <w:sz w:val="20"/>
                <w:szCs w:val="20"/>
              </w:rPr>
              <w:t>AND</w:t>
            </w:r>
          </w:p>
        </w:tc>
      </w:tr>
      <w:tr w:rsidR="00525F9E" w:rsidRPr="00184EB8" w14:paraId="1D3F95B3" w14:textId="77777777" w:rsidTr="00A4207F">
        <w:trPr>
          <w:trHeight w:val="20"/>
        </w:trPr>
        <w:tc>
          <w:tcPr>
            <w:tcW w:w="1560" w:type="dxa"/>
            <w:gridSpan w:val="2"/>
            <w:vAlign w:val="center"/>
          </w:tcPr>
          <w:p w14:paraId="3CC541AF" w14:textId="7DA450B2" w:rsidR="00525F9E" w:rsidRPr="00184EB8" w:rsidRDefault="00525F9E" w:rsidP="00E70C72">
            <w:pPr>
              <w:keepLines/>
              <w:jc w:val="center"/>
              <w:rPr>
                <w:rFonts w:ascii="Arial Narrow" w:hAnsi="Arial Narrow"/>
                <w:i/>
                <w:iCs/>
                <w:sz w:val="20"/>
                <w:szCs w:val="20"/>
              </w:rPr>
            </w:pPr>
          </w:p>
        </w:tc>
        <w:tc>
          <w:tcPr>
            <w:tcW w:w="7511" w:type="dxa"/>
            <w:gridSpan w:val="7"/>
            <w:vAlign w:val="center"/>
          </w:tcPr>
          <w:p w14:paraId="7675B8CD" w14:textId="77777777" w:rsidR="00525F9E" w:rsidRPr="00184EB8" w:rsidRDefault="00525F9E" w:rsidP="00E70C72">
            <w:pPr>
              <w:keepLines/>
              <w:jc w:val="left"/>
              <w:rPr>
                <w:rFonts w:ascii="Arial Narrow" w:hAnsi="Arial Narrow"/>
                <w:i/>
                <w:iCs/>
                <w:sz w:val="20"/>
                <w:szCs w:val="20"/>
              </w:rPr>
            </w:pPr>
            <w:r w:rsidRPr="00184EB8">
              <w:rPr>
                <w:rFonts w:ascii="Arial Narrow" w:hAnsi="Arial Narrow"/>
                <w:b/>
                <w:bCs/>
                <w:i/>
                <w:iCs/>
                <w:sz w:val="20"/>
                <w:szCs w:val="20"/>
              </w:rPr>
              <w:t>Clinical criteria:</w:t>
            </w:r>
          </w:p>
        </w:tc>
      </w:tr>
      <w:tr w:rsidR="00525F9E" w:rsidRPr="00184EB8" w14:paraId="258F0859" w14:textId="77777777" w:rsidTr="00A4207F">
        <w:trPr>
          <w:trHeight w:val="20"/>
        </w:trPr>
        <w:tc>
          <w:tcPr>
            <w:tcW w:w="1560" w:type="dxa"/>
            <w:gridSpan w:val="2"/>
            <w:vAlign w:val="center"/>
          </w:tcPr>
          <w:p w14:paraId="2B5EA602" w14:textId="23B8A5CA" w:rsidR="00525F9E" w:rsidRPr="00184EB8" w:rsidRDefault="00525F9E" w:rsidP="00E70C72">
            <w:pPr>
              <w:keepLines/>
              <w:jc w:val="center"/>
              <w:rPr>
                <w:rFonts w:ascii="Arial Narrow" w:hAnsi="Arial Narrow"/>
                <w:i/>
                <w:iCs/>
                <w:sz w:val="20"/>
                <w:szCs w:val="20"/>
              </w:rPr>
            </w:pPr>
          </w:p>
        </w:tc>
        <w:tc>
          <w:tcPr>
            <w:tcW w:w="7511" w:type="dxa"/>
            <w:gridSpan w:val="7"/>
            <w:vAlign w:val="center"/>
          </w:tcPr>
          <w:p w14:paraId="6913541F" w14:textId="77777777" w:rsidR="00525F9E" w:rsidRPr="00184EB8" w:rsidRDefault="00525F9E" w:rsidP="00E70C72">
            <w:pPr>
              <w:keepLines/>
              <w:jc w:val="left"/>
              <w:rPr>
                <w:rFonts w:ascii="Arial Narrow" w:hAnsi="Arial Narrow"/>
                <w:i/>
                <w:iCs/>
                <w:sz w:val="20"/>
                <w:szCs w:val="20"/>
              </w:rPr>
            </w:pPr>
            <w:r w:rsidRPr="00184EB8">
              <w:rPr>
                <w:rFonts w:ascii="Arial Narrow" w:hAnsi="Arial Narrow"/>
                <w:i/>
                <w:iCs/>
                <w:sz w:val="20"/>
                <w:szCs w:val="20"/>
              </w:rPr>
              <w:t>The treatment must be the sole PBS-subsidised therapy for this condition.</w:t>
            </w:r>
          </w:p>
        </w:tc>
      </w:tr>
      <w:tr w:rsidR="00525F9E" w:rsidRPr="00B27C8C" w14:paraId="79B08960" w14:textId="77777777" w:rsidTr="00A4207F">
        <w:trPr>
          <w:trHeight w:val="20"/>
        </w:trPr>
        <w:tc>
          <w:tcPr>
            <w:tcW w:w="1560" w:type="dxa"/>
            <w:gridSpan w:val="2"/>
            <w:vAlign w:val="center"/>
          </w:tcPr>
          <w:p w14:paraId="7B400510" w14:textId="7DBD0A39" w:rsidR="00525F9E" w:rsidRDefault="00525F9E" w:rsidP="00E70C72">
            <w:pPr>
              <w:keepLines/>
              <w:jc w:val="center"/>
              <w:rPr>
                <w:rFonts w:ascii="Arial Narrow" w:hAnsi="Arial Narrow"/>
                <w:sz w:val="20"/>
                <w:szCs w:val="20"/>
              </w:rPr>
            </w:pPr>
          </w:p>
        </w:tc>
        <w:tc>
          <w:tcPr>
            <w:tcW w:w="7511" w:type="dxa"/>
            <w:gridSpan w:val="7"/>
            <w:vAlign w:val="center"/>
          </w:tcPr>
          <w:p w14:paraId="620F22A2" w14:textId="77777777" w:rsidR="00525F9E" w:rsidRPr="00B27C8C" w:rsidRDefault="00525F9E" w:rsidP="00E70C72">
            <w:pPr>
              <w:keepLines/>
              <w:jc w:val="left"/>
              <w:rPr>
                <w:rFonts w:ascii="Arial Narrow" w:hAnsi="Arial Narrow"/>
                <w:sz w:val="20"/>
                <w:szCs w:val="20"/>
              </w:rPr>
            </w:pPr>
            <w:r w:rsidRPr="00B27C8C">
              <w:rPr>
                <w:rFonts w:ascii="Arial Narrow" w:hAnsi="Arial Narrow"/>
                <w:b/>
                <w:sz w:val="20"/>
                <w:szCs w:val="20"/>
              </w:rPr>
              <w:t>Treatment criteria:</w:t>
            </w:r>
          </w:p>
        </w:tc>
      </w:tr>
      <w:tr w:rsidR="00525F9E" w:rsidRPr="00B27C8C" w14:paraId="08D0108B" w14:textId="77777777" w:rsidTr="00A4207F">
        <w:trPr>
          <w:trHeight w:val="20"/>
        </w:trPr>
        <w:tc>
          <w:tcPr>
            <w:tcW w:w="1560" w:type="dxa"/>
            <w:gridSpan w:val="2"/>
            <w:vAlign w:val="center"/>
          </w:tcPr>
          <w:p w14:paraId="049310A1" w14:textId="583E36B9" w:rsidR="00525F9E" w:rsidRDefault="00525F9E" w:rsidP="00E70C72">
            <w:pPr>
              <w:keepLines/>
              <w:jc w:val="center"/>
              <w:rPr>
                <w:rFonts w:ascii="Arial Narrow" w:hAnsi="Arial Narrow"/>
                <w:sz w:val="20"/>
                <w:szCs w:val="20"/>
              </w:rPr>
            </w:pPr>
          </w:p>
        </w:tc>
        <w:tc>
          <w:tcPr>
            <w:tcW w:w="7511" w:type="dxa"/>
            <w:gridSpan w:val="7"/>
            <w:vAlign w:val="center"/>
          </w:tcPr>
          <w:p w14:paraId="18F1A192" w14:textId="77777777" w:rsidR="00525F9E" w:rsidRPr="00B27C8C" w:rsidRDefault="00525F9E" w:rsidP="00E70C72">
            <w:pPr>
              <w:keepLines/>
              <w:jc w:val="left"/>
              <w:rPr>
                <w:rFonts w:ascii="Arial Narrow" w:hAnsi="Arial Narrow"/>
                <w:sz w:val="20"/>
                <w:szCs w:val="20"/>
              </w:rPr>
            </w:pPr>
            <w:r w:rsidRPr="00B27C8C">
              <w:rPr>
                <w:rFonts w:ascii="Arial Narrow" w:hAnsi="Arial Narrow"/>
                <w:sz w:val="20"/>
                <w:szCs w:val="20"/>
              </w:rPr>
              <w:t>Must be treated by a haematologist; OR</w:t>
            </w:r>
          </w:p>
        </w:tc>
      </w:tr>
      <w:tr w:rsidR="00525F9E" w:rsidRPr="00B27C8C" w14:paraId="04D8A08C" w14:textId="77777777" w:rsidTr="00A4207F">
        <w:trPr>
          <w:trHeight w:val="20"/>
        </w:trPr>
        <w:tc>
          <w:tcPr>
            <w:tcW w:w="1560" w:type="dxa"/>
            <w:gridSpan w:val="2"/>
            <w:vAlign w:val="center"/>
          </w:tcPr>
          <w:p w14:paraId="3117684F" w14:textId="65C64786" w:rsidR="00525F9E" w:rsidRDefault="00525F9E" w:rsidP="00E70C72">
            <w:pPr>
              <w:keepLines/>
              <w:jc w:val="center"/>
              <w:rPr>
                <w:rFonts w:ascii="Arial Narrow" w:hAnsi="Arial Narrow"/>
                <w:sz w:val="20"/>
                <w:szCs w:val="20"/>
              </w:rPr>
            </w:pPr>
          </w:p>
        </w:tc>
        <w:tc>
          <w:tcPr>
            <w:tcW w:w="7511" w:type="dxa"/>
            <w:gridSpan w:val="7"/>
            <w:vAlign w:val="center"/>
          </w:tcPr>
          <w:p w14:paraId="6A0960EF" w14:textId="77777777" w:rsidR="00525F9E" w:rsidRPr="00B27C8C" w:rsidRDefault="00525F9E" w:rsidP="00E70C72">
            <w:pPr>
              <w:keepLines/>
              <w:jc w:val="left"/>
              <w:rPr>
                <w:rFonts w:ascii="Arial Narrow" w:hAnsi="Arial Narrow"/>
                <w:sz w:val="20"/>
                <w:szCs w:val="20"/>
              </w:rPr>
            </w:pPr>
            <w:r w:rsidRPr="00B27C8C">
              <w:rPr>
                <w:rFonts w:ascii="Arial Narrow" w:hAnsi="Arial Narrow"/>
                <w:sz w:val="20"/>
                <w:szCs w:val="20"/>
              </w:rPr>
              <w:t>Must be treated by a non-specialist medical physician who has consulted a haematologist on the patient's drug treatment details.</w:t>
            </w:r>
          </w:p>
        </w:tc>
      </w:tr>
      <w:tr w:rsidR="00525F9E" w:rsidRPr="00B27C8C" w14:paraId="1FE63C21" w14:textId="77777777" w:rsidTr="00A4207F">
        <w:trPr>
          <w:trHeight w:val="20"/>
        </w:trPr>
        <w:tc>
          <w:tcPr>
            <w:tcW w:w="1560" w:type="dxa"/>
            <w:gridSpan w:val="2"/>
            <w:vAlign w:val="center"/>
          </w:tcPr>
          <w:p w14:paraId="0593C7AC" w14:textId="02B2C43D" w:rsidR="00525F9E" w:rsidRDefault="00525F9E" w:rsidP="00E70C72">
            <w:pPr>
              <w:keepLines/>
              <w:jc w:val="center"/>
              <w:rPr>
                <w:rFonts w:ascii="Arial Narrow" w:hAnsi="Arial Narrow"/>
                <w:sz w:val="20"/>
                <w:szCs w:val="20"/>
              </w:rPr>
            </w:pPr>
          </w:p>
        </w:tc>
        <w:tc>
          <w:tcPr>
            <w:tcW w:w="7511" w:type="dxa"/>
            <w:gridSpan w:val="7"/>
            <w:vAlign w:val="center"/>
          </w:tcPr>
          <w:p w14:paraId="115FB66D" w14:textId="77777777" w:rsidR="00525F9E" w:rsidRPr="00B27C8C" w:rsidRDefault="00525F9E" w:rsidP="00E70C72">
            <w:pPr>
              <w:keepLines/>
              <w:jc w:val="left"/>
              <w:rPr>
                <w:rFonts w:ascii="Arial Narrow" w:hAnsi="Arial Narrow"/>
                <w:sz w:val="20"/>
                <w:szCs w:val="20"/>
              </w:rPr>
            </w:pPr>
            <w:r w:rsidRPr="00B27C8C">
              <w:rPr>
                <w:rFonts w:ascii="Arial Narrow" w:hAnsi="Arial Narrow"/>
                <w:b/>
                <w:sz w:val="20"/>
                <w:szCs w:val="20"/>
              </w:rPr>
              <w:t>Population criteria:</w:t>
            </w:r>
          </w:p>
        </w:tc>
      </w:tr>
      <w:tr w:rsidR="00525F9E" w:rsidRPr="00B27C8C" w14:paraId="7B9FDFF2" w14:textId="77777777" w:rsidTr="00A4207F">
        <w:trPr>
          <w:trHeight w:val="20"/>
        </w:trPr>
        <w:tc>
          <w:tcPr>
            <w:tcW w:w="1560" w:type="dxa"/>
            <w:gridSpan w:val="2"/>
            <w:vAlign w:val="center"/>
          </w:tcPr>
          <w:p w14:paraId="5E9D913B" w14:textId="1F1F027F" w:rsidR="00525F9E" w:rsidRDefault="00525F9E" w:rsidP="00E70C72">
            <w:pPr>
              <w:keepLines/>
              <w:jc w:val="center"/>
              <w:rPr>
                <w:rFonts w:ascii="Arial Narrow" w:hAnsi="Arial Narrow"/>
                <w:sz w:val="20"/>
                <w:szCs w:val="20"/>
              </w:rPr>
            </w:pPr>
          </w:p>
        </w:tc>
        <w:tc>
          <w:tcPr>
            <w:tcW w:w="7511" w:type="dxa"/>
            <w:gridSpan w:val="7"/>
            <w:vAlign w:val="center"/>
          </w:tcPr>
          <w:p w14:paraId="5DD97D11" w14:textId="77777777" w:rsidR="00525F9E" w:rsidRPr="00B27C8C" w:rsidRDefault="00525F9E" w:rsidP="00E70C72">
            <w:pPr>
              <w:keepLines/>
              <w:jc w:val="left"/>
              <w:rPr>
                <w:rFonts w:ascii="Arial Narrow" w:hAnsi="Arial Narrow"/>
                <w:sz w:val="20"/>
                <w:szCs w:val="20"/>
              </w:rPr>
            </w:pPr>
            <w:r w:rsidRPr="00B27C8C">
              <w:rPr>
                <w:rFonts w:ascii="Arial Narrow" w:hAnsi="Arial Narrow"/>
                <w:sz w:val="20"/>
                <w:szCs w:val="20"/>
              </w:rPr>
              <w:t>Patient must be at least 18 years of age.</w:t>
            </w:r>
          </w:p>
        </w:tc>
      </w:tr>
      <w:tr w:rsidR="00525F9E" w:rsidRPr="001073C2" w14:paraId="7C07228A" w14:textId="77777777" w:rsidTr="00A4207F">
        <w:trPr>
          <w:trHeight w:val="20"/>
        </w:trPr>
        <w:tc>
          <w:tcPr>
            <w:tcW w:w="1560" w:type="dxa"/>
            <w:gridSpan w:val="2"/>
            <w:vAlign w:val="center"/>
          </w:tcPr>
          <w:p w14:paraId="4449864E" w14:textId="2A05BD31" w:rsidR="00525F9E" w:rsidRDefault="00525F9E" w:rsidP="00E70C72">
            <w:pPr>
              <w:keepLines/>
              <w:jc w:val="center"/>
              <w:rPr>
                <w:rFonts w:ascii="Arial Narrow" w:hAnsi="Arial Narrow"/>
                <w:sz w:val="20"/>
                <w:szCs w:val="20"/>
              </w:rPr>
            </w:pPr>
          </w:p>
        </w:tc>
        <w:tc>
          <w:tcPr>
            <w:tcW w:w="7511" w:type="dxa"/>
            <w:gridSpan w:val="7"/>
          </w:tcPr>
          <w:p w14:paraId="53B23481" w14:textId="77777777" w:rsidR="00525F9E" w:rsidRPr="00B27C8C" w:rsidRDefault="00525F9E" w:rsidP="00E70C72">
            <w:pPr>
              <w:keepLines/>
              <w:jc w:val="left"/>
              <w:rPr>
                <w:rFonts w:ascii="Arial Narrow" w:hAnsi="Arial Narrow"/>
                <w:sz w:val="20"/>
                <w:szCs w:val="20"/>
              </w:rPr>
            </w:pPr>
            <w:r w:rsidRPr="001073C2">
              <w:rPr>
                <w:rFonts w:ascii="Arial Narrow" w:hAnsi="Arial Narrow"/>
                <w:b/>
                <w:bCs/>
                <w:sz w:val="20"/>
                <w:szCs w:val="20"/>
              </w:rPr>
              <w:t>Prescribing instructions:</w:t>
            </w:r>
            <w:r>
              <w:rPr>
                <w:rFonts w:ascii="Arial Narrow" w:hAnsi="Arial Narrow"/>
                <w:sz w:val="20"/>
                <w:szCs w:val="20"/>
              </w:rPr>
              <w:t xml:space="preserve"> </w:t>
            </w:r>
            <w:r w:rsidRPr="00B27C8C">
              <w:rPr>
                <w:rFonts w:ascii="Arial Narrow" w:hAnsi="Arial Narrow"/>
                <w:sz w:val="20"/>
                <w:szCs w:val="20"/>
              </w:rPr>
              <w:t>The authority application must be made in writing and must include:</w:t>
            </w:r>
          </w:p>
          <w:p w14:paraId="76950E5A" w14:textId="77777777" w:rsidR="00525F9E" w:rsidRPr="00B27C8C" w:rsidRDefault="00525F9E" w:rsidP="00E70C72">
            <w:pPr>
              <w:keepLines/>
              <w:jc w:val="left"/>
              <w:rPr>
                <w:rFonts w:ascii="Arial Narrow" w:hAnsi="Arial Narrow"/>
                <w:sz w:val="20"/>
                <w:szCs w:val="20"/>
              </w:rPr>
            </w:pPr>
            <w:r w:rsidRPr="00B27C8C">
              <w:rPr>
                <w:rFonts w:ascii="Arial Narrow" w:hAnsi="Arial Narrow"/>
                <w:sz w:val="20"/>
                <w:szCs w:val="20"/>
              </w:rPr>
              <w:t>(1) a completed authority prescription form; and</w:t>
            </w:r>
          </w:p>
          <w:p w14:paraId="4F549C90" w14:textId="77777777" w:rsidR="00525F9E" w:rsidRPr="001073C2" w:rsidRDefault="00525F9E" w:rsidP="00E70C72">
            <w:pPr>
              <w:keepLines/>
              <w:jc w:val="left"/>
              <w:rPr>
                <w:rFonts w:ascii="Arial Narrow" w:hAnsi="Arial Narrow"/>
                <w:sz w:val="20"/>
                <w:szCs w:val="20"/>
              </w:rPr>
            </w:pPr>
            <w:r w:rsidRPr="00B27C8C">
              <w:rPr>
                <w:rFonts w:ascii="Arial Narrow" w:hAnsi="Arial Narrow"/>
                <w:sz w:val="20"/>
                <w:szCs w:val="20"/>
              </w:rPr>
              <w:t>(2) a completed authority application form relevant to the indication and treatment phase (the latest version is located on the website specified in the Administrative Advice).</w:t>
            </w:r>
          </w:p>
        </w:tc>
      </w:tr>
      <w:tr w:rsidR="00525F9E" w:rsidRPr="001073C2" w14:paraId="224D0CD1" w14:textId="77777777" w:rsidTr="00A4207F">
        <w:trPr>
          <w:trHeight w:val="20"/>
        </w:trPr>
        <w:tc>
          <w:tcPr>
            <w:tcW w:w="1560" w:type="dxa"/>
            <w:gridSpan w:val="2"/>
            <w:vAlign w:val="center"/>
          </w:tcPr>
          <w:p w14:paraId="38C50D5B" w14:textId="77777777" w:rsidR="00525F9E" w:rsidRDefault="00525F9E" w:rsidP="00E70C72">
            <w:pPr>
              <w:keepLines/>
              <w:jc w:val="center"/>
              <w:rPr>
                <w:rFonts w:ascii="Arial Narrow" w:hAnsi="Arial Narrow"/>
                <w:sz w:val="20"/>
                <w:szCs w:val="20"/>
              </w:rPr>
            </w:pPr>
          </w:p>
        </w:tc>
        <w:tc>
          <w:tcPr>
            <w:tcW w:w="7511" w:type="dxa"/>
            <w:gridSpan w:val="7"/>
          </w:tcPr>
          <w:p w14:paraId="7A9E3465" w14:textId="77777777" w:rsidR="00525F9E" w:rsidRPr="001073C2" w:rsidRDefault="00525F9E" w:rsidP="00E70C72">
            <w:pPr>
              <w:keepLines/>
              <w:jc w:val="left"/>
              <w:rPr>
                <w:rFonts w:ascii="Arial Narrow" w:hAnsi="Arial Narrow"/>
                <w:strike/>
                <w:sz w:val="20"/>
                <w:szCs w:val="20"/>
              </w:rPr>
            </w:pPr>
            <w:r w:rsidRPr="001073C2">
              <w:rPr>
                <w:rFonts w:ascii="Arial Narrow" w:hAnsi="Arial Narrow"/>
                <w:b/>
                <w:strike/>
                <w:sz w:val="20"/>
                <w:szCs w:val="20"/>
              </w:rPr>
              <w:t xml:space="preserve">Prescribing instructions: </w:t>
            </w:r>
            <w:r w:rsidRPr="001073C2">
              <w:rPr>
                <w:rFonts w:ascii="Arial Narrow" w:hAnsi="Arial Narrow"/>
                <w:strike/>
                <w:sz w:val="20"/>
                <w:szCs w:val="20"/>
              </w:rPr>
              <w:t>At the time of the authority application, medical practitioners must request for 4 weeks supply per dispensing as per the Product Information.</w:t>
            </w:r>
          </w:p>
        </w:tc>
      </w:tr>
      <w:tr w:rsidR="00525F9E" w:rsidRPr="00B27C8C" w14:paraId="76810221" w14:textId="77777777" w:rsidTr="00A4207F">
        <w:trPr>
          <w:trHeight w:val="20"/>
        </w:trPr>
        <w:tc>
          <w:tcPr>
            <w:tcW w:w="1560" w:type="dxa"/>
            <w:gridSpan w:val="2"/>
            <w:vAlign w:val="center"/>
          </w:tcPr>
          <w:p w14:paraId="00F166CD" w14:textId="5DD28BB5" w:rsidR="00525F9E" w:rsidRDefault="00525F9E" w:rsidP="00E70C72">
            <w:pPr>
              <w:keepLines/>
              <w:jc w:val="center"/>
              <w:rPr>
                <w:rFonts w:ascii="Arial Narrow" w:hAnsi="Arial Narrow"/>
                <w:sz w:val="20"/>
                <w:szCs w:val="20"/>
              </w:rPr>
            </w:pPr>
          </w:p>
        </w:tc>
        <w:tc>
          <w:tcPr>
            <w:tcW w:w="7511" w:type="dxa"/>
            <w:gridSpan w:val="7"/>
          </w:tcPr>
          <w:p w14:paraId="480174C7" w14:textId="77777777" w:rsidR="00525F9E" w:rsidRPr="00B27C8C" w:rsidRDefault="00525F9E" w:rsidP="00E70C72">
            <w:pPr>
              <w:keepLines/>
              <w:jc w:val="left"/>
              <w:rPr>
                <w:rFonts w:ascii="Arial Narrow" w:hAnsi="Arial Narrow"/>
                <w:sz w:val="20"/>
                <w:szCs w:val="20"/>
              </w:rPr>
            </w:pPr>
            <w:r w:rsidRPr="001073C2">
              <w:rPr>
                <w:rFonts w:ascii="Arial Narrow" w:hAnsi="Arial Narrow"/>
                <w:b/>
                <w:bCs/>
                <w:sz w:val="20"/>
                <w:szCs w:val="20"/>
              </w:rPr>
              <w:t>Prescribing instructions:</w:t>
            </w:r>
            <w:r>
              <w:rPr>
                <w:rFonts w:ascii="Arial Narrow" w:hAnsi="Arial Narrow"/>
                <w:sz w:val="20"/>
                <w:szCs w:val="20"/>
              </w:rPr>
              <w:t xml:space="preserve"> </w:t>
            </w:r>
            <w:r w:rsidRPr="00B27C8C">
              <w:rPr>
                <w:rFonts w:ascii="Arial Narrow" w:hAnsi="Arial Narrow"/>
                <w:sz w:val="20"/>
                <w:szCs w:val="20"/>
              </w:rPr>
              <w:t>At the time of the authority application, details (result and date of result) of the following monitoring requirements must be provided:</w:t>
            </w:r>
          </w:p>
          <w:p w14:paraId="7AE9D9DF" w14:textId="77777777" w:rsidR="00525F9E" w:rsidRPr="00B27C8C" w:rsidRDefault="00525F9E" w:rsidP="00E70C72">
            <w:pPr>
              <w:keepLines/>
              <w:jc w:val="left"/>
              <w:rPr>
                <w:rFonts w:ascii="Arial Narrow" w:hAnsi="Arial Narrow"/>
                <w:sz w:val="20"/>
                <w:szCs w:val="20"/>
              </w:rPr>
            </w:pPr>
            <w:r w:rsidRPr="00B27C8C">
              <w:rPr>
                <w:rFonts w:ascii="Arial Narrow" w:hAnsi="Arial Narrow"/>
                <w:sz w:val="20"/>
                <w:szCs w:val="20"/>
              </w:rPr>
              <w:t>(i) Haemoglobin (g/L)</w:t>
            </w:r>
          </w:p>
          <w:p w14:paraId="785834AC" w14:textId="77777777" w:rsidR="00525F9E" w:rsidRPr="00B27C8C" w:rsidRDefault="00525F9E" w:rsidP="00E70C72">
            <w:pPr>
              <w:keepLines/>
              <w:jc w:val="left"/>
              <w:rPr>
                <w:rFonts w:ascii="Arial Narrow" w:hAnsi="Arial Narrow"/>
                <w:sz w:val="20"/>
                <w:szCs w:val="20"/>
              </w:rPr>
            </w:pPr>
            <w:r w:rsidRPr="00B27C8C">
              <w:rPr>
                <w:rFonts w:ascii="Arial Narrow" w:hAnsi="Arial Narrow"/>
                <w:sz w:val="20"/>
                <w:szCs w:val="20"/>
              </w:rPr>
              <w:t>(ii) Platelets (x109/L)</w:t>
            </w:r>
          </w:p>
          <w:p w14:paraId="6AE9A3A4" w14:textId="77777777" w:rsidR="00525F9E" w:rsidRPr="00B27C8C" w:rsidRDefault="00525F9E" w:rsidP="00E70C72">
            <w:pPr>
              <w:keepLines/>
              <w:jc w:val="left"/>
              <w:rPr>
                <w:rFonts w:ascii="Arial Narrow" w:hAnsi="Arial Narrow"/>
                <w:sz w:val="20"/>
                <w:szCs w:val="20"/>
              </w:rPr>
            </w:pPr>
            <w:r w:rsidRPr="00B27C8C">
              <w:rPr>
                <w:rFonts w:ascii="Arial Narrow" w:hAnsi="Arial Narrow"/>
                <w:sz w:val="20"/>
                <w:szCs w:val="20"/>
              </w:rPr>
              <w:t>(iii) White Cell Count (x109/L)</w:t>
            </w:r>
          </w:p>
          <w:p w14:paraId="2037BFD8" w14:textId="77777777" w:rsidR="00525F9E" w:rsidRPr="00B27C8C" w:rsidRDefault="00525F9E" w:rsidP="00E70C72">
            <w:pPr>
              <w:keepLines/>
              <w:jc w:val="left"/>
              <w:rPr>
                <w:rFonts w:ascii="Arial Narrow" w:hAnsi="Arial Narrow"/>
                <w:sz w:val="20"/>
                <w:szCs w:val="20"/>
              </w:rPr>
            </w:pPr>
            <w:r w:rsidRPr="00B27C8C">
              <w:rPr>
                <w:rFonts w:ascii="Arial Narrow" w:hAnsi="Arial Narrow"/>
                <w:sz w:val="20"/>
                <w:szCs w:val="20"/>
              </w:rPr>
              <w:t>(iv) Reticulocytes (x109/L)</w:t>
            </w:r>
          </w:p>
          <w:p w14:paraId="15C77F4A" w14:textId="77777777" w:rsidR="00525F9E" w:rsidRPr="00B27C8C" w:rsidRDefault="00525F9E" w:rsidP="00E70C72">
            <w:pPr>
              <w:keepLines/>
              <w:jc w:val="left"/>
              <w:rPr>
                <w:rFonts w:ascii="Arial Narrow" w:hAnsi="Arial Narrow"/>
                <w:sz w:val="20"/>
                <w:szCs w:val="20"/>
              </w:rPr>
            </w:pPr>
            <w:r w:rsidRPr="00B27C8C">
              <w:rPr>
                <w:rFonts w:ascii="Arial Narrow" w:hAnsi="Arial Narrow"/>
                <w:sz w:val="20"/>
                <w:szCs w:val="20"/>
              </w:rPr>
              <w:t>(v) Neutrophils (x109/L)</w:t>
            </w:r>
          </w:p>
          <w:p w14:paraId="216AE7BE" w14:textId="77777777" w:rsidR="00525F9E" w:rsidRPr="00B27C8C" w:rsidRDefault="00525F9E" w:rsidP="00E70C72">
            <w:pPr>
              <w:keepLines/>
              <w:jc w:val="left"/>
              <w:rPr>
                <w:rFonts w:ascii="Arial Narrow" w:hAnsi="Arial Narrow"/>
                <w:sz w:val="20"/>
                <w:szCs w:val="20"/>
              </w:rPr>
            </w:pPr>
            <w:r w:rsidRPr="00B27C8C">
              <w:rPr>
                <w:rFonts w:ascii="Arial Narrow" w:hAnsi="Arial Narrow"/>
                <w:sz w:val="20"/>
                <w:szCs w:val="20"/>
              </w:rPr>
              <w:t>(vi) Granulocyte clone size (%)</w:t>
            </w:r>
          </w:p>
          <w:p w14:paraId="1D491DCC" w14:textId="77777777" w:rsidR="00525F9E" w:rsidRPr="00B27C8C" w:rsidRDefault="00525F9E" w:rsidP="00E70C72">
            <w:pPr>
              <w:keepLines/>
              <w:jc w:val="left"/>
              <w:rPr>
                <w:rFonts w:ascii="Arial Narrow" w:hAnsi="Arial Narrow"/>
                <w:sz w:val="20"/>
                <w:szCs w:val="20"/>
              </w:rPr>
            </w:pPr>
            <w:r w:rsidRPr="00B27C8C">
              <w:rPr>
                <w:rFonts w:ascii="Arial Narrow" w:hAnsi="Arial Narrow"/>
                <w:sz w:val="20"/>
                <w:szCs w:val="20"/>
              </w:rPr>
              <w:t>(vii) Lactate Dehydrogenase (LDH)</w:t>
            </w:r>
          </w:p>
          <w:p w14:paraId="1908D050" w14:textId="77777777" w:rsidR="00525F9E" w:rsidRPr="00B27C8C" w:rsidRDefault="00525F9E" w:rsidP="00E70C72">
            <w:pPr>
              <w:keepLines/>
              <w:jc w:val="left"/>
              <w:rPr>
                <w:rFonts w:ascii="Arial Narrow" w:hAnsi="Arial Narrow"/>
                <w:sz w:val="20"/>
                <w:szCs w:val="20"/>
              </w:rPr>
            </w:pPr>
            <w:r w:rsidRPr="00B27C8C">
              <w:rPr>
                <w:rFonts w:ascii="Arial Narrow" w:hAnsi="Arial Narrow"/>
                <w:sz w:val="20"/>
                <w:szCs w:val="20"/>
              </w:rPr>
              <w:t>(viii) the upper limit of normal (ULN) for LDH as quoted by the reporting laboratory</w:t>
            </w:r>
          </w:p>
          <w:p w14:paraId="022C3F32" w14:textId="77777777" w:rsidR="00525F9E" w:rsidRPr="00B27C8C" w:rsidRDefault="00525F9E" w:rsidP="00E70C72">
            <w:pPr>
              <w:keepLines/>
              <w:jc w:val="left"/>
              <w:rPr>
                <w:rFonts w:ascii="Arial Narrow" w:hAnsi="Arial Narrow"/>
                <w:sz w:val="20"/>
                <w:szCs w:val="20"/>
              </w:rPr>
            </w:pPr>
            <w:r w:rsidRPr="00B27C8C">
              <w:rPr>
                <w:rFonts w:ascii="Arial Narrow" w:hAnsi="Arial Narrow"/>
                <w:sz w:val="20"/>
                <w:szCs w:val="20"/>
              </w:rPr>
              <w:t>(ix) the LDH:ULN ratio (in figures, rounded to one decimal place)</w:t>
            </w:r>
          </w:p>
        </w:tc>
      </w:tr>
      <w:tr w:rsidR="00525F9E" w:rsidRPr="00B33D44" w:rsidDel="003A0DA8" w14:paraId="61D6C1A6" w14:textId="77777777" w:rsidTr="00A4207F">
        <w:trPr>
          <w:trHeight w:val="469"/>
        </w:trPr>
        <w:tc>
          <w:tcPr>
            <w:tcW w:w="9071" w:type="dxa"/>
            <w:gridSpan w:val="9"/>
            <w:vAlign w:val="center"/>
          </w:tcPr>
          <w:p w14:paraId="4E3BA932" w14:textId="77777777" w:rsidR="00525F9E" w:rsidRPr="00B33D44" w:rsidDel="003A0DA8" w:rsidRDefault="00525F9E" w:rsidP="00E70C72">
            <w:pPr>
              <w:keepLines/>
              <w:jc w:val="left"/>
              <w:rPr>
                <w:rFonts w:ascii="Arial Narrow" w:hAnsi="Arial Narrow"/>
                <w:b/>
                <w:bCs/>
                <w:i/>
                <w:iCs/>
                <w:sz w:val="20"/>
                <w:szCs w:val="20"/>
              </w:rPr>
            </w:pPr>
          </w:p>
        </w:tc>
      </w:tr>
      <w:tr w:rsidR="00525F9E" w:rsidRPr="00FE7885" w14:paraId="23562131" w14:textId="77777777" w:rsidTr="00A4207F">
        <w:trPr>
          <w:trHeight w:val="20"/>
        </w:trPr>
        <w:tc>
          <w:tcPr>
            <w:tcW w:w="1560" w:type="dxa"/>
            <w:gridSpan w:val="2"/>
            <w:vAlign w:val="center"/>
          </w:tcPr>
          <w:p w14:paraId="06CFD905" w14:textId="7146790A" w:rsidR="00525F9E" w:rsidRPr="00574959" w:rsidRDefault="00525F9E" w:rsidP="00E70C72">
            <w:pPr>
              <w:keepLines/>
              <w:jc w:val="center"/>
              <w:rPr>
                <w:rFonts w:ascii="Arial Narrow" w:hAnsi="Arial Narrow"/>
                <w:sz w:val="20"/>
                <w:szCs w:val="20"/>
              </w:rPr>
            </w:pPr>
          </w:p>
        </w:tc>
        <w:tc>
          <w:tcPr>
            <w:tcW w:w="7511" w:type="dxa"/>
            <w:gridSpan w:val="7"/>
            <w:vAlign w:val="center"/>
          </w:tcPr>
          <w:p w14:paraId="6EC554E1" w14:textId="77777777" w:rsidR="00525F9E" w:rsidRPr="00FE7885" w:rsidRDefault="00525F9E" w:rsidP="00E70C72">
            <w:pPr>
              <w:keepLines/>
              <w:jc w:val="left"/>
              <w:rPr>
                <w:rFonts w:ascii="Arial Narrow" w:hAnsi="Arial Narrow"/>
                <w:b/>
                <w:bCs/>
                <w:sz w:val="20"/>
                <w:szCs w:val="20"/>
              </w:rPr>
            </w:pPr>
            <w:r w:rsidRPr="00FE7885">
              <w:rPr>
                <w:rFonts w:ascii="Arial Narrow" w:hAnsi="Arial Narrow"/>
                <w:b/>
                <w:sz w:val="20"/>
                <w:szCs w:val="20"/>
              </w:rPr>
              <w:t>Indication:</w:t>
            </w:r>
            <w:r w:rsidRPr="00FE7885">
              <w:rPr>
                <w:rFonts w:ascii="Arial Narrow" w:hAnsi="Arial Narrow"/>
                <w:sz w:val="20"/>
                <w:szCs w:val="20"/>
              </w:rPr>
              <w:t xml:space="preserve"> Paroxysmal nocturnal haemoglobinuria (PNH)</w:t>
            </w:r>
          </w:p>
        </w:tc>
      </w:tr>
      <w:tr w:rsidR="00525F9E" w:rsidRPr="00FE7885" w14:paraId="5C74AAB3" w14:textId="77777777" w:rsidTr="00A4207F">
        <w:trPr>
          <w:trHeight w:val="20"/>
        </w:trPr>
        <w:tc>
          <w:tcPr>
            <w:tcW w:w="1560" w:type="dxa"/>
            <w:gridSpan w:val="2"/>
            <w:vAlign w:val="center"/>
          </w:tcPr>
          <w:p w14:paraId="3A442C8B" w14:textId="77777777" w:rsidR="00525F9E" w:rsidRPr="00574959" w:rsidRDefault="00525F9E" w:rsidP="00E70C72">
            <w:pPr>
              <w:keepLines/>
              <w:jc w:val="center"/>
              <w:rPr>
                <w:rFonts w:ascii="Arial Narrow" w:hAnsi="Arial Narrow"/>
                <w:sz w:val="20"/>
                <w:szCs w:val="20"/>
              </w:rPr>
            </w:pPr>
          </w:p>
        </w:tc>
        <w:tc>
          <w:tcPr>
            <w:tcW w:w="7511" w:type="dxa"/>
            <w:gridSpan w:val="7"/>
            <w:vAlign w:val="center"/>
          </w:tcPr>
          <w:p w14:paraId="646D9EDF" w14:textId="77777777" w:rsidR="00525F9E" w:rsidRPr="00FE7885" w:rsidRDefault="00525F9E" w:rsidP="00E70C72">
            <w:pPr>
              <w:keepLines/>
              <w:jc w:val="left"/>
              <w:rPr>
                <w:rFonts w:ascii="Arial Narrow" w:hAnsi="Arial Narrow"/>
                <w:b/>
                <w:bCs/>
                <w:sz w:val="20"/>
                <w:szCs w:val="20"/>
              </w:rPr>
            </w:pPr>
            <w:r w:rsidRPr="00FE7885">
              <w:rPr>
                <w:rFonts w:ascii="Arial Narrow" w:hAnsi="Arial Narrow"/>
                <w:b/>
                <w:sz w:val="20"/>
                <w:szCs w:val="20"/>
              </w:rPr>
              <w:t>Treatment Phase:</w:t>
            </w:r>
            <w:r w:rsidRPr="00FE7885">
              <w:rPr>
                <w:rFonts w:ascii="Arial Narrow" w:hAnsi="Arial Narrow"/>
                <w:sz w:val="20"/>
                <w:szCs w:val="20"/>
              </w:rPr>
              <w:t xml:space="preserve"> Return from PBS-subsidised eculizumab post pregnancy </w:t>
            </w:r>
            <w:r w:rsidRPr="00AA48EC">
              <w:rPr>
                <w:rFonts w:ascii="Arial Narrow" w:hAnsi="Arial Narrow"/>
                <w:strike/>
                <w:sz w:val="20"/>
                <w:szCs w:val="20"/>
              </w:rPr>
              <w:t>or from PBS-subsidised Complement 5 (C5) inhibitor for reasons other than post pregnancy.</w:t>
            </w:r>
          </w:p>
        </w:tc>
      </w:tr>
      <w:tr w:rsidR="00525F9E" w:rsidRPr="00FE7885" w14:paraId="4D044174" w14:textId="77777777" w:rsidTr="00A4207F">
        <w:trPr>
          <w:trHeight w:val="20"/>
        </w:trPr>
        <w:tc>
          <w:tcPr>
            <w:tcW w:w="1560" w:type="dxa"/>
            <w:gridSpan w:val="2"/>
            <w:vAlign w:val="center"/>
          </w:tcPr>
          <w:p w14:paraId="02C57F21" w14:textId="379E701E" w:rsidR="00525F9E" w:rsidRPr="00574959" w:rsidRDefault="00525F9E" w:rsidP="00E70C72">
            <w:pPr>
              <w:keepLines/>
              <w:jc w:val="center"/>
              <w:rPr>
                <w:rFonts w:ascii="Arial Narrow" w:hAnsi="Arial Narrow"/>
                <w:sz w:val="20"/>
                <w:szCs w:val="20"/>
              </w:rPr>
            </w:pPr>
          </w:p>
        </w:tc>
        <w:tc>
          <w:tcPr>
            <w:tcW w:w="7511" w:type="dxa"/>
            <w:gridSpan w:val="7"/>
            <w:vAlign w:val="center"/>
          </w:tcPr>
          <w:p w14:paraId="6DAAD041" w14:textId="77777777" w:rsidR="00525F9E" w:rsidRPr="00FE7885" w:rsidRDefault="00525F9E" w:rsidP="00E70C72">
            <w:pPr>
              <w:keepLines/>
              <w:jc w:val="left"/>
              <w:rPr>
                <w:rFonts w:ascii="Arial Narrow" w:hAnsi="Arial Narrow"/>
                <w:b/>
                <w:bCs/>
                <w:sz w:val="20"/>
                <w:szCs w:val="20"/>
              </w:rPr>
            </w:pPr>
            <w:r w:rsidRPr="00FE7885">
              <w:rPr>
                <w:rFonts w:ascii="Arial Narrow" w:hAnsi="Arial Narrow"/>
                <w:b/>
                <w:sz w:val="20"/>
                <w:szCs w:val="20"/>
              </w:rPr>
              <w:t>Clinical criteria:</w:t>
            </w:r>
          </w:p>
        </w:tc>
      </w:tr>
      <w:tr w:rsidR="00525F9E" w:rsidRPr="00FE7885" w14:paraId="2FD8BD8D" w14:textId="77777777" w:rsidTr="00A4207F">
        <w:trPr>
          <w:trHeight w:val="20"/>
        </w:trPr>
        <w:tc>
          <w:tcPr>
            <w:tcW w:w="1560" w:type="dxa"/>
            <w:gridSpan w:val="2"/>
            <w:vAlign w:val="center"/>
          </w:tcPr>
          <w:p w14:paraId="374FE904" w14:textId="543FEF90" w:rsidR="00525F9E" w:rsidRPr="00574959" w:rsidRDefault="00525F9E" w:rsidP="00E70C72">
            <w:pPr>
              <w:keepLines/>
              <w:jc w:val="center"/>
              <w:rPr>
                <w:rFonts w:ascii="Arial Narrow" w:hAnsi="Arial Narrow"/>
                <w:sz w:val="20"/>
                <w:szCs w:val="20"/>
              </w:rPr>
            </w:pPr>
          </w:p>
        </w:tc>
        <w:tc>
          <w:tcPr>
            <w:tcW w:w="7511" w:type="dxa"/>
            <w:gridSpan w:val="7"/>
            <w:vAlign w:val="center"/>
          </w:tcPr>
          <w:p w14:paraId="0FAB0B2F" w14:textId="77777777" w:rsidR="00525F9E" w:rsidRPr="00FE7885" w:rsidRDefault="00525F9E" w:rsidP="00E70C72">
            <w:pPr>
              <w:keepLines/>
              <w:jc w:val="left"/>
              <w:rPr>
                <w:rFonts w:ascii="Arial Narrow" w:hAnsi="Arial Narrow"/>
                <w:b/>
                <w:bCs/>
                <w:sz w:val="20"/>
                <w:szCs w:val="20"/>
              </w:rPr>
            </w:pPr>
            <w:r w:rsidRPr="00FE7885">
              <w:rPr>
                <w:rFonts w:ascii="Arial Narrow" w:hAnsi="Arial Narrow"/>
                <w:sz w:val="20"/>
                <w:szCs w:val="20"/>
              </w:rPr>
              <w:t>Patient must have received prior PBS-subsidised treatment with this drug for this condition,</w:t>
            </w:r>
          </w:p>
        </w:tc>
      </w:tr>
      <w:tr w:rsidR="00525F9E" w:rsidRPr="00FE7885" w14:paraId="70B6175A" w14:textId="77777777" w:rsidTr="00A4207F">
        <w:trPr>
          <w:trHeight w:val="20"/>
        </w:trPr>
        <w:tc>
          <w:tcPr>
            <w:tcW w:w="1560" w:type="dxa"/>
            <w:gridSpan w:val="2"/>
            <w:vAlign w:val="center"/>
          </w:tcPr>
          <w:p w14:paraId="28EC9BE5" w14:textId="77777777" w:rsidR="00525F9E" w:rsidRPr="00574959" w:rsidRDefault="00525F9E" w:rsidP="00E70C72">
            <w:pPr>
              <w:keepLines/>
              <w:jc w:val="center"/>
              <w:rPr>
                <w:rFonts w:ascii="Arial Narrow" w:hAnsi="Arial Narrow"/>
                <w:sz w:val="20"/>
                <w:szCs w:val="20"/>
              </w:rPr>
            </w:pPr>
          </w:p>
        </w:tc>
        <w:tc>
          <w:tcPr>
            <w:tcW w:w="7511" w:type="dxa"/>
            <w:gridSpan w:val="7"/>
            <w:vAlign w:val="center"/>
          </w:tcPr>
          <w:p w14:paraId="18257995" w14:textId="77777777" w:rsidR="00525F9E" w:rsidRPr="00FE7885" w:rsidRDefault="00525F9E" w:rsidP="00E70C72">
            <w:pPr>
              <w:keepLines/>
              <w:jc w:val="left"/>
              <w:rPr>
                <w:rFonts w:ascii="Arial Narrow" w:hAnsi="Arial Narrow"/>
                <w:b/>
                <w:bCs/>
                <w:sz w:val="20"/>
                <w:szCs w:val="20"/>
              </w:rPr>
            </w:pPr>
            <w:r w:rsidRPr="00FE7885">
              <w:rPr>
                <w:rFonts w:ascii="Arial Narrow" w:hAnsi="Arial Narrow"/>
                <w:b/>
                <w:sz w:val="20"/>
                <w:szCs w:val="20"/>
              </w:rPr>
              <w:t>AND</w:t>
            </w:r>
          </w:p>
        </w:tc>
      </w:tr>
      <w:tr w:rsidR="00525F9E" w:rsidRPr="00FE7885" w14:paraId="4843FAE3" w14:textId="77777777" w:rsidTr="00A4207F">
        <w:trPr>
          <w:trHeight w:val="20"/>
        </w:trPr>
        <w:tc>
          <w:tcPr>
            <w:tcW w:w="1560" w:type="dxa"/>
            <w:gridSpan w:val="2"/>
            <w:vAlign w:val="center"/>
          </w:tcPr>
          <w:p w14:paraId="14AAC9D0" w14:textId="33D637C9" w:rsidR="00525F9E" w:rsidRPr="00574959" w:rsidRDefault="00525F9E" w:rsidP="00E70C72">
            <w:pPr>
              <w:keepLines/>
              <w:jc w:val="center"/>
              <w:rPr>
                <w:rFonts w:ascii="Arial Narrow" w:hAnsi="Arial Narrow"/>
                <w:sz w:val="20"/>
                <w:szCs w:val="20"/>
              </w:rPr>
            </w:pPr>
          </w:p>
        </w:tc>
        <w:tc>
          <w:tcPr>
            <w:tcW w:w="7511" w:type="dxa"/>
            <w:gridSpan w:val="7"/>
            <w:vAlign w:val="center"/>
          </w:tcPr>
          <w:p w14:paraId="770CFC9D" w14:textId="77777777" w:rsidR="00525F9E" w:rsidRPr="00FE7885" w:rsidRDefault="00525F9E" w:rsidP="00E70C72">
            <w:pPr>
              <w:keepLines/>
              <w:jc w:val="left"/>
              <w:rPr>
                <w:rFonts w:ascii="Arial Narrow" w:hAnsi="Arial Narrow"/>
                <w:b/>
                <w:bCs/>
                <w:sz w:val="20"/>
                <w:szCs w:val="20"/>
              </w:rPr>
            </w:pPr>
            <w:r w:rsidRPr="00FE7885">
              <w:rPr>
                <w:rFonts w:ascii="Arial Narrow" w:hAnsi="Arial Narrow"/>
                <w:b/>
                <w:sz w:val="20"/>
                <w:szCs w:val="20"/>
              </w:rPr>
              <w:t>Clinical criteria:</w:t>
            </w:r>
          </w:p>
        </w:tc>
      </w:tr>
      <w:tr w:rsidR="00525F9E" w:rsidRPr="00FE7885" w14:paraId="527B45D3" w14:textId="77777777" w:rsidTr="00A4207F">
        <w:trPr>
          <w:trHeight w:val="20"/>
        </w:trPr>
        <w:tc>
          <w:tcPr>
            <w:tcW w:w="1560" w:type="dxa"/>
            <w:gridSpan w:val="2"/>
            <w:vAlign w:val="center"/>
          </w:tcPr>
          <w:p w14:paraId="72FCA703" w14:textId="77777777" w:rsidR="00525F9E" w:rsidRPr="00574959" w:rsidRDefault="00525F9E" w:rsidP="00E70C72">
            <w:pPr>
              <w:keepLines/>
              <w:jc w:val="center"/>
              <w:rPr>
                <w:rFonts w:ascii="Arial Narrow" w:hAnsi="Arial Narrow"/>
                <w:sz w:val="20"/>
                <w:szCs w:val="20"/>
              </w:rPr>
            </w:pPr>
          </w:p>
        </w:tc>
        <w:tc>
          <w:tcPr>
            <w:tcW w:w="7511" w:type="dxa"/>
            <w:gridSpan w:val="7"/>
            <w:vAlign w:val="center"/>
          </w:tcPr>
          <w:p w14:paraId="61A0020B" w14:textId="77777777" w:rsidR="00525F9E" w:rsidRPr="00FE7885" w:rsidRDefault="00525F9E" w:rsidP="00E70C72">
            <w:pPr>
              <w:keepLines/>
              <w:jc w:val="left"/>
              <w:rPr>
                <w:rFonts w:ascii="Arial Narrow" w:hAnsi="Arial Narrow"/>
                <w:b/>
                <w:bCs/>
                <w:sz w:val="20"/>
                <w:szCs w:val="20"/>
              </w:rPr>
            </w:pPr>
            <w:r w:rsidRPr="00FE7885">
              <w:rPr>
                <w:rFonts w:ascii="Arial Narrow" w:hAnsi="Arial Narrow"/>
                <w:sz w:val="20"/>
                <w:szCs w:val="20"/>
              </w:rPr>
              <w:t xml:space="preserve">Patient must have received prior PBS-subsidised treatment with eculizumab through the 'Initial treatment - Initial 3 (switching from PBS-subsidised </w:t>
            </w:r>
            <w:r w:rsidRPr="0072054F">
              <w:rPr>
                <w:rFonts w:ascii="Arial Narrow" w:hAnsi="Arial Narrow"/>
                <w:b/>
                <w:bCs/>
                <w:i/>
                <w:iCs/>
                <w:sz w:val="20"/>
                <w:szCs w:val="20"/>
              </w:rPr>
              <w:t>pegcetacoplan or</w:t>
            </w:r>
            <w:r w:rsidRPr="009640F0">
              <w:rPr>
                <w:rFonts w:ascii="Arial Narrow" w:hAnsi="Arial Narrow"/>
                <w:b/>
                <w:bCs/>
                <w:sz w:val="20"/>
                <w:szCs w:val="20"/>
              </w:rPr>
              <w:t xml:space="preserve"> iptacopan</w:t>
            </w:r>
            <w:r w:rsidRPr="00FE7885">
              <w:rPr>
                <w:rFonts w:ascii="Arial Narrow" w:hAnsi="Arial Narrow"/>
                <w:sz w:val="20"/>
                <w:szCs w:val="20"/>
              </w:rPr>
              <w:t xml:space="preserve"> for pregnancy (induction doses)' criteria; </w:t>
            </w:r>
            <w:r w:rsidRPr="00AA48EC">
              <w:rPr>
                <w:rFonts w:ascii="Arial Narrow" w:hAnsi="Arial Narrow"/>
                <w:strike/>
                <w:sz w:val="20"/>
                <w:szCs w:val="20"/>
              </w:rPr>
              <w:t>OR</w:t>
            </w:r>
          </w:p>
        </w:tc>
      </w:tr>
      <w:tr w:rsidR="00525F9E" w:rsidRPr="00FE7885" w14:paraId="7AD8AD38" w14:textId="77777777" w:rsidTr="00A4207F">
        <w:trPr>
          <w:trHeight w:val="20"/>
        </w:trPr>
        <w:tc>
          <w:tcPr>
            <w:tcW w:w="1560" w:type="dxa"/>
            <w:gridSpan w:val="2"/>
            <w:vAlign w:val="center"/>
          </w:tcPr>
          <w:p w14:paraId="5E3283B8" w14:textId="77777777" w:rsidR="00525F9E" w:rsidRPr="00574959" w:rsidRDefault="00525F9E" w:rsidP="00E70C72">
            <w:pPr>
              <w:keepLines/>
              <w:jc w:val="center"/>
              <w:rPr>
                <w:rFonts w:ascii="Arial Narrow" w:hAnsi="Arial Narrow"/>
                <w:sz w:val="20"/>
                <w:szCs w:val="20"/>
              </w:rPr>
            </w:pPr>
          </w:p>
        </w:tc>
        <w:tc>
          <w:tcPr>
            <w:tcW w:w="7511" w:type="dxa"/>
            <w:gridSpan w:val="7"/>
            <w:vAlign w:val="center"/>
          </w:tcPr>
          <w:p w14:paraId="52F42267" w14:textId="77777777" w:rsidR="00525F9E" w:rsidRPr="00FE7885" w:rsidRDefault="00525F9E" w:rsidP="00E70C72">
            <w:pPr>
              <w:keepLines/>
              <w:jc w:val="left"/>
              <w:rPr>
                <w:rFonts w:ascii="Arial Narrow" w:hAnsi="Arial Narrow"/>
                <w:b/>
                <w:bCs/>
                <w:sz w:val="20"/>
                <w:szCs w:val="20"/>
              </w:rPr>
            </w:pPr>
            <w:r w:rsidRPr="00AA48EC">
              <w:rPr>
                <w:rFonts w:ascii="Arial Narrow" w:hAnsi="Arial Narrow"/>
                <w:strike/>
                <w:sz w:val="20"/>
                <w:szCs w:val="20"/>
              </w:rPr>
              <w:t>Patient must have received prior PBS-subsidised treatment with at least one C5 inhibitor and returning to iptacopan treatment for reasons other than post pregnancy</w:t>
            </w:r>
            <w:r w:rsidRPr="00FE7885">
              <w:rPr>
                <w:rFonts w:ascii="Arial Narrow" w:hAnsi="Arial Narrow"/>
                <w:sz w:val="20"/>
                <w:szCs w:val="20"/>
              </w:rPr>
              <w:t>,</w:t>
            </w:r>
          </w:p>
        </w:tc>
      </w:tr>
      <w:tr w:rsidR="00525F9E" w:rsidRPr="00FE7885" w14:paraId="5A0286BA" w14:textId="77777777" w:rsidTr="00A4207F">
        <w:trPr>
          <w:trHeight w:val="20"/>
        </w:trPr>
        <w:tc>
          <w:tcPr>
            <w:tcW w:w="1560" w:type="dxa"/>
            <w:gridSpan w:val="2"/>
            <w:vAlign w:val="center"/>
          </w:tcPr>
          <w:p w14:paraId="657A3B72" w14:textId="77777777" w:rsidR="00525F9E" w:rsidRPr="00574959" w:rsidRDefault="00525F9E" w:rsidP="00E70C72">
            <w:pPr>
              <w:keepLines/>
              <w:jc w:val="center"/>
              <w:rPr>
                <w:rFonts w:ascii="Arial Narrow" w:hAnsi="Arial Narrow"/>
                <w:sz w:val="20"/>
                <w:szCs w:val="20"/>
              </w:rPr>
            </w:pPr>
          </w:p>
        </w:tc>
        <w:tc>
          <w:tcPr>
            <w:tcW w:w="7511" w:type="dxa"/>
            <w:gridSpan w:val="7"/>
            <w:vAlign w:val="center"/>
          </w:tcPr>
          <w:p w14:paraId="1D47793B" w14:textId="77777777" w:rsidR="00525F9E" w:rsidRPr="00FE7885" w:rsidRDefault="00525F9E" w:rsidP="00E70C72">
            <w:pPr>
              <w:keepLines/>
              <w:jc w:val="left"/>
              <w:rPr>
                <w:rFonts w:ascii="Arial Narrow" w:hAnsi="Arial Narrow"/>
                <w:b/>
                <w:bCs/>
                <w:sz w:val="20"/>
                <w:szCs w:val="20"/>
              </w:rPr>
            </w:pPr>
            <w:r w:rsidRPr="00FE7885">
              <w:rPr>
                <w:rFonts w:ascii="Arial Narrow" w:hAnsi="Arial Narrow"/>
                <w:b/>
                <w:sz w:val="20"/>
                <w:szCs w:val="20"/>
              </w:rPr>
              <w:t>AND</w:t>
            </w:r>
          </w:p>
        </w:tc>
      </w:tr>
      <w:tr w:rsidR="00525F9E" w:rsidRPr="00FE7885" w14:paraId="1153459B" w14:textId="77777777" w:rsidTr="00A4207F">
        <w:trPr>
          <w:trHeight w:val="20"/>
        </w:trPr>
        <w:tc>
          <w:tcPr>
            <w:tcW w:w="1560" w:type="dxa"/>
            <w:gridSpan w:val="2"/>
            <w:vAlign w:val="center"/>
          </w:tcPr>
          <w:p w14:paraId="2DF7738D" w14:textId="3C26F702" w:rsidR="00525F9E" w:rsidRPr="00574959" w:rsidRDefault="00525F9E" w:rsidP="00E70C72">
            <w:pPr>
              <w:keepLines/>
              <w:jc w:val="center"/>
              <w:rPr>
                <w:rFonts w:ascii="Arial Narrow" w:hAnsi="Arial Narrow"/>
                <w:sz w:val="20"/>
                <w:szCs w:val="20"/>
              </w:rPr>
            </w:pPr>
          </w:p>
        </w:tc>
        <w:tc>
          <w:tcPr>
            <w:tcW w:w="7511" w:type="dxa"/>
            <w:gridSpan w:val="7"/>
            <w:vAlign w:val="center"/>
          </w:tcPr>
          <w:p w14:paraId="0918A3DF" w14:textId="77777777" w:rsidR="00525F9E" w:rsidRPr="00FE7885" w:rsidRDefault="00525F9E" w:rsidP="00E70C72">
            <w:pPr>
              <w:keepLines/>
              <w:jc w:val="left"/>
              <w:rPr>
                <w:rFonts w:ascii="Arial Narrow" w:hAnsi="Arial Narrow"/>
                <w:b/>
                <w:bCs/>
                <w:sz w:val="20"/>
                <w:szCs w:val="20"/>
              </w:rPr>
            </w:pPr>
            <w:r w:rsidRPr="00FE7885">
              <w:rPr>
                <w:rFonts w:ascii="Arial Narrow" w:hAnsi="Arial Narrow"/>
                <w:b/>
                <w:sz w:val="20"/>
                <w:szCs w:val="20"/>
              </w:rPr>
              <w:t>Clinical criteria:</w:t>
            </w:r>
          </w:p>
        </w:tc>
      </w:tr>
      <w:tr w:rsidR="00525F9E" w:rsidRPr="00FE7885" w14:paraId="5E6C240E" w14:textId="77777777" w:rsidTr="00A4207F">
        <w:trPr>
          <w:trHeight w:val="20"/>
        </w:trPr>
        <w:tc>
          <w:tcPr>
            <w:tcW w:w="1560" w:type="dxa"/>
            <w:gridSpan w:val="2"/>
            <w:vAlign w:val="center"/>
          </w:tcPr>
          <w:p w14:paraId="42A20980" w14:textId="3DDECB2A" w:rsidR="00525F9E" w:rsidRPr="00574959" w:rsidRDefault="00525F9E" w:rsidP="00E70C72">
            <w:pPr>
              <w:keepLines/>
              <w:jc w:val="center"/>
              <w:rPr>
                <w:rFonts w:ascii="Arial Narrow" w:hAnsi="Arial Narrow"/>
                <w:sz w:val="20"/>
                <w:szCs w:val="20"/>
              </w:rPr>
            </w:pPr>
          </w:p>
        </w:tc>
        <w:tc>
          <w:tcPr>
            <w:tcW w:w="7511" w:type="dxa"/>
            <w:gridSpan w:val="7"/>
            <w:vAlign w:val="center"/>
          </w:tcPr>
          <w:p w14:paraId="5D534432" w14:textId="77777777" w:rsidR="00525F9E" w:rsidRPr="00FE7885" w:rsidRDefault="00525F9E" w:rsidP="00E70C72">
            <w:pPr>
              <w:keepLines/>
              <w:jc w:val="left"/>
              <w:rPr>
                <w:rFonts w:ascii="Arial Narrow" w:hAnsi="Arial Narrow"/>
                <w:b/>
                <w:bCs/>
                <w:sz w:val="20"/>
                <w:szCs w:val="20"/>
              </w:rPr>
            </w:pPr>
            <w:r w:rsidRPr="00FE7885">
              <w:rPr>
                <w:rFonts w:ascii="Arial Narrow" w:hAnsi="Arial Narrow"/>
                <w:sz w:val="20"/>
                <w:szCs w:val="20"/>
              </w:rPr>
              <w:t>Patient must have experienced clinical improvement as a result of treatment with this drug; OR</w:t>
            </w:r>
          </w:p>
        </w:tc>
      </w:tr>
      <w:tr w:rsidR="00525F9E" w:rsidRPr="00FE7885" w14:paraId="2B2DD0DC" w14:textId="77777777" w:rsidTr="00A4207F">
        <w:trPr>
          <w:trHeight w:val="20"/>
        </w:trPr>
        <w:tc>
          <w:tcPr>
            <w:tcW w:w="1560" w:type="dxa"/>
            <w:gridSpan w:val="2"/>
            <w:vAlign w:val="center"/>
          </w:tcPr>
          <w:p w14:paraId="75B00A85" w14:textId="2724D005" w:rsidR="00525F9E" w:rsidRPr="00574959" w:rsidRDefault="00525F9E" w:rsidP="00E70C72">
            <w:pPr>
              <w:keepLines/>
              <w:jc w:val="center"/>
              <w:rPr>
                <w:rFonts w:ascii="Arial Narrow" w:hAnsi="Arial Narrow"/>
                <w:sz w:val="20"/>
                <w:szCs w:val="20"/>
              </w:rPr>
            </w:pPr>
          </w:p>
        </w:tc>
        <w:tc>
          <w:tcPr>
            <w:tcW w:w="7511" w:type="dxa"/>
            <w:gridSpan w:val="7"/>
            <w:vAlign w:val="center"/>
          </w:tcPr>
          <w:p w14:paraId="7D907D8F" w14:textId="77777777" w:rsidR="00525F9E" w:rsidRPr="00FE7885" w:rsidRDefault="00525F9E" w:rsidP="00E70C72">
            <w:pPr>
              <w:keepLines/>
              <w:jc w:val="left"/>
              <w:rPr>
                <w:rFonts w:ascii="Arial Narrow" w:hAnsi="Arial Narrow"/>
                <w:b/>
                <w:bCs/>
                <w:sz w:val="20"/>
                <w:szCs w:val="20"/>
              </w:rPr>
            </w:pPr>
            <w:r w:rsidRPr="00FE7885">
              <w:rPr>
                <w:rFonts w:ascii="Arial Narrow" w:hAnsi="Arial Narrow"/>
                <w:sz w:val="20"/>
                <w:szCs w:val="20"/>
              </w:rPr>
              <w:t>Patient must have experienced a stabilisation of the condition as a result of treatment with this drug,</w:t>
            </w:r>
          </w:p>
        </w:tc>
      </w:tr>
      <w:tr w:rsidR="00525F9E" w:rsidRPr="00FE7885" w14:paraId="008A0039" w14:textId="77777777" w:rsidTr="00A4207F">
        <w:trPr>
          <w:trHeight w:val="20"/>
        </w:trPr>
        <w:tc>
          <w:tcPr>
            <w:tcW w:w="1560" w:type="dxa"/>
            <w:gridSpan w:val="2"/>
            <w:vAlign w:val="center"/>
          </w:tcPr>
          <w:p w14:paraId="17B24FC8" w14:textId="77777777" w:rsidR="00525F9E" w:rsidRDefault="00525F9E" w:rsidP="00E70C72">
            <w:pPr>
              <w:keepLines/>
              <w:jc w:val="center"/>
              <w:rPr>
                <w:rFonts w:ascii="Arial Narrow" w:hAnsi="Arial Narrow"/>
                <w:sz w:val="20"/>
                <w:szCs w:val="20"/>
              </w:rPr>
            </w:pPr>
          </w:p>
        </w:tc>
        <w:tc>
          <w:tcPr>
            <w:tcW w:w="7511" w:type="dxa"/>
            <w:gridSpan w:val="7"/>
            <w:vAlign w:val="center"/>
          </w:tcPr>
          <w:p w14:paraId="2EAB668D" w14:textId="77777777" w:rsidR="00525F9E" w:rsidRPr="00FE7885" w:rsidRDefault="00525F9E" w:rsidP="00E70C72">
            <w:pPr>
              <w:keepLines/>
              <w:jc w:val="left"/>
              <w:rPr>
                <w:rFonts w:ascii="Arial Narrow" w:hAnsi="Arial Narrow"/>
                <w:sz w:val="20"/>
                <w:szCs w:val="20"/>
              </w:rPr>
            </w:pPr>
            <w:r w:rsidRPr="00B35896">
              <w:rPr>
                <w:rFonts w:ascii="Arial Narrow" w:hAnsi="Arial Narrow"/>
                <w:b/>
                <w:bCs/>
                <w:sz w:val="20"/>
                <w:szCs w:val="20"/>
              </w:rPr>
              <w:t>AND</w:t>
            </w:r>
          </w:p>
        </w:tc>
      </w:tr>
      <w:tr w:rsidR="00525F9E" w:rsidRPr="00FE7885" w14:paraId="62F6FC73" w14:textId="77777777" w:rsidTr="00A4207F">
        <w:trPr>
          <w:trHeight w:val="20"/>
        </w:trPr>
        <w:tc>
          <w:tcPr>
            <w:tcW w:w="1560" w:type="dxa"/>
            <w:gridSpan w:val="2"/>
            <w:vAlign w:val="center"/>
          </w:tcPr>
          <w:p w14:paraId="49374BBF" w14:textId="4A4D076A" w:rsidR="00525F9E" w:rsidRDefault="00525F9E" w:rsidP="00E70C72">
            <w:pPr>
              <w:keepLines/>
              <w:jc w:val="center"/>
              <w:rPr>
                <w:rFonts w:ascii="Arial Narrow" w:hAnsi="Arial Narrow"/>
                <w:sz w:val="20"/>
                <w:szCs w:val="20"/>
              </w:rPr>
            </w:pPr>
          </w:p>
        </w:tc>
        <w:tc>
          <w:tcPr>
            <w:tcW w:w="7511" w:type="dxa"/>
            <w:gridSpan w:val="7"/>
            <w:vAlign w:val="center"/>
          </w:tcPr>
          <w:p w14:paraId="6961AB56" w14:textId="77777777" w:rsidR="00525F9E" w:rsidRPr="00FE7885" w:rsidRDefault="00525F9E" w:rsidP="00E70C72">
            <w:pPr>
              <w:keepLines/>
              <w:jc w:val="left"/>
              <w:rPr>
                <w:rFonts w:ascii="Arial Narrow" w:hAnsi="Arial Narrow"/>
                <w:sz w:val="20"/>
                <w:szCs w:val="20"/>
              </w:rPr>
            </w:pPr>
            <w:r w:rsidRPr="00B35896">
              <w:rPr>
                <w:rFonts w:ascii="Arial Narrow" w:hAnsi="Arial Narrow"/>
                <w:b/>
                <w:bCs/>
                <w:sz w:val="20"/>
                <w:szCs w:val="20"/>
              </w:rPr>
              <w:t>Clinical criteria:</w:t>
            </w:r>
          </w:p>
        </w:tc>
      </w:tr>
      <w:tr w:rsidR="00525F9E" w:rsidRPr="00FE7885" w14:paraId="1306479C" w14:textId="77777777" w:rsidTr="00A4207F">
        <w:trPr>
          <w:trHeight w:val="20"/>
        </w:trPr>
        <w:tc>
          <w:tcPr>
            <w:tcW w:w="1560" w:type="dxa"/>
            <w:gridSpan w:val="2"/>
            <w:vAlign w:val="center"/>
          </w:tcPr>
          <w:p w14:paraId="383FAB6F" w14:textId="08223ECF" w:rsidR="00525F9E" w:rsidRDefault="00525F9E" w:rsidP="00E70C72">
            <w:pPr>
              <w:keepLines/>
              <w:jc w:val="center"/>
              <w:rPr>
                <w:rFonts w:ascii="Arial Narrow" w:hAnsi="Arial Narrow"/>
                <w:sz w:val="20"/>
                <w:szCs w:val="20"/>
              </w:rPr>
            </w:pPr>
          </w:p>
        </w:tc>
        <w:tc>
          <w:tcPr>
            <w:tcW w:w="7511" w:type="dxa"/>
            <w:gridSpan w:val="7"/>
            <w:vAlign w:val="center"/>
          </w:tcPr>
          <w:p w14:paraId="7DA08B20" w14:textId="77777777" w:rsidR="00525F9E" w:rsidRPr="00FE7885" w:rsidRDefault="00525F9E" w:rsidP="00E70C72">
            <w:pPr>
              <w:keepLines/>
              <w:jc w:val="left"/>
              <w:rPr>
                <w:rFonts w:ascii="Arial Narrow" w:hAnsi="Arial Narrow"/>
                <w:sz w:val="20"/>
                <w:szCs w:val="20"/>
              </w:rPr>
            </w:pPr>
            <w:r w:rsidRPr="00184EB8">
              <w:rPr>
                <w:rFonts w:ascii="Arial Narrow" w:hAnsi="Arial Narrow"/>
                <w:i/>
                <w:iCs/>
                <w:sz w:val="20"/>
                <w:szCs w:val="20"/>
              </w:rPr>
              <w:t>The treatment must be the sole PBS-subsidised therapy for this condition.</w:t>
            </w:r>
          </w:p>
        </w:tc>
      </w:tr>
      <w:tr w:rsidR="00525F9E" w:rsidRPr="00A217AD" w14:paraId="2EACD92C" w14:textId="77777777" w:rsidTr="00A4207F">
        <w:trPr>
          <w:trHeight w:val="20"/>
        </w:trPr>
        <w:tc>
          <w:tcPr>
            <w:tcW w:w="1560" w:type="dxa"/>
            <w:gridSpan w:val="2"/>
            <w:vAlign w:val="center"/>
          </w:tcPr>
          <w:p w14:paraId="72F5DE3F" w14:textId="77777777" w:rsidR="00525F9E" w:rsidRDefault="00525F9E" w:rsidP="00E70C72">
            <w:pPr>
              <w:keepLines/>
              <w:jc w:val="center"/>
              <w:rPr>
                <w:rFonts w:ascii="Arial Narrow" w:hAnsi="Arial Narrow"/>
                <w:sz w:val="20"/>
                <w:szCs w:val="20"/>
              </w:rPr>
            </w:pPr>
          </w:p>
        </w:tc>
        <w:tc>
          <w:tcPr>
            <w:tcW w:w="7511" w:type="dxa"/>
            <w:gridSpan w:val="7"/>
            <w:vAlign w:val="center"/>
          </w:tcPr>
          <w:p w14:paraId="5D5C0807" w14:textId="77777777" w:rsidR="00525F9E" w:rsidRPr="00A217AD" w:rsidRDefault="00525F9E" w:rsidP="00E70C72">
            <w:pPr>
              <w:keepLines/>
              <w:jc w:val="left"/>
              <w:rPr>
                <w:rFonts w:ascii="Arial Narrow" w:hAnsi="Arial Narrow"/>
                <w:strike/>
                <w:sz w:val="20"/>
                <w:szCs w:val="20"/>
              </w:rPr>
            </w:pPr>
          </w:p>
        </w:tc>
      </w:tr>
      <w:tr w:rsidR="00525F9E" w:rsidRPr="00FE7885" w14:paraId="4E7CF0B6" w14:textId="77777777" w:rsidTr="00A4207F">
        <w:trPr>
          <w:trHeight w:val="20"/>
        </w:trPr>
        <w:tc>
          <w:tcPr>
            <w:tcW w:w="1560" w:type="dxa"/>
            <w:gridSpan w:val="2"/>
            <w:vAlign w:val="center"/>
          </w:tcPr>
          <w:p w14:paraId="381444A7" w14:textId="24D041C0" w:rsidR="00525F9E" w:rsidRPr="00574959" w:rsidRDefault="00525F9E" w:rsidP="00E70C72">
            <w:pPr>
              <w:keepLines/>
              <w:jc w:val="center"/>
              <w:rPr>
                <w:rFonts w:ascii="Arial Narrow" w:hAnsi="Arial Narrow"/>
                <w:sz w:val="20"/>
                <w:szCs w:val="20"/>
              </w:rPr>
            </w:pPr>
          </w:p>
        </w:tc>
        <w:tc>
          <w:tcPr>
            <w:tcW w:w="7511" w:type="dxa"/>
            <w:gridSpan w:val="7"/>
            <w:vAlign w:val="center"/>
          </w:tcPr>
          <w:p w14:paraId="7C9A8212" w14:textId="77777777" w:rsidR="00525F9E" w:rsidRPr="00FE7885" w:rsidRDefault="00525F9E" w:rsidP="00E70C72">
            <w:pPr>
              <w:keepLines/>
              <w:jc w:val="left"/>
              <w:rPr>
                <w:rFonts w:ascii="Arial Narrow" w:hAnsi="Arial Narrow"/>
                <w:b/>
                <w:bCs/>
                <w:sz w:val="20"/>
                <w:szCs w:val="20"/>
              </w:rPr>
            </w:pPr>
            <w:r w:rsidRPr="00FE7885">
              <w:rPr>
                <w:rFonts w:ascii="Arial Narrow" w:hAnsi="Arial Narrow"/>
                <w:b/>
                <w:sz w:val="20"/>
                <w:szCs w:val="20"/>
              </w:rPr>
              <w:t>Treatment criteria:</w:t>
            </w:r>
          </w:p>
        </w:tc>
      </w:tr>
      <w:tr w:rsidR="00525F9E" w:rsidRPr="00FE7885" w14:paraId="2EF8E60F" w14:textId="77777777" w:rsidTr="00A4207F">
        <w:trPr>
          <w:trHeight w:val="20"/>
        </w:trPr>
        <w:tc>
          <w:tcPr>
            <w:tcW w:w="1560" w:type="dxa"/>
            <w:gridSpan w:val="2"/>
            <w:vAlign w:val="center"/>
          </w:tcPr>
          <w:p w14:paraId="2A2B5FD8" w14:textId="64771F37" w:rsidR="00525F9E" w:rsidRPr="00574959" w:rsidRDefault="00525F9E" w:rsidP="00E70C72">
            <w:pPr>
              <w:keepLines/>
              <w:jc w:val="center"/>
              <w:rPr>
                <w:rFonts w:ascii="Arial Narrow" w:hAnsi="Arial Narrow"/>
                <w:sz w:val="20"/>
                <w:szCs w:val="20"/>
              </w:rPr>
            </w:pPr>
          </w:p>
        </w:tc>
        <w:tc>
          <w:tcPr>
            <w:tcW w:w="7511" w:type="dxa"/>
            <w:gridSpan w:val="7"/>
            <w:vAlign w:val="center"/>
          </w:tcPr>
          <w:p w14:paraId="5D08A042" w14:textId="77777777" w:rsidR="00525F9E" w:rsidRPr="00FE7885" w:rsidRDefault="00525F9E" w:rsidP="00E70C72">
            <w:pPr>
              <w:keepLines/>
              <w:jc w:val="left"/>
              <w:rPr>
                <w:rFonts w:ascii="Arial Narrow" w:hAnsi="Arial Narrow"/>
                <w:b/>
                <w:bCs/>
                <w:sz w:val="20"/>
                <w:szCs w:val="20"/>
              </w:rPr>
            </w:pPr>
            <w:r w:rsidRPr="00FE7885">
              <w:rPr>
                <w:rFonts w:ascii="Arial Narrow" w:hAnsi="Arial Narrow"/>
                <w:sz w:val="20"/>
                <w:szCs w:val="20"/>
              </w:rPr>
              <w:t>Must be treated by a haematologist; OR</w:t>
            </w:r>
            <w:r w:rsidRPr="00FE7885">
              <w:rPr>
                <w:rFonts w:ascii="Arial Narrow" w:hAnsi="Arial Narrow"/>
                <w:sz w:val="20"/>
                <w:szCs w:val="20"/>
              </w:rPr>
              <w:tab/>
            </w:r>
          </w:p>
        </w:tc>
      </w:tr>
      <w:tr w:rsidR="00525F9E" w:rsidRPr="00FE7885" w14:paraId="38624EFD" w14:textId="77777777" w:rsidTr="00A4207F">
        <w:trPr>
          <w:trHeight w:val="20"/>
        </w:trPr>
        <w:tc>
          <w:tcPr>
            <w:tcW w:w="1560" w:type="dxa"/>
            <w:gridSpan w:val="2"/>
            <w:vAlign w:val="center"/>
          </w:tcPr>
          <w:p w14:paraId="1D9E9E60" w14:textId="48F57139" w:rsidR="00525F9E" w:rsidRPr="00574959" w:rsidRDefault="00525F9E" w:rsidP="00E70C72">
            <w:pPr>
              <w:keepLines/>
              <w:jc w:val="center"/>
              <w:rPr>
                <w:rFonts w:ascii="Arial Narrow" w:hAnsi="Arial Narrow"/>
                <w:sz w:val="20"/>
                <w:szCs w:val="20"/>
              </w:rPr>
            </w:pPr>
          </w:p>
        </w:tc>
        <w:tc>
          <w:tcPr>
            <w:tcW w:w="7511" w:type="dxa"/>
            <w:gridSpan w:val="7"/>
            <w:vAlign w:val="center"/>
          </w:tcPr>
          <w:p w14:paraId="692E82F1" w14:textId="77777777" w:rsidR="00525F9E" w:rsidRPr="00FE7885" w:rsidRDefault="00525F9E" w:rsidP="00E70C72">
            <w:pPr>
              <w:keepLines/>
              <w:jc w:val="left"/>
              <w:rPr>
                <w:rFonts w:ascii="Arial Narrow" w:hAnsi="Arial Narrow"/>
                <w:b/>
                <w:bCs/>
                <w:sz w:val="20"/>
                <w:szCs w:val="20"/>
              </w:rPr>
            </w:pPr>
            <w:r w:rsidRPr="00FE7885">
              <w:rPr>
                <w:rFonts w:ascii="Arial Narrow" w:hAnsi="Arial Narrow"/>
                <w:sz w:val="20"/>
                <w:szCs w:val="20"/>
              </w:rPr>
              <w:t>Must be treated by a non-specialist medical physician who has consulted a haematologist on the patient's drug treatment details.</w:t>
            </w:r>
          </w:p>
        </w:tc>
      </w:tr>
      <w:tr w:rsidR="00525F9E" w:rsidRPr="00FE7885" w14:paraId="22DA12A6" w14:textId="77777777" w:rsidTr="00A4207F">
        <w:trPr>
          <w:trHeight w:val="20"/>
        </w:trPr>
        <w:tc>
          <w:tcPr>
            <w:tcW w:w="1560" w:type="dxa"/>
            <w:gridSpan w:val="2"/>
            <w:vAlign w:val="center"/>
          </w:tcPr>
          <w:p w14:paraId="2E7D07EB" w14:textId="0B05754C" w:rsidR="00525F9E" w:rsidRPr="00574959" w:rsidRDefault="00525F9E" w:rsidP="00E70C72">
            <w:pPr>
              <w:keepLines/>
              <w:jc w:val="center"/>
              <w:rPr>
                <w:rFonts w:ascii="Arial Narrow" w:hAnsi="Arial Narrow"/>
                <w:sz w:val="20"/>
                <w:szCs w:val="20"/>
              </w:rPr>
            </w:pPr>
          </w:p>
        </w:tc>
        <w:tc>
          <w:tcPr>
            <w:tcW w:w="7511" w:type="dxa"/>
            <w:gridSpan w:val="7"/>
            <w:vAlign w:val="center"/>
          </w:tcPr>
          <w:p w14:paraId="0DA58B34" w14:textId="77777777" w:rsidR="00525F9E" w:rsidRPr="00FE7885" w:rsidRDefault="00525F9E" w:rsidP="00E70C72">
            <w:pPr>
              <w:keepLines/>
              <w:jc w:val="left"/>
              <w:rPr>
                <w:rFonts w:ascii="Arial Narrow" w:hAnsi="Arial Narrow"/>
                <w:b/>
                <w:bCs/>
                <w:sz w:val="20"/>
                <w:szCs w:val="20"/>
              </w:rPr>
            </w:pPr>
            <w:r w:rsidRPr="00FE7885">
              <w:rPr>
                <w:rFonts w:ascii="Arial Narrow" w:hAnsi="Arial Narrow"/>
                <w:b/>
                <w:sz w:val="20"/>
                <w:szCs w:val="20"/>
              </w:rPr>
              <w:t>Population criteria:</w:t>
            </w:r>
          </w:p>
        </w:tc>
      </w:tr>
      <w:tr w:rsidR="00525F9E" w:rsidRPr="00FE7885" w14:paraId="37839806" w14:textId="77777777" w:rsidTr="00A4207F">
        <w:trPr>
          <w:trHeight w:val="20"/>
        </w:trPr>
        <w:tc>
          <w:tcPr>
            <w:tcW w:w="1560" w:type="dxa"/>
            <w:gridSpan w:val="2"/>
            <w:vAlign w:val="center"/>
          </w:tcPr>
          <w:p w14:paraId="230A2C18" w14:textId="6B719310" w:rsidR="00525F9E" w:rsidRPr="00574959" w:rsidRDefault="00525F9E" w:rsidP="00E70C72">
            <w:pPr>
              <w:keepLines/>
              <w:jc w:val="center"/>
              <w:rPr>
                <w:rFonts w:ascii="Arial Narrow" w:hAnsi="Arial Narrow"/>
                <w:sz w:val="20"/>
                <w:szCs w:val="20"/>
              </w:rPr>
            </w:pPr>
          </w:p>
        </w:tc>
        <w:tc>
          <w:tcPr>
            <w:tcW w:w="7511" w:type="dxa"/>
            <w:gridSpan w:val="7"/>
            <w:vAlign w:val="center"/>
          </w:tcPr>
          <w:p w14:paraId="584A5AA0" w14:textId="77777777" w:rsidR="00525F9E" w:rsidRPr="00FE7885" w:rsidRDefault="00525F9E" w:rsidP="00E70C72">
            <w:pPr>
              <w:keepLines/>
              <w:jc w:val="left"/>
              <w:rPr>
                <w:rFonts w:ascii="Arial Narrow" w:hAnsi="Arial Narrow"/>
                <w:b/>
                <w:bCs/>
                <w:sz w:val="20"/>
                <w:szCs w:val="20"/>
              </w:rPr>
            </w:pPr>
            <w:r w:rsidRPr="00FE7885">
              <w:rPr>
                <w:rFonts w:ascii="Arial Narrow" w:hAnsi="Arial Narrow"/>
                <w:sz w:val="20"/>
                <w:szCs w:val="20"/>
              </w:rPr>
              <w:t>Patient must be at least 18 years of age.</w:t>
            </w:r>
          </w:p>
        </w:tc>
      </w:tr>
      <w:tr w:rsidR="00525F9E" w:rsidRPr="00F32871" w14:paraId="45A75B20" w14:textId="77777777" w:rsidTr="00A4207F">
        <w:trPr>
          <w:trHeight w:val="20"/>
        </w:trPr>
        <w:tc>
          <w:tcPr>
            <w:tcW w:w="1560" w:type="dxa"/>
            <w:gridSpan w:val="2"/>
            <w:vAlign w:val="center"/>
          </w:tcPr>
          <w:p w14:paraId="4E6BE73C" w14:textId="7F23BE53" w:rsidR="00525F9E" w:rsidRPr="00574959" w:rsidRDefault="00525F9E" w:rsidP="00E70C72">
            <w:pPr>
              <w:keepLines/>
              <w:jc w:val="center"/>
              <w:rPr>
                <w:rFonts w:ascii="Arial Narrow" w:hAnsi="Arial Narrow"/>
                <w:sz w:val="20"/>
                <w:szCs w:val="20"/>
              </w:rPr>
            </w:pPr>
          </w:p>
        </w:tc>
        <w:tc>
          <w:tcPr>
            <w:tcW w:w="7511" w:type="dxa"/>
            <w:gridSpan w:val="7"/>
            <w:vAlign w:val="center"/>
          </w:tcPr>
          <w:p w14:paraId="1C92C676" w14:textId="77777777" w:rsidR="00525F9E" w:rsidRPr="00FE7885" w:rsidRDefault="00525F9E" w:rsidP="00E70C72">
            <w:pPr>
              <w:pStyle w:val="COMTabletext"/>
              <w:keepNext w:val="0"/>
              <w:keepLines/>
              <w:rPr>
                <w:bCs w:val="0"/>
                <w:szCs w:val="20"/>
              </w:rPr>
            </w:pPr>
            <w:r w:rsidRPr="00FE7885">
              <w:rPr>
                <w:b/>
                <w:szCs w:val="20"/>
              </w:rPr>
              <w:t xml:space="preserve">Prescribing instructions: </w:t>
            </w:r>
            <w:r w:rsidRPr="00FE7885">
              <w:rPr>
                <w:bCs w:val="0"/>
                <w:szCs w:val="20"/>
              </w:rPr>
              <w:t>The authority application must be made in writing and must include:</w:t>
            </w:r>
          </w:p>
          <w:p w14:paraId="45D4524B" w14:textId="77777777" w:rsidR="00525F9E" w:rsidRPr="00FE7885" w:rsidRDefault="00525F9E" w:rsidP="00E70C72">
            <w:pPr>
              <w:pStyle w:val="COMTabletext"/>
              <w:keepNext w:val="0"/>
              <w:keepLines/>
              <w:rPr>
                <w:bCs w:val="0"/>
                <w:szCs w:val="20"/>
              </w:rPr>
            </w:pPr>
            <w:r w:rsidRPr="00FE7885">
              <w:rPr>
                <w:bCs w:val="0"/>
                <w:szCs w:val="20"/>
              </w:rPr>
              <w:t>(1) a completed authority prescription form; and</w:t>
            </w:r>
          </w:p>
          <w:p w14:paraId="7D65CE46" w14:textId="77777777" w:rsidR="00525F9E" w:rsidRPr="00F32871" w:rsidRDefault="00525F9E" w:rsidP="00E70C72">
            <w:pPr>
              <w:pStyle w:val="COMTabletext"/>
              <w:keepNext w:val="0"/>
              <w:keepLines/>
              <w:rPr>
                <w:bCs w:val="0"/>
                <w:szCs w:val="20"/>
              </w:rPr>
            </w:pPr>
            <w:r w:rsidRPr="00FE7885">
              <w:rPr>
                <w:bCs w:val="0"/>
                <w:szCs w:val="20"/>
              </w:rPr>
              <w:t>(2) a completed authority application form relevant to the indication and treatment phase (the latest version is located on the website specified in the Administrative Advice).</w:t>
            </w:r>
          </w:p>
        </w:tc>
      </w:tr>
      <w:tr w:rsidR="00525F9E" w:rsidRPr="00F32871" w14:paraId="0AAC17D4" w14:textId="77777777" w:rsidTr="00A4207F">
        <w:trPr>
          <w:trHeight w:val="20"/>
        </w:trPr>
        <w:tc>
          <w:tcPr>
            <w:tcW w:w="1560" w:type="dxa"/>
            <w:gridSpan w:val="2"/>
            <w:vAlign w:val="center"/>
          </w:tcPr>
          <w:p w14:paraId="405FB2AB" w14:textId="19497D8D" w:rsidR="00525F9E" w:rsidRPr="00574959" w:rsidRDefault="00525F9E" w:rsidP="00E70C72">
            <w:pPr>
              <w:keepLines/>
              <w:jc w:val="center"/>
              <w:rPr>
                <w:rFonts w:ascii="Arial Narrow" w:hAnsi="Arial Narrow"/>
                <w:sz w:val="20"/>
                <w:szCs w:val="20"/>
              </w:rPr>
            </w:pPr>
          </w:p>
        </w:tc>
        <w:tc>
          <w:tcPr>
            <w:tcW w:w="7511" w:type="dxa"/>
            <w:gridSpan w:val="7"/>
            <w:vAlign w:val="center"/>
          </w:tcPr>
          <w:p w14:paraId="32560E02" w14:textId="77777777" w:rsidR="00525F9E" w:rsidRPr="00FE7885" w:rsidRDefault="00525F9E" w:rsidP="00E70C72">
            <w:pPr>
              <w:pStyle w:val="COMTabletext"/>
              <w:keepNext w:val="0"/>
              <w:keepLines/>
              <w:rPr>
                <w:bCs w:val="0"/>
                <w:szCs w:val="20"/>
              </w:rPr>
            </w:pPr>
            <w:r w:rsidRPr="00F32871">
              <w:rPr>
                <w:b/>
                <w:szCs w:val="20"/>
              </w:rPr>
              <w:t>Prescribing instructions:</w:t>
            </w:r>
            <w:r>
              <w:rPr>
                <w:bCs w:val="0"/>
                <w:szCs w:val="20"/>
              </w:rPr>
              <w:t xml:space="preserve"> </w:t>
            </w:r>
            <w:r w:rsidRPr="00FE7885">
              <w:rPr>
                <w:bCs w:val="0"/>
                <w:szCs w:val="20"/>
              </w:rPr>
              <w:t>At the time of the authority application, details (result and date of result) of the following monitoring requirements must be provided:</w:t>
            </w:r>
          </w:p>
          <w:p w14:paraId="2A642BEF" w14:textId="77777777" w:rsidR="00525F9E" w:rsidRPr="00FE7885" w:rsidRDefault="00525F9E" w:rsidP="00E70C72">
            <w:pPr>
              <w:pStyle w:val="COMTabletext"/>
              <w:keepNext w:val="0"/>
              <w:keepLines/>
              <w:rPr>
                <w:bCs w:val="0"/>
                <w:szCs w:val="20"/>
              </w:rPr>
            </w:pPr>
            <w:r w:rsidRPr="00FE7885">
              <w:rPr>
                <w:bCs w:val="0"/>
                <w:szCs w:val="20"/>
              </w:rPr>
              <w:t>(i) Haemoglobin (g/L)</w:t>
            </w:r>
          </w:p>
          <w:p w14:paraId="5FF6350E" w14:textId="77777777" w:rsidR="00525F9E" w:rsidRPr="00FE7885" w:rsidRDefault="00525F9E" w:rsidP="00E70C72">
            <w:pPr>
              <w:pStyle w:val="COMTabletext"/>
              <w:keepNext w:val="0"/>
              <w:keepLines/>
              <w:rPr>
                <w:bCs w:val="0"/>
                <w:szCs w:val="20"/>
              </w:rPr>
            </w:pPr>
            <w:r w:rsidRPr="00FE7885">
              <w:rPr>
                <w:bCs w:val="0"/>
                <w:szCs w:val="20"/>
              </w:rPr>
              <w:t>(ii) Platelets (x10</w:t>
            </w:r>
            <w:r w:rsidRPr="00FE7885">
              <w:rPr>
                <w:bCs w:val="0"/>
                <w:szCs w:val="20"/>
                <w:vertAlign w:val="superscript"/>
              </w:rPr>
              <w:t>9</w:t>
            </w:r>
            <w:r w:rsidRPr="00FE7885">
              <w:rPr>
                <w:bCs w:val="0"/>
                <w:szCs w:val="20"/>
              </w:rPr>
              <w:t>/L)</w:t>
            </w:r>
          </w:p>
          <w:p w14:paraId="035E5400" w14:textId="77777777" w:rsidR="00525F9E" w:rsidRPr="00FE7885" w:rsidRDefault="00525F9E" w:rsidP="00E70C72">
            <w:pPr>
              <w:pStyle w:val="COMTabletext"/>
              <w:keepNext w:val="0"/>
              <w:keepLines/>
              <w:rPr>
                <w:bCs w:val="0"/>
                <w:szCs w:val="20"/>
              </w:rPr>
            </w:pPr>
            <w:r w:rsidRPr="00FE7885">
              <w:rPr>
                <w:bCs w:val="0"/>
                <w:szCs w:val="20"/>
              </w:rPr>
              <w:t>(iii) White Cell Count (x10</w:t>
            </w:r>
            <w:r w:rsidRPr="00FE7885">
              <w:rPr>
                <w:bCs w:val="0"/>
                <w:szCs w:val="20"/>
                <w:vertAlign w:val="superscript"/>
              </w:rPr>
              <w:t>9</w:t>
            </w:r>
            <w:r w:rsidRPr="00FE7885">
              <w:rPr>
                <w:bCs w:val="0"/>
                <w:szCs w:val="20"/>
              </w:rPr>
              <w:t>/L)</w:t>
            </w:r>
          </w:p>
          <w:p w14:paraId="54C9256B" w14:textId="77777777" w:rsidR="00525F9E" w:rsidRPr="00FE7885" w:rsidRDefault="00525F9E" w:rsidP="00E70C72">
            <w:pPr>
              <w:pStyle w:val="COMTabletext"/>
              <w:keepNext w:val="0"/>
              <w:keepLines/>
              <w:rPr>
                <w:bCs w:val="0"/>
                <w:szCs w:val="20"/>
              </w:rPr>
            </w:pPr>
            <w:r w:rsidRPr="00FE7885">
              <w:rPr>
                <w:bCs w:val="0"/>
                <w:szCs w:val="20"/>
              </w:rPr>
              <w:t>(iv) Reticulocytes (x10</w:t>
            </w:r>
            <w:r w:rsidRPr="00FE7885">
              <w:rPr>
                <w:bCs w:val="0"/>
                <w:szCs w:val="20"/>
                <w:vertAlign w:val="superscript"/>
              </w:rPr>
              <w:t>9</w:t>
            </w:r>
            <w:r w:rsidRPr="00FE7885">
              <w:rPr>
                <w:bCs w:val="0"/>
                <w:szCs w:val="20"/>
              </w:rPr>
              <w:t>/L)</w:t>
            </w:r>
          </w:p>
          <w:p w14:paraId="43AD5429" w14:textId="77777777" w:rsidR="00525F9E" w:rsidRPr="00FE7885" w:rsidRDefault="00525F9E" w:rsidP="00E70C72">
            <w:pPr>
              <w:pStyle w:val="COMTabletext"/>
              <w:keepNext w:val="0"/>
              <w:keepLines/>
              <w:rPr>
                <w:bCs w:val="0"/>
                <w:szCs w:val="20"/>
              </w:rPr>
            </w:pPr>
            <w:r w:rsidRPr="00FE7885">
              <w:rPr>
                <w:bCs w:val="0"/>
                <w:szCs w:val="20"/>
              </w:rPr>
              <w:t>(v) Neutrophils (x10</w:t>
            </w:r>
            <w:r w:rsidRPr="00FE7885">
              <w:rPr>
                <w:bCs w:val="0"/>
                <w:szCs w:val="20"/>
                <w:vertAlign w:val="superscript"/>
              </w:rPr>
              <w:t>9</w:t>
            </w:r>
            <w:r w:rsidRPr="00FE7885">
              <w:rPr>
                <w:bCs w:val="0"/>
                <w:szCs w:val="20"/>
              </w:rPr>
              <w:t>/L)</w:t>
            </w:r>
          </w:p>
          <w:p w14:paraId="6B827E03" w14:textId="77777777" w:rsidR="00525F9E" w:rsidRPr="00FE7885" w:rsidRDefault="00525F9E" w:rsidP="00E70C72">
            <w:pPr>
              <w:pStyle w:val="COMTabletext"/>
              <w:keepNext w:val="0"/>
              <w:keepLines/>
              <w:rPr>
                <w:bCs w:val="0"/>
                <w:szCs w:val="20"/>
              </w:rPr>
            </w:pPr>
            <w:r w:rsidRPr="00FE7885">
              <w:rPr>
                <w:bCs w:val="0"/>
                <w:szCs w:val="20"/>
              </w:rPr>
              <w:t>(vi) Granulocyte clone size (%)</w:t>
            </w:r>
          </w:p>
          <w:p w14:paraId="0829201F" w14:textId="77777777" w:rsidR="00525F9E" w:rsidRPr="00FE7885" w:rsidRDefault="00525F9E" w:rsidP="00E70C72">
            <w:pPr>
              <w:pStyle w:val="COMTabletext"/>
              <w:keepNext w:val="0"/>
              <w:keepLines/>
              <w:rPr>
                <w:bCs w:val="0"/>
                <w:szCs w:val="20"/>
              </w:rPr>
            </w:pPr>
            <w:r w:rsidRPr="00FE7885">
              <w:rPr>
                <w:bCs w:val="0"/>
                <w:szCs w:val="20"/>
              </w:rPr>
              <w:t>(vii) Lactate Dehydrogenase (LDH)</w:t>
            </w:r>
          </w:p>
          <w:p w14:paraId="2CC1EF73" w14:textId="77777777" w:rsidR="00525F9E" w:rsidRPr="00FE7885" w:rsidRDefault="00525F9E" w:rsidP="00E70C72">
            <w:pPr>
              <w:pStyle w:val="COMTabletext"/>
              <w:keepNext w:val="0"/>
              <w:keepLines/>
              <w:rPr>
                <w:bCs w:val="0"/>
                <w:szCs w:val="20"/>
              </w:rPr>
            </w:pPr>
            <w:r w:rsidRPr="00FE7885">
              <w:rPr>
                <w:bCs w:val="0"/>
                <w:szCs w:val="20"/>
              </w:rPr>
              <w:t>(viii) the upper limit of normal (ULN) for LDH as quoted by the reporting laboratory</w:t>
            </w:r>
          </w:p>
          <w:p w14:paraId="270BCC5F" w14:textId="77777777" w:rsidR="00525F9E" w:rsidRPr="00F32871" w:rsidRDefault="00525F9E" w:rsidP="00E70C72">
            <w:pPr>
              <w:pStyle w:val="COMTabletext"/>
              <w:keepNext w:val="0"/>
              <w:keepLines/>
              <w:rPr>
                <w:b/>
                <w:szCs w:val="20"/>
              </w:rPr>
            </w:pPr>
            <w:r w:rsidRPr="00FE7885">
              <w:rPr>
                <w:bCs w:val="0"/>
                <w:szCs w:val="20"/>
              </w:rPr>
              <w:t>(ix) the LDH:ULN ratio (in figures, rounded to one decimal place)</w:t>
            </w:r>
          </w:p>
        </w:tc>
      </w:tr>
      <w:tr w:rsidR="00525F9E" w:rsidRPr="0072054F" w14:paraId="29842572" w14:textId="77777777" w:rsidTr="00A4207F">
        <w:trPr>
          <w:trHeight w:val="20"/>
        </w:trPr>
        <w:tc>
          <w:tcPr>
            <w:tcW w:w="1560" w:type="dxa"/>
            <w:gridSpan w:val="2"/>
          </w:tcPr>
          <w:p w14:paraId="2DFC1A3F" w14:textId="34F920BC" w:rsidR="00525F9E" w:rsidRPr="0072054F" w:rsidRDefault="00525F9E" w:rsidP="00E70C72">
            <w:pPr>
              <w:keepLines/>
              <w:jc w:val="center"/>
              <w:rPr>
                <w:rFonts w:ascii="Arial Narrow" w:hAnsi="Arial Narrow"/>
                <w:i/>
                <w:iCs/>
                <w:sz w:val="20"/>
                <w:szCs w:val="20"/>
              </w:rPr>
            </w:pPr>
          </w:p>
        </w:tc>
        <w:tc>
          <w:tcPr>
            <w:tcW w:w="7511" w:type="dxa"/>
            <w:gridSpan w:val="7"/>
            <w:vAlign w:val="center"/>
          </w:tcPr>
          <w:p w14:paraId="3B879F94" w14:textId="77777777" w:rsidR="00525F9E" w:rsidRPr="0072054F" w:rsidRDefault="00525F9E" w:rsidP="00E70C72">
            <w:pPr>
              <w:keepLines/>
              <w:rPr>
                <w:rFonts w:ascii="Arial Narrow" w:hAnsi="Arial Narrow"/>
                <w:i/>
                <w:iCs/>
                <w:color w:val="333333"/>
                <w:sz w:val="20"/>
                <w:szCs w:val="20"/>
              </w:rPr>
            </w:pPr>
            <w:r w:rsidRPr="0072054F">
              <w:rPr>
                <w:rFonts w:ascii="Arial Narrow" w:hAnsi="Arial Narrow"/>
                <w:b/>
                <w:bCs/>
                <w:i/>
                <w:iCs/>
                <w:color w:val="333333"/>
                <w:sz w:val="20"/>
                <w:szCs w:val="20"/>
              </w:rPr>
              <w:t>Prescribing Instruction</w:t>
            </w:r>
            <w:r w:rsidRPr="0072054F">
              <w:rPr>
                <w:rFonts w:ascii="Arial Narrow" w:hAnsi="Arial Narrow"/>
                <w:i/>
                <w:iCs/>
                <w:color w:val="333333"/>
                <w:sz w:val="20"/>
                <w:szCs w:val="20"/>
              </w:rPr>
              <w:t xml:space="preserve">: </w:t>
            </w:r>
          </w:p>
          <w:p w14:paraId="5D01CF8C" w14:textId="77777777" w:rsidR="00525F9E" w:rsidRPr="0072054F" w:rsidRDefault="00525F9E" w:rsidP="00E70C72">
            <w:pPr>
              <w:pStyle w:val="COMTabletext"/>
              <w:keepNext w:val="0"/>
              <w:keepLines/>
              <w:rPr>
                <w:b/>
                <w:i/>
                <w:iCs/>
                <w:szCs w:val="20"/>
              </w:rPr>
            </w:pPr>
            <w:r w:rsidRPr="0072054F">
              <w:rPr>
                <w:i/>
                <w:iCs/>
                <w:color w:val="333333"/>
                <w:szCs w:val="20"/>
              </w:rPr>
              <w:t xml:space="preserve">For the purposes of family planning, patient may qualify under this treatment phase more than once. </w:t>
            </w:r>
            <w:r w:rsidRPr="0072054F">
              <w:rPr>
                <w:i/>
                <w:iCs/>
                <w:strike/>
                <w:color w:val="333333"/>
                <w:szCs w:val="20"/>
              </w:rPr>
              <w:t>To return to</w:t>
            </w:r>
            <w:r w:rsidRPr="0072054F">
              <w:rPr>
                <w:rFonts w:eastAsia="Calibri"/>
                <w:i/>
                <w:iCs/>
                <w:strike/>
                <w:szCs w:val="20"/>
              </w:rPr>
              <w:t xml:space="preserve"> iptacopan treatment for reasons other than post pregnancy, patient may qualify under this treatment phase once only in any 12 consecutive months.</w:t>
            </w:r>
            <w:r w:rsidRPr="0072054F">
              <w:rPr>
                <w:i/>
                <w:iCs/>
                <w:strike/>
                <w:color w:val="333333"/>
                <w:szCs w:val="20"/>
              </w:rPr>
              <w:t xml:space="preserve">  Where long-term continuing PBS-subsidised treatment with iptacopan is planned, a 'Returning' patient must proceed under the ‘Continuing Treatment' criteria of iptacopan. .</w:t>
            </w:r>
          </w:p>
        </w:tc>
      </w:tr>
    </w:tbl>
    <w:p w14:paraId="2A05F4DB" w14:textId="77777777" w:rsidR="00525F9E" w:rsidRPr="00A473B4" w:rsidRDefault="00525F9E" w:rsidP="004B1CB4"/>
    <w:p w14:paraId="096C4142" w14:textId="4CEC7181" w:rsidR="00A13574" w:rsidRPr="00890CF3" w:rsidRDefault="00890CF3" w:rsidP="003C2DE2">
      <w:pPr>
        <w:pStyle w:val="COMexecsumnumberedpara"/>
      </w:pPr>
      <w:r w:rsidRPr="00890CF3">
        <w:t xml:space="preserve">The submission noted that pegcetacoplan is subject to a special pricing arrangement and that the effective price of pegcetacoplan is unknown. Prices included in the </w:t>
      </w:r>
      <w:r w:rsidRPr="00890CF3">
        <w:lastRenderedPageBreak/>
        <w:t>submission were based on the cost-minimised price of iptacopan to the published price</w:t>
      </w:r>
      <w:r w:rsidR="000C2EB9">
        <w:t>s</w:t>
      </w:r>
      <w:r w:rsidRPr="00890CF3">
        <w:t xml:space="preserve"> of pegcetacoplan.</w:t>
      </w:r>
    </w:p>
    <w:p w14:paraId="19CDEA69" w14:textId="6ECF1E9D" w:rsidR="00A13574" w:rsidRPr="00890CF3" w:rsidRDefault="00890CF3" w:rsidP="003C2DE2">
      <w:pPr>
        <w:pStyle w:val="COMexecsumnumberedpara"/>
      </w:pPr>
      <w:r w:rsidRPr="00890CF3">
        <w:t xml:space="preserve">The proposed restriction is narrower than the proposed TGA indication, which also includes </w:t>
      </w:r>
      <w:r w:rsidR="007223EC">
        <w:t xml:space="preserve">treatment of patients </w:t>
      </w:r>
      <w:r w:rsidRPr="00890CF3">
        <w:t>with no prior C5 inhibitor use.</w:t>
      </w:r>
    </w:p>
    <w:p w14:paraId="19C3CFB3" w14:textId="33FB2AB3" w:rsidR="00C165E1" w:rsidRPr="0025780C" w:rsidRDefault="00890CF3" w:rsidP="00C165E1">
      <w:pPr>
        <w:pStyle w:val="COMexecsumnumberedpara"/>
      </w:pPr>
      <w:r w:rsidRPr="00890CF3">
        <w:t>The proposed clinical criteria, treatment criteria, population criteria, and prescribing instructions included in the initial treatment restriction are consistent with the pegcetacoplan PBS listing, apart from the requirement that the initial 4 weeks of treatment must be in combination with a PBS-subsidised C5 inhibitor.</w:t>
      </w:r>
      <w:r w:rsidR="00406A48">
        <w:t xml:space="preserve"> </w:t>
      </w:r>
      <w:r w:rsidR="00174787" w:rsidRPr="0025780C">
        <w:t>The proposed separation of treatment phases to match the pegcetacoplan restriction may not be necessary given that combination treatment with a C5 inhibitor during the initial 4 weeks of iptacopan treatment is not required.</w:t>
      </w:r>
      <w:r w:rsidR="00EA64D4">
        <w:t xml:space="preserve"> </w:t>
      </w:r>
    </w:p>
    <w:p w14:paraId="573157A1" w14:textId="6F5B39C3" w:rsidR="00C165E1" w:rsidRPr="0025780C" w:rsidRDefault="00C165E1" w:rsidP="00C165E1">
      <w:pPr>
        <w:pStyle w:val="COMexecsumnumberedpara"/>
      </w:pPr>
      <w:bookmarkStart w:id="9" w:name="_Ref172200914"/>
      <w:r w:rsidRPr="0025780C">
        <w:t>The pegcetacoplan restriction includes the following cautions which are not included in the proposed restriction, but may also be relevant to iptacopan:</w:t>
      </w:r>
      <w:bookmarkEnd w:id="9"/>
    </w:p>
    <w:p w14:paraId="1AFBA058" w14:textId="77777777" w:rsidR="00C165E1" w:rsidRPr="0025780C" w:rsidRDefault="00C165E1" w:rsidP="006115F0">
      <w:pPr>
        <w:pStyle w:val="COMexecsummbulletlist"/>
        <w:ind w:left="1134"/>
      </w:pPr>
      <w:r w:rsidRPr="0025780C">
        <w:t>This drug increases the risk of encapsulated bacterial infections.</w:t>
      </w:r>
    </w:p>
    <w:p w14:paraId="4243162D" w14:textId="77777777" w:rsidR="00C165E1" w:rsidRDefault="00C165E1" w:rsidP="006115F0">
      <w:pPr>
        <w:pStyle w:val="COMexecsummbulletlist"/>
        <w:ind w:left="1134"/>
      </w:pPr>
      <w:r w:rsidRPr="0025780C">
        <w:t>Consult the approved Product Information for information about vaccination against meningococcal, pneumococcal and Haemophilus influenzae type B (Hib) infection.</w:t>
      </w:r>
    </w:p>
    <w:p w14:paraId="3AB63222" w14:textId="54699F9E" w:rsidR="009A68F9" w:rsidRPr="00EA64D4" w:rsidRDefault="009A68F9" w:rsidP="00E067D1">
      <w:pPr>
        <w:pStyle w:val="COMexecsummbulletlist"/>
        <w:numPr>
          <w:ilvl w:val="0"/>
          <w:numId w:val="0"/>
        </w:numPr>
        <w:ind w:left="774"/>
        <w:rPr>
          <w:i/>
          <w:iCs/>
        </w:rPr>
      </w:pPr>
      <w:r w:rsidRPr="009929EF">
        <w:t>The</w:t>
      </w:r>
      <w:r w:rsidR="00D76B4F" w:rsidRPr="00D76B4F">
        <w:t xml:space="preserve"> Economic Sub-Committee</w:t>
      </w:r>
      <w:r w:rsidRPr="009929EF">
        <w:t xml:space="preserve"> </w:t>
      </w:r>
      <w:r w:rsidR="00D76B4F">
        <w:t>(</w:t>
      </w:r>
      <w:r w:rsidRPr="009929EF">
        <w:t>ESC</w:t>
      </w:r>
      <w:r w:rsidR="00D76B4F">
        <w:t>)</w:t>
      </w:r>
      <w:r w:rsidRPr="009929EF">
        <w:t xml:space="preserve"> advised that these cautions should also be added to the proposed iptacopan restriction. </w:t>
      </w:r>
      <w:r w:rsidR="00EA64D4">
        <w:t xml:space="preserve">The pre-PBAC response agreed with the ESC that these cautions be added to the proposed iptacopan restriction. </w:t>
      </w:r>
    </w:p>
    <w:p w14:paraId="5EAAF78F" w14:textId="67ACF804" w:rsidR="00A13574" w:rsidRPr="0025780C" w:rsidRDefault="00890CF3" w:rsidP="003C2DE2">
      <w:pPr>
        <w:pStyle w:val="COMexecsumnumberedpara"/>
      </w:pPr>
      <w:bookmarkStart w:id="10" w:name="_Ref172203138"/>
      <w:r w:rsidRPr="0025780C">
        <w:t>While the proposed clinical criteria relating to inadequate response to a C5 inhibitor is consistent with the pegcetacoplan PBS listing, the specified haemoglobin level of less than 105 g/L differs from the haemoglobin level specified in the key trial (APPLY-PNH; haemoglobin less than 100 g/L).</w:t>
      </w:r>
      <w:r w:rsidR="009A68F9">
        <w:t xml:space="preserve"> </w:t>
      </w:r>
      <w:r w:rsidR="009A37A8" w:rsidRPr="009929EF">
        <w:t>The ESC considered it was appropriate for the clinical criteria to remain consistent with the pegcetacoplan PBS listing.</w:t>
      </w:r>
      <w:bookmarkEnd w:id="10"/>
      <w:r w:rsidR="009A37A8">
        <w:rPr>
          <w:i/>
          <w:iCs/>
        </w:rPr>
        <w:t xml:space="preserve"> </w:t>
      </w:r>
    </w:p>
    <w:p w14:paraId="7F7EBEE0" w14:textId="7141994B" w:rsidR="008221BE" w:rsidRPr="0025780C" w:rsidRDefault="00C0341A" w:rsidP="008221BE">
      <w:pPr>
        <w:pStyle w:val="COMexecsumnumberedpara"/>
      </w:pPr>
      <w:bookmarkStart w:id="11" w:name="_Ref172206280"/>
      <w:r w:rsidRPr="0025780C">
        <w:t xml:space="preserve">The PBS listings for eculizumab and ravulizumab allow patients treated with pegcetacoplan to reinitiate treatment with eculizumab or ravulizumab if they have developed resistance or intolerance to pegcetacoplan. Flow on changes may be required to also allow patients who develop resistance or intolerance to iptacopan to reinitiate treatment with eculizumab or ravulizumab. This would also provide a path for patients who develop resistance or intolerance to iptacopan to switch from iptacopan to pegcetacoplan </w:t>
      </w:r>
      <w:r w:rsidRPr="00EA64D4">
        <w:t xml:space="preserve">(noting that patients </w:t>
      </w:r>
      <w:r w:rsidR="00A000F8" w:rsidRPr="00EA64D4">
        <w:t xml:space="preserve">wishing </w:t>
      </w:r>
      <w:r w:rsidR="00D07E59" w:rsidRPr="00EA64D4">
        <w:t xml:space="preserve">to switch </w:t>
      </w:r>
      <w:r w:rsidR="00A000F8" w:rsidRPr="00EA64D4">
        <w:t xml:space="preserve">from iptacopan </w:t>
      </w:r>
      <w:r w:rsidR="00D07E59" w:rsidRPr="00EA64D4">
        <w:t>to</w:t>
      </w:r>
      <w:r w:rsidRPr="00EA64D4">
        <w:t xml:space="preserve"> pegcetacoplan </w:t>
      </w:r>
      <w:r w:rsidR="00A000F8" w:rsidRPr="00EA64D4">
        <w:t>are likely to require bridging therapy with a C5 inhibitor</w:t>
      </w:r>
      <w:r w:rsidR="00CA4FDB">
        <w:t xml:space="preserve"> in the first 4</w:t>
      </w:r>
      <w:r w:rsidR="00E70C72">
        <w:t> </w:t>
      </w:r>
      <w:r w:rsidR="00CA4FDB">
        <w:t>weeks</w:t>
      </w:r>
      <w:r w:rsidR="00A000F8" w:rsidRPr="00EA64D4">
        <w:t>).</w:t>
      </w:r>
      <w:r w:rsidR="00CF4211">
        <w:t xml:space="preserve"> The pre-PBAC response stated that all reports to date of patients in clinical trials who needed to discontinue iptacopan have involved them switching back to a C5 inhibitor.</w:t>
      </w:r>
      <w:bookmarkEnd w:id="11"/>
      <w:r w:rsidR="00CF4211">
        <w:t xml:space="preserve"> </w:t>
      </w:r>
    </w:p>
    <w:p w14:paraId="1B1ABC7F" w14:textId="5E61993C" w:rsidR="008221BE" w:rsidRDefault="008221BE" w:rsidP="008221BE">
      <w:pPr>
        <w:pStyle w:val="COMexecsumnumberedpara"/>
      </w:pPr>
      <w:r w:rsidRPr="0025780C">
        <w:t xml:space="preserve">The submission requested grandfather provisions to allow patients enrolled in the sponsor’s patient familiarisation and compassionate access programs to </w:t>
      </w:r>
      <w:r w:rsidR="00A000F8" w:rsidRPr="0025780C">
        <w:t>receive</w:t>
      </w:r>
      <w:r w:rsidRPr="0025780C">
        <w:t xml:space="preserve"> PBS </w:t>
      </w:r>
      <w:r w:rsidRPr="0025780C">
        <w:lastRenderedPageBreak/>
        <w:t>treatment with iptacopan treatment if it is PBS listed. Estimates of the expected number of grandfathered patients were not presented in the submission.</w:t>
      </w:r>
    </w:p>
    <w:p w14:paraId="0C568FCE" w14:textId="4DC1B8F3" w:rsidR="00B14AE8" w:rsidRPr="00B14AE8" w:rsidRDefault="00B14AE8" w:rsidP="00B14AE8">
      <w:pPr>
        <w:pStyle w:val="COMexecsumnumberedpara"/>
        <w:numPr>
          <w:ilvl w:val="0"/>
          <w:numId w:val="0"/>
        </w:numPr>
        <w:ind w:left="720"/>
        <w:rPr>
          <w:i/>
          <w:iCs/>
        </w:rPr>
      </w:pPr>
      <w:r w:rsidRPr="00B14AE8">
        <w:rPr>
          <w:i/>
          <w:iCs/>
        </w:rPr>
        <w:t>For more detail on PBAC’s view, see section 7 PBAC outcome.</w:t>
      </w:r>
    </w:p>
    <w:p w14:paraId="7075B85C" w14:textId="62A47B7B" w:rsidR="00B50DB8" w:rsidRPr="00A473B4" w:rsidDel="00195452" w:rsidRDefault="00203181" w:rsidP="004E18E9">
      <w:pPr>
        <w:pStyle w:val="COMH1numbered"/>
      </w:pPr>
      <w:bookmarkStart w:id="12" w:name="_Toc167262982"/>
      <w:r w:rsidRPr="00A473B4" w:rsidDel="00195452">
        <w:t xml:space="preserve">Population and </w:t>
      </w:r>
      <w:r w:rsidR="008E0D3C" w:rsidRPr="00A473B4" w:rsidDel="00195452">
        <w:t>d</w:t>
      </w:r>
      <w:r w:rsidRPr="00A473B4" w:rsidDel="00195452">
        <w:t>isease</w:t>
      </w:r>
      <w:bookmarkEnd w:id="12"/>
    </w:p>
    <w:p w14:paraId="45D55B4C" w14:textId="76DE35CA" w:rsidR="004567C3" w:rsidRDefault="004567C3" w:rsidP="004567C3">
      <w:pPr>
        <w:pStyle w:val="COMexecsumnumberedpara"/>
      </w:pPr>
      <w:r>
        <w:t>PNH</w:t>
      </w:r>
      <w:r w:rsidRPr="00081247">
        <w:t xml:space="preserve"> is a </w:t>
      </w:r>
      <w:r>
        <w:t>rare</w:t>
      </w:r>
      <w:r w:rsidRPr="00081247">
        <w:t xml:space="preserve">, </w:t>
      </w:r>
      <w:r>
        <w:t>chronic disorder</w:t>
      </w:r>
      <w:r w:rsidRPr="00081247">
        <w:t xml:space="preserve"> </w:t>
      </w:r>
      <w:r>
        <w:t xml:space="preserve">characterised by haemolysis, bone marrow failure and thrombosis. It is caused </w:t>
      </w:r>
      <w:r w:rsidRPr="00081247">
        <w:t>by acquired mutations in the phosphatidylinositol glycan</w:t>
      </w:r>
      <w:r>
        <w:t> </w:t>
      </w:r>
      <w:r w:rsidRPr="00081247">
        <w:t xml:space="preserve">A </w:t>
      </w:r>
      <w:r>
        <w:t xml:space="preserve">(PIGA) </w:t>
      </w:r>
      <w:r w:rsidRPr="00081247">
        <w:t>gene in h</w:t>
      </w:r>
      <w:r>
        <w:t>a</w:t>
      </w:r>
      <w:r w:rsidRPr="00081247">
        <w:t>ematopoietic stem cells</w:t>
      </w:r>
      <w:r>
        <w:t>.</w:t>
      </w:r>
      <w:r w:rsidRPr="00081247">
        <w:t xml:space="preserve"> </w:t>
      </w:r>
      <w:r>
        <w:t>Red blood cells</w:t>
      </w:r>
      <w:r w:rsidRPr="00081247">
        <w:t xml:space="preserve"> carrying </w:t>
      </w:r>
      <w:r>
        <w:t>the</w:t>
      </w:r>
      <w:r w:rsidRPr="00081247">
        <w:t xml:space="preserve"> mutation</w:t>
      </w:r>
      <w:r>
        <w:t xml:space="preserve">s lack </w:t>
      </w:r>
      <w:r w:rsidRPr="00081247">
        <w:t>CD55 and CD59 regulatory proteins on their cell surface</w:t>
      </w:r>
      <w:r>
        <w:t xml:space="preserve">, </w:t>
      </w:r>
      <w:r w:rsidRPr="00081247">
        <w:t>render</w:t>
      </w:r>
      <w:r>
        <w:t xml:space="preserve">ing them </w:t>
      </w:r>
      <w:r w:rsidRPr="00081247">
        <w:t>susceptible to complement-mediated haemolysis</w:t>
      </w:r>
      <w:r>
        <w:t xml:space="preserve">. </w:t>
      </w:r>
    </w:p>
    <w:p w14:paraId="49770BE8" w14:textId="72519FB2" w:rsidR="004567C3" w:rsidRDefault="004567C3" w:rsidP="004567C3">
      <w:pPr>
        <w:pStyle w:val="COMexecsumnumberedpara"/>
      </w:pPr>
      <w:r>
        <w:t>Although PNH can affect patients of all ages, it primarily affects adults, and is most frequently diagnosed</w:t>
      </w:r>
      <w:r w:rsidRPr="00AA0C2D">
        <w:t xml:space="preserve"> between the ages of 30</w:t>
      </w:r>
      <w:r>
        <w:t xml:space="preserve"> and </w:t>
      </w:r>
      <w:r w:rsidRPr="00AA0C2D">
        <w:t>40 years</w:t>
      </w:r>
      <w:r>
        <w:t>. It occurs equally in males and females.</w:t>
      </w:r>
      <w:r w:rsidRPr="00F6554A">
        <w:t xml:space="preserve"> </w:t>
      </w:r>
      <w:r>
        <w:t>Signs and symptoms of PNH include fatigue, shortness of breath, abdominal</w:t>
      </w:r>
      <w:r w:rsidR="004248E2">
        <w:t xml:space="preserve"> pain</w:t>
      </w:r>
      <w:r>
        <w:t xml:space="preserve">, haemoglobinuria, bone marrow suppression, renal impairment, erectile dysfunction, pulmonary hypertension, and thrombosis. Patients with untreated PNH have a high risk of premature death, </w:t>
      </w:r>
      <w:r w:rsidR="00A6711A">
        <w:t>predominantly</w:t>
      </w:r>
      <w:r>
        <w:t xml:space="preserve"> due to the occurrence of life-threatening thrombotic events.</w:t>
      </w:r>
    </w:p>
    <w:p w14:paraId="4A3ECFB4" w14:textId="3CFF17CD" w:rsidR="004567C3" w:rsidRDefault="004567C3" w:rsidP="004567C3">
      <w:pPr>
        <w:pStyle w:val="COMexecsumnumberedpara"/>
      </w:pPr>
      <w:r>
        <w:t>Prior to the availability of C5 inhibitors, treatment was primarily supportive, comprising blood transfusions, erythropoiesis-stimulating agents</w:t>
      </w:r>
      <w:r w:rsidR="0036528C">
        <w:t>, anticoagulants to treat thro</w:t>
      </w:r>
      <w:r w:rsidR="00836940">
        <w:t>mboses,</w:t>
      </w:r>
      <w:r>
        <w:t xml:space="preserve"> and </w:t>
      </w:r>
      <w:r w:rsidR="0036528C">
        <w:t>cortico</w:t>
      </w:r>
      <w:r>
        <w:t xml:space="preserve">steroids. While there is potential for cure with allogeneic stem cell transplantation, it is </w:t>
      </w:r>
      <w:r w:rsidR="00836940">
        <w:t>generally reserved for patients with severe bone marrow failure,</w:t>
      </w:r>
      <w:r>
        <w:t xml:space="preserve"> due to the high level of associated morbidity and mortality. The availability of C5 inhibitors has reduced the incidence of thrombotic complications associated with intravascular haemolysis and improved the life expectancy of patients with PNH. However, despite treatment with a C5 inhibitor, a number of patients experience persistent anaemia due to breakthrough haemolysis and/or extravascular haemolysis necessitating ongoing blood transfusions.</w:t>
      </w:r>
    </w:p>
    <w:p w14:paraId="2B830A59" w14:textId="35D00257" w:rsidR="00A6711A" w:rsidRDefault="00A6711A" w:rsidP="004567C3">
      <w:pPr>
        <w:pStyle w:val="COMexecsumnumberedpara"/>
      </w:pPr>
      <w:r>
        <w:t>The submission positioned iptacopan as an alternative treatment to pegcetacoplan, eculizumab and ravulizumab, among adult patients with PNH who have residual anaemia following treatment with a C5 inhibitor (eculizumab or ravulizumab).</w:t>
      </w:r>
    </w:p>
    <w:p w14:paraId="6FAD0381" w14:textId="69E886F2" w:rsidR="00A82456" w:rsidRDefault="00A82456" w:rsidP="00A82456">
      <w:pPr>
        <w:pStyle w:val="COMexecsumnumberedpara"/>
      </w:pPr>
      <w:bookmarkStart w:id="13" w:name="_Ref172212488"/>
      <w:r w:rsidRPr="00A82456">
        <w:t>Iptacopan acts proximally in the alternative complement pathway to inhibit Factor B, a protease involved in the regulation of C3 convertase activity. Inhibition of Factor B leads to a reduction in the production of C3</w:t>
      </w:r>
      <w:r w:rsidR="00CC1E1D">
        <w:t>b</w:t>
      </w:r>
      <w:r w:rsidRPr="00A82456">
        <w:t>, and a consequent reduction in the downstream generation of C5. Due to effects on both C3 and C5 in the complement cascade,</w:t>
      </w:r>
      <w:r w:rsidR="00CC1E1D">
        <w:t xml:space="preserve"> </w:t>
      </w:r>
      <w:bookmarkStart w:id="14" w:name="_Hlk166492354"/>
      <w:r w:rsidR="00CC1E1D" w:rsidRPr="00CC1E1D">
        <w:t>iptacopan decrease</w:t>
      </w:r>
      <w:r w:rsidR="00CC1E1D">
        <w:t>s</w:t>
      </w:r>
      <w:r w:rsidR="00CC1E1D" w:rsidRPr="00CC1E1D">
        <w:t xml:space="preserve"> complement-mediated intravascular haemolysis as well as extravascular haemolysis.</w:t>
      </w:r>
      <w:bookmarkEnd w:id="13"/>
      <w:bookmarkEnd w:id="14"/>
    </w:p>
    <w:p w14:paraId="426DD545" w14:textId="17ABFEF3" w:rsidR="00B14AE8" w:rsidRPr="00B14AE8" w:rsidDel="00195452" w:rsidRDefault="00B14AE8" w:rsidP="00B14AE8">
      <w:pPr>
        <w:pStyle w:val="COMexecsumnumberedpara"/>
        <w:numPr>
          <w:ilvl w:val="0"/>
          <w:numId w:val="0"/>
        </w:numPr>
        <w:ind w:left="720"/>
        <w:rPr>
          <w:i/>
          <w:iCs/>
        </w:rPr>
      </w:pPr>
      <w:r w:rsidRPr="00B14AE8">
        <w:rPr>
          <w:i/>
          <w:iCs/>
        </w:rPr>
        <w:t>For more detail on PBAC’s view, see section 7 PBAC outcome.</w:t>
      </w:r>
    </w:p>
    <w:p w14:paraId="51E5AE96" w14:textId="136A63B1" w:rsidR="00B50DB8" w:rsidRPr="00A473B4" w:rsidRDefault="00B50DB8" w:rsidP="004E18E9">
      <w:pPr>
        <w:pStyle w:val="COMH1numbered"/>
      </w:pPr>
      <w:bookmarkStart w:id="15" w:name="_Toc167262983"/>
      <w:r w:rsidRPr="00A473B4">
        <w:lastRenderedPageBreak/>
        <w:t>Comparator</w:t>
      </w:r>
      <w:bookmarkEnd w:id="15"/>
    </w:p>
    <w:p w14:paraId="19E94A73" w14:textId="34531F57" w:rsidR="00C77664" w:rsidRPr="0025780C" w:rsidRDefault="00C77664" w:rsidP="00C77664">
      <w:pPr>
        <w:pStyle w:val="COMexecsumnumberedpara"/>
        <w:rPr>
          <w:snapToGrid/>
          <w:lang w:val="en-US"/>
        </w:rPr>
      </w:pPr>
      <w:r w:rsidRPr="00A473B4">
        <w:t xml:space="preserve">The submission nominated </w:t>
      </w:r>
      <w:r>
        <w:t>pegcetacoplan</w:t>
      </w:r>
      <w:r w:rsidRPr="00A473B4">
        <w:t xml:space="preserve"> as the main comparator. The main argument provided in support of this nomination </w:t>
      </w:r>
      <w:r>
        <w:t xml:space="preserve">was that the requested place in therapy for iptacopan is the same as for pegcetacoplan (adult patients with PNH </w:t>
      </w:r>
      <w:r w:rsidRPr="00B561BF">
        <w:t xml:space="preserve">who have inadequate response or intolerance to a </w:t>
      </w:r>
      <w:r>
        <w:t xml:space="preserve">C5 </w:t>
      </w:r>
      <w:r w:rsidRPr="00B561BF">
        <w:t>inhibitor</w:t>
      </w:r>
      <w:r>
        <w:t>)</w:t>
      </w:r>
      <w:r w:rsidRPr="005D1B7E">
        <w:t xml:space="preserve">. </w:t>
      </w:r>
      <w:r w:rsidR="00DF2A72" w:rsidRPr="009929EF">
        <w:t>The ESC considered</w:t>
      </w:r>
      <w:r w:rsidR="00DF2A72">
        <w:rPr>
          <w:i/>
          <w:iCs/>
        </w:rPr>
        <w:t xml:space="preserve"> </w:t>
      </w:r>
      <w:r w:rsidR="00DF2A72">
        <w:t>p</w:t>
      </w:r>
      <w:r w:rsidRPr="0025780C">
        <w:t>egcetacoplan is an appropriate main comparator.</w:t>
      </w:r>
    </w:p>
    <w:p w14:paraId="1B454EA1" w14:textId="397007D5" w:rsidR="00C77664" w:rsidRPr="00B14AE8" w:rsidRDefault="00C77664" w:rsidP="00C77664">
      <w:pPr>
        <w:pStyle w:val="COMexecsumnumberedpara"/>
        <w:rPr>
          <w:snapToGrid/>
          <w:lang w:val="en-US"/>
        </w:rPr>
      </w:pPr>
      <w:r w:rsidRPr="0025780C">
        <w:t>The submission did not identify any other comparators. Danicopan, a complement Factor D inhibitor, is currently being assessed by the TGA for the treatment of PNH and is a potential near-market comparator. The proposed TGA indication is as an add-on (to C5 inhibitor therapy) for the treatment of the signs or symptoms of extravascular haemolysis in adult patients with PNH.</w:t>
      </w:r>
    </w:p>
    <w:p w14:paraId="4A2C9BF5" w14:textId="2F05C0E9" w:rsidR="00B14AE8" w:rsidRPr="00B14AE8" w:rsidRDefault="00B14AE8" w:rsidP="00B14AE8">
      <w:pPr>
        <w:pStyle w:val="COMexecsumnumberedpara"/>
        <w:numPr>
          <w:ilvl w:val="0"/>
          <w:numId w:val="0"/>
        </w:numPr>
        <w:ind w:left="720"/>
        <w:rPr>
          <w:i/>
          <w:iCs/>
        </w:rPr>
      </w:pPr>
      <w:r w:rsidRPr="00B14AE8">
        <w:rPr>
          <w:i/>
          <w:iCs/>
        </w:rPr>
        <w:t>For more detail on PBAC’s view, see section 7 PBAC outcome.</w:t>
      </w:r>
    </w:p>
    <w:p w14:paraId="7F9C27C8" w14:textId="77777777" w:rsidR="00223D5A" w:rsidRDefault="00223D5A" w:rsidP="00223D5A">
      <w:pPr>
        <w:pStyle w:val="COMH1numbered"/>
        <w:numPr>
          <w:ilvl w:val="0"/>
          <w:numId w:val="1"/>
        </w:numPr>
      </w:pPr>
      <w:bookmarkStart w:id="16" w:name="_Toc167262984"/>
      <w:bookmarkStart w:id="17" w:name="_Toc22897640"/>
      <w:r w:rsidRPr="00A473B4">
        <w:t>Consideration of the evidence</w:t>
      </w:r>
      <w:bookmarkEnd w:id="16"/>
    </w:p>
    <w:p w14:paraId="290E7204" w14:textId="77777777" w:rsidR="00B14AE8" w:rsidRPr="006E1229" w:rsidRDefault="00B14AE8" w:rsidP="00B14AE8">
      <w:pPr>
        <w:pStyle w:val="3-SubsectionHeading"/>
        <w:rPr>
          <w:lang w:eastAsia="en-AU"/>
        </w:rPr>
      </w:pPr>
      <w:bookmarkStart w:id="18" w:name="_Hlk76375935"/>
      <w:r w:rsidRPr="006E1229">
        <w:rPr>
          <w:lang w:eastAsia="en-AU"/>
        </w:rPr>
        <w:t>Sponsor hearing</w:t>
      </w:r>
    </w:p>
    <w:p w14:paraId="2A38C145" w14:textId="6A3F4470" w:rsidR="00B14AE8" w:rsidRPr="00836F75" w:rsidRDefault="00B14AE8" w:rsidP="00B14AE8">
      <w:pPr>
        <w:widowControl w:val="0"/>
        <w:numPr>
          <w:ilvl w:val="1"/>
          <w:numId w:val="1"/>
        </w:numPr>
        <w:spacing w:after="120"/>
        <w:ind w:left="720" w:hanging="720"/>
        <w:rPr>
          <w:rFonts w:asciiTheme="minorHAnsi" w:hAnsiTheme="minorHAnsi"/>
          <w:bCs/>
          <w:snapToGrid w:val="0"/>
        </w:rPr>
      </w:pPr>
      <w:bookmarkStart w:id="19" w:name="_Hlk76382586"/>
      <w:r w:rsidRPr="00836F75">
        <w:rPr>
          <w:rFonts w:asciiTheme="minorHAnsi" w:hAnsiTheme="minorHAnsi"/>
          <w:bCs/>
          <w:snapToGrid w:val="0"/>
        </w:rPr>
        <w:t>The sponsor requested a hearing for this item. The clinician</w:t>
      </w:r>
      <w:r w:rsidR="00104D97">
        <w:rPr>
          <w:rFonts w:asciiTheme="minorHAnsi" w:hAnsiTheme="minorHAnsi"/>
          <w:bCs/>
          <w:snapToGrid w:val="0"/>
        </w:rPr>
        <w:t>s discussed the mechanism of action of iptacopan</w:t>
      </w:r>
      <w:r w:rsidR="00963B08">
        <w:rPr>
          <w:rFonts w:asciiTheme="minorHAnsi" w:hAnsiTheme="minorHAnsi"/>
          <w:bCs/>
          <w:snapToGrid w:val="0"/>
        </w:rPr>
        <w:t xml:space="preserve"> and how the drug would likely be used in practice based on the benefits reported in clinical trials. The clinicians highlighted the potential advantages of an oral therapy</w:t>
      </w:r>
      <w:r w:rsidR="006C1702">
        <w:rPr>
          <w:rFonts w:asciiTheme="minorHAnsi" w:hAnsiTheme="minorHAnsi"/>
          <w:bCs/>
          <w:snapToGrid w:val="0"/>
        </w:rPr>
        <w:t xml:space="preserve"> compared to the currently available intravenous or </w:t>
      </w:r>
      <w:r w:rsidR="006C1702" w:rsidRPr="008A24BB">
        <w:t>subcutaneous</w:t>
      </w:r>
      <w:r w:rsidR="006C1702">
        <w:t xml:space="preserve"> treatments</w:t>
      </w:r>
      <w:r w:rsidR="00963B08">
        <w:rPr>
          <w:rFonts w:asciiTheme="minorHAnsi" w:hAnsiTheme="minorHAnsi"/>
          <w:bCs/>
          <w:snapToGrid w:val="0"/>
        </w:rPr>
        <w:t xml:space="preserve">, particularly in patients with needle phobia or with poor venous access. </w:t>
      </w:r>
      <w:r w:rsidRPr="00836F75">
        <w:rPr>
          <w:rFonts w:asciiTheme="minorHAnsi" w:hAnsiTheme="minorHAnsi"/>
          <w:bCs/>
          <w:snapToGrid w:val="0"/>
        </w:rPr>
        <w:t>The PBAC considered that the hearing was informative as it provided a clinical perspective on treating this uncommon disease.</w:t>
      </w:r>
    </w:p>
    <w:bookmarkEnd w:id="19"/>
    <w:p w14:paraId="2D7FFA3B" w14:textId="77777777" w:rsidR="00B14AE8" w:rsidRPr="006E1229" w:rsidRDefault="00B14AE8" w:rsidP="00B14AE8">
      <w:pPr>
        <w:pStyle w:val="3-SubsectionHeading"/>
        <w:rPr>
          <w:lang w:eastAsia="en-AU"/>
        </w:rPr>
      </w:pPr>
      <w:r w:rsidRPr="006E1229">
        <w:rPr>
          <w:lang w:eastAsia="en-AU"/>
        </w:rPr>
        <w:t>Consumer comments</w:t>
      </w:r>
    </w:p>
    <w:p w14:paraId="21AF8213" w14:textId="0CFA7CE8" w:rsidR="00B14AE8" w:rsidRPr="00836F75" w:rsidRDefault="00B14AE8" w:rsidP="00B14AE8">
      <w:pPr>
        <w:widowControl w:val="0"/>
        <w:numPr>
          <w:ilvl w:val="1"/>
          <w:numId w:val="1"/>
        </w:numPr>
        <w:spacing w:after="120"/>
        <w:ind w:left="720" w:hanging="720"/>
        <w:rPr>
          <w:rFonts w:asciiTheme="minorHAnsi" w:hAnsiTheme="minorHAnsi"/>
          <w:bCs/>
          <w:snapToGrid w:val="0"/>
        </w:rPr>
      </w:pPr>
      <w:bookmarkStart w:id="20" w:name="_Hlk76382618"/>
      <w:r w:rsidRPr="00836F75">
        <w:rPr>
          <w:rFonts w:asciiTheme="minorHAnsi" w:hAnsiTheme="minorHAnsi"/>
          <w:bCs/>
          <w:snapToGrid w:val="0"/>
        </w:rPr>
        <w:t>The PBAC noted and welcomed the input from health care professionals (</w:t>
      </w:r>
      <w:r w:rsidR="006C1702">
        <w:rPr>
          <w:rFonts w:asciiTheme="minorHAnsi" w:hAnsiTheme="minorHAnsi"/>
          <w:bCs/>
          <w:snapToGrid w:val="0"/>
        </w:rPr>
        <w:t>3</w:t>
      </w:r>
      <w:r w:rsidRPr="00836F75">
        <w:rPr>
          <w:rFonts w:asciiTheme="minorHAnsi" w:hAnsiTheme="minorHAnsi"/>
          <w:bCs/>
          <w:snapToGrid w:val="0"/>
        </w:rPr>
        <w:t>) via the Consumer Comments facility on the PBS website.  The comments described a range of benefits of treatment with</w:t>
      </w:r>
      <w:r w:rsidR="006C1702">
        <w:rPr>
          <w:rFonts w:asciiTheme="minorHAnsi" w:hAnsiTheme="minorHAnsi"/>
          <w:bCs/>
          <w:snapToGrid w:val="0"/>
        </w:rPr>
        <w:t xml:space="preserve"> iptacopan</w:t>
      </w:r>
      <w:r w:rsidRPr="00836F75">
        <w:rPr>
          <w:rFonts w:asciiTheme="minorHAnsi" w:hAnsiTheme="minorHAnsi"/>
          <w:bCs/>
          <w:snapToGrid w:val="0"/>
        </w:rPr>
        <w:t xml:space="preserve"> including </w:t>
      </w:r>
      <w:r w:rsidR="006C1702">
        <w:rPr>
          <w:rFonts w:asciiTheme="minorHAnsi" w:hAnsiTheme="minorHAnsi"/>
          <w:bCs/>
          <w:snapToGrid w:val="0"/>
        </w:rPr>
        <w:t>improved haemoglobin levels and symptom control</w:t>
      </w:r>
      <w:r w:rsidR="003903A8">
        <w:rPr>
          <w:rFonts w:asciiTheme="minorHAnsi" w:hAnsiTheme="minorHAnsi"/>
          <w:bCs/>
          <w:snapToGrid w:val="0"/>
        </w:rPr>
        <w:t xml:space="preserve"> along with a reduction in the need for transfusion</w:t>
      </w:r>
      <w:r w:rsidR="0092296D">
        <w:rPr>
          <w:rFonts w:asciiTheme="minorHAnsi" w:hAnsiTheme="minorHAnsi"/>
          <w:bCs/>
          <w:snapToGrid w:val="0"/>
        </w:rPr>
        <w:t xml:space="preserve"> compared to</w:t>
      </w:r>
      <w:r w:rsidR="0092296D" w:rsidRPr="0025780C">
        <w:t xml:space="preserve"> inadequate response</w:t>
      </w:r>
      <w:r w:rsidR="0092296D">
        <w:rPr>
          <w:rFonts w:asciiTheme="minorHAnsi" w:hAnsiTheme="minorHAnsi"/>
          <w:bCs/>
          <w:snapToGrid w:val="0"/>
        </w:rPr>
        <w:t xml:space="preserve"> with a C5 inhibitor</w:t>
      </w:r>
      <w:r w:rsidR="006C1702">
        <w:rPr>
          <w:rFonts w:asciiTheme="minorHAnsi" w:hAnsiTheme="minorHAnsi"/>
          <w:bCs/>
          <w:snapToGrid w:val="0"/>
        </w:rPr>
        <w:t>.</w:t>
      </w:r>
      <w:r w:rsidR="003903A8">
        <w:rPr>
          <w:rFonts w:asciiTheme="minorHAnsi" w:hAnsiTheme="minorHAnsi"/>
          <w:bCs/>
          <w:snapToGrid w:val="0"/>
        </w:rPr>
        <w:t xml:space="preserve"> The comments highlighted </w:t>
      </w:r>
      <w:r w:rsidR="00CE509E">
        <w:rPr>
          <w:rFonts w:asciiTheme="minorHAnsi" w:hAnsiTheme="minorHAnsi"/>
          <w:bCs/>
          <w:snapToGrid w:val="0"/>
        </w:rPr>
        <w:t xml:space="preserve">both </w:t>
      </w:r>
      <w:r w:rsidR="003903A8">
        <w:rPr>
          <w:rFonts w:asciiTheme="minorHAnsi" w:hAnsiTheme="minorHAnsi"/>
          <w:bCs/>
          <w:snapToGrid w:val="0"/>
        </w:rPr>
        <w:t xml:space="preserve">potential benefits </w:t>
      </w:r>
      <w:r w:rsidR="00CE509E">
        <w:rPr>
          <w:rFonts w:asciiTheme="minorHAnsi" w:hAnsiTheme="minorHAnsi"/>
          <w:bCs/>
          <w:snapToGrid w:val="0"/>
        </w:rPr>
        <w:t xml:space="preserve">and concerns arising from </w:t>
      </w:r>
      <w:r w:rsidR="003903A8">
        <w:rPr>
          <w:rFonts w:asciiTheme="minorHAnsi" w:hAnsiTheme="minorHAnsi"/>
          <w:bCs/>
          <w:snapToGrid w:val="0"/>
        </w:rPr>
        <w:t>iptacopan being an oral therapy. Benefits included the ease of administration compared to intravenous or subcutaneous treatments and an increased ability for travel</w:t>
      </w:r>
      <w:r w:rsidR="00CE509E">
        <w:rPr>
          <w:rFonts w:asciiTheme="minorHAnsi" w:hAnsiTheme="minorHAnsi"/>
          <w:bCs/>
          <w:snapToGrid w:val="0"/>
        </w:rPr>
        <w:t xml:space="preserve"> due to greater ease of access</w:t>
      </w:r>
      <w:r w:rsidR="003903A8">
        <w:rPr>
          <w:rFonts w:asciiTheme="minorHAnsi" w:hAnsiTheme="minorHAnsi"/>
          <w:bCs/>
          <w:snapToGrid w:val="0"/>
        </w:rPr>
        <w:t xml:space="preserve">. </w:t>
      </w:r>
      <w:r w:rsidR="00CE509E">
        <w:rPr>
          <w:rFonts w:asciiTheme="minorHAnsi" w:hAnsiTheme="minorHAnsi"/>
          <w:bCs/>
          <w:snapToGrid w:val="0"/>
        </w:rPr>
        <w:t xml:space="preserve">Concerns included </w:t>
      </w:r>
      <w:r w:rsidR="003903A8">
        <w:rPr>
          <w:rFonts w:asciiTheme="minorHAnsi" w:hAnsiTheme="minorHAnsi"/>
          <w:bCs/>
          <w:snapToGrid w:val="0"/>
        </w:rPr>
        <w:t>the potential for non-</w:t>
      </w:r>
      <w:r w:rsidR="00CA15D1">
        <w:rPr>
          <w:rFonts w:asciiTheme="minorHAnsi" w:hAnsiTheme="minorHAnsi"/>
          <w:bCs/>
          <w:snapToGrid w:val="0"/>
        </w:rPr>
        <w:t>adherence</w:t>
      </w:r>
      <w:r w:rsidR="00CE509E">
        <w:rPr>
          <w:rFonts w:asciiTheme="minorHAnsi" w:hAnsiTheme="minorHAnsi"/>
          <w:bCs/>
          <w:snapToGrid w:val="0"/>
        </w:rPr>
        <w:t xml:space="preserve"> due to the need for more frequent administration of oral therapy</w:t>
      </w:r>
      <w:r w:rsidR="001D0923">
        <w:rPr>
          <w:rFonts w:asciiTheme="minorHAnsi" w:hAnsiTheme="minorHAnsi"/>
          <w:bCs/>
          <w:snapToGrid w:val="0"/>
        </w:rPr>
        <w:t xml:space="preserve"> </w:t>
      </w:r>
      <w:r w:rsidR="00CE509E">
        <w:rPr>
          <w:rFonts w:asciiTheme="minorHAnsi" w:hAnsiTheme="minorHAnsi"/>
          <w:bCs/>
          <w:snapToGrid w:val="0"/>
        </w:rPr>
        <w:t>and hence the potential for breakthrough haemolysis along with the need for strategies for when patients are unable to take oral therapy (such as emergency surgery)</w:t>
      </w:r>
      <w:r w:rsidR="003903A8">
        <w:rPr>
          <w:rFonts w:asciiTheme="minorHAnsi" w:hAnsiTheme="minorHAnsi"/>
          <w:bCs/>
          <w:snapToGrid w:val="0"/>
        </w:rPr>
        <w:t>.</w:t>
      </w:r>
    </w:p>
    <w:p w14:paraId="609C0765" w14:textId="0F6FC72C" w:rsidR="00B60939" w:rsidRPr="00A473B4" w:rsidRDefault="00B60939" w:rsidP="002E4F02">
      <w:pPr>
        <w:pStyle w:val="COMH2-non-numbered"/>
      </w:pPr>
      <w:bookmarkStart w:id="21" w:name="_Toc167262985"/>
      <w:bookmarkEnd w:id="18"/>
      <w:bookmarkEnd w:id="20"/>
      <w:r w:rsidRPr="00A473B4">
        <w:lastRenderedPageBreak/>
        <w:t xml:space="preserve">Clinical </w:t>
      </w:r>
      <w:bookmarkEnd w:id="17"/>
      <w:r w:rsidR="00A37A1D">
        <w:t>trial</w:t>
      </w:r>
      <w:bookmarkEnd w:id="21"/>
    </w:p>
    <w:p w14:paraId="0FC41D07" w14:textId="478BA74F" w:rsidR="00B000EA" w:rsidRDefault="00B000EA" w:rsidP="00B000EA">
      <w:pPr>
        <w:pStyle w:val="COMexecsumnumberedpara"/>
      </w:pPr>
      <w:bookmarkStart w:id="22" w:name="_Ref172280261"/>
      <w:r>
        <w:t xml:space="preserve">No head-to-head trials comparing iptacopan and pegcetacoplan were identified in the literature search. The clinical claim was based on the following indirect comparisons of iptacopan </w:t>
      </w:r>
      <w:r w:rsidR="00FD7750">
        <w:t>versus</w:t>
      </w:r>
      <w:r>
        <w:t xml:space="preserve"> pegcetacoplan:</w:t>
      </w:r>
      <w:bookmarkEnd w:id="22"/>
    </w:p>
    <w:p w14:paraId="12CE454B" w14:textId="77777777" w:rsidR="00B000EA" w:rsidRDefault="00B000EA" w:rsidP="006115F0">
      <w:pPr>
        <w:pStyle w:val="COMexecsummbulletlist"/>
        <w:ind w:left="1134"/>
      </w:pPr>
      <w:r>
        <w:t>A Bucher method indirect comparison of iptacopan (APPLY-PNH) versus pegcetacoplan (PEGASUS) using the trial control arms (APPLY-PNH: eculizumab or ravulizumab; PEGASUS: eculizumab) as the common reference.</w:t>
      </w:r>
    </w:p>
    <w:p w14:paraId="6BEE5B3A" w14:textId="77777777" w:rsidR="00B000EA" w:rsidRDefault="00B000EA" w:rsidP="006115F0">
      <w:pPr>
        <w:pStyle w:val="COMexecsummbulletlist"/>
        <w:ind w:left="1134"/>
      </w:pPr>
      <w:r>
        <w:t>An anchored MAIC of iptacopan (APPLY-PNH) versus pegcetacoplan (PEGASUS) using the trial control arms (APPLY-PNH: eculizumab or ravulizumab; PEGASUS: eculizumab) as the common reference.</w:t>
      </w:r>
    </w:p>
    <w:p w14:paraId="7541D37F" w14:textId="1BF0475C" w:rsidR="00B000EA" w:rsidRDefault="00B000EA" w:rsidP="006115F0">
      <w:pPr>
        <w:pStyle w:val="COMexecsummbulletlist"/>
        <w:ind w:left="1134"/>
      </w:pPr>
      <w:r>
        <w:t>An unanchored MAIC of iptacopan (APPLY-PNH) versus pegcetacoplan (PEGASUS).</w:t>
      </w:r>
    </w:p>
    <w:p w14:paraId="44E7FC71" w14:textId="6ACDA6AD" w:rsidR="00B000EA" w:rsidRPr="0025780C" w:rsidRDefault="00B000EA" w:rsidP="00B000EA">
      <w:pPr>
        <w:pStyle w:val="COMexecsumnumberedpara"/>
      </w:pPr>
      <w:r w:rsidRPr="0025780C">
        <w:t xml:space="preserve">The submission excluded the APPOINT-PNH study, a single arm study assessing the efficacy and safety of iptacopan for the first-line treatment of patients with PNH, on the basis that the study population is outside of the proposed PBS population. While this exclusion was reasonable, results from the APPOINT-PNH study were submitted as part of the TGA application to support a broader marketing indication that includes first-line treatment </w:t>
      </w:r>
      <w:r w:rsidR="00FD7750" w:rsidRPr="0025780C">
        <w:t xml:space="preserve">of patients </w:t>
      </w:r>
      <w:r w:rsidRPr="0025780C">
        <w:t>with iptacopan.</w:t>
      </w:r>
    </w:p>
    <w:p w14:paraId="2B59ABAC" w14:textId="17E679FF" w:rsidR="00862502" w:rsidRPr="00A473B4" w:rsidRDefault="00A73134" w:rsidP="002E4F02">
      <w:pPr>
        <w:pStyle w:val="COMexecsumnumberedpara"/>
      </w:pPr>
      <w:r w:rsidRPr="00A473B4">
        <w:rPr>
          <w:snapToGrid/>
          <w:lang w:val="en-US"/>
        </w:rPr>
        <w:t xml:space="preserve">Details of the trials presented in the submission are provided in </w:t>
      </w:r>
      <w:r w:rsidR="00696EF9" w:rsidRPr="00A473B4">
        <w:rPr>
          <w:snapToGrid/>
          <w:lang w:val="en-US"/>
        </w:rPr>
        <w:fldChar w:fldCharType="begin"/>
      </w:r>
      <w:r w:rsidR="00696EF9" w:rsidRPr="00A473B4">
        <w:rPr>
          <w:snapToGrid/>
          <w:lang w:val="en-US"/>
        </w:rPr>
        <w:instrText xml:space="preserve"> REF _Ref104803956 \h </w:instrText>
      </w:r>
      <w:r w:rsidR="00696EF9" w:rsidRPr="00A473B4">
        <w:rPr>
          <w:snapToGrid/>
          <w:lang w:val="en-US"/>
        </w:rPr>
      </w:r>
      <w:r w:rsidR="00696EF9" w:rsidRPr="00A473B4">
        <w:rPr>
          <w:snapToGrid/>
          <w:lang w:val="en-US"/>
        </w:rPr>
        <w:fldChar w:fldCharType="separate"/>
      </w:r>
      <w:r w:rsidR="002E7F91" w:rsidRPr="00A473B4">
        <w:t xml:space="preserve">Table </w:t>
      </w:r>
      <w:r w:rsidR="002E7F91">
        <w:rPr>
          <w:noProof/>
        </w:rPr>
        <w:t>2</w:t>
      </w:r>
      <w:r w:rsidR="00696EF9" w:rsidRPr="00A473B4">
        <w:rPr>
          <w:snapToGrid/>
          <w:lang w:val="en-US"/>
        </w:rPr>
        <w:fldChar w:fldCharType="end"/>
      </w:r>
      <w:r w:rsidRPr="00A473B4">
        <w:rPr>
          <w:snapToGrid/>
          <w:lang w:val="en-US"/>
        </w:rPr>
        <w:t>.</w:t>
      </w:r>
    </w:p>
    <w:p w14:paraId="7DE3A286" w14:textId="1BB7D985" w:rsidR="008E0D3C" w:rsidRPr="00A473B4" w:rsidRDefault="00696EF9" w:rsidP="002E4F02">
      <w:pPr>
        <w:pStyle w:val="COMtablefigcaption"/>
      </w:pPr>
      <w:bookmarkStart w:id="23" w:name="_Ref104803956"/>
      <w:r w:rsidRPr="00A473B4">
        <w:t xml:space="preserve">Table </w:t>
      </w:r>
      <w:r w:rsidR="00C52DBB">
        <w:fldChar w:fldCharType="begin"/>
      </w:r>
      <w:r w:rsidR="00C52DBB">
        <w:instrText xml:space="preserve"> SEQ Table \* ARABIC </w:instrText>
      </w:r>
      <w:r w:rsidR="00C52DBB">
        <w:fldChar w:fldCharType="separate"/>
      </w:r>
      <w:r w:rsidR="002E7F91">
        <w:rPr>
          <w:noProof/>
        </w:rPr>
        <w:t>2</w:t>
      </w:r>
      <w:r w:rsidR="00C52DBB">
        <w:rPr>
          <w:noProof/>
        </w:rPr>
        <w:fldChar w:fldCharType="end"/>
      </w:r>
      <w:bookmarkEnd w:id="23"/>
      <w:r w:rsidRPr="00A473B4">
        <w:t>:</w:t>
      </w:r>
      <w:r w:rsidR="00BC591F" w:rsidRPr="00A473B4">
        <w:t xml:space="preserve"> </w:t>
      </w:r>
      <w:r w:rsidR="008E0D3C" w:rsidRPr="00A473B4">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Description w:val="Table 2: Trials and associated reports presented in the submission"/>
      </w:tblPr>
      <w:tblGrid>
        <w:gridCol w:w="1232"/>
        <w:gridCol w:w="5709"/>
        <w:gridCol w:w="2076"/>
      </w:tblGrid>
      <w:tr w:rsidR="00A152C0" w:rsidRPr="00A473B4" w14:paraId="13D01A23" w14:textId="77777777" w:rsidTr="00BF73EB">
        <w:trPr>
          <w:tblHeader/>
        </w:trPr>
        <w:tc>
          <w:tcPr>
            <w:tcW w:w="683" w:type="pct"/>
            <w:vAlign w:val="center"/>
          </w:tcPr>
          <w:p w14:paraId="3E2ADD03" w14:textId="77777777" w:rsidR="00A152C0" w:rsidRPr="00A473B4" w:rsidRDefault="00A152C0" w:rsidP="00BF73EB">
            <w:pPr>
              <w:pStyle w:val="COMTableheadingrow"/>
            </w:pPr>
            <w:r w:rsidRPr="00A473B4">
              <w:t>Trial ID</w:t>
            </w:r>
          </w:p>
        </w:tc>
        <w:tc>
          <w:tcPr>
            <w:tcW w:w="3166" w:type="pct"/>
            <w:tcBorders>
              <w:bottom w:val="single" w:sz="4" w:space="0" w:color="auto"/>
            </w:tcBorders>
            <w:vAlign w:val="center"/>
          </w:tcPr>
          <w:p w14:paraId="0D6D9D33" w14:textId="77777777" w:rsidR="00A152C0" w:rsidRPr="00A473B4" w:rsidRDefault="00A152C0" w:rsidP="00BF73EB">
            <w:pPr>
              <w:pStyle w:val="COMTableheadingrow"/>
              <w:jc w:val="center"/>
            </w:pPr>
            <w:r w:rsidRPr="00A473B4">
              <w:t>Protocol title/</w:t>
            </w:r>
            <w:r>
              <w:t>p</w:t>
            </w:r>
            <w:r w:rsidRPr="00A473B4">
              <w:t>ublication title</w:t>
            </w:r>
          </w:p>
        </w:tc>
        <w:tc>
          <w:tcPr>
            <w:tcW w:w="1151" w:type="pct"/>
            <w:tcBorders>
              <w:bottom w:val="single" w:sz="4" w:space="0" w:color="auto"/>
            </w:tcBorders>
            <w:vAlign w:val="center"/>
          </w:tcPr>
          <w:p w14:paraId="41347097" w14:textId="77777777" w:rsidR="00A152C0" w:rsidRPr="00A473B4" w:rsidRDefault="00A152C0" w:rsidP="00BF73EB">
            <w:pPr>
              <w:pStyle w:val="COMTableheadingrow"/>
              <w:jc w:val="center"/>
            </w:pPr>
            <w:r w:rsidRPr="00A473B4">
              <w:t>Publication citation</w:t>
            </w:r>
          </w:p>
        </w:tc>
      </w:tr>
      <w:tr w:rsidR="00A152C0" w:rsidRPr="00A473B4" w14:paraId="34DADB79" w14:textId="77777777" w:rsidTr="00BF73EB">
        <w:trPr>
          <w:trHeight w:val="818"/>
        </w:trPr>
        <w:tc>
          <w:tcPr>
            <w:tcW w:w="683" w:type="pct"/>
            <w:vMerge w:val="restart"/>
            <w:tcBorders>
              <w:right w:val="single" w:sz="4" w:space="0" w:color="auto"/>
            </w:tcBorders>
            <w:vAlign w:val="center"/>
          </w:tcPr>
          <w:p w14:paraId="31877CEB" w14:textId="77777777" w:rsidR="00A152C0" w:rsidRPr="00A473B4" w:rsidRDefault="00A152C0" w:rsidP="00BF73EB">
            <w:pPr>
              <w:pStyle w:val="COMTabletext"/>
            </w:pPr>
            <w:r>
              <w:t>APPLY-PNH (</w:t>
            </w:r>
            <w:r w:rsidRPr="00EF5640">
              <w:t>NCT04558918</w:t>
            </w:r>
            <w:r>
              <w:t>)</w:t>
            </w:r>
          </w:p>
        </w:tc>
        <w:tc>
          <w:tcPr>
            <w:tcW w:w="3166" w:type="pct"/>
            <w:tcBorders>
              <w:top w:val="single" w:sz="4" w:space="0" w:color="auto"/>
              <w:left w:val="single" w:sz="4" w:space="0" w:color="auto"/>
              <w:bottom w:val="nil"/>
              <w:right w:val="single" w:sz="4" w:space="0" w:color="auto"/>
            </w:tcBorders>
          </w:tcPr>
          <w:p w14:paraId="35D012CC" w14:textId="77777777" w:rsidR="00A152C0" w:rsidRPr="00A473B4" w:rsidRDefault="00A152C0" w:rsidP="00BF73EB">
            <w:pPr>
              <w:pStyle w:val="COMTabletext"/>
              <w:rPr>
                <w:szCs w:val="18"/>
              </w:rPr>
            </w:pPr>
            <w:r w:rsidRPr="0058630A">
              <w:rPr>
                <w:szCs w:val="18"/>
              </w:rPr>
              <w:t>A randomized, multicenter, active-comparator controlled, open-label trial to evaluate efficacy and safety of oral, twice daily LNP023 in adult patients with PNH and residual anemia, despite treatment with an intravenous anti-C5 antibody</w:t>
            </w:r>
            <w:r>
              <w:rPr>
                <w:szCs w:val="18"/>
              </w:rPr>
              <w:t>.</w:t>
            </w:r>
          </w:p>
        </w:tc>
        <w:tc>
          <w:tcPr>
            <w:tcW w:w="1151" w:type="pct"/>
            <w:tcBorders>
              <w:top w:val="single" w:sz="4" w:space="0" w:color="auto"/>
              <w:left w:val="single" w:sz="4" w:space="0" w:color="auto"/>
              <w:bottom w:val="nil"/>
              <w:right w:val="single" w:sz="4" w:space="0" w:color="auto"/>
            </w:tcBorders>
          </w:tcPr>
          <w:p w14:paraId="0A6DE445" w14:textId="77777777" w:rsidR="00A152C0" w:rsidRPr="00A473B4" w:rsidRDefault="00A152C0" w:rsidP="00BF73EB">
            <w:pPr>
              <w:pStyle w:val="COMTabletext"/>
            </w:pPr>
            <w:r>
              <w:t>Final clinical study report, November 2023.Interim clinical study report, March 2023.</w:t>
            </w:r>
          </w:p>
        </w:tc>
      </w:tr>
      <w:tr w:rsidR="00A152C0" w:rsidRPr="00A473B4" w14:paraId="65AB6D0C" w14:textId="77777777" w:rsidTr="00BF73EB">
        <w:trPr>
          <w:trHeight w:val="56"/>
        </w:trPr>
        <w:tc>
          <w:tcPr>
            <w:tcW w:w="683" w:type="pct"/>
            <w:vMerge/>
            <w:tcBorders>
              <w:bottom w:val="single" w:sz="4" w:space="0" w:color="auto"/>
            </w:tcBorders>
            <w:vAlign w:val="center"/>
          </w:tcPr>
          <w:p w14:paraId="4B227178" w14:textId="77777777" w:rsidR="00A152C0" w:rsidRDefault="00A152C0" w:rsidP="00BF73EB">
            <w:pPr>
              <w:pStyle w:val="COMTabletext"/>
            </w:pPr>
          </w:p>
        </w:tc>
        <w:tc>
          <w:tcPr>
            <w:tcW w:w="3166" w:type="pct"/>
            <w:tcBorders>
              <w:top w:val="nil"/>
            </w:tcBorders>
          </w:tcPr>
          <w:p w14:paraId="0367F17F" w14:textId="77777777" w:rsidR="00A152C0" w:rsidRPr="008C4A14" w:rsidRDefault="00A152C0" w:rsidP="00BF73EB">
            <w:pPr>
              <w:pStyle w:val="COMTabletext"/>
              <w:rPr>
                <w:szCs w:val="18"/>
                <w:vertAlign w:val="superscript"/>
              </w:rPr>
            </w:pPr>
            <w:r w:rsidRPr="00D016DB">
              <w:rPr>
                <w:szCs w:val="18"/>
              </w:rPr>
              <w:t>de Latour R</w:t>
            </w:r>
            <w:r>
              <w:rPr>
                <w:szCs w:val="18"/>
              </w:rPr>
              <w:t>P</w:t>
            </w:r>
            <w:r w:rsidRPr="00D016DB">
              <w:rPr>
                <w:szCs w:val="18"/>
              </w:rPr>
              <w:t>, Roth A, Kulasekararaj AG, Han B, et al. Oral iptacopan monotherapy in paroxysmal nocturnal hemoglobinuria.</w:t>
            </w:r>
          </w:p>
        </w:tc>
        <w:tc>
          <w:tcPr>
            <w:tcW w:w="1151" w:type="pct"/>
            <w:tcBorders>
              <w:top w:val="nil"/>
            </w:tcBorders>
          </w:tcPr>
          <w:p w14:paraId="45A85400" w14:textId="77777777" w:rsidR="00A152C0" w:rsidRPr="000B22E8" w:rsidRDefault="00A152C0" w:rsidP="00BF73EB">
            <w:pPr>
              <w:pStyle w:val="COMTabletext"/>
            </w:pPr>
            <w:r>
              <w:rPr>
                <w:i/>
                <w:iCs/>
              </w:rPr>
              <w:t xml:space="preserve">NEJM </w:t>
            </w:r>
            <w:r>
              <w:t>2024; 390(11): 994-1008.</w:t>
            </w:r>
          </w:p>
        </w:tc>
      </w:tr>
      <w:tr w:rsidR="00A152C0" w:rsidRPr="00A473B4" w14:paraId="23E83422" w14:textId="77777777" w:rsidTr="00BF73EB">
        <w:tc>
          <w:tcPr>
            <w:tcW w:w="683" w:type="pct"/>
            <w:vMerge w:val="restart"/>
            <w:vAlign w:val="center"/>
          </w:tcPr>
          <w:p w14:paraId="7C835885" w14:textId="77777777" w:rsidR="00A152C0" w:rsidRPr="00A473B4" w:rsidRDefault="00A152C0" w:rsidP="00BF73EB">
            <w:pPr>
              <w:pStyle w:val="COMTabletext"/>
            </w:pPr>
            <w:r>
              <w:t>PEGASUS (</w:t>
            </w:r>
            <w:r w:rsidRPr="005D48CF">
              <w:t>NCT03500549</w:t>
            </w:r>
            <w:r>
              <w:t>)</w:t>
            </w:r>
          </w:p>
        </w:tc>
        <w:tc>
          <w:tcPr>
            <w:tcW w:w="3166" w:type="pct"/>
            <w:tcBorders>
              <w:bottom w:val="nil"/>
            </w:tcBorders>
            <w:vAlign w:val="center"/>
          </w:tcPr>
          <w:p w14:paraId="55E7ED7C" w14:textId="77777777" w:rsidR="00A152C0" w:rsidRPr="00A473B4" w:rsidRDefault="00A152C0" w:rsidP="00BF73EB">
            <w:pPr>
              <w:pStyle w:val="COMTabletext"/>
            </w:pPr>
            <w:r w:rsidRPr="0066194F">
              <w:rPr>
                <w:szCs w:val="18"/>
              </w:rPr>
              <w:t>Panse J, Wilson K, Fishman J, Wojciechowski P,</w:t>
            </w:r>
            <w:r>
              <w:rPr>
                <w:szCs w:val="18"/>
              </w:rPr>
              <w:t xml:space="preserve"> et al. </w:t>
            </w:r>
            <w:r w:rsidRPr="0066194F">
              <w:rPr>
                <w:szCs w:val="18"/>
              </w:rPr>
              <w:t>Fatigue and health-related quality of life in paroxysmal nocturnal haemoglobinuria: A post hoc analysis of the pegcetacoplan PEGASUS trial data.</w:t>
            </w:r>
          </w:p>
        </w:tc>
        <w:tc>
          <w:tcPr>
            <w:tcW w:w="1151" w:type="pct"/>
            <w:tcBorders>
              <w:bottom w:val="nil"/>
            </w:tcBorders>
          </w:tcPr>
          <w:p w14:paraId="3D8EA1F6" w14:textId="77777777" w:rsidR="00A152C0" w:rsidRPr="0066194F" w:rsidRDefault="00A152C0" w:rsidP="00BF73EB">
            <w:pPr>
              <w:pStyle w:val="COMTabletext"/>
            </w:pPr>
            <w:r w:rsidRPr="0066194F">
              <w:rPr>
                <w:i/>
                <w:iCs/>
                <w:szCs w:val="18"/>
              </w:rPr>
              <w:t>European Journal of Haematology</w:t>
            </w:r>
            <w:r>
              <w:rPr>
                <w:i/>
                <w:iCs/>
                <w:szCs w:val="18"/>
              </w:rPr>
              <w:t xml:space="preserve"> </w:t>
            </w:r>
            <w:r>
              <w:rPr>
                <w:szCs w:val="18"/>
              </w:rPr>
              <w:t>2023; 111(1): 72-83.</w:t>
            </w:r>
          </w:p>
        </w:tc>
      </w:tr>
      <w:tr w:rsidR="00A152C0" w:rsidRPr="00A473B4" w14:paraId="70676999" w14:textId="77777777" w:rsidTr="00BF73EB">
        <w:tc>
          <w:tcPr>
            <w:tcW w:w="683" w:type="pct"/>
            <w:vMerge/>
            <w:vAlign w:val="center"/>
          </w:tcPr>
          <w:p w14:paraId="1E24C70F" w14:textId="77777777" w:rsidR="00A152C0" w:rsidRPr="00A473B4" w:rsidRDefault="00A152C0" w:rsidP="00BF73EB">
            <w:pPr>
              <w:pStyle w:val="COMTabletext"/>
            </w:pPr>
          </w:p>
        </w:tc>
        <w:tc>
          <w:tcPr>
            <w:tcW w:w="3166" w:type="pct"/>
            <w:tcBorders>
              <w:top w:val="nil"/>
              <w:bottom w:val="nil"/>
            </w:tcBorders>
            <w:vAlign w:val="center"/>
          </w:tcPr>
          <w:p w14:paraId="03F5419A" w14:textId="77777777" w:rsidR="00A152C0" w:rsidRPr="00A473B4" w:rsidRDefault="00A152C0" w:rsidP="00BF73EB">
            <w:pPr>
              <w:pStyle w:val="COMTabletext"/>
              <w:rPr>
                <w:szCs w:val="18"/>
              </w:rPr>
            </w:pPr>
            <w:r w:rsidRPr="00096E53">
              <w:rPr>
                <w:szCs w:val="18"/>
              </w:rPr>
              <w:t>Cella D, Sarda SP, Hsieh R, Fishman J</w:t>
            </w:r>
            <w:r>
              <w:rPr>
                <w:szCs w:val="18"/>
              </w:rPr>
              <w:t>, et al. C</w:t>
            </w:r>
            <w:r w:rsidRPr="00096E53">
              <w:rPr>
                <w:szCs w:val="18"/>
              </w:rPr>
              <w:t>hanges in hemoglobin and clinical outcomes drive improvements in fatigue, quality of life, and physical function in patients with paroxysmal nocturnal hemoglobinuria: post hoc analyses from the phase III PEGASUS study</w:t>
            </w:r>
            <w:r>
              <w:rPr>
                <w:szCs w:val="18"/>
              </w:rPr>
              <w:t>.</w:t>
            </w:r>
          </w:p>
        </w:tc>
        <w:tc>
          <w:tcPr>
            <w:tcW w:w="1151" w:type="pct"/>
            <w:tcBorders>
              <w:top w:val="nil"/>
              <w:bottom w:val="nil"/>
            </w:tcBorders>
          </w:tcPr>
          <w:p w14:paraId="72E2586E" w14:textId="77777777" w:rsidR="00A152C0" w:rsidRPr="00A473B4" w:rsidRDefault="00A152C0" w:rsidP="00BF73EB">
            <w:pPr>
              <w:pStyle w:val="COMTabletext"/>
              <w:rPr>
                <w:i/>
              </w:rPr>
            </w:pPr>
            <w:r w:rsidRPr="00096E53">
              <w:rPr>
                <w:i/>
              </w:rPr>
              <w:t>Annals of Hematology</w:t>
            </w:r>
            <w:r>
              <w:rPr>
                <w:i/>
              </w:rPr>
              <w:t xml:space="preserve"> </w:t>
            </w:r>
            <w:r>
              <w:rPr>
                <w:iCs/>
              </w:rPr>
              <w:t>2022; 101(9): 1905-1914.</w:t>
            </w:r>
          </w:p>
        </w:tc>
      </w:tr>
      <w:tr w:rsidR="00A152C0" w:rsidRPr="00A473B4" w14:paraId="5D0F7641" w14:textId="77777777" w:rsidTr="00BF73EB">
        <w:tc>
          <w:tcPr>
            <w:tcW w:w="683" w:type="pct"/>
            <w:vMerge/>
            <w:vAlign w:val="center"/>
          </w:tcPr>
          <w:p w14:paraId="4A4AF350" w14:textId="77777777" w:rsidR="00A152C0" w:rsidRPr="00A473B4" w:rsidRDefault="00A152C0" w:rsidP="00BF73EB">
            <w:pPr>
              <w:pStyle w:val="COMTabletext"/>
            </w:pPr>
          </w:p>
        </w:tc>
        <w:tc>
          <w:tcPr>
            <w:tcW w:w="3166" w:type="pct"/>
            <w:tcBorders>
              <w:top w:val="nil"/>
              <w:bottom w:val="nil"/>
            </w:tcBorders>
            <w:vAlign w:val="center"/>
          </w:tcPr>
          <w:p w14:paraId="38653115" w14:textId="77777777" w:rsidR="00A152C0" w:rsidRPr="00A473B4" w:rsidRDefault="00A152C0" w:rsidP="00BF73EB">
            <w:pPr>
              <w:pStyle w:val="COMTabletext"/>
              <w:rPr>
                <w:szCs w:val="18"/>
              </w:rPr>
            </w:pPr>
            <w:r w:rsidRPr="00D016DB">
              <w:rPr>
                <w:szCs w:val="18"/>
              </w:rPr>
              <w:t>Desai D, Fishman J, Zhang X</w:t>
            </w:r>
            <w:r>
              <w:rPr>
                <w:szCs w:val="18"/>
              </w:rPr>
              <w:t>.</w:t>
            </w:r>
            <w:r w:rsidRPr="005D48CF">
              <w:rPr>
                <w:szCs w:val="18"/>
              </w:rPr>
              <w:t xml:space="preserve"> </w:t>
            </w:r>
            <w:r w:rsidRPr="00113252">
              <w:rPr>
                <w:szCs w:val="18"/>
              </w:rPr>
              <w:t xml:space="preserve">MDS-136 </w:t>
            </w:r>
            <w:r>
              <w:rPr>
                <w:szCs w:val="18"/>
              </w:rPr>
              <w:t>r</w:t>
            </w:r>
            <w:r w:rsidRPr="00113252">
              <w:rPr>
                <w:szCs w:val="18"/>
              </w:rPr>
              <w:t xml:space="preserve">apid </w:t>
            </w:r>
            <w:r>
              <w:rPr>
                <w:szCs w:val="18"/>
              </w:rPr>
              <w:t>t</w:t>
            </w:r>
            <w:r w:rsidRPr="00113252">
              <w:rPr>
                <w:szCs w:val="18"/>
              </w:rPr>
              <w:t xml:space="preserve">ime to a </w:t>
            </w:r>
            <w:r>
              <w:rPr>
                <w:szCs w:val="18"/>
              </w:rPr>
              <w:t>c</w:t>
            </w:r>
            <w:r w:rsidRPr="00113252">
              <w:rPr>
                <w:szCs w:val="18"/>
              </w:rPr>
              <w:t xml:space="preserve">linically </w:t>
            </w:r>
            <w:r>
              <w:rPr>
                <w:szCs w:val="18"/>
              </w:rPr>
              <w:t>m</w:t>
            </w:r>
            <w:r w:rsidRPr="00113252">
              <w:rPr>
                <w:szCs w:val="18"/>
              </w:rPr>
              <w:t xml:space="preserve">eaningful </w:t>
            </w:r>
            <w:r>
              <w:rPr>
                <w:szCs w:val="18"/>
              </w:rPr>
              <w:t>r</w:t>
            </w:r>
            <w:r w:rsidRPr="00113252">
              <w:rPr>
                <w:szCs w:val="18"/>
              </w:rPr>
              <w:t xml:space="preserve">esponse in FACIT-Fatigue </w:t>
            </w:r>
            <w:r>
              <w:rPr>
                <w:szCs w:val="18"/>
              </w:rPr>
              <w:t>s</w:t>
            </w:r>
            <w:r w:rsidRPr="00113252">
              <w:rPr>
                <w:szCs w:val="18"/>
              </w:rPr>
              <w:t xml:space="preserve">cores </w:t>
            </w:r>
            <w:r>
              <w:rPr>
                <w:szCs w:val="18"/>
              </w:rPr>
              <w:t>w</w:t>
            </w:r>
            <w:r w:rsidRPr="00113252">
              <w:rPr>
                <w:szCs w:val="18"/>
              </w:rPr>
              <w:t xml:space="preserve">ith </w:t>
            </w:r>
            <w:r>
              <w:rPr>
                <w:szCs w:val="18"/>
              </w:rPr>
              <w:t>p</w:t>
            </w:r>
            <w:r w:rsidRPr="00113252">
              <w:rPr>
                <w:szCs w:val="18"/>
              </w:rPr>
              <w:t xml:space="preserve">egcetacoplan in </w:t>
            </w:r>
            <w:r>
              <w:rPr>
                <w:szCs w:val="18"/>
              </w:rPr>
              <w:t>p</w:t>
            </w:r>
            <w:r w:rsidRPr="00113252">
              <w:rPr>
                <w:szCs w:val="18"/>
              </w:rPr>
              <w:t xml:space="preserve">atients </w:t>
            </w:r>
            <w:r>
              <w:rPr>
                <w:szCs w:val="18"/>
              </w:rPr>
              <w:t>w</w:t>
            </w:r>
            <w:r w:rsidRPr="00113252">
              <w:rPr>
                <w:szCs w:val="18"/>
              </w:rPr>
              <w:t xml:space="preserve">ith </w:t>
            </w:r>
            <w:r>
              <w:rPr>
                <w:szCs w:val="18"/>
              </w:rPr>
              <w:t>p</w:t>
            </w:r>
            <w:r w:rsidRPr="00113252">
              <w:rPr>
                <w:szCs w:val="18"/>
              </w:rPr>
              <w:t xml:space="preserve">aroxysmal </w:t>
            </w:r>
            <w:r>
              <w:rPr>
                <w:szCs w:val="18"/>
              </w:rPr>
              <w:t>n</w:t>
            </w:r>
            <w:r w:rsidRPr="00113252">
              <w:rPr>
                <w:szCs w:val="18"/>
              </w:rPr>
              <w:t xml:space="preserve">octurnal </w:t>
            </w:r>
            <w:r>
              <w:rPr>
                <w:szCs w:val="18"/>
              </w:rPr>
              <w:t>h</w:t>
            </w:r>
            <w:r w:rsidRPr="00113252">
              <w:rPr>
                <w:szCs w:val="18"/>
              </w:rPr>
              <w:t xml:space="preserve">emoglobinuria: </w:t>
            </w:r>
            <w:r>
              <w:rPr>
                <w:szCs w:val="18"/>
              </w:rPr>
              <w:t>a</w:t>
            </w:r>
            <w:r w:rsidRPr="00113252">
              <w:rPr>
                <w:szCs w:val="18"/>
              </w:rPr>
              <w:t xml:space="preserve"> Kaplan-Meier </w:t>
            </w:r>
            <w:r>
              <w:rPr>
                <w:szCs w:val="18"/>
              </w:rPr>
              <w:t>a</w:t>
            </w:r>
            <w:r w:rsidRPr="00113252">
              <w:rPr>
                <w:szCs w:val="18"/>
              </w:rPr>
              <w:t>nalysis from the PEGASUS Trial</w:t>
            </w:r>
            <w:r>
              <w:rPr>
                <w:szCs w:val="18"/>
              </w:rPr>
              <w:t>.</w:t>
            </w:r>
          </w:p>
        </w:tc>
        <w:tc>
          <w:tcPr>
            <w:tcW w:w="1151" w:type="pct"/>
            <w:tcBorders>
              <w:top w:val="nil"/>
              <w:bottom w:val="nil"/>
            </w:tcBorders>
          </w:tcPr>
          <w:p w14:paraId="1D18D77C" w14:textId="77777777" w:rsidR="00A152C0" w:rsidRPr="00A473B4" w:rsidRDefault="00A152C0" w:rsidP="00BF73EB">
            <w:pPr>
              <w:pStyle w:val="COMTabletext"/>
            </w:pPr>
            <w:r w:rsidRPr="004D2DB3">
              <w:rPr>
                <w:i/>
                <w:iCs/>
              </w:rPr>
              <w:t>Clinical Lymphoma, Myeloma and Leukemia</w:t>
            </w:r>
            <w:r>
              <w:t xml:space="preserve"> 2022;</w:t>
            </w:r>
            <w:r w:rsidRPr="004D2DB3">
              <w:t xml:space="preserve"> 22(Supplement 2)</w:t>
            </w:r>
            <w:r>
              <w:t xml:space="preserve">: </w:t>
            </w:r>
            <w:r w:rsidRPr="004D2DB3">
              <w:t>S306</w:t>
            </w:r>
            <w:r>
              <w:t>.</w:t>
            </w:r>
          </w:p>
        </w:tc>
      </w:tr>
      <w:tr w:rsidR="00A152C0" w:rsidRPr="00A473B4" w14:paraId="07C1CB59" w14:textId="77777777" w:rsidTr="00BF73EB">
        <w:tc>
          <w:tcPr>
            <w:tcW w:w="683" w:type="pct"/>
            <w:vMerge/>
            <w:vAlign w:val="center"/>
          </w:tcPr>
          <w:p w14:paraId="35387D05" w14:textId="77777777" w:rsidR="00A152C0" w:rsidRPr="00A473B4" w:rsidRDefault="00A152C0" w:rsidP="00BF73EB">
            <w:pPr>
              <w:pStyle w:val="COMTabletext"/>
            </w:pPr>
          </w:p>
        </w:tc>
        <w:tc>
          <w:tcPr>
            <w:tcW w:w="3166" w:type="pct"/>
            <w:tcBorders>
              <w:top w:val="nil"/>
              <w:bottom w:val="nil"/>
            </w:tcBorders>
            <w:vAlign w:val="center"/>
          </w:tcPr>
          <w:p w14:paraId="532107C0" w14:textId="77777777" w:rsidR="00A152C0" w:rsidRPr="005D48CF" w:rsidRDefault="00A152C0" w:rsidP="00BF73EB">
            <w:pPr>
              <w:pStyle w:val="COMTabletext"/>
              <w:rPr>
                <w:szCs w:val="18"/>
              </w:rPr>
            </w:pPr>
            <w:r w:rsidRPr="00DD09A9">
              <w:rPr>
                <w:szCs w:val="18"/>
              </w:rPr>
              <w:t>Hillmen P, Szer J, Weitz I, Roth A</w:t>
            </w:r>
            <w:r>
              <w:rPr>
                <w:szCs w:val="18"/>
              </w:rPr>
              <w:t xml:space="preserve">, et al. </w:t>
            </w:r>
            <w:r w:rsidRPr="00DD09A9">
              <w:rPr>
                <w:szCs w:val="18"/>
              </w:rPr>
              <w:t>Pegcetacoplan versus eculizumab in paroxysmal nocturnal hemoglobinuria.</w:t>
            </w:r>
          </w:p>
        </w:tc>
        <w:tc>
          <w:tcPr>
            <w:tcW w:w="1151" w:type="pct"/>
            <w:tcBorders>
              <w:top w:val="nil"/>
              <w:bottom w:val="nil"/>
            </w:tcBorders>
          </w:tcPr>
          <w:p w14:paraId="35332FE9" w14:textId="77777777" w:rsidR="00A152C0" w:rsidRPr="00A473B4" w:rsidRDefault="00A152C0" w:rsidP="00BF73EB">
            <w:pPr>
              <w:pStyle w:val="COMTabletext"/>
            </w:pPr>
            <w:r>
              <w:rPr>
                <w:i/>
                <w:iCs/>
              </w:rPr>
              <w:t xml:space="preserve">NEJM </w:t>
            </w:r>
            <w:r>
              <w:t xml:space="preserve">2021; </w:t>
            </w:r>
            <w:r w:rsidRPr="00DD09A9">
              <w:t>384(11)</w:t>
            </w:r>
            <w:r>
              <w:t xml:space="preserve">: </w:t>
            </w:r>
            <w:r w:rsidRPr="00DD09A9">
              <w:t>1028-1037</w:t>
            </w:r>
            <w:r>
              <w:t>.</w:t>
            </w:r>
          </w:p>
        </w:tc>
      </w:tr>
      <w:tr w:rsidR="00A152C0" w:rsidRPr="00A473B4" w14:paraId="0EFFD54F" w14:textId="77777777" w:rsidTr="00BF73EB">
        <w:tc>
          <w:tcPr>
            <w:tcW w:w="683" w:type="pct"/>
            <w:vMerge/>
            <w:tcBorders>
              <w:bottom w:val="single" w:sz="4" w:space="0" w:color="auto"/>
            </w:tcBorders>
            <w:vAlign w:val="center"/>
          </w:tcPr>
          <w:p w14:paraId="30A2D6AC" w14:textId="77777777" w:rsidR="00A152C0" w:rsidRPr="00A473B4" w:rsidRDefault="00A152C0" w:rsidP="00BF73EB">
            <w:pPr>
              <w:pStyle w:val="COMTabletext"/>
            </w:pPr>
          </w:p>
        </w:tc>
        <w:tc>
          <w:tcPr>
            <w:tcW w:w="3166" w:type="pct"/>
            <w:tcBorders>
              <w:top w:val="nil"/>
              <w:bottom w:val="single" w:sz="4" w:space="0" w:color="auto"/>
            </w:tcBorders>
            <w:vAlign w:val="center"/>
          </w:tcPr>
          <w:p w14:paraId="721246F1" w14:textId="77777777" w:rsidR="00A152C0" w:rsidRPr="00DD09A9" w:rsidRDefault="00A152C0" w:rsidP="00BF73EB">
            <w:pPr>
              <w:pStyle w:val="COMTabletext"/>
              <w:rPr>
                <w:szCs w:val="18"/>
              </w:rPr>
            </w:pPr>
            <w:r>
              <w:rPr>
                <w:szCs w:val="18"/>
              </w:rPr>
              <w:t xml:space="preserve">de Latour RP, Szer J, Weitz IC, Roth A et al. </w:t>
            </w:r>
            <w:r w:rsidRPr="00584509">
              <w:rPr>
                <w:szCs w:val="18"/>
              </w:rPr>
              <w:t>Pegcetacoplan versus eculizumab in patients with paroxysmal nocturnal haemoglobinuria (PEGASUS): 48-week follow-up of a randomised, open-label, phase 3, active-comparator, controlled trial</w:t>
            </w:r>
            <w:r>
              <w:rPr>
                <w:szCs w:val="18"/>
              </w:rPr>
              <w:t>.</w:t>
            </w:r>
          </w:p>
        </w:tc>
        <w:tc>
          <w:tcPr>
            <w:tcW w:w="1151" w:type="pct"/>
            <w:tcBorders>
              <w:top w:val="nil"/>
              <w:bottom w:val="single" w:sz="4" w:space="0" w:color="auto"/>
            </w:tcBorders>
          </w:tcPr>
          <w:p w14:paraId="4238902D" w14:textId="77777777" w:rsidR="00A152C0" w:rsidRPr="00584509" w:rsidRDefault="00A152C0" w:rsidP="00BF73EB">
            <w:pPr>
              <w:pStyle w:val="COMTabletext"/>
            </w:pPr>
            <w:r>
              <w:rPr>
                <w:i/>
                <w:iCs/>
              </w:rPr>
              <w:t xml:space="preserve">Lancet Haematol. </w:t>
            </w:r>
            <w:r>
              <w:t xml:space="preserve">2022; </w:t>
            </w:r>
            <w:r w:rsidRPr="00584509">
              <w:t>9(9):</w:t>
            </w:r>
            <w:r>
              <w:t xml:space="preserve"> </w:t>
            </w:r>
            <w:r w:rsidRPr="00584509">
              <w:t>e648-e659</w:t>
            </w:r>
            <w:r>
              <w:t>.</w:t>
            </w:r>
          </w:p>
        </w:tc>
      </w:tr>
    </w:tbl>
    <w:p w14:paraId="3992F67A" w14:textId="69A994E9" w:rsidR="00A152C0" w:rsidRDefault="00A152C0" w:rsidP="00A152C0">
      <w:pPr>
        <w:pStyle w:val="COMTablefooter"/>
      </w:pPr>
      <w:r>
        <w:t>Source: Table 2-6, of the submission.</w:t>
      </w:r>
    </w:p>
    <w:p w14:paraId="51D8173A" w14:textId="4E8F6E9B" w:rsidR="008E0D3C" w:rsidRPr="00A473B4" w:rsidRDefault="00A152C0" w:rsidP="00A152C0">
      <w:pPr>
        <w:pStyle w:val="COMTablefooter"/>
        <w:rPr>
          <w:sz w:val="20"/>
        </w:rPr>
      </w:pPr>
      <w:r>
        <w:t>Selected publications relating to conference abstracts omitted.</w:t>
      </w:r>
    </w:p>
    <w:p w14:paraId="1DD06D7D" w14:textId="55135A8B" w:rsidR="007F1017" w:rsidRPr="00A473B4" w:rsidRDefault="008F120A" w:rsidP="00EC5836">
      <w:pPr>
        <w:pStyle w:val="COMexecsumnumberedpara"/>
      </w:pPr>
      <w:r w:rsidRPr="00A473B4">
        <w:lastRenderedPageBreak/>
        <w:t xml:space="preserve">The key features of the </w:t>
      </w:r>
      <w:r w:rsidR="00621ADA" w:rsidRPr="00A473B4">
        <w:t xml:space="preserve">included </w:t>
      </w:r>
      <w:r w:rsidR="00A152C0">
        <w:t xml:space="preserve">trials </w:t>
      </w:r>
      <w:r w:rsidRPr="00A473B4">
        <w:t>are summarised in</w:t>
      </w:r>
      <w:r w:rsidR="00D6076E" w:rsidRPr="00A473B4">
        <w:t xml:space="preserve"> </w:t>
      </w:r>
      <w:r w:rsidR="00D6076E" w:rsidRPr="00A473B4">
        <w:fldChar w:fldCharType="begin"/>
      </w:r>
      <w:r w:rsidR="00D6076E" w:rsidRPr="00A473B4">
        <w:instrText xml:space="preserve"> REF _Ref104804098 \h  \* MERGEFORMAT </w:instrText>
      </w:r>
      <w:r w:rsidR="00D6076E" w:rsidRPr="00A473B4">
        <w:fldChar w:fldCharType="separate"/>
      </w:r>
      <w:r w:rsidR="002E7F91" w:rsidRPr="00A473B4">
        <w:t xml:space="preserve">Table </w:t>
      </w:r>
      <w:r w:rsidR="002E7F91">
        <w:t>3</w:t>
      </w:r>
      <w:r w:rsidR="00D6076E" w:rsidRPr="00A473B4">
        <w:fldChar w:fldCharType="end"/>
      </w:r>
      <w:r w:rsidRPr="00A473B4">
        <w:t>.</w:t>
      </w:r>
      <w:r w:rsidR="00BC591F" w:rsidRPr="00A473B4">
        <w:t xml:space="preserve"> </w:t>
      </w:r>
    </w:p>
    <w:p w14:paraId="355E2F15" w14:textId="74D22DDA" w:rsidR="007F1017" w:rsidRPr="00A473B4" w:rsidRDefault="00696EF9" w:rsidP="00FD4ED6">
      <w:pPr>
        <w:pStyle w:val="COMtablefigcaption"/>
      </w:pPr>
      <w:bookmarkStart w:id="24" w:name="_Ref104804098"/>
      <w:r w:rsidRPr="00A473B4">
        <w:t xml:space="preserve">Table </w:t>
      </w:r>
      <w:r w:rsidR="00C52DBB">
        <w:fldChar w:fldCharType="begin"/>
      </w:r>
      <w:r w:rsidR="00C52DBB">
        <w:instrText xml:space="preserve"> SEQ Table \* ARABIC </w:instrText>
      </w:r>
      <w:r w:rsidR="00C52DBB">
        <w:fldChar w:fldCharType="separate"/>
      </w:r>
      <w:r w:rsidR="002E7F91">
        <w:rPr>
          <w:noProof/>
        </w:rPr>
        <w:t>3</w:t>
      </w:r>
      <w:r w:rsidR="00C52DBB">
        <w:rPr>
          <w:noProof/>
        </w:rPr>
        <w:fldChar w:fldCharType="end"/>
      </w:r>
      <w:bookmarkEnd w:id="24"/>
      <w:r w:rsidR="00D6076E" w:rsidRPr="00A473B4">
        <w:t xml:space="preserve">: </w:t>
      </w:r>
      <w:r w:rsidR="007F1017" w:rsidRPr="00A473B4">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Description w:val="Table 3: Key features of the included evidence"/>
      </w:tblPr>
      <w:tblGrid>
        <w:gridCol w:w="986"/>
        <w:gridCol w:w="424"/>
        <w:gridCol w:w="1562"/>
        <w:gridCol w:w="707"/>
        <w:gridCol w:w="1702"/>
        <w:gridCol w:w="3636"/>
      </w:tblGrid>
      <w:tr w:rsidR="00B82888" w:rsidRPr="00A473B4" w14:paraId="53DD7CC6" w14:textId="77777777" w:rsidTr="00B82888">
        <w:trPr>
          <w:cantSplit/>
          <w:tblHeader/>
        </w:trPr>
        <w:tc>
          <w:tcPr>
            <w:tcW w:w="547" w:type="pct"/>
            <w:shd w:val="clear" w:color="auto" w:fill="auto"/>
            <w:vAlign w:val="center"/>
          </w:tcPr>
          <w:p w14:paraId="794116BC" w14:textId="77777777" w:rsidR="00A152C0" w:rsidRPr="00A473B4" w:rsidRDefault="00A152C0" w:rsidP="001E34DF">
            <w:pPr>
              <w:pStyle w:val="COMTableheadingrow"/>
            </w:pPr>
            <w:r w:rsidRPr="00A473B4">
              <w:t>Trial</w:t>
            </w:r>
          </w:p>
        </w:tc>
        <w:tc>
          <w:tcPr>
            <w:tcW w:w="235" w:type="pct"/>
            <w:shd w:val="clear" w:color="auto" w:fill="auto"/>
            <w:vAlign w:val="center"/>
          </w:tcPr>
          <w:p w14:paraId="51122FE5" w14:textId="77777777" w:rsidR="00A152C0" w:rsidRPr="00A473B4" w:rsidRDefault="00A152C0" w:rsidP="00EC5836">
            <w:pPr>
              <w:pStyle w:val="COMTableheadingrow"/>
              <w:jc w:val="center"/>
            </w:pPr>
            <w:r w:rsidRPr="00A473B4">
              <w:t>N</w:t>
            </w:r>
          </w:p>
        </w:tc>
        <w:tc>
          <w:tcPr>
            <w:tcW w:w="866" w:type="pct"/>
            <w:shd w:val="clear" w:color="auto" w:fill="auto"/>
            <w:vAlign w:val="center"/>
          </w:tcPr>
          <w:p w14:paraId="41C438EF" w14:textId="77777777" w:rsidR="00A152C0" w:rsidRPr="00A473B4" w:rsidRDefault="00A152C0" w:rsidP="00EC5836">
            <w:pPr>
              <w:pStyle w:val="COMTableheadingrow"/>
              <w:jc w:val="center"/>
            </w:pPr>
            <w:r w:rsidRPr="00A473B4">
              <w:t>Design/ duration</w:t>
            </w:r>
          </w:p>
        </w:tc>
        <w:tc>
          <w:tcPr>
            <w:tcW w:w="392" w:type="pct"/>
            <w:shd w:val="clear" w:color="auto" w:fill="auto"/>
            <w:vAlign w:val="center"/>
          </w:tcPr>
          <w:p w14:paraId="1FC91360" w14:textId="77777777" w:rsidR="00A152C0" w:rsidRPr="00A473B4" w:rsidRDefault="00A152C0" w:rsidP="00EC5836">
            <w:pPr>
              <w:pStyle w:val="COMTableheadingrow"/>
              <w:jc w:val="center"/>
            </w:pPr>
            <w:r w:rsidRPr="00A473B4">
              <w:t>Risk of bias</w:t>
            </w:r>
          </w:p>
        </w:tc>
        <w:tc>
          <w:tcPr>
            <w:tcW w:w="944" w:type="pct"/>
            <w:shd w:val="clear" w:color="auto" w:fill="auto"/>
            <w:vAlign w:val="center"/>
          </w:tcPr>
          <w:p w14:paraId="7FF90896" w14:textId="77777777" w:rsidR="00A152C0" w:rsidRPr="00A473B4" w:rsidRDefault="00A152C0" w:rsidP="00EC5836">
            <w:pPr>
              <w:pStyle w:val="COMTableheadingrow"/>
              <w:jc w:val="center"/>
            </w:pPr>
            <w:r w:rsidRPr="00A473B4">
              <w:t>Patient population</w:t>
            </w:r>
          </w:p>
        </w:tc>
        <w:tc>
          <w:tcPr>
            <w:tcW w:w="2016" w:type="pct"/>
            <w:shd w:val="clear" w:color="auto" w:fill="auto"/>
            <w:vAlign w:val="center"/>
          </w:tcPr>
          <w:p w14:paraId="0FCB63F9" w14:textId="5CFA3778" w:rsidR="00A152C0" w:rsidRPr="00A473B4" w:rsidRDefault="00A152C0" w:rsidP="00EC5836">
            <w:pPr>
              <w:pStyle w:val="COMTableheadingrow"/>
              <w:jc w:val="center"/>
            </w:pPr>
            <w:r w:rsidRPr="00A473B4">
              <w:t>Outcomes</w:t>
            </w:r>
          </w:p>
        </w:tc>
      </w:tr>
      <w:tr w:rsidR="00A152C0" w:rsidRPr="00A473B4" w14:paraId="2A03CD4B" w14:textId="5E35131B" w:rsidTr="00A152C0">
        <w:trPr>
          <w:cantSplit/>
        </w:trPr>
        <w:tc>
          <w:tcPr>
            <w:tcW w:w="5000" w:type="pct"/>
            <w:gridSpan w:val="6"/>
            <w:shd w:val="clear" w:color="auto" w:fill="auto"/>
            <w:vAlign w:val="center"/>
          </w:tcPr>
          <w:p w14:paraId="73088C85" w14:textId="299C9E2B" w:rsidR="00A152C0" w:rsidRPr="00A473B4" w:rsidRDefault="00143697" w:rsidP="00EC5836">
            <w:pPr>
              <w:pStyle w:val="COMTableheadingrow"/>
            </w:pPr>
            <w:r>
              <w:t>Iptacopan versus C5 inhibitor</w:t>
            </w:r>
          </w:p>
        </w:tc>
      </w:tr>
      <w:tr w:rsidR="00B82888" w:rsidRPr="00A473B4" w14:paraId="4EE88DCB" w14:textId="77777777" w:rsidTr="00B82888">
        <w:trPr>
          <w:cantSplit/>
        </w:trPr>
        <w:tc>
          <w:tcPr>
            <w:tcW w:w="547" w:type="pct"/>
            <w:shd w:val="clear" w:color="auto" w:fill="auto"/>
            <w:vAlign w:val="center"/>
          </w:tcPr>
          <w:p w14:paraId="6EE77D33" w14:textId="047DCE3F" w:rsidR="00A152C0" w:rsidRPr="00A473B4" w:rsidRDefault="00143697" w:rsidP="00EC5836">
            <w:pPr>
              <w:pStyle w:val="COMTabletext"/>
              <w:rPr>
                <w:lang w:val="en-US"/>
              </w:rPr>
            </w:pPr>
            <w:r>
              <w:rPr>
                <w:lang w:val="en-US"/>
              </w:rPr>
              <w:t>APPLY-PNH</w:t>
            </w:r>
          </w:p>
        </w:tc>
        <w:tc>
          <w:tcPr>
            <w:tcW w:w="235" w:type="pct"/>
            <w:shd w:val="clear" w:color="auto" w:fill="auto"/>
            <w:vAlign w:val="center"/>
          </w:tcPr>
          <w:p w14:paraId="41BB0E41" w14:textId="117098E2" w:rsidR="00A152C0" w:rsidRPr="00A473B4" w:rsidRDefault="00143697" w:rsidP="00EC5836">
            <w:pPr>
              <w:pStyle w:val="COMTabletext"/>
              <w:jc w:val="center"/>
              <w:rPr>
                <w:lang w:val="en-US"/>
              </w:rPr>
            </w:pPr>
            <w:r>
              <w:rPr>
                <w:lang w:val="en-US"/>
              </w:rPr>
              <w:t>97</w:t>
            </w:r>
          </w:p>
        </w:tc>
        <w:tc>
          <w:tcPr>
            <w:tcW w:w="866" w:type="pct"/>
            <w:shd w:val="clear" w:color="auto" w:fill="auto"/>
            <w:vAlign w:val="center"/>
          </w:tcPr>
          <w:p w14:paraId="744D08AC" w14:textId="2596B6AA" w:rsidR="00A152C0" w:rsidRPr="00A473B4" w:rsidRDefault="0049070A" w:rsidP="0049070A">
            <w:pPr>
              <w:pStyle w:val="COMTabletext"/>
              <w:jc w:val="center"/>
              <w:rPr>
                <w:lang w:val="en-US"/>
              </w:rPr>
            </w:pPr>
            <w:r>
              <w:rPr>
                <w:lang w:val="en-US"/>
              </w:rPr>
              <w:t>MC</w:t>
            </w:r>
            <w:r w:rsidR="0003789E">
              <w:rPr>
                <w:lang w:val="en-US"/>
              </w:rPr>
              <w:t>,</w:t>
            </w:r>
            <w:r w:rsidR="002A54AE">
              <w:rPr>
                <w:lang w:val="en-US"/>
              </w:rPr>
              <w:t xml:space="preserve"> </w:t>
            </w:r>
            <w:r>
              <w:rPr>
                <w:lang w:val="en-US"/>
              </w:rPr>
              <w:t>OL</w:t>
            </w:r>
            <w:r w:rsidR="002A54AE">
              <w:rPr>
                <w:lang w:val="en-US"/>
              </w:rPr>
              <w:t xml:space="preserve"> trial with a 24-week active-controlled randomised phase (iptacopan </w:t>
            </w:r>
            <w:r>
              <w:rPr>
                <w:lang w:val="en-US"/>
              </w:rPr>
              <w:t>vs</w:t>
            </w:r>
            <w:r w:rsidR="002A54AE">
              <w:rPr>
                <w:lang w:val="en-US"/>
              </w:rPr>
              <w:t xml:space="preserve"> C5 inhibitor) and a 24-week</w:t>
            </w:r>
            <w:r>
              <w:rPr>
                <w:lang w:val="en-US"/>
              </w:rPr>
              <w:t xml:space="preserve"> extension</w:t>
            </w:r>
            <w:r w:rsidR="00270683">
              <w:rPr>
                <w:lang w:val="en-US"/>
              </w:rPr>
              <w:t xml:space="preserve"> phase</w:t>
            </w:r>
            <w:r w:rsidR="002A54AE">
              <w:rPr>
                <w:lang w:val="en-US"/>
              </w:rPr>
              <w:t xml:space="preserve"> </w:t>
            </w:r>
            <w:r>
              <w:rPr>
                <w:lang w:val="en-US"/>
              </w:rPr>
              <w:t>(iptacopan)</w:t>
            </w:r>
            <w:r w:rsidR="00B82888">
              <w:rPr>
                <w:lang w:val="en-US"/>
              </w:rPr>
              <w:t>.</w:t>
            </w:r>
          </w:p>
        </w:tc>
        <w:tc>
          <w:tcPr>
            <w:tcW w:w="392" w:type="pct"/>
            <w:shd w:val="clear" w:color="auto" w:fill="auto"/>
            <w:vAlign w:val="center"/>
          </w:tcPr>
          <w:p w14:paraId="4A529D74" w14:textId="13E3046A" w:rsidR="00A152C0" w:rsidRPr="009929EF" w:rsidRDefault="00270683" w:rsidP="00EC5836">
            <w:pPr>
              <w:pStyle w:val="COMTabletext"/>
              <w:jc w:val="center"/>
              <w:rPr>
                <w:iCs/>
                <w:lang w:val="en-US"/>
              </w:rPr>
            </w:pPr>
            <w:r w:rsidRPr="009929EF">
              <w:rPr>
                <w:iCs/>
                <w:lang w:val="en-US"/>
              </w:rPr>
              <w:t>High</w:t>
            </w:r>
          </w:p>
        </w:tc>
        <w:tc>
          <w:tcPr>
            <w:tcW w:w="944" w:type="pct"/>
            <w:shd w:val="clear" w:color="auto" w:fill="auto"/>
            <w:vAlign w:val="center"/>
          </w:tcPr>
          <w:p w14:paraId="5E6F456D" w14:textId="64B2A979" w:rsidR="00A152C0" w:rsidRPr="00A473B4" w:rsidRDefault="00753552" w:rsidP="00EC5836">
            <w:pPr>
              <w:pStyle w:val="COMTabletext"/>
              <w:jc w:val="center"/>
              <w:rPr>
                <w:lang w:val="en-US"/>
              </w:rPr>
            </w:pPr>
            <w:r>
              <w:rPr>
                <w:lang w:val="en-US"/>
              </w:rPr>
              <w:t>Adults with PNH, clone size ≥10%, stable C5 inhibitor</w:t>
            </w:r>
            <w:r w:rsidR="002E4561">
              <w:rPr>
                <w:lang w:val="en-US"/>
              </w:rPr>
              <w:t xml:space="preserve"> regimen</w:t>
            </w:r>
            <w:r>
              <w:rPr>
                <w:lang w:val="en-US"/>
              </w:rPr>
              <w:t xml:space="preserve"> for ≥6 months, mean </w:t>
            </w:r>
            <w:r w:rsidR="004E126F">
              <w:rPr>
                <w:lang w:val="en-US"/>
              </w:rPr>
              <w:t>Hb</w:t>
            </w:r>
            <w:r>
              <w:rPr>
                <w:lang w:val="en-US"/>
              </w:rPr>
              <w:t xml:space="preserve"> &lt;10</w:t>
            </w:r>
            <w:r w:rsidR="00A12D98">
              <w:rPr>
                <w:lang w:val="en-US"/>
              </w:rPr>
              <w:t>.0</w:t>
            </w:r>
            <w:r>
              <w:rPr>
                <w:lang w:val="en-US"/>
              </w:rPr>
              <w:t> g/dL</w:t>
            </w:r>
            <w:r w:rsidR="00A12D98">
              <w:rPr>
                <w:lang w:val="en-US"/>
              </w:rPr>
              <w:t>; excluded patients with evidence of bone marrow failure.</w:t>
            </w:r>
          </w:p>
        </w:tc>
        <w:tc>
          <w:tcPr>
            <w:tcW w:w="2016" w:type="pct"/>
            <w:shd w:val="clear" w:color="auto" w:fill="auto"/>
            <w:vAlign w:val="center"/>
          </w:tcPr>
          <w:p w14:paraId="3A09F94C" w14:textId="1E1BDF57" w:rsidR="008A0E86" w:rsidRDefault="004E126F" w:rsidP="000347F0">
            <w:pPr>
              <w:pStyle w:val="COMTabletext"/>
              <w:numPr>
                <w:ilvl w:val="0"/>
                <w:numId w:val="13"/>
              </w:numPr>
              <w:ind w:left="146" w:hanging="108"/>
              <w:rPr>
                <w:lang w:val="en-US"/>
              </w:rPr>
            </w:pPr>
            <w:r w:rsidRPr="008A0E86">
              <w:rPr>
                <w:lang w:val="en-US"/>
              </w:rPr>
              <w:t>Increase from baseline in Hb ≥2 g/dL (co</w:t>
            </w:r>
            <w:r w:rsidR="007C78D3">
              <w:rPr>
                <w:lang w:val="en-US"/>
              </w:rPr>
              <w:noBreakHyphen/>
            </w:r>
            <w:r w:rsidRPr="008A0E86">
              <w:rPr>
                <w:lang w:val="en-US"/>
              </w:rPr>
              <w:t>primary)</w:t>
            </w:r>
          </w:p>
          <w:p w14:paraId="3A2F3CB6" w14:textId="613E51CB" w:rsidR="008A0E86" w:rsidRDefault="006C2DAA" w:rsidP="000347F0">
            <w:pPr>
              <w:pStyle w:val="COMTabletext"/>
              <w:numPr>
                <w:ilvl w:val="0"/>
                <w:numId w:val="13"/>
              </w:numPr>
              <w:ind w:left="146" w:hanging="108"/>
              <w:rPr>
                <w:lang w:val="en-US"/>
              </w:rPr>
            </w:pPr>
            <w:r>
              <w:rPr>
                <w:lang w:val="en-US"/>
              </w:rPr>
              <w:t>A</w:t>
            </w:r>
            <w:r w:rsidR="004E126F" w:rsidRPr="008A0E86">
              <w:rPr>
                <w:lang w:val="en-US"/>
              </w:rPr>
              <w:t>chievement of Hb ≥12 g/dL</w:t>
            </w:r>
            <w:r w:rsidR="00513C79" w:rsidRPr="008A0E86">
              <w:rPr>
                <w:lang w:val="en-US"/>
              </w:rPr>
              <w:t xml:space="preserve"> (co</w:t>
            </w:r>
            <w:r w:rsidR="007C78D3">
              <w:rPr>
                <w:lang w:val="en-US"/>
              </w:rPr>
              <w:noBreakHyphen/>
            </w:r>
            <w:r w:rsidR="00513C79" w:rsidRPr="008A0E86">
              <w:rPr>
                <w:lang w:val="en-US"/>
              </w:rPr>
              <w:t>primary)</w:t>
            </w:r>
          </w:p>
          <w:p w14:paraId="2BF7BC2C" w14:textId="72A00B17" w:rsidR="008A0E86" w:rsidRDefault="006C2DAA" w:rsidP="000347F0">
            <w:pPr>
              <w:pStyle w:val="COMTabletext"/>
              <w:numPr>
                <w:ilvl w:val="0"/>
                <w:numId w:val="13"/>
              </w:numPr>
              <w:ind w:left="146" w:hanging="108"/>
              <w:rPr>
                <w:lang w:val="en-US"/>
              </w:rPr>
            </w:pPr>
            <w:r>
              <w:rPr>
                <w:lang w:val="en-US"/>
              </w:rPr>
              <w:t>A</w:t>
            </w:r>
            <w:r w:rsidR="004E126F" w:rsidRPr="008A0E86">
              <w:rPr>
                <w:lang w:val="en-US"/>
              </w:rPr>
              <w:t>bsence of blood transfusion</w:t>
            </w:r>
            <w:r w:rsidR="00D27F24">
              <w:rPr>
                <w:lang w:val="en-US"/>
              </w:rPr>
              <w:t>s</w:t>
            </w:r>
          </w:p>
          <w:p w14:paraId="42144605" w14:textId="7BAC3030" w:rsidR="008A0E86" w:rsidRDefault="006C2DAA" w:rsidP="000347F0">
            <w:pPr>
              <w:pStyle w:val="COMTabletext"/>
              <w:numPr>
                <w:ilvl w:val="0"/>
                <w:numId w:val="13"/>
              </w:numPr>
              <w:ind w:left="146" w:hanging="108"/>
              <w:rPr>
                <w:lang w:val="en-US"/>
              </w:rPr>
            </w:pPr>
            <w:r>
              <w:rPr>
                <w:lang w:val="en-US"/>
              </w:rPr>
              <w:t>C</w:t>
            </w:r>
            <w:r w:rsidR="00513C79" w:rsidRPr="008A0E86">
              <w:rPr>
                <w:lang w:val="en-US"/>
              </w:rPr>
              <w:t xml:space="preserve">hange from baseline in </w:t>
            </w:r>
            <w:r w:rsidR="007C78D3">
              <w:rPr>
                <w:lang w:val="en-US"/>
              </w:rPr>
              <w:t>haemoglobin</w:t>
            </w:r>
            <w:r w:rsidR="00513C79" w:rsidRPr="008A0E86">
              <w:rPr>
                <w:lang w:val="en-US"/>
              </w:rPr>
              <w:t xml:space="preserve"> level</w:t>
            </w:r>
          </w:p>
          <w:p w14:paraId="0565CA3D" w14:textId="491CEE12" w:rsidR="006C2DAA" w:rsidRDefault="006C2DAA" w:rsidP="000347F0">
            <w:pPr>
              <w:pStyle w:val="COMTabletext"/>
              <w:numPr>
                <w:ilvl w:val="0"/>
                <w:numId w:val="13"/>
              </w:numPr>
              <w:ind w:left="146" w:hanging="108"/>
              <w:rPr>
                <w:lang w:val="en-US"/>
              </w:rPr>
            </w:pPr>
            <w:r>
              <w:rPr>
                <w:lang w:val="en-US"/>
              </w:rPr>
              <w:t>C</w:t>
            </w:r>
            <w:r w:rsidR="00513C79" w:rsidRPr="008A0E86">
              <w:rPr>
                <w:lang w:val="en-US"/>
              </w:rPr>
              <w:t>hange from baseline in ARC</w:t>
            </w:r>
          </w:p>
          <w:p w14:paraId="573384B0" w14:textId="16715855" w:rsidR="006C2DAA" w:rsidRDefault="006C2DAA" w:rsidP="000347F0">
            <w:pPr>
              <w:pStyle w:val="COMTabletext"/>
              <w:numPr>
                <w:ilvl w:val="0"/>
                <w:numId w:val="13"/>
              </w:numPr>
              <w:ind w:left="146" w:hanging="108"/>
              <w:rPr>
                <w:lang w:val="en-US"/>
              </w:rPr>
            </w:pPr>
            <w:r>
              <w:rPr>
                <w:lang w:val="en-US"/>
              </w:rPr>
              <w:t>C</w:t>
            </w:r>
            <w:r w:rsidR="00513C79" w:rsidRPr="008A0E86">
              <w:rPr>
                <w:lang w:val="en-US"/>
              </w:rPr>
              <w:t>hange from baseline in L</w:t>
            </w:r>
            <w:r>
              <w:rPr>
                <w:lang w:val="en-US"/>
              </w:rPr>
              <w:t>DH</w:t>
            </w:r>
          </w:p>
          <w:p w14:paraId="31949C78" w14:textId="0361A8C4" w:rsidR="006C2DAA" w:rsidRDefault="006C2DAA" w:rsidP="000347F0">
            <w:pPr>
              <w:pStyle w:val="COMTabletext"/>
              <w:numPr>
                <w:ilvl w:val="0"/>
                <w:numId w:val="13"/>
              </w:numPr>
              <w:ind w:left="146" w:hanging="108"/>
              <w:rPr>
                <w:lang w:val="en-US"/>
              </w:rPr>
            </w:pPr>
            <w:r>
              <w:rPr>
                <w:lang w:val="en-US"/>
              </w:rPr>
              <w:t>O</w:t>
            </w:r>
            <w:r w:rsidR="00513C79" w:rsidRPr="008A0E86">
              <w:rPr>
                <w:lang w:val="en-US"/>
              </w:rPr>
              <w:t xml:space="preserve">ccurrences of </w:t>
            </w:r>
            <w:r w:rsidR="00D27F24">
              <w:rPr>
                <w:lang w:val="en-US"/>
              </w:rPr>
              <w:t>breakthrough haemolysis</w:t>
            </w:r>
          </w:p>
          <w:p w14:paraId="10482254" w14:textId="26D7CFDD" w:rsidR="006C2DAA" w:rsidRDefault="006C2DAA" w:rsidP="000347F0">
            <w:pPr>
              <w:pStyle w:val="COMTabletext"/>
              <w:numPr>
                <w:ilvl w:val="0"/>
                <w:numId w:val="13"/>
              </w:numPr>
              <w:ind w:left="146" w:hanging="108"/>
              <w:rPr>
                <w:lang w:val="en-US"/>
              </w:rPr>
            </w:pPr>
            <w:r>
              <w:rPr>
                <w:lang w:val="en-US"/>
              </w:rPr>
              <w:t>O</w:t>
            </w:r>
            <w:r w:rsidR="00513C79" w:rsidRPr="008A0E86">
              <w:rPr>
                <w:lang w:val="en-US"/>
              </w:rPr>
              <w:t xml:space="preserve">ccurrence of </w:t>
            </w:r>
            <w:r w:rsidR="00D27F24">
              <w:rPr>
                <w:lang w:val="en-US"/>
              </w:rPr>
              <w:t>major adverse vascular events</w:t>
            </w:r>
          </w:p>
          <w:p w14:paraId="7CBD2A74" w14:textId="77777777" w:rsidR="00D23D91" w:rsidRDefault="00D23D91" w:rsidP="000347F0">
            <w:pPr>
              <w:pStyle w:val="COMTabletext"/>
              <w:numPr>
                <w:ilvl w:val="0"/>
                <w:numId w:val="13"/>
              </w:numPr>
              <w:ind w:left="146" w:hanging="108"/>
              <w:rPr>
                <w:lang w:val="en-US"/>
              </w:rPr>
            </w:pPr>
            <w:r>
              <w:rPr>
                <w:lang w:val="en-US"/>
              </w:rPr>
              <w:t>C</w:t>
            </w:r>
            <w:r w:rsidRPr="008A0E86">
              <w:rPr>
                <w:lang w:val="en-US"/>
              </w:rPr>
              <w:t>hange from baseline in FACIT-Fatigue score</w:t>
            </w:r>
          </w:p>
          <w:p w14:paraId="6DC76214" w14:textId="49F3A1E1" w:rsidR="00A152C0" w:rsidRPr="008A0E86" w:rsidRDefault="006C2DAA" w:rsidP="000347F0">
            <w:pPr>
              <w:pStyle w:val="COMTabletext"/>
              <w:numPr>
                <w:ilvl w:val="0"/>
                <w:numId w:val="13"/>
              </w:numPr>
              <w:ind w:left="146" w:hanging="108"/>
              <w:rPr>
                <w:lang w:val="en-US"/>
              </w:rPr>
            </w:pPr>
            <w:r>
              <w:rPr>
                <w:lang w:val="en-US"/>
              </w:rPr>
              <w:t>A</w:t>
            </w:r>
            <w:r w:rsidR="00513C79" w:rsidRPr="008A0E86">
              <w:rPr>
                <w:lang w:val="en-US"/>
              </w:rPr>
              <w:t>dverse events</w:t>
            </w:r>
          </w:p>
        </w:tc>
      </w:tr>
      <w:tr w:rsidR="00143697" w:rsidRPr="00A473B4" w14:paraId="13A6895C" w14:textId="77777777" w:rsidTr="00143697">
        <w:trPr>
          <w:cantSplit/>
        </w:trPr>
        <w:tc>
          <w:tcPr>
            <w:tcW w:w="5000" w:type="pct"/>
            <w:gridSpan w:val="6"/>
            <w:shd w:val="clear" w:color="auto" w:fill="auto"/>
            <w:vAlign w:val="center"/>
          </w:tcPr>
          <w:p w14:paraId="4F0C99D2" w14:textId="583E00DC" w:rsidR="00143697" w:rsidRPr="009929EF" w:rsidRDefault="00143697" w:rsidP="00143697">
            <w:pPr>
              <w:pStyle w:val="COMTabletext"/>
              <w:rPr>
                <w:b/>
                <w:bCs w:val="0"/>
                <w:iCs/>
                <w:lang w:val="en-US"/>
              </w:rPr>
            </w:pPr>
            <w:r w:rsidRPr="009929EF">
              <w:rPr>
                <w:b/>
                <w:bCs w:val="0"/>
                <w:iCs/>
                <w:lang w:val="en-US"/>
              </w:rPr>
              <w:t>Pegcetacoplan versus eculizumab</w:t>
            </w:r>
          </w:p>
        </w:tc>
      </w:tr>
      <w:tr w:rsidR="00B82888" w:rsidRPr="00A473B4" w14:paraId="6DAFAEAF" w14:textId="77777777" w:rsidTr="00B82888">
        <w:trPr>
          <w:cantSplit/>
        </w:trPr>
        <w:tc>
          <w:tcPr>
            <w:tcW w:w="547" w:type="pct"/>
            <w:shd w:val="clear" w:color="auto" w:fill="auto"/>
            <w:vAlign w:val="center"/>
          </w:tcPr>
          <w:p w14:paraId="76F0584C" w14:textId="1CC4AC65" w:rsidR="00A152C0" w:rsidRPr="00A473B4" w:rsidRDefault="00143697" w:rsidP="00EC5836">
            <w:pPr>
              <w:pStyle w:val="COMTabletext"/>
              <w:rPr>
                <w:lang w:val="en-US"/>
              </w:rPr>
            </w:pPr>
            <w:r>
              <w:rPr>
                <w:lang w:val="en-US"/>
              </w:rPr>
              <w:t>PEGASUS</w:t>
            </w:r>
          </w:p>
        </w:tc>
        <w:tc>
          <w:tcPr>
            <w:tcW w:w="235" w:type="pct"/>
            <w:shd w:val="clear" w:color="auto" w:fill="auto"/>
            <w:vAlign w:val="center"/>
          </w:tcPr>
          <w:p w14:paraId="7D785F8E" w14:textId="3BA65735" w:rsidR="00A152C0" w:rsidRPr="00A473B4" w:rsidRDefault="00143697" w:rsidP="00EC5836">
            <w:pPr>
              <w:pStyle w:val="COMTabletext"/>
              <w:jc w:val="center"/>
              <w:rPr>
                <w:lang w:val="en-US"/>
              </w:rPr>
            </w:pPr>
            <w:r>
              <w:rPr>
                <w:lang w:val="en-US"/>
              </w:rPr>
              <w:t>80</w:t>
            </w:r>
          </w:p>
        </w:tc>
        <w:tc>
          <w:tcPr>
            <w:tcW w:w="866" w:type="pct"/>
            <w:shd w:val="clear" w:color="auto" w:fill="auto"/>
            <w:vAlign w:val="center"/>
          </w:tcPr>
          <w:p w14:paraId="4F10C1AA" w14:textId="08CFB40C" w:rsidR="00A152C0" w:rsidRPr="00A473B4" w:rsidRDefault="00270683" w:rsidP="00EC5836">
            <w:pPr>
              <w:pStyle w:val="COMTabletext"/>
              <w:jc w:val="center"/>
              <w:rPr>
                <w:lang w:val="en-US"/>
              </w:rPr>
            </w:pPr>
            <w:r>
              <w:rPr>
                <w:lang w:val="en-US"/>
              </w:rPr>
              <w:t>MC, OL trial with a 4</w:t>
            </w:r>
            <w:r>
              <w:rPr>
                <w:lang w:val="en-US"/>
              </w:rPr>
              <w:noBreakHyphen/>
              <w:t>week run-in phase (pegcetacoplan + eculizumab</w:t>
            </w:r>
            <w:r w:rsidR="000C4B65">
              <w:rPr>
                <w:lang w:val="en-US"/>
              </w:rPr>
              <w:t>)</w:t>
            </w:r>
            <w:r>
              <w:rPr>
                <w:lang w:val="en-US"/>
              </w:rPr>
              <w:t>, a 16</w:t>
            </w:r>
            <w:r>
              <w:rPr>
                <w:lang w:val="en-US"/>
              </w:rPr>
              <w:noBreakHyphen/>
              <w:t>week randomised phase</w:t>
            </w:r>
            <w:r w:rsidR="000C4B65">
              <w:rPr>
                <w:lang w:val="en-US"/>
              </w:rPr>
              <w:t xml:space="preserve"> (pegcetacoplan vs eculizumab)</w:t>
            </w:r>
            <w:r>
              <w:rPr>
                <w:lang w:val="en-US"/>
              </w:rPr>
              <w:t xml:space="preserve">, and a 32-week extension phase (pegcetacoplan). </w:t>
            </w:r>
          </w:p>
        </w:tc>
        <w:tc>
          <w:tcPr>
            <w:tcW w:w="392" w:type="pct"/>
            <w:shd w:val="clear" w:color="auto" w:fill="auto"/>
            <w:vAlign w:val="center"/>
          </w:tcPr>
          <w:p w14:paraId="50E27A90" w14:textId="5A10CED4" w:rsidR="00A152C0" w:rsidRPr="009929EF" w:rsidRDefault="00270683" w:rsidP="00EC5836">
            <w:pPr>
              <w:pStyle w:val="COMTabletext"/>
              <w:jc w:val="center"/>
              <w:rPr>
                <w:iCs/>
                <w:lang w:val="en-US"/>
              </w:rPr>
            </w:pPr>
            <w:r w:rsidRPr="009929EF">
              <w:rPr>
                <w:iCs/>
                <w:lang w:val="en-US"/>
              </w:rPr>
              <w:t>High</w:t>
            </w:r>
          </w:p>
        </w:tc>
        <w:tc>
          <w:tcPr>
            <w:tcW w:w="944" w:type="pct"/>
            <w:shd w:val="clear" w:color="auto" w:fill="auto"/>
            <w:vAlign w:val="center"/>
          </w:tcPr>
          <w:p w14:paraId="1B84BE0E" w14:textId="3E74457D" w:rsidR="00A152C0" w:rsidRPr="003C03B6" w:rsidRDefault="002E4561" w:rsidP="00EC5836">
            <w:pPr>
              <w:pStyle w:val="COMTabletext"/>
              <w:jc w:val="center"/>
              <w:rPr>
                <w:lang w:val="en-US"/>
              </w:rPr>
            </w:pPr>
            <w:r>
              <w:rPr>
                <w:lang w:val="en-US"/>
              </w:rPr>
              <w:t>Adults with PNH, stable eculizumab regimen for ≥3 months</w:t>
            </w:r>
            <w:r w:rsidR="00A152C0" w:rsidRPr="00A473B4">
              <w:rPr>
                <w:lang w:val="en-US"/>
              </w:rPr>
              <w:t xml:space="preserve"> chemo</w:t>
            </w:r>
            <w:r w:rsidR="003C03B6">
              <w:rPr>
                <w:lang w:val="en-US"/>
              </w:rPr>
              <w:t xml:space="preserve">, </w:t>
            </w:r>
            <w:r w:rsidR="004E126F">
              <w:rPr>
                <w:lang w:val="en-US"/>
              </w:rPr>
              <w:t>Hb</w:t>
            </w:r>
            <w:r w:rsidR="003C03B6">
              <w:rPr>
                <w:lang w:val="en-US"/>
              </w:rPr>
              <w:t xml:space="preserve"> &lt;10.5 g/dL, ARC &gt;1.0 x </w:t>
            </w:r>
            <w:r w:rsidR="00B82888">
              <w:rPr>
                <w:lang w:val="en-US"/>
              </w:rPr>
              <w:t>upper limit of normal</w:t>
            </w:r>
            <w:r w:rsidR="003C03B6">
              <w:rPr>
                <w:lang w:val="en-US"/>
              </w:rPr>
              <w:t>, platelet count &gt;30,000/mm</w:t>
            </w:r>
            <w:r w:rsidR="003C03B6">
              <w:rPr>
                <w:vertAlign w:val="superscript"/>
                <w:lang w:val="en-US"/>
              </w:rPr>
              <w:t>3</w:t>
            </w:r>
            <w:r w:rsidR="003C03B6">
              <w:rPr>
                <w:lang w:val="en-US"/>
              </w:rPr>
              <w:t>, ANC &gt;500/mm</w:t>
            </w:r>
            <w:r w:rsidR="003C03B6">
              <w:rPr>
                <w:vertAlign w:val="superscript"/>
                <w:lang w:val="en-US"/>
              </w:rPr>
              <w:t>3</w:t>
            </w:r>
            <w:r w:rsidR="003C03B6">
              <w:rPr>
                <w:lang w:val="en-US"/>
              </w:rPr>
              <w:t>, BMI &lt;35.0 kg/m</w:t>
            </w:r>
            <w:r w:rsidR="003C03B6">
              <w:rPr>
                <w:vertAlign w:val="superscript"/>
                <w:lang w:val="en-US"/>
              </w:rPr>
              <w:t>2</w:t>
            </w:r>
            <w:r w:rsidR="003C03B6">
              <w:rPr>
                <w:lang w:val="en-US"/>
              </w:rPr>
              <w:t>.</w:t>
            </w:r>
          </w:p>
        </w:tc>
        <w:tc>
          <w:tcPr>
            <w:tcW w:w="2016" w:type="pct"/>
            <w:shd w:val="clear" w:color="auto" w:fill="auto"/>
            <w:vAlign w:val="center"/>
          </w:tcPr>
          <w:p w14:paraId="4A973150" w14:textId="2C1B58B4" w:rsidR="006D7292" w:rsidRDefault="00513C79" w:rsidP="000347F0">
            <w:pPr>
              <w:pStyle w:val="COMTabletext"/>
              <w:numPr>
                <w:ilvl w:val="0"/>
                <w:numId w:val="13"/>
              </w:numPr>
              <w:ind w:left="148" w:hanging="108"/>
              <w:rPr>
                <w:lang w:val="en-US"/>
              </w:rPr>
            </w:pPr>
            <w:r>
              <w:rPr>
                <w:lang w:val="en-US"/>
              </w:rPr>
              <w:t xml:space="preserve">Change from baseline in </w:t>
            </w:r>
            <w:r w:rsidR="007C78D3">
              <w:rPr>
                <w:lang w:val="en-US"/>
              </w:rPr>
              <w:t>haemoglobin</w:t>
            </w:r>
            <w:r>
              <w:rPr>
                <w:lang w:val="en-US"/>
              </w:rPr>
              <w:t xml:space="preserve"> level</w:t>
            </w:r>
          </w:p>
          <w:p w14:paraId="7E4E3598" w14:textId="77777777" w:rsidR="006D7292" w:rsidRDefault="006D7292" w:rsidP="000347F0">
            <w:pPr>
              <w:pStyle w:val="COMTabletext"/>
              <w:numPr>
                <w:ilvl w:val="0"/>
                <w:numId w:val="13"/>
              </w:numPr>
              <w:ind w:left="148" w:hanging="108"/>
              <w:rPr>
                <w:lang w:val="en-US"/>
              </w:rPr>
            </w:pPr>
            <w:r>
              <w:rPr>
                <w:lang w:val="en-US"/>
              </w:rPr>
              <w:t>C</w:t>
            </w:r>
            <w:r w:rsidR="00513C79">
              <w:rPr>
                <w:lang w:val="en-US"/>
              </w:rPr>
              <w:t>hange from baseline in ARC</w:t>
            </w:r>
          </w:p>
          <w:p w14:paraId="30A26B26" w14:textId="77777777" w:rsidR="006D7292" w:rsidRDefault="006D7292" w:rsidP="000347F0">
            <w:pPr>
              <w:pStyle w:val="COMTabletext"/>
              <w:numPr>
                <w:ilvl w:val="0"/>
                <w:numId w:val="13"/>
              </w:numPr>
              <w:ind w:left="148" w:hanging="108"/>
              <w:rPr>
                <w:lang w:val="en-US"/>
              </w:rPr>
            </w:pPr>
            <w:r>
              <w:rPr>
                <w:lang w:val="en-US"/>
              </w:rPr>
              <w:t>C</w:t>
            </w:r>
            <w:r w:rsidR="00513C79">
              <w:rPr>
                <w:lang w:val="en-US"/>
              </w:rPr>
              <w:t>hange from baseline in LDH</w:t>
            </w:r>
          </w:p>
          <w:p w14:paraId="1F8F8A6D" w14:textId="01813162" w:rsidR="00D23D91" w:rsidRDefault="00432CC9" w:rsidP="000347F0">
            <w:pPr>
              <w:pStyle w:val="COMTabletext"/>
              <w:numPr>
                <w:ilvl w:val="0"/>
                <w:numId w:val="13"/>
              </w:numPr>
              <w:ind w:left="148" w:hanging="108"/>
              <w:rPr>
                <w:lang w:val="en-US"/>
              </w:rPr>
            </w:pPr>
            <w:r>
              <w:rPr>
                <w:lang w:val="en-US"/>
              </w:rPr>
              <w:t>U</w:t>
            </w:r>
            <w:r w:rsidR="00513C79">
              <w:rPr>
                <w:lang w:val="en-US"/>
              </w:rPr>
              <w:t xml:space="preserve">nits of </w:t>
            </w:r>
            <w:r>
              <w:rPr>
                <w:lang w:val="en-US"/>
              </w:rPr>
              <w:t xml:space="preserve">packed red blood cells </w:t>
            </w:r>
            <w:r w:rsidR="00513C79">
              <w:rPr>
                <w:lang w:val="en-US"/>
              </w:rPr>
              <w:t>transfused</w:t>
            </w:r>
          </w:p>
          <w:p w14:paraId="67EC820E" w14:textId="747389E8" w:rsidR="00D23D91" w:rsidRDefault="00D23D91" w:rsidP="000347F0">
            <w:pPr>
              <w:pStyle w:val="COMTabletext"/>
              <w:numPr>
                <w:ilvl w:val="0"/>
                <w:numId w:val="13"/>
              </w:numPr>
              <w:ind w:left="148" w:hanging="108"/>
              <w:rPr>
                <w:lang w:val="en-US"/>
              </w:rPr>
            </w:pPr>
            <w:r>
              <w:rPr>
                <w:lang w:val="en-US"/>
              </w:rPr>
              <w:t>Incidence of thromboembolic events</w:t>
            </w:r>
          </w:p>
          <w:p w14:paraId="60BE3A6F" w14:textId="77777777" w:rsidR="00D23D91" w:rsidRDefault="00D23D91" w:rsidP="000347F0">
            <w:pPr>
              <w:pStyle w:val="COMTabletext"/>
              <w:numPr>
                <w:ilvl w:val="0"/>
                <w:numId w:val="13"/>
              </w:numPr>
              <w:ind w:left="148" w:hanging="108"/>
              <w:rPr>
                <w:lang w:val="en-US"/>
              </w:rPr>
            </w:pPr>
            <w:r>
              <w:rPr>
                <w:lang w:val="en-US"/>
              </w:rPr>
              <w:t>Change from baseline in FACIT-Fatigue score</w:t>
            </w:r>
          </w:p>
          <w:p w14:paraId="5F0D47AA" w14:textId="6D897286" w:rsidR="00D23D91" w:rsidRDefault="00D23D91" w:rsidP="000347F0">
            <w:pPr>
              <w:pStyle w:val="COMTabletext"/>
              <w:numPr>
                <w:ilvl w:val="0"/>
                <w:numId w:val="13"/>
              </w:numPr>
              <w:ind w:left="148" w:hanging="108"/>
              <w:rPr>
                <w:lang w:val="en-US"/>
              </w:rPr>
            </w:pPr>
            <w:r>
              <w:rPr>
                <w:lang w:val="en-US"/>
              </w:rPr>
              <w:t>Change from baseline in LASA score</w:t>
            </w:r>
          </w:p>
          <w:p w14:paraId="4E7BED76" w14:textId="614372A2" w:rsidR="00A152C0" w:rsidRPr="00A473B4" w:rsidRDefault="00D27F24" w:rsidP="000347F0">
            <w:pPr>
              <w:pStyle w:val="COMTabletext"/>
              <w:numPr>
                <w:ilvl w:val="0"/>
                <w:numId w:val="13"/>
              </w:numPr>
              <w:ind w:left="148" w:hanging="108"/>
              <w:rPr>
                <w:lang w:val="en-US"/>
              </w:rPr>
            </w:pPr>
            <w:r>
              <w:rPr>
                <w:lang w:val="en-US"/>
              </w:rPr>
              <w:t>A</w:t>
            </w:r>
            <w:r w:rsidR="008A0E86">
              <w:rPr>
                <w:lang w:val="en-US"/>
              </w:rPr>
              <w:t>dverse events</w:t>
            </w:r>
          </w:p>
        </w:tc>
      </w:tr>
    </w:tbl>
    <w:p w14:paraId="560080D2" w14:textId="77A7D63E" w:rsidR="00045017" w:rsidRPr="00A473B4" w:rsidRDefault="00045017" w:rsidP="00EC5836">
      <w:pPr>
        <w:pStyle w:val="COMTablefooter"/>
      </w:pPr>
      <w:r w:rsidRPr="00A473B4">
        <w:t xml:space="preserve">Source: </w:t>
      </w:r>
      <w:r w:rsidR="002E66B6">
        <w:t xml:space="preserve">Table 2-10,; Table 2-12,; </w:t>
      </w:r>
      <w:r w:rsidR="000C4B65" w:rsidRPr="000C4B65">
        <w:t xml:space="preserve">Section </w:t>
      </w:r>
      <w:r w:rsidR="00F80690">
        <w:t xml:space="preserve">2.4.3, </w:t>
      </w:r>
      <w:r w:rsidR="002E66B6">
        <w:t>of the submission.</w:t>
      </w:r>
      <w:r w:rsidR="00F80690">
        <w:t xml:space="preserve"> </w:t>
      </w:r>
    </w:p>
    <w:p w14:paraId="1095487C" w14:textId="01337390" w:rsidR="00620C25" w:rsidRPr="00A473B4" w:rsidRDefault="00D23D91" w:rsidP="00EC5836">
      <w:pPr>
        <w:pStyle w:val="COMTablefooter"/>
        <w:rPr>
          <w:sz w:val="20"/>
        </w:rPr>
      </w:pPr>
      <w:r>
        <w:t xml:space="preserve">Abbreviations: </w:t>
      </w:r>
      <w:r w:rsidR="00F80690">
        <w:t xml:space="preserve">ANC, absolute neutrophil count; </w:t>
      </w:r>
      <w:r w:rsidR="004F40AE">
        <w:t xml:space="preserve">ARC, absolute reticulocyte count; </w:t>
      </w:r>
      <w:r w:rsidR="00135937">
        <w:t xml:space="preserve">BMI, body mass index; </w:t>
      </w:r>
      <w:r w:rsidR="004F40AE">
        <w:t xml:space="preserve">FACIT, Functional Assessment of Chronic Illness Therapy; Hb, haemoglobin; </w:t>
      </w:r>
      <w:r w:rsidR="00135937">
        <w:t xml:space="preserve">LASA, Linear Analogue Assessment Scale; </w:t>
      </w:r>
      <w:r w:rsidR="004F40AE">
        <w:t xml:space="preserve">LDH, lactate dehydrogenase; </w:t>
      </w:r>
      <w:r>
        <w:t>MC, multi-centre; OL, open-label</w:t>
      </w:r>
      <w:r w:rsidR="004F40AE">
        <w:t>; PNH, paroxysmal nocturnal haemoglobinuria</w:t>
      </w:r>
      <w:r w:rsidR="00B82888">
        <w:t>.</w:t>
      </w:r>
    </w:p>
    <w:p w14:paraId="258D88C8" w14:textId="459FF2DF" w:rsidR="002B0B6D" w:rsidRPr="0025780C" w:rsidRDefault="0026592E" w:rsidP="002B0B6D">
      <w:pPr>
        <w:pStyle w:val="COMexecsumnumberedpara"/>
      </w:pPr>
      <w:r w:rsidRPr="0025780C">
        <w:t xml:space="preserve">The APPLY-PNH and PEGASUS trials each had a high risk of bias. As the trials were open label, investigators, patients and study </w:t>
      </w:r>
      <w:r w:rsidR="004248E2" w:rsidRPr="0025780C">
        <w:t>personnel</w:t>
      </w:r>
      <w:r w:rsidRPr="0025780C">
        <w:t xml:space="preserve"> were not blinded to treatment </w:t>
      </w:r>
      <w:r w:rsidR="008E5034" w:rsidRPr="0025780C">
        <w:t>assignment</w:t>
      </w:r>
      <w:r w:rsidR="001D6013" w:rsidRPr="0025780C">
        <w:t xml:space="preserve">. Knowledge of the treatment </w:t>
      </w:r>
      <w:r w:rsidR="008E5034" w:rsidRPr="0025780C">
        <w:t xml:space="preserve">assignment </w:t>
      </w:r>
      <w:r w:rsidR="001D6013" w:rsidRPr="0025780C">
        <w:t xml:space="preserve">may </w:t>
      </w:r>
      <w:r w:rsidRPr="0025780C">
        <w:t xml:space="preserve">have influenced the </w:t>
      </w:r>
      <w:r w:rsidR="008E5034" w:rsidRPr="0025780C">
        <w:t>management</w:t>
      </w:r>
      <w:r w:rsidRPr="0025780C">
        <w:t xml:space="preserve"> of patients </w:t>
      </w:r>
      <w:r w:rsidR="00640211" w:rsidRPr="0025780C">
        <w:t>and/</w:t>
      </w:r>
      <w:r w:rsidR="008E5034" w:rsidRPr="0025780C">
        <w:t xml:space="preserve">or the </w:t>
      </w:r>
      <w:r w:rsidR="00916342" w:rsidRPr="0025780C">
        <w:t>reporti</w:t>
      </w:r>
      <w:r w:rsidR="008E5034" w:rsidRPr="0025780C">
        <w:t>ng of subjective</w:t>
      </w:r>
      <w:r w:rsidR="00916342" w:rsidRPr="0025780C">
        <w:t xml:space="preserve"> outcomes </w:t>
      </w:r>
      <w:r w:rsidR="008E5034" w:rsidRPr="0025780C">
        <w:t>(</w:t>
      </w:r>
      <w:r w:rsidR="00916342" w:rsidRPr="0025780C">
        <w:t xml:space="preserve">such as </w:t>
      </w:r>
      <w:r w:rsidR="008E5034" w:rsidRPr="0025780C">
        <w:t xml:space="preserve">the </w:t>
      </w:r>
      <w:r w:rsidR="00916342" w:rsidRPr="0025780C">
        <w:t>FACIT-Fatigue</w:t>
      </w:r>
      <w:r w:rsidR="008E5034" w:rsidRPr="0025780C">
        <w:t xml:space="preserve"> score)</w:t>
      </w:r>
      <w:r w:rsidR="00640211" w:rsidRPr="0025780C">
        <w:t xml:space="preserve"> in the trials.</w:t>
      </w:r>
      <w:r w:rsidRPr="0025780C">
        <w:t xml:space="preserve"> </w:t>
      </w:r>
      <w:r w:rsidR="009F59C7" w:rsidRPr="009929EF">
        <w:t>The ESC considered that although the APPLY-PN</w:t>
      </w:r>
      <w:r w:rsidR="006F208F" w:rsidRPr="009929EF">
        <w:t>H</w:t>
      </w:r>
      <w:r w:rsidR="009F59C7" w:rsidRPr="009929EF">
        <w:t xml:space="preserve"> and PEGUSUS trials were associated with a high risk of bias, the majority of outcomes were objective and standard in PNH.</w:t>
      </w:r>
      <w:r w:rsidR="009F59C7">
        <w:rPr>
          <w:i/>
          <w:iCs/>
        </w:rPr>
        <w:t xml:space="preserve"> </w:t>
      </w:r>
      <w:r w:rsidRPr="0025780C">
        <w:t xml:space="preserve">The indirect comparisons presented in the submission were conducted post hoc and were also associated with a high risk of bias. </w:t>
      </w:r>
    </w:p>
    <w:p w14:paraId="70A51460" w14:textId="487BE32D" w:rsidR="002B0B6D" w:rsidRPr="0025780C" w:rsidRDefault="002B0B6D" w:rsidP="002B0B6D">
      <w:pPr>
        <w:pStyle w:val="COMexecsumnumberedpara"/>
      </w:pPr>
      <w:r w:rsidRPr="0025780C">
        <w:t>The inclusion of a 4-week run-in period in the PEGASUS trial, during which patients received treatment with pegcetacoplan in addition to their prior regimen of eculizumab, was a key difference between the APPLY-PNH and PEGASUS trials. The submission noted that there were large differences in some of the outcomes between the control arms of the trials, and suggested that the differences may be due to the cessation of pegcetacoplan in the eculizumab arm at the end of the 4-week run-in period:</w:t>
      </w:r>
    </w:p>
    <w:p w14:paraId="080BA056" w14:textId="44D4ECAF" w:rsidR="002B0B6D" w:rsidRPr="00505ABB" w:rsidRDefault="002B0B6D" w:rsidP="006115F0">
      <w:pPr>
        <w:pStyle w:val="COMexecsummbulletlist"/>
        <w:ind w:left="1134"/>
      </w:pPr>
      <w:r w:rsidRPr="00505ABB">
        <w:lastRenderedPageBreak/>
        <w:t>A lower proportion of patients in the C5 inhibitor arm of the APPLY-PNH trial required a blood transfusion compared to the eculizumab arm of the PEGASUS trial (60% versus 85%)</w:t>
      </w:r>
      <w:r w:rsidR="00640211">
        <w:t>.</w:t>
      </w:r>
    </w:p>
    <w:p w14:paraId="4112C7A7" w14:textId="3788D1BD" w:rsidR="002B0B6D" w:rsidRPr="00505ABB" w:rsidRDefault="002B0B6D" w:rsidP="006115F0">
      <w:pPr>
        <w:pStyle w:val="COMexecsummbulletlist"/>
        <w:ind w:left="1134"/>
      </w:pPr>
      <w:r w:rsidRPr="00505ABB">
        <w:t>Patients in the C5 inhibitor arm of the APPLY-PNH trial experienced a smaller reduction in mean haemoglobin compared to the eculizumab arm of the PEGASUS trial (</w:t>
      </w:r>
      <w:r>
        <w:t>-</w:t>
      </w:r>
      <w:r w:rsidRPr="00505ABB">
        <w:t xml:space="preserve">0.06 g/dL versus </w:t>
      </w:r>
      <w:r>
        <w:t>-</w:t>
      </w:r>
      <w:r w:rsidRPr="00505ABB">
        <w:t>1.47 g/dL)</w:t>
      </w:r>
      <w:r w:rsidR="00640211">
        <w:t>.</w:t>
      </w:r>
    </w:p>
    <w:p w14:paraId="0882254B" w14:textId="16E3032C" w:rsidR="002B0B6D" w:rsidRPr="00505ABB" w:rsidRDefault="002B0B6D" w:rsidP="006115F0">
      <w:pPr>
        <w:pStyle w:val="COMexecsummbulletlist"/>
        <w:ind w:left="1134"/>
      </w:pPr>
      <w:r w:rsidRPr="00505ABB">
        <w:t>Patients in the C5 inhibitor arm of the APPLY-PNH trial experienced a smaller increase from baseline in absolute reticulocyte count compared to the eculizumab arm of the PEGASUS trial (0.34 x10</w:t>
      </w:r>
      <w:r w:rsidRPr="006115F0">
        <w:t>9</w:t>
      </w:r>
      <w:r w:rsidRPr="00505ABB">
        <w:t>/L versus 28 x10</w:t>
      </w:r>
      <w:r w:rsidRPr="006115F0">
        <w:t>9</w:t>
      </w:r>
      <w:r w:rsidRPr="00505ABB">
        <w:t>/L)</w:t>
      </w:r>
      <w:r w:rsidR="00640211">
        <w:t>.</w:t>
      </w:r>
    </w:p>
    <w:p w14:paraId="03DD56A3" w14:textId="5337A481" w:rsidR="002B0B6D" w:rsidRPr="006115F0" w:rsidRDefault="002B0B6D" w:rsidP="006115F0">
      <w:pPr>
        <w:pStyle w:val="COMexecsummbulletlist"/>
        <w:ind w:left="1134"/>
      </w:pPr>
      <w:r w:rsidRPr="006115F0">
        <w:t xml:space="preserve">A lower proportion of patients in the C5 </w:t>
      </w:r>
      <w:r w:rsidR="00640211" w:rsidRPr="006115F0">
        <w:t xml:space="preserve">inhibitor </w:t>
      </w:r>
      <w:r w:rsidRPr="006115F0">
        <w:t>arm of the APPLY-PNH trial experienced breakthrough haemolysis (17.1% versus 23.1%).</w:t>
      </w:r>
    </w:p>
    <w:p w14:paraId="5A91F50F" w14:textId="3EAE6D29" w:rsidR="002B0B6D" w:rsidRPr="0025780C" w:rsidRDefault="002B0B6D" w:rsidP="002B0B6D">
      <w:pPr>
        <w:pStyle w:val="COMexecsumnumberedpara"/>
      </w:pPr>
      <w:r w:rsidRPr="002258A4">
        <w:t>There were differences between treatment arms of the APPLY-PNH trial</w:t>
      </w:r>
      <w:r w:rsidR="006D570E" w:rsidRPr="002258A4">
        <w:t xml:space="preserve">, including differences </w:t>
      </w:r>
      <w:r w:rsidRPr="002258A4">
        <w:t>in median age (53 years versus 45 years in the iptacopan and C5 inhibitor arms, respectively), mean disease duration (11.9 years versus 13.6 years), mean duration of C5 inhibitor treatment (3.8 years versus 4.2 years), mean platelet count (160.2 x 10</w:t>
      </w:r>
      <w:r w:rsidRPr="002258A4">
        <w:rPr>
          <w:vertAlign w:val="superscript"/>
        </w:rPr>
        <w:t>9</w:t>
      </w:r>
      <w:r w:rsidRPr="002258A4">
        <w:t>/L versus 147.3 x 10</w:t>
      </w:r>
      <w:r w:rsidRPr="002258A4">
        <w:rPr>
          <w:vertAlign w:val="superscript"/>
        </w:rPr>
        <w:t>9</w:t>
      </w:r>
      <w:r w:rsidRPr="002258A4">
        <w:t xml:space="preserve">/L), mean baseline FACIT-Fatigue total score (34.7 versus 30.8), and </w:t>
      </w:r>
      <w:r w:rsidR="00AA0154">
        <w:t xml:space="preserve">the </w:t>
      </w:r>
      <w:r w:rsidRPr="002258A4">
        <w:t>proportion with a history of at least one major adverse vascular event (19.4% versus 25.7%).</w:t>
      </w:r>
      <w:r w:rsidR="00B44C89" w:rsidRPr="002258A4">
        <w:t xml:space="preserve"> </w:t>
      </w:r>
      <w:r w:rsidR="006D570E" w:rsidRPr="0025780C">
        <w:t>These differences may have impacted the treatment outcomes reported for the trial.</w:t>
      </w:r>
      <w:r w:rsidR="00B44C89" w:rsidRPr="0025780C">
        <w:t xml:space="preserve"> </w:t>
      </w:r>
    </w:p>
    <w:p w14:paraId="112F41B4" w14:textId="69CCAAEE" w:rsidR="002B0B6D" w:rsidRPr="0025780C" w:rsidRDefault="002B0B6D" w:rsidP="002258A4">
      <w:pPr>
        <w:pStyle w:val="COMexecsumnumberedpara"/>
      </w:pPr>
      <w:r w:rsidRPr="002258A4">
        <w:t xml:space="preserve">There were differences between treatment arms of the PEGASUS trial in mean age (50.2 years versus 47.3 years in the pegcetacoplan and eculizumab arms, respectively), proportion of female patients (66% versus 56%), proportion with White race (59% versus 64%), median disease duration (6.0 years versus 9.7 years), duration of eculizumab treatment (4.4 years versus 3.4 years), the baseline lactate dehydrogenase level (257.5 U/L versus 308.6 U/L), proportion with </w:t>
      </w:r>
      <w:r w:rsidRPr="002258A4">
        <w:rPr>
          <w:rFonts w:cs="Calibri"/>
        </w:rPr>
        <w:t>≥</w:t>
      </w:r>
      <w:r w:rsidRPr="002258A4">
        <w:t>4 transfusions in the prior 12</w:t>
      </w:r>
      <w:r w:rsidR="00AA0154">
        <w:t> </w:t>
      </w:r>
      <w:r w:rsidRPr="002258A4">
        <w:t>months (51% versus 59%), mean platelet count (166.6 x 10</w:t>
      </w:r>
      <w:r w:rsidRPr="002258A4">
        <w:rPr>
          <w:vertAlign w:val="superscript"/>
        </w:rPr>
        <w:t>9</w:t>
      </w:r>
      <w:r w:rsidRPr="002258A4">
        <w:t>/L versus 146.9</w:t>
      </w:r>
      <w:r w:rsidR="00E70C72">
        <w:t> </w:t>
      </w:r>
      <w:r w:rsidRPr="002258A4">
        <w:t>x</w:t>
      </w:r>
      <w:r w:rsidR="00E70C72">
        <w:t> </w:t>
      </w:r>
      <w:r w:rsidRPr="002258A4">
        <w:t>10</w:t>
      </w:r>
      <w:r w:rsidRPr="002258A4">
        <w:rPr>
          <w:vertAlign w:val="superscript"/>
        </w:rPr>
        <w:t>9</w:t>
      </w:r>
      <w:r w:rsidRPr="002258A4">
        <w:t>/L), and the proportion with a history of aplastic anaemia (27% versus 23%).</w:t>
      </w:r>
      <w:r w:rsidR="006D570E" w:rsidRPr="002258A4">
        <w:t xml:space="preserve"> </w:t>
      </w:r>
      <w:r w:rsidR="006D570E" w:rsidRPr="0025780C">
        <w:t>These differences may have impacted the treatment outcomes reported for the trial.</w:t>
      </w:r>
    </w:p>
    <w:p w14:paraId="474C6F67" w14:textId="07FC90C0" w:rsidR="002B0B6D" w:rsidRPr="009929EF" w:rsidRDefault="002B0B6D" w:rsidP="002B0B6D">
      <w:pPr>
        <w:pStyle w:val="COMexecsumnumberedpara"/>
      </w:pPr>
      <w:r w:rsidRPr="002258A4">
        <w:t>Based on a comparison of baseline patient characteristics between the APPLY-PNH and PEGASUS trials, the APPLY-PNH trial included a higher proportion of female patients (69.4% and 68.6% in the iptacopan and C5 inhibitor arms, respectively, versus 66% and 56% in the pegcetacoplan and eculizumab arms, respectively), a higher proportion of patients with White race (77.4% and 74.3% versus 59% and 64%), a longer median disease duration (9.0 years and 11.6 years versus 6.0 years and 9.7</w:t>
      </w:r>
      <w:r w:rsidR="00E70C72">
        <w:t> </w:t>
      </w:r>
      <w:r w:rsidRPr="002258A4">
        <w:t xml:space="preserve">years), </w:t>
      </w:r>
      <w:r w:rsidR="002930C6">
        <w:t xml:space="preserve">a </w:t>
      </w:r>
      <w:r w:rsidRPr="002258A4">
        <w:t>shorter median duration of C5 inhibitor treatment (2.6 years and 2.7</w:t>
      </w:r>
      <w:r w:rsidR="00E70C72">
        <w:t> </w:t>
      </w:r>
      <w:r w:rsidRPr="002258A4">
        <w:t xml:space="preserve">years versus 4.4 years and 3.4 years), a higher mean haemoglobin (8.9 g/dL and 8.9 g/dL versus 8.7 g/dL and 8.7 g/dL), a lower proportion of patients with a transfusion in the prior 12 months (60% and 63% versus 76% and 74%), a lower proportion with </w:t>
      </w:r>
      <w:r w:rsidRPr="002258A4">
        <w:rPr>
          <w:rFonts w:cs="Calibri"/>
        </w:rPr>
        <w:t>≥</w:t>
      </w:r>
      <w:r w:rsidRPr="002258A4">
        <w:t>4 transfusions in the prior 12 months (26.8% overall versus 51% and 59%), a lower mean absolute reticulocyte count (193.2 x10</w:t>
      </w:r>
      <w:r w:rsidRPr="002258A4">
        <w:rPr>
          <w:vertAlign w:val="superscript"/>
        </w:rPr>
        <w:t>9</w:t>
      </w:r>
      <w:r w:rsidRPr="002258A4">
        <w:t>/L and 190.6 x10</w:t>
      </w:r>
      <w:r w:rsidRPr="002258A4">
        <w:rPr>
          <w:vertAlign w:val="superscript"/>
        </w:rPr>
        <w:t>9</w:t>
      </w:r>
      <w:r w:rsidRPr="002258A4">
        <w:t>/L versus 217.5 x10</w:t>
      </w:r>
      <w:r w:rsidRPr="002258A4">
        <w:rPr>
          <w:vertAlign w:val="superscript"/>
        </w:rPr>
        <w:t>9</w:t>
      </w:r>
      <w:r w:rsidRPr="002258A4">
        <w:t>/L and 216.2 x10</w:t>
      </w:r>
      <w:r w:rsidRPr="002258A4">
        <w:rPr>
          <w:vertAlign w:val="superscript"/>
        </w:rPr>
        <w:t>9</w:t>
      </w:r>
      <w:r w:rsidRPr="002258A4">
        <w:t xml:space="preserve">/L) and a lower proportion of patients with aplastic </w:t>
      </w:r>
      <w:r w:rsidRPr="002258A4">
        <w:lastRenderedPageBreak/>
        <w:t>anaemia (14.5% and 14.3% versus 27% and 23%).</w:t>
      </w:r>
      <w:r w:rsidR="00C0731F">
        <w:t xml:space="preserve"> </w:t>
      </w:r>
      <w:r w:rsidR="00C0731F" w:rsidRPr="009929EF">
        <w:t xml:space="preserve">The ESC noted the differences in baseline patient characteristics between the APPLY-PNH and PEGASUS trials. However, the ESC considered that, with the exception of the proportion of patients with aplastic anaemia, the differences in patient characteristics between the trials were not clinically important in the context of PNH. </w:t>
      </w:r>
    </w:p>
    <w:p w14:paraId="308E0624" w14:textId="6EAD3D63" w:rsidR="00524195" w:rsidRPr="0025780C" w:rsidRDefault="00524195" w:rsidP="002B0B6D">
      <w:pPr>
        <w:pStyle w:val="COMexecsumnumberedpara"/>
      </w:pPr>
      <w:r w:rsidRPr="002258A4">
        <w:t xml:space="preserve">All patients in the PEGASUS trial were receiving eculizumab at baseline, whereas patients in the APPLY-PNH trial were receiving either eculizumab or ravulizumab. The submission argued that differences between the trials in C5 inhibitor therapy were not expected to impact the indirect treatment comparison given that ravulizumab is a pharmacological analogue of eculizumab, and the PBAC had previously considered ravulizumab as non-inferior in effectiveness and safety compared to eculizumab. </w:t>
      </w:r>
      <w:r w:rsidRPr="0025780C">
        <w:t>This claim was considered uncertain</w:t>
      </w:r>
      <w:r w:rsidR="00D25E6E">
        <w:t xml:space="preserve"> </w:t>
      </w:r>
      <w:r w:rsidR="00D25E6E" w:rsidRPr="009929EF">
        <w:t>during evaluation as d</w:t>
      </w:r>
      <w:r w:rsidR="00B47FEB" w:rsidRPr="009929EF">
        <w:t>ifferences</w:t>
      </w:r>
      <w:r w:rsidR="00B47FEB" w:rsidRPr="0025780C">
        <w:t xml:space="preserve"> in treatments and treatment doses may impact the frequency of </w:t>
      </w:r>
      <w:r w:rsidR="002930C6" w:rsidRPr="0025780C">
        <w:t xml:space="preserve">breakthrough </w:t>
      </w:r>
      <w:r w:rsidR="00B47FEB" w:rsidRPr="0025780C">
        <w:t>haemolytic events.</w:t>
      </w:r>
    </w:p>
    <w:p w14:paraId="4A4FE085" w14:textId="1C5613CC" w:rsidR="00B60939" w:rsidRDefault="00B60939" w:rsidP="00EC5836">
      <w:pPr>
        <w:pStyle w:val="COMH2-non-numbered"/>
      </w:pPr>
      <w:bookmarkStart w:id="25" w:name="_Toc22897641"/>
      <w:bookmarkStart w:id="26" w:name="_Toc167262986"/>
      <w:r w:rsidRPr="00A473B4">
        <w:t>Comparative effectiveness</w:t>
      </w:r>
      <w:bookmarkEnd w:id="25"/>
      <w:bookmarkEnd w:id="26"/>
    </w:p>
    <w:p w14:paraId="1B07D95A" w14:textId="5F600443" w:rsidR="00AA0154" w:rsidRPr="00BE0534" w:rsidRDefault="00FC2B11" w:rsidP="00E70C72">
      <w:pPr>
        <w:pStyle w:val="COMH3"/>
        <w:spacing w:after="120"/>
        <w:rPr>
          <w:sz w:val="24"/>
        </w:rPr>
      </w:pPr>
      <w:r w:rsidRPr="00BE0534">
        <w:rPr>
          <w:sz w:val="24"/>
        </w:rPr>
        <w:t>APPLY-PNH trial</w:t>
      </w:r>
    </w:p>
    <w:p w14:paraId="69F49436" w14:textId="6510379F" w:rsidR="00524195" w:rsidRDefault="006D5094" w:rsidP="00524195">
      <w:pPr>
        <w:pStyle w:val="COMexecsumnumberedpara"/>
      </w:pPr>
      <w:r>
        <w:fldChar w:fldCharType="begin"/>
      </w:r>
      <w:r>
        <w:instrText xml:space="preserve"> REF _Ref166448698 \h </w:instrText>
      </w:r>
      <w:r>
        <w:fldChar w:fldCharType="separate"/>
      </w:r>
      <w:r w:rsidR="002E7F91" w:rsidRPr="00A473B4">
        <w:t xml:space="preserve">Table </w:t>
      </w:r>
      <w:r w:rsidR="002E7F91">
        <w:rPr>
          <w:noProof/>
        </w:rPr>
        <w:t>4</w:t>
      </w:r>
      <w:r>
        <w:fldChar w:fldCharType="end"/>
      </w:r>
      <w:r>
        <w:t xml:space="preserve"> </w:t>
      </w:r>
      <w:r w:rsidR="00524195">
        <w:t xml:space="preserve">presents the results for the primary outcomes </w:t>
      </w:r>
      <w:r w:rsidR="003145FC">
        <w:t>in</w:t>
      </w:r>
      <w:r w:rsidR="00524195">
        <w:t xml:space="preserve"> the APPLY-PNH trial.</w:t>
      </w:r>
    </w:p>
    <w:p w14:paraId="66E6D021" w14:textId="663A7791" w:rsidR="00524195" w:rsidRPr="00A473B4" w:rsidRDefault="000056EE" w:rsidP="00524195">
      <w:pPr>
        <w:pStyle w:val="COMtablefigcaption"/>
        <w:rPr>
          <w:b w:val="0"/>
        </w:rPr>
      </w:pPr>
      <w:bookmarkStart w:id="27" w:name="_Ref166448698"/>
      <w:r w:rsidRPr="00A473B4">
        <w:t xml:space="preserve">Table </w:t>
      </w:r>
      <w:r w:rsidR="00C52DBB">
        <w:fldChar w:fldCharType="begin"/>
      </w:r>
      <w:r w:rsidR="00C52DBB">
        <w:instrText xml:space="preserve"> SEQ Table \* ARABIC </w:instrText>
      </w:r>
      <w:r w:rsidR="00C52DBB">
        <w:fldChar w:fldCharType="separate"/>
      </w:r>
      <w:r w:rsidR="002E7F91">
        <w:rPr>
          <w:noProof/>
        </w:rPr>
        <w:t>4</w:t>
      </w:r>
      <w:r w:rsidR="00C52DBB">
        <w:rPr>
          <w:noProof/>
        </w:rPr>
        <w:fldChar w:fldCharType="end"/>
      </w:r>
      <w:bookmarkEnd w:id="27"/>
      <w:r w:rsidR="00524195" w:rsidRPr="00A473B4">
        <w:t xml:space="preserve">: </w:t>
      </w:r>
      <w:r w:rsidR="00524195">
        <w:t>R</w:t>
      </w:r>
      <w:r w:rsidR="00524195" w:rsidRPr="008B517A">
        <w:t xml:space="preserve">esults for the primary outcomes </w:t>
      </w:r>
      <w:r w:rsidR="003145FC">
        <w:t>in</w:t>
      </w:r>
      <w:r w:rsidR="00524195" w:rsidRPr="008B517A">
        <w:t xml:space="preserve"> the APPLY-PNH trial</w:t>
      </w:r>
      <w:r w:rsidR="00524195">
        <w:t xml:space="preserve"> (24 weeks)</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Results for the primary outcomes in the APPLY-PNH trial (24 weeks)"/>
        <w:tblDescription w:val="Table 4: Results for the primary outcomes in the APPLY-PNH trial (24 weeks)"/>
      </w:tblPr>
      <w:tblGrid>
        <w:gridCol w:w="2402"/>
        <w:gridCol w:w="1641"/>
        <w:gridCol w:w="1641"/>
        <w:gridCol w:w="1641"/>
        <w:gridCol w:w="1643"/>
      </w:tblGrid>
      <w:tr w:rsidR="00524195" w:rsidRPr="00A473B4" w14:paraId="36F1C00D" w14:textId="77777777" w:rsidTr="00BF73EB">
        <w:trPr>
          <w:tblHeader/>
        </w:trPr>
        <w:tc>
          <w:tcPr>
            <w:tcW w:w="1339" w:type="pct"/>
            <w:vAlign w:val="center"/>
          </w:tcPr>
          <w:p w14:paraId="3FCB6D23" w14:textId="77777777" w:rsidR="00524195" w:rsidRPr="00A473B4" w:rsidRDefault="00524195" w:rsidP="00BF73EB">
            <w:pPr>
              <w:pStyle w:val="COMTableheadingrow"/>
            </w:pPr>
          </w:p>
        </w:tc>
        <w:tc>
          <w:tcPr>
            <w:tcW w:w="915" w:type="pct"/>
            <w:vAlign w:val="center"/>
          </w:tcPr>
          <w:p w14:paraId="7A26A7CF" w14:textId="77777777" w:rsidR="00524195" w:rsidRDefault="00524195" w:rsidP="00BF73EB">
            <w:pPr>
              <w:pStyle w:val="COMTableheadingrow"/>
              <w:jc w:val="center"/>
            </w:pPr>
            <w:r>
              <w:t>Iptacopan</w:t>
            </w:r>
          </w:p>
          <w:p w14:paraId="3800B712" w14:textId="77777777" w:rsidR="00524195" w:rsidRPr="00A473B4" w:rsidRDefault="00524195" w:rsidP="00BF73EB">
            <w:pPr>
              <w:pStyle w:val="COMTableheadingrow"/>
              <w:jc w:val="center"/>
            </w:pPr>
            <w:r>
              <w:t>N=62</w:t>
            </w:r>
          </w:p>
        </w:tc>
        <w:tc>
          <w:tcPr>
            <w:tcW w:w="915" w:type="pct"/>
            <w:vAlign w:val="center"/>
          </w:tcPr>
          <w:p w14:paraId="0E7C0595" w14:textId="77777777" w:rsidR="00524195" w:rsidRDefault="00524195" w:rsidP="00BF73EB">
            <w:pPr>
              <w:pStyle w:val="COMTableheadingrow"/>
              <w:jc w:val="center"/>
            </w:pPr>
            <w:r>
              <w:t>C5 inhibitor</w:t>
            </w:r>
          </w:p>
          <w:p w14:paraId="46EEE904" w14:textId="77777777" w:rsidR="00524195" w:rsidRPr="00A473B4" w:rsidRDefault="00524195" w:rsidP="00BF73EB">
            <w:pPr>
              <w:pStyle w:val="COMTableheadingrow"/>
              <w:jc w:val="center"/>
            </w:pPr>
            <w:r>
              <w:t>N=35</w:t>
            </w:r>
          </w:p>
        </w:tc>
        <w:tc>
          <w:tcPr>
            <w:tcW w:w="915" w:type="pct"/>
            <w:vAlign w:val="center"/>
          </w:tcPr>
          <w:p w14:paraId="566E07A8" w14:textId="77777777" w:rsidR="00524195" w:rsidRPr="00A473B4" w:rsidRDefault="00524195" w:rsidP="00BF73EB">
            <w:pPr>
              <w:pStyle w:val="COMTableheadingrow"/>
              <w:jc w:val="center"/>
            </w:pPr>
            <w:r>
              <w:t>Difference in marginal proportion</w:t>
            </w:r>
            <w:r w:rsidRPr="00A473B4">
              <w:t xml:space="preserve"> (95% CI)</w:t>
            </w:r>
          </w:p>
        </w:tc>
        <w:tc>
          <w:tcPr>
            <w:tcW w:w="916" w:type="pct"/>
            <w:vAlign w:val="center"/>
          </w:tcPr>
          <w:p w14:paraId="5628A3A1" w14:textId="77777777" w:rsidR="00524195" w:rsidRDefault="00524195" w:rsidP="00BF73EB">
            <w:pPr>
              <w:pStyle w:val="COMTableheadingrow"/>
              <w:jc w:val="center"/>
            </w:pPr>
            <w:r>
              <w:t>Ratio of marginal proportion</w:t>
            </w:r>
            <w:r w:rsidRPr="00A473B4">
              <w:t xml:space="preserve"> </w:t>
            </w:r>
          </w:p>
          <w:p w14:paraId="701A2B08" w14:textId="77777777" w:rsidR="00524195" w:rsidRPr="00A473B4" w:rsidRDefault="00524195" w:rsidP="00BF73EB">
            <w:pPr>
              <w:pStyle w:val="COMTableheadingrow"/>
              <w:jc w:val="center"/>
            </w:pPr>
            <w:r w:rsidRPr="00A473B4">
              <w:t>(95% CI)</w:t>
            </w:r>
          </w:p>
        </w:tc>
      </w:tr>
      <w:tr w:rsidR="00524195" w:rsidRPr="00A473B4" w14:paraId="007140F4" w14:textId="77777777" w:rsidTr="00BF73EB">
        <w:tc>
          <w:tcPr>
            <w:tcW w:w="5000" w:type="pct"/>
            <w:gridSpan w:val="5"/>
            <w:vAlign w:val="center"/>
          </w:tcPr>
          <w:p w14:paraId="73618D29" w14:textId="77777777" w:rsidR="00524195" w:rsidRPr="008F2E41" w:rsidRDefault="00524195" w:rsidP="00BF73EB">
            <w:pPr>
              <w:pStyle w:val="COMTabletext"/>
              <w:rPr>
                <w:b/>
                <w:bCs w:val="0"/>
                <w:vertAlign w:val="superscript"/>
              </w:rPr>
            </w:pPr>
            <w:r w:rsidRPr="008F2E41">
              <w:rPr>
                <w:b/>
                <w:bCs w:val="0"/>
              </w:rPr>
              <w:t xml:space="preserve">Increase in </w:t>
            </w:r>
            <w:r>
              <w:rPr>
                <w:b/>
                <w:bCs w:val="0"/>
              </w:rPr>
              <w:t>haemoglobin</w:t>
            </w:r>
            <w:r w:rsidRPr="008F2E41">
              <w:rPr>
                <w:b/>
                <w:bCs w:val="0"/>
              </w:rPr>
              <w:t xml:space="preserve"> levels ≥2</w:t>
            </w:r>
            <w:r>
              <w:rPr>
                <w:b/>
                <w:bCs w:val="0"/>
              </w:rPr>
              <w:t> </w:t>
            </w:r>
            <w:r w:rsidRPr="008F2E41">
              <w:rPr>
                <w:b/>
                <w:bCs w:val="0"/>
              </w:rPr>
              <w:t>g/dL from baselin</w:t>
            </w:r>
            <w:r>
              <w:rPr>
                <w:b/>
                <w:bCs w:val="0"/>
              </w:rPr>
              <w:t xml:space="preserve">e </w:t>
            </w:r>
            <w:r>
              <w:rPr>
                <w:b/>
                <w:bCs w:val="0"/>
                <w:vertAlign w:val="superscript"/>
              </w:rPr>
              <w:t>a</w:t>
            </w:r>
          </w:p>
        </w:tc>
      </w:tr>
      <w:tr w:rsidR="00524195" w:rsidRPr="00A473B4" w14:paraId="6A53F1A4" w14:textId="77777777" w:rsidTr="00BF73EB">
        <w:tc>
          <w:tcPr>
            <w:tcW w:w="1339" w:type="pct"/>
            <w:vAlign w:val="center"/>
          </w:tcPr>
          <w:p w14:paraId="13D58937" w14:textId="77777777" w:rsidR="00524195" w:rsidRPr="008316A7" w:rsidRDefault="00524195" w:rsidP="00BF73EB">
            <w:pPr>
              <w:pStyle w:val="COMTabletext"/>
              <w:rPr>
                <w:vertAlign w:val="superscript"/>
              </w:rPr>
            </w:pPr>
            <w:r>
              <w:t>n/N</w:t>
            </w:r>
          </w:p>
        </w:tc>
        <w:tc>
          <w:tcPr>
            <w:tcW w:w="915" w:type="pct"/>
          </w:tcPr>
          <w:p w14:paraId="01FDBBC8" w14:textId="77777777" w:rsidR="00524195" w:rsidRPr="00A473B4" w:rsidRDefault="00524195" w:rsidP="00BF73EB">
            <w:pPr>
              <w:pStyle w:val="COMTabletext"/>
              <w:jc w:val="center"/>
            </w:pPr>
            <w:r w:rsidRPr="00CA041C">
              <w:t>51/60</w:t>
            </w:r>
          </w:p>
        </w:tc>
        <w:tc>
          <w:tcPr>
            <w:tcW w:w="915" w:type="pct"/>
          </w:tcPr>
          <w:p w14:paraId="7E199A7E" w14:textId="77777777" w:rsidR="00524195" w:rsidRPr="00A473B4" w:rsidRDefault="00524195" w:rsidP="00BF73EB">
            <w:pPr>
              <w:pStyle w:val="COMTabletext"/>
              <w:jc w:val="center"/>
            </w:pPr>
            <w:r w:rsidRPr="00CA041C">
              <w:t>0/35</w:t>
            </w:r>
          </w:p>
        </w:tc>
        <w:tc>
          <w:tcPr>
            <w:tcW w:w="915" w:type="pct"/>
            <w:vMerge w:val="restart"/>
            <w:vAlign w:val="center"/>
          </w:tcPr>
          <w:p w14:paraId="3748CA20" w14:textId="77777777" w:rsidR="00524195" w:rsidRPr="00D96D88" w:rsidRDefault="00524195" w:rsidP="00BF73EB">
            <w:pPr>
              <w:pStyle w:val="COMTabletext"/>
              <w:jc w:val="center"/>
              <w:rPr>
                <w:b/>
                <w:bCs w:val="0"/>
              </w:rPr>
            </w:pPr>
            <w:r w:rsidRPr="00D96D88">
              <w:rPr>
                <w:b/>
                <w:bCs w:val="0"/>
              </w:rPr>
              <w:t>80.2 (71.2, 87.6)</w:t>
            </w:r>
          </w:p>
        </w:tc>
        <w:tc>
          <w:tcPr>
            <w:tcW w:w="916" w:type="pct"/>
            <w:vMerge w:val="restart"/>
            <w:vAlign w:val="center"/>
          </w:tcPr>
          <w:p w14:paraId="7E7F079C" w14:textId="5847C83E" w:rsidR="00524195" w:rsidRPr="00D96D88" w:rsidRDefault="00BF73EB" w:rsidP="00BF73EB">
            <w:pPr>
              <w:pStyle w:val="COMTabletext"/>
              <w:jc w:val="center"/>
              <w:rPr>
                <w:b/>
                <w:bCs w:val="0"/>
              </w:rPr>
            </w:pPr>
            <w:r w:rsidRPr="00D96D88">
              <w:rPr>
                <w:b/>
                <w:bCs w:val="0"/>
              </w:rPr>
              <w:t>40.2 (20.7, 74.8)</w:t>
            </w:r>
          </w:p>
        </w:tc>
      </w:tr>
      <w:tr w:rsidR="00524195" w:rsidRPr="00A473B4" w14:paraId="4E48DD03" w14:textId="77777777" w:rsidTr="00BF73EB">
        <w:tc>
          <w:tcPr>
            <w:tcW w:w="1339" w:type="pct"/>
            <w:vAlign w:val="center"/>
          </w:tcPr>
          <w:p w14:paraId="316A1817" w14:textId="77777777" w:rsidR="00524195" w:rsidRPr="00A473B4" w:rsidRDefault="00524195" w:rsidP="00BF73EB">
            <w:pPr>
              <w:pStyle w:val="COMTabletext"/>
            </w:pPr>
            <w:r>
              <w:t>Marginal proportion, % (95% CI)</w:t>
            </w:r>
          </w:p>
        </w:tc>
        <w:tc>
          <w:tcPr>
            <w:tcW w:w="915" w:type="pct"/>
            <w:vAlign w:val="center"/>
          </w:tcPr>
          <w:p w14:paraId="4E2AF954" w14:textId="77777777" w:rsidR="00524195" w:rsidRPr="00A473B4" w:rsidRDefault="00524195" w:rsidP="00BF73EB">
            <w:pPr>
              <w:pStyle w:val="COMTabletext"/>
              <w:jc w:val="center"/>
            </w:pPr>
            <w:r w:rsidRPr="00286A68">
              <w:t>82.3 (73.4, 90.2)</w:t>
            </w:r>
          </w:p>
        </w:tc>
        <w:tc>
          <w:tcPr>
            <w:tcW w:w="915" w:type="pct"/>
            <w:vAlign w:val="center"/>
          </w:tcPr>
          <w:p w14:paraId="61ABF696" w14:textId="77777777" w:rsidR="00524195" w:rsidRPr="00A473B4" w:rsidRDefault="00524195" w:rsidP="00BF73EB">
            <w:pPr>
              <w:pStyle w:val="COMTabletext"/>
              <w:jc w:val="center"/>
            </w:pPr>
            <w:r w:rsidRPr="00286A68">
              <w:t>2.0 (1.1, 4.1)</w:t>
            </w:r>
          </w:p>
        </w:tc>
        <w:tc>
          <w:tcPr>
            <w:tcW w:w="915" w:type="pct"/>
            <w:vMerge/>
            <w:vAlign w:val="center"/>
          </w:tcPr>
          <w:p w14:paraId="1D1FC7FD" w14:textId="77777777" w:rsidR="00524195" w:rsidRPr="00A473B4" w:rsidRDefault="00524195" w:rsidP="00BF73EB">
            <w:pPr>
              <w:pStyle w:val="COMTabletext"/>
              <w:jc w:val="center"/>
            </w:pPr>
          </w:p>
        </w:tc>
        <w:tc>
          <w:tcPr>
            <w:tcW w:w="916" w:type="pct"/>
            <w:vMerge/>
            <w:vAlign w:val="center"/>
          </w:tcPr>
          <w:p w14:paraId="6747F32C" w14:textId="77777777" w:rsidR="00524195" w:rsidRPr="00A473B4" w:rsidRDefault="00524195" w:rsidP="00BF73EB">
            <w:pPr>
              <w:pStyle w:val="COMTabletext"/>
              <w:jc w:val="center"/>
            </w:pPr>
          </w:p>
        </w:tc>
      </w:tr>
      <w:tr w:rsidR="00524195" w:rsidRPr="00A473B4" w14:paraId="10A83ABC" w14:textId="77777777" w:rsidTr="00BF73EB">
        <w:tc>
          <w:tcPr>
            <w:tcW w:w="5000" w:type="pct"/>
            <w:gridSpan w:val="5"/>
            <w:vAlign w:val="center"/>
          </w:tcPr>
          <w:p w14:paraId="5C53A9DC" w14:textId="77777777" w:rsidR="00524195" w:rsidRPr="00D96D88" w:rsidRDefault="00524195" w:rsidP="00BF73EB">
            <w:pPr>
              <w:pStyle w:val="COMTabletext"/>
              <w:rPr>
                <w:b/>
                <w:bCs w:val="0"/>
              </w:rPr>
            </w:pPr>
            <w:r>
              <w:rPr>
                <w:b/>
                <w:bCs w:val="0"/>
              </w:rPr>
              <w:t>Achievement of a haemoglobin</w:t>
            </w:r>
            <w:r w:rsidRPr="00D96D88">
              <w:rPr>
                <w:b/>
                <w:bCs w:val="0"/>
              </w:rPr>
              <w:t xml:space="preserve"> level ≥1</w:t>
            </w:r>
            <w:r>
              <w:rPr>
                <w:b/>
                <w:bCs w:val="0"/>
              </w:rPr>
              <w:t>2 </w:t>
            </w:r>
            <w:r w:rsidRPr="00D96D88">
              <w:rPr>
                <w:b/>
                <w:bCs w:val="0"/>
              </w:rPr>
              <w:t>g/dL</w:t>
            </w:r>
            <w:r>
              <w:rPr>
                <w:b/>
                <w:bCs w:val="0"/>
              </w:rPr>
              <w:t xml:space="preserve"> </w:t>
            </w:r>
            <w:r>
              <w:rPr>
                <w:b/>
                <w:bCs w:val="0"/>
                <w:vertAlign w:val="superscript"/>
              </w:rPr>
              <w:t>a</w:t>
            </w:r>
          </w:p>
        </w:tc>
      </w:tr>
      <w:tr w:rsidR="00524195" w:rsidRPr="00A473B4" w14:paraId="4B599979" w14:textId="77777777" w:rsidTr="00BF73EB">
        <w:tc>
          <w:tcPr>
            <w:tcW w:w="1339" w:type="pct"/>
            <w:vAlign w:val="center"/>
          </w:tcPr>
          <w:p w14:paraId="20E201A9" w14:textId="77777777" w:rsidR="00524195" w:rsidRPr="00A473B4" w:rsidRDefault="00524195" w:rsidP="00BF73EB">
            <w:pPr>
              <w:pStyle w:val="COMTabletext"/>
            </w:pPr>
            <w:r>
              <w:t>n/N</w:t>
            </w:r>
          </w:p>
        </w:tc>
        <w:tc>
          <w:tcPr>
            <w:tcW w:w="915" w:type="pct"/>
          </w:tcPr>
          <w:p w14:paraId="19666F30" w14:textId="77777777" w:rsidR="00524195" w:rsidRPr="00A473B4" w:rsidRDefault="00524195" w:rsidP="00BF73EB">
            <w:pPr>
              <w:pStyle w:val="COMTabletext"/>
              <w:jc w:val="center"/>
            </w:pPr>
            <w:r w:rsidRPr="009E11C9">
              <w:t>42/60</w:t>
            </w:r>
          </w:p>
        </w:tc>
        <w:tc>
          <w:tcPr>
            <w:tcW w:w="915" w:type="pct"/>
          </w:tcPr>
          <w:p w14:paraId="09C44029" w14:textId="77777777" w:rsidR="00524195" w:rsidRPr="00A473B4" w:rsidRDefault="00524195" w:rsidP="00BF73EB">
            <w:pPr>
              <w:pStyle w:val="COMTabletext"/>
              <w:jc w:val="center"/>
            </w:pPr>
            <w:r w:rsidRPr="009E11C9">
              <w:t>0/35</w:t>
            </w:r>
          </w:p>
        </w:tc>
        <w:tc>
          <w:tcPr>
            <w:tcW w:w="915" w:type="pct"/>
            <w:vMerge w:val="restart"/>
            <w:vAlign w:val="center"/>
          </w:tcPr>
          <w:p w14:paraId="48DE0F74" w14:textId="77777777" w:rsidR="00524195" w:rsidRPr="00D96D88" w:rsidRDefault="00524195" w:rsidP="00BF73EB">
            <w:pPr>
              <w:pStyle w:val="COMTabletext"/>
              <w:jc w:val="center"/>
              <w:rPr>
                <w:b/>
                <w:bCs w:val="0"/>
              </w:rPr>
            </w:pPr>
            <w:r w:rsidRPr="00D96D88">
              <w:rPr>
                <w:b/>
                <w:bCs w:val="0"/>
              </w:rPr>
              <w:t>67.0 (56.4, 76.9)</w:t>
            </w:r>
          </w:p>
        </w:tc>
        <w:tc>
          <w:tcPr>
            <w:tcW w:w="915" w:type="pct"/>
            <w:vMerge w:val="restart"/>
            <w:vAlign w:val="center"/>
          </w:tcPr>
          <w:p w14:paraId="0A03B594" w14:textId="720D03C8" w:rsidR="00524195" w:rsidRPr="00D96D88" w:rsidRDefault="00BF73EB" w:rsidP="00BF73EB">
            <w:pPr>
              <w:pStyle w:val="COMTabletext"/>
              <w:jc w:val="center"/>
              <w:rPr>
                <w:b/>
                <w:bCs w:val="0"/>
              </w:rPr>
            </w:pPr>
            <w:r w:rsidRPr="00D96D88">
              <w:rPr>
                <w:b/>
                <w:bCs w:val="0"/>
              </w:rPr>
              <w:t>38.2 (16.</w:t>
            </w:r>
            <w:r>
              <w:rPr>
                <w:b/>
                <w:bCs w:val="0"/>
              </w:rPr>
              <w:t>9</w:t>
            </w:r>
            <w:r w:rsidRPr="00D96D88">
              <w:rPr>
                <w:b/>
                <w:bCs w:val="0"/>
              </w:rPr>
              <w:t>, 78.6)</w:t>
            </w:r>
          </w:p>
        </w:tc>
      </w:tr>
      <w:tr w:rsidR="00524195" w:rsidRPr="00A473B4" w14:paraId="4D262DF8" w14:textId="77777777" w:rsidTr="00BF73EB">
        <w:tc>
          <w:tcPr>
            <w:tcW w:w="1339" w:type="pct"/>
            <w:vAlign w:val="center"/>
          </w:tcPr>
          <w:p w14:paraId="4761A554" w14:textId="77777777" w:rsidR="00524195" w:rsidRPr="00A473B4" w:rsidRDefault="00524195" w:rsidP="00BF73EB">
            <w:pPr>
              <w:pStyle w:val="COMTabletext"/>
            </w:pPr>
            <w:r>
              <w:t>Marginal proportion, % (95% CI)</w:t>
            </w:r>
          </w:p>
        </w:tc>
        <w:tc>
          <w:tcPr>
            <w:tcW w:w="915" w:type="pct"/>
          </w:tcPr>
          <w:p w14:paraId="0810505A" w14:textId="77777777" w:rsidR="00524195" w:rsidRPr="00A473B4" w:rsidRDefault="00524195" w:rsidP="00BF73EB">
            <w:pPr>
              <w:pStyle w:val="COMTabletext"/>
              <w:jc w:val="center"/>
            </w:pPr>
            <w:r w:rsidRPr="00CF3AAA">
              <w:t>68.8 (58.3, 78.9)</w:t>
            </w:r>
          </w:p>
        </w:tc>
        <w:tc>
          <w:tcPr>
            <w:tcW w:w="915" w:type="pct"/>
          </w:tcPr>
          <w:p w14:paraId="74E72F16" w14:textId="77777777" w:rsidR="00524195" w:rsidRPr="00A473B4" w:rsidRDefault="00524195" w:rsidP="00BF73EB">
            <w:pPr>
              <w:pStyle w:val="COMTabletext"/>
              <w:jc w:val="center"/>
            </w:pPr>
            <w:r w:rsidRPr="00CF3AAA">
              <w:t>1.8 (0.9, 4.0)</w:t>
            </w:r>
          </w:p>
        </w:tc>
        <w:tc>
          <w:tcPr>
            <w:tcW w:w="915" w:type="pct"/>
            <w:vMerge/>
            <w:vAlign w:val="center"/>
          </w:tcPr>
          <w:p w14:paraId="64064724" w14:textId="77777777" w:rsidR="00524195" w:rsidRPr="00A473B4" w:rsidRDefault="00524195" w:rsidP="00BF73EB">
            <w:pPr>
              <w:pStyle w:val="COMTabletext"/>
              <w:jc w:val="center"/>
            </w:pPr>
          </w:p>
        </w:tc>
        <w:tc>
          <w:tcPr>
            <w:tcW w:w="915" w:type="pct"/>
            <w:vMerge/>
            <w:vAlign w:val="center"/>
          </w:tcPr>
          <w:p w14:paraId="5FE41C7F" w14:textId="77777777" w:rsidR="00524195" w:rsidRPr="00A473B4" w:rsidRDefault="00524195" w:rsidP="00BF73EB">
            <w:pPr>
              <w:pStyle w:val="COMTabletext"/>
              <w:jc w:val="center"/>
            </w:pPr>
          </w:p>
        </w:tc>
      </w:tr>
    </w:tbl>
    <w:p w14:paraId="4CBE6A45" w14:textId="7CD2ED73" w:rsidR="00524195" w:rsidRDefault="00524195" w:rsidP="00524195">
      <w:pPr>
        <w:pStyle w:val="COMTablefooter"/>
      </w:pPr>
      <w:r w:rsidRPr="00A473B4">
        <w:t xml:space="preserve">Source: </w:t>
      </w:r>
      <w:r>
        <w:t>Table 2-15, of the submission.</w:t>
      </w:r>
    </w:p>
    <w:p w14:paraId="66A85EF6" w14:textId="77777777" w:rsidR="005572BA" w:rsidRDefault="00524195" w:rsidP="00524195">
      <w:pPr>
        <w:pStyle w:val="COMTablefooter"/>
      </w:pPr>
      <w:r>
        <w:rPr>
          <w:vertAlign w:val="superscript"/>
        </w:rPr>
        <w:t>a</w:t>
      </w:r>
      <w:r>
        <w:t xml:space="preserve"> To meet the response criteria for each of the primary outcomes, patients </w:t>
      </w:r>
      <w:r w:rsidRPr="00DA176D">
        <w:t>were required to have not receive</w:t>
      </w:r>
      <w:r>
        <w:t>d</w:t>
      </w:r>
      <w:r w:rsidRPr="00DA176D">
        <w:t xml:space="preserve"> a transfusion or meet one of the pre-defined criteria for transfusion (haemoglobin between &gt;7 g/dL and ≤9 g/dL with signs/symptoms of sufficient severity to warrant a transfusion or haemoglobin ≤7</w:t>
      </w:r>
      <w:r w:rsidR="002930C6">
        <w:t> </w:t>
      </w:r>
      <w:r w:rsidRPr="00DA176D">
        <w:t>g/dL regardless of presence of clinical signs and/or symptoms).</w:t>
      </w:r>
    </w:p>
    <w:p w14:paraId="502E9810" w14:textId="1ABBC111" w:rsidR="00524195" w:rsidRDefault="00524195" w:rsidP="00524195">
      <w:pPr>
        <w:pStyle w:val="COMexecsumnumberedpara"/>
      </w:pPr>
      <w:r>
        <w:t xml:space="preserve">Treatment with iptacopan was associated with a statistically </w:t>
      </w:r>
      <w:bookmarkStart w:id="28" w:name="_Hlk169860561"/>
      <w:r>
        <w:t xml:space="preserve">significant improvement compared to treatment with a C5 inhibitor </w:t>
      </w:r>
      <w:bookmarkEnd w:id="28"/>
      <w:r>
        <w:t>for each of the primary outcomes</w:t>
      </w:r>
      <w:r w:rsidR="00FC2B11">
        <w:t>.</w:t>
      </w:r>
    </w:p>
    <w:p w14:paraId="7858167F" w14:textId="2E60C922" w:rsidR="00524195" w:rsidRDefault="00524195" w:rsidP="00524195">
      <w:pPr>
        <w:pStyle w:val="COMexecsumnumberedpara"/>
      </w:pPr>
      <w:r>
        <w:t xml:space="preserve">Based on extended follow-up to 48 weeks (in which patients in the iptacopan </w:t>
      </w:r>
      <w:r w:rsidR="00FC2B11">
        <w:t xml:space="preserve">arm </w:t>
      </w:r>
      <w:r>
        <w:t>continued to receive iptacopan, and patients in the C5 inhibitor arm switched to iptacopan), 86.4% of patients (51/62) in the iptacopan arm and 72.4% of patients (21/34) in the C5 inhibitor arm who switched to iptacopan achieved an i</w:t>
      </w:r>
      <w:r w:rsidRPr="00100A97">
        <w:t xml:space="preserve">ncrease in </w:t>
      </w:r>
      <w:r>
        <w:t>haemoglobin</w:t>
      </w:r>
      <w:r w:rsidRPr="00100A97">
        <w:t xml:space="preserve"> level ≥2 g/dL without </w:t>
      </w:r>
      <w:r>
        <w:t>receiving or meeting the criteria for a blood tran</w:t>
      </w:r>
      <w:r w:rsidRPr="00100A97">
        <w:t>sfusion</w:t>
      </w:r>
      <w:r>
        <w:t xml:space="preserve">. </w:t>
      </w:r>
    </w:p>
    <w:p w14:paraId="142D7F8D" w14:textId="08797985" w:rsidR="00524195" w:rsidRDefault="00524195" w:rsidP="00524195">
      <w:pPr>
        <w:pStyle w:val="COMexecsumnumberedpara"/>
      </w:pPr>
      <w:r>
        <w:t xml:space="preserve">Based on extended follow-up at 48 weeks 67.8% </w:t>
      </w:r>
      <w:r w:rsidR="00FC2B11">
        <w:t xml:space="preserve">of patients </w:t>
      </w:r>
      <w:r>
        <w:t xml:space="preserve">(40/62) in the iptacopan arm and 58.6% of patients (17/34) in the C5 inhibitor arm who switched to iptacopan achieved a haemoglobin level </w:t>
      </w:r>
      <w:r>
        <w:rPr>
          <w:rFonts w:cs="Calibri"/>
        </w:rPr>
        <w:t>≥</w:t>
      </w:r>
      <w:r>
        <w:t xml:space="preserve">12 g/dL </w:t>
      </w:r>
      <w:r w:rsidRPr="00100A97">
        <w:t xml:space="preserve">without </w:t>
      </w:r>
      <w:r>
        <w:t>receiving or meeting the criteria for a blood tran</w:t>
      </w:r>
      <w:r w:rsidRPr="00100A97">
        <w:t>sfusion</w:t>
      </w:r>
      <w:r>
        <w:t>.</w:t>
      </w:r>
    </w:p>
    <w:p w14:paraId="046B349E" w14:textId="75485DA5" w:rsidR="005A2797" w:rsidRDefault="006D5094" w:rsidP="005A2797">
      <w:pPr>
        <w:pStyle w:val="COMexecsumnumberedpara"/>
      </w:pPr>
      <w:r>
        <w:lastRenderedPageBreak/>
        <w:fldChar w:fldCharType="begin"/>
      </w:r>
      <w:r>
        <w:instrText xml:space="preserve"> REF _Ref166448713 \h </w:instrText>
      </w:r>
      <w:r>
        <w:fldChar w:fldCharType="separate"/>
      </w:r>
      <w:r w:rsidR="002E7F91" w:rsidRPr="00A473B4">
        <w:t xml:space="preserve">Table </w:t>
      </w:r>
      <w:r w:rsidR="002E7F91">
        <w:rPr>
          <w:noProof/>
        </w:rPr>
        <w:t>5</w:t>
      </w:r>
      <w:r>
        <w:fldChar w:fldCharType="end"/>
      </w:r>
      <w:r w:rsidR="005A2797">
        <w:t xml:space="preserve"> presents the results for the change from baseline in haemoglobin level </w:t>
      </w:r>
      <w:r w:rsidR="005A2797" w:rsidRPr="008B517A">
        <w:t>in the APPLY-PNH trial, based on the 24-week randomised treatment period.</w:t>
      </w:r>
    </w:p>
    <w:p w14:paraId="45D386F4" w14:textId="63627EF2" w:rsidR="005A2797" w:rsidRPr="00A473B4" w:rsidRDefault="000056EE" w:rsidP="005A2797">
      <w:pPr>
        <w:pStyle w:val="COMtablefigcaption"/>
        <w:rPr>
          <w:b w:val="0"/>
        </w:rPr>
      </w:pPr>
      <w:bookmarkStart w:id="29" w:name="_Ref166448713"/>
      <w:r w:rsidRPr="00A473B4">
        <w:t xml:space="preserve">Table </w:t>
      </w:r>
      <w:r w:rsidR="00C52DBB">
        <w:fldChar w:fldCharType="begin"/>
      </w:r>
      <w:r w:rsidR="00C52DBB">
        <w:instrText xml:space="preserve"> SEQ Table \* ARABIC </w:instrText>
      </w:r>
      <w:r w:rsidR="00C52DBB">
        <w:fldChar w:fldCharType="separate"/>
      </w:r>
      <w:r w:rsidR="002E7F91">
        <w:rPr>
          <w:noProof/>
        </w:rPr>
        <w:t>5</w:t>
      </w:r>
      <w:r w:rsidR="00C52DBB">
        <w:rPr>
          <w:noProof/>
        </w:rPr>
        <w:fldChar w:fldCharType="end"/>
      </w:r>
      <w:bookmarkEnd w:id="29"/>
      <w:r w:rsidR="005A2797" w:rsidRPr="00A473B4">
        <w:t xml:space="preserve">: </w:t>
      </w:r>
      <w:r w:rsidR="005A2797">
        <w:t>R</w:t>
      </w:r>
      <w:r w:rsidR="005A2797" w:rsidRPr="008B517A">
        <w:t xml:space="preserve">esults for </w:t>
      </w:r>
      <w:r w:rsidR="005A2797">
        <w:t xml:space="preserve">the change from baseline in haemoglobin level </w:t>
      </w:r>
      <w:r w:rsidR="005A2797" w:rsidRPr="008B517A">
        <w:t>in the APPLY-PNH trial</w:t>
      </w:r>
      <w:r w:rsidR="005A2797">
        <w:t xml:space="preserve"> (24 weeks)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5: Results for the change from baseline in haemoglobin level in the APPLY-PNH trial (24 weeks)"/>
        <w:tblDescription w:val="Table 5: Results for the change from baseline in haemoglobin level in the APPLY-PNH trial (24 weeks)"/>
      </w:tblPr>
      <w:tblGrid>
        <w:gridCol w:w="3538"/>
        <w:gridCol w:w="1701"/>
        <w:gridCol w:w="1702"/>
        <w:gridCol w:w="2076"/>
      </w:tblGrid>
      <w:tr w:rsidR="005A2797" w:rsidRPr="00A473B4" w14:paraId="4465160F" w14:textId="77777777" w:rsidTr="00BF73EB">
        <w:trPr>
          <w:tblHeader/>
        </w:trPr>
        <w:tc>
          <w:tcPr>
            <w:tcW w:w="1962" w:type="pct"/>
            <w:vAlign w:val="center"/>
          </w:tcPr>
          <w:p w14:paraId="5EED2032" w14:textId="77777777" w:rsidR="005A2797" w:rsidRPr="00A473B4" w:rsidRDefault="005A2797" w:rsidP="00BF73EB">
            <w:pPr>
              <w:pStyle w:val="COMTableheadingrow"/>
            </w:pPr>
          </w:p>
        </w:tc>
        <w:tc>
          <w:tcPr>
            <w:tcW w:w="943" w:type="pct"/>
            <w:vAlign w:val="center"/>
          </w:tcPr>
          <w:p w14:paraId="49F90B09" w14:textId="77777777" w:rsidR="005A2797" w:rsidRDefault="005A2797" w:rsidP="00BF73EB">
            <w:pPr>
              <w:pStyle w:val="COMTableheadingrow"/>
              <w:jc w:val="center"/>
            </w:pPr>
            <w:r>
              <w:t>Iptacopan</w:t>
            </w:r>
          </w:p>
          <w:p w14:paraId="72292F2F" w14:textId="77777777" w:rsidR="005A2797" w:rsidRPr="00A473B4" w:rsidRDefault="005A2797" w:rsidP="00BF73EB">
            <w:pPr>
              <w:pStyle w:val="COMTableheadingrow"/>
              <w:jc w:val="center"/>
            </w:pPr>
            <w:r>
              <w:t>N=62</w:t>
            </w:r>
          </w:p>
        </w:tc>
        <w:tc>
          <w:tcPr>
            <w:tcW w:w="944" w:type="pct"/>
            <w:vAlign w:val="center"/>
          </w:tcPr>
          <w:p w14:paraId="310412E3" w14:textId="77777777" w:rsidR="005A2797" w:rsidRDefault="005A2797" w:rsidP="00BF73EB">
            <w:pPr>
              <w:pStyle w:val="COMTableheadingrow"/>
              <w:jc w:val="center"/>
            </w:pPr>
            <w:r>
              <w:t>C5 inhibitor</w:t>
            </w:r>
          </w:p>
          <w:p w14:paraId="04556F34" w14:textId="77777777" w:rsidR="005A2797" w:rsidRPr="00A473B4" w:rsidRDefault="005A2797" w:rsidP="00BF73EB">
            <w:pPr>
              <w:pStyle w:val="COMTableheadingrow"/>
              <w:jc w:val="center"/>
            </w:pPr>
            <w:r>
              <w:t>N=35</w:t>
            </w:r>
          </w:p>
        </w:tc>
        <w:tc>
          <w:tcPr>
            <w:tcW w:w="1151" w:type="pct"/>
            <w:vAlign w:val="center"/>
          </w:tcPr>
          <w:p w14:paraId="5C97BE1C" w14:textId="77777777" w:rsidR="005A2797" w:rsidRPr="00A473B4" w:rsidRDefault="005A2797" w:rsidP="00BF73EB">
            <w:pPr>
              <w:pStyle w:val="COMTableheadingrow"/>
              <w:jc w:val="center"/>
            </w:pPr>
            <w:r w:rsidRPr="00345C4C">
              <w:t>Adjusted mean difference (95%</w:t>
            </w:r>
            <w:r>
              <w:t> </w:t>
            </w:r>
            <w:r w:rsidRPr="00345C4C">
              <w:t>CI)</w:t>
            </w:r>
          </w:p>
        </w:tc>
      </w:tr>
      <w:tr w:rsidR="005A2797" w:rsidRPr="00A473B4" w14:paraId="1D0A5C9F" w14:textId="77777777" w:rsidTr="00BF73EB">
        <w:tc>
          <w:tcPr>
            <w:tcW w:w="1962" w:type="pct"/>
            <w:vAlign w:val="center"/>
          </w:tcPr>
          <w:p w14:paraId="750C07C6" w14:textId="77777777" w:rsidR="005A2797" w:rsidRPr="00441767" w:rsidRDefault="005A2797" w:rsidP="00BF73EB">
            <w:pPr>
              <w:pStyle w:val="COMTabletext"/>
            </w:pPr>
            <w:r>
              <w:t>Baseline haemoglobin, g/dL (SD)</w:t>
            </w:r>
          </w:p>
        </w:tc>
        <w:tc>
          <w:tcPr>
            <w:tcW w:w="943" w:type="pct"/>
          </w:tcPr>
          <w:p w14:paraId="69933E53" w14:textId="77777777" w:rsidR="005A2797" w:rsidRPr="00A473B4" w:rsidRDefault="005A2797" w:rsidP="00BF73EB">
            <w:pPr>
              <w:pStyle w:val="COMTabletext"/>
              <w:jc w:val="center"/>
            </w:pPr>
            <w:r w:rsidRPr="00095E57">
              <w:t>8.9 (0.704)</w:t>
            </w:r>
          </w:p>
        </w:tc>
        <w:tc>
          <w:tcPr>
            <w:tcW w:w="944" w:type="pct"/>
          </w:tcPr>
          <w:p w14:paraId="50CAD8AF" w14:textId="77777777" w:rsidR="005A2797" w:rsidRPr="00A473B4" w:rsidRDefault="005A2797" w:rsidP="00BF73EB">
            <w:pPr>
              <w:pStyle w:val="COMTabletext"/>
              <w:jc w:val="center"/>
            </w:pPr>
            <w:r w:rsidRPr="00095E57">
              <w:t>8.85 (0.898)</w:t>
            </w:r>
          </w:p>
        </w:tc>
        <w:tc>
          <w:tcPr>
            <w:tcW w:w="1151" w:type="pct"/>
            <w:vMerge w:val="restart"/>
            <w:vAlign w:val="center"/>
          </w:tcPr>
          <w:p w14:paraId="10E785F2" w14:textId="77777777" w:rsidR="005A2797" w:rsidRPr="00D96D88" w:rsidRDefault="005A2797" w:rsidP="00BF73EB">
            <w:pPr>
              <w:pStyle w:val="COMTabletext"/>
              <w:jc w:val="center"/>
              <w:rPr>
                <w:b/>
                <w:bCs w:val="0"/>
              </w:rPr>
            </w:pPr>
            <w:r w:rsidRPr="00345C4C">
              <w:rPr>
                <w:b/>
                <w:bCs w:val="0"/>
              </w:rPr>
              <w:t>3.66 (</w:t>
            </w:r>
            <w:bookmarkStart w:id="30" w:name="_Hlk166504144"/>
            <w:r w:rsidRPr="00345C4C">
              <w:rPr>
                <w:b/>
                <w:bCs w:val="0"/>
              </w:rPr>
              <w:t>3.20, 4.12</w:t>
            </w:r>
            <w:bookmarkEnd w:id="30"/>
            <w:r w:rsidRPr="00345C4C">
              <w:rPr>
                <w:b/>
                <w:bCs w:val="0"/>
              </w:rPr>
              <w:t>)</w:t>
            </w:r>
          </w:p>
        </w:tc>
      </w:tr>
      <w:tr w:rsidR="005A2797" w:rsidRPr="00A473B4" w14:paraId="40E2BA10" w14:textId="77777777" w:rsidTr="00BF73EB">
        <w:tc>
          <w:tcPr>
            <w:tcW w:w="1962" w:type="pct"/>
            <w:vAlign w:val="center"/>
          </w:tcPr>
          <w:p w14:paraId="31901315" w14:textId="77777777" w:rsidR="005A2797" w:rsidRPr="00A473B4" w:rsidRDefault="005A2797" w:rsidP="00BF73EB">
            <w:pPr>
              <w:pStyle w:val="COMTabletext"/>
            </w:pPr>
            <w:r>
              <w:t>Adjusted mean change from baseline (95% CI)</w:t>
            </w:r>
          </w:p>
        </w:tc>
        <w:tc>
          <w:tcPr>
            <w:tcW w:w="943" w:type="pct"/>
          </w:tcPr>
          <w:p w14:paraId="7F38E5DD" w14:textId="77777777" w:rsidR="005A2797" w:rsidRPr="00A473B4" w:rsidRDefault="005A2797" w:rsidP="00BF73EB">
            <w:pPr>
              <w:pStyle w:val="COMTabletext"/>
              <w:jc w:val="center"/>
            </w:pPr>
            <w:r w:rsidRPr="00314220">
              <w:t>3.60 (3.33, 3.88)</w:t>
            </w:r>
          </w:p>
        </w:tc>
        <w:tc>
          <w:tcPr>
            <w:tcW w:w="944" w:type="pct"/>
          </w:tcPr>
          <w:p w14:paraId="44D75C4D" w14:textId="77777777" w:rsidR="005A2797" w:rsidRPr="00A473B4" w:rsidRDefault="005A2797" w:rsidP="00BF73EB">
            <w:pPr>
              <w:pStyle w:val="COMTabletext"/>
              <w:jc w:val="center"/>
            </w:pPr>
            <w:r w:rsidRPr="00314220">
              <w:t>-0.06 (-0.45, 0.34)</w:t>
            </w:r>
          </w:p>
        </w:tc>
        <w:tc>
          <w:tcPr>
            <w:tcW w:w="1151" w:type="pct"/>
            <w:vMerge/>
            <w:vAlign w:val="center"/>
          </w:tcPr>
          <w:p w14:paraId="14FCCA1F" w14:textId="77777777" w:rsidR="005A2797" w:rsidRPr="00A473B4" w:rsidRDefault="005A2797" w:rsidP="00BF73EB">
            <w:pPr>
              <w:pStyle w:val="COMTabletext"/>
              <w:jc w:val="center"/>
            </w:pPr>
          </w:p>
        </w:tc>
      </w:tr>
    </w:tbl>
    <w:p w14:paraId="5508D77F" w14:textId="42EC4864" w:rsidR="005A2797" w:rsidRDefault="005A2797" w:rsidP="005A2797">
      <w:pPr>
        <w:pStyle w:val="COMTablefooter"/>
      </w:pPr>
      <w:r w:rsidRPr="00A473B4">
        <w:t xml:space="preserve">Source: </w:t>
      </w:r>
      <w:r>
        <w:t>Table 2-19, of the submission.</w:t>
      </w:r>
    </w:p>
    <w:p w14:paraId="4F3FFB40" w14:textId="77777777" w:rsidR="005A2797" w:rsidRDefault="005A2797" w:rsidP="005A2797">
      <w:pPr>
        <w:pStyle w:val="COMTablefooter"/>
      </w:pPr>
      <w:r>
        <w:t xml:space="preserve">Abbreviations: CI, confidence interval; SD, standard deviation. </w:t>
      </w:r>
    </w:p>
    <w:p w14:paraId="49A08628" w14:textId="3AD9B225" w:rsidR="005A2797" w:rsidRDefault="005A2797" w:rsidP="005A2797">
      <w:pPr>
        <w:pStyle w:val="COMexecsumnumberedpara"/>
      </w:pPr>
      <w:r>
        <w:t>Treatment with iptacopan was associated with a statistically significant improvement in the change from baseline in haemoglobin level compared to treatment with a C5 inhibitor</w:t>
      </w:r>
      <w:r w:rsidR="00CF1968">
        <w:t>.</w:t>
      </w:r>
    </w:p>
    <w:p w14:paraId="02113EB6" w14:textId="3DB4B1C1" w:rsidR="005A2797" w:rsidRDefault="006D5094" w:rsidP="005A2797">
      <w:pPr>
        <w:pStyle w:val="COMexecsumnumberedpara"/>
      </w:pPr>
      <w:r>
        <w:fldChar w:fldCharType="begin"/>
      </w:r>
      <w:r>
        <w:instrText xml:space="preserve"> REF _Ref166448732 \h </w:instrText>
      </w:r>
      <w:r>
        <w:fldChar w:fldCharType="separate"/>
      </w:r>
      <w:r w:rsidR="002E7F91">
        <w:t xml:space="preserve">Figure </w:t>
      </w:r>
      <w:r w:rsidR="002E7F91">
        <w:rPr>
          <w:noProof/>
        </w:rPr>
        <w:t>1</w:t>
      </w:r>
      <w:r>
        <w:fldChar w:fldCharType="end"/>
      </w:r>
      <w:r w:rsidR="005A2797">
        <w:t xml:space="preserve"> presents the mean haemoglobin over time for the iptacopan and C5 inhibitor arms</w:t>
      </w:r>
      <w:r w:rsidR="00C74996">
        <w:t>,</w:t>
      </w:r>
      <w:r w:rsidR="005A2797">
        <w:t xml:space="preserve"> based on extended follow-up</w:t>
      </w:r>
      <w:r w:rsidR="00C74996">
        <w:t xml:space="preserve"> to 48 weeks</w:t>
      </w:r>
      <w:r w:rsidR="005A2797">
        <w:t>.</w:t>
      </w:r>
    </w:p>
    <w:p w14:paraId="02426F2B" w14:textId="6A8A39B6" w:rsidR="005A2797" w:rsidRDefault="000056EE" w:rsidP="000056EE">
      <w:pPr>
        <w:pStyle w:val="COMtablefigcaption"/>
      </w:pPr>
      <w:bookmarkStart w:id="31" w:name="_Ref166448732"/>
      <w:r>
        <w:t xml:space="preserve">Figure </w:t>
      </w:r>
      <w:r w:rsidR="00C52DBB">
        <w:fldChar w:fldCharType="begin"/>
      </w:r>
      <w:r w:rsidR="00C52DBB">
        <w:instrText xml:space="preserve"> SEQ Figure \* ARABIC </w:instrText>
      </w:r>
      <w:r w:rsidR="00C52DBB">
        <w:fldChar w:fldCharType="separate"/>
      </w:r>
      <w:r w:rsidR="002E7F91">
        <w:rPr>
          <w:noProof/>
        </w:rPr>
        <w:t>1</w:t>
      </w:r>
      <w:r w:rsidR="00C52DBB">
        <w:rPr>
          <w:noProof/>
        </w:rPr>
        <w:fldChar w:fldCharType="end"/>
      </w:r>
      <w:bookmarkEnd w:id="31"/>
      <w:r w:rsidR="005A2797">
        <w:t xml:space="preserve">: </w:t>
      </w:r>
      <w:r w:rsidR="005A2797" w:rsidRPr="004A3430">
        <w:t xml:space="preserve">Arithmetic </w:t>
      </w:r>
      <w:r w:rsidR="005A2797">
        <w:t>m</w:t>
      </w:r>
      <w:r w:rsidR="005A2797" w:rsidRPr="004A3430">
        <w:t>ean (SD) haemoglobin</w:t>
      </w:r>
      <w:r w:rsidR="005A2797">
        <w:t xml:space="preserve"> over time in the APPLY-PNH trial (48 weeks)</w:t>
      </w:r>
    </w:p>
    <w:p w14:paraId="49AF6883" w14:textId="77777777" w:rsidR="005A2797" w:rsidRDefault="005A2797" w:rsidP="005A2797">
      <w:r>
        <w:rPr>
          <w:noProof/>
        </w:rPr>
        <w:drawing>
          <wp:inline distT="0" distB="0" distL="0" distR="0" wp14:anchorId="0C6C51DD" wp14:editId="21AF6B9B">
            <wp:extent cx="5683910" cy="2029539"/>
            <wp:effectExtent l="0" t="0" r="0" b="8890"/>
            <wp:docPr id="1772194745" name="Picture 1772194745" descr="Figure 1: Arithmetic mean (SD) haemoglobin over time in the APPLY-PNH trial (48 w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194745" name="Picture 1772194745" descr="Figure 1: Arithmetic mean (SD) haemoglobin over time in the APPLY-PNH trial (48 weeks)"/>
                    <pic:cNvPicPr/>
                  </pic:nvPicPr>
                  <pic:blipFill rotWithShape="1">
                    <a:blip r:embed="rId8"/>
                    <a:srcRect l="1404"/>
                    <a:stretch/>
                  </pic:blipFill>
                  <pic:spPr bwMode="auto">
                    <a:xfrm>
                      <a:off x="0" y="0"/>
                      <a:ext cx="5686503" cy="2030465"/>
                    </a:xfrm>
                    <a:prstGeom prst="rect">
                      <a:avLst/>
                    </a:prstGeom>
                    <a:ln>
                      <a:noFill/>
                    </a:ln>
                    <a:extLst>
                      <a:ext uri="{53640926-AAD7-44D8-BBD7-CCE9431645EC}">
                        <a14:shadowObscured xmlns:a14="http://schemas.microsoft.com/office/drawing/2010/main"/>
                      </a:ext>
                    </a:extLst>
                  </pic:spPr>
                </pic:pic>
              </a:graphicData>
            </a:graphic>
          </wp:inline>
        </w:drawing>
      </w:r>
    </w:p>
    <w:p w14:paraId="694943A7" w14:textId="7DA208A7" w:rsidR="005A2797" w:rsidRDefault="005A2797" w:rsidP="005A2797">
      <w:pPr>
        <w:pStyle w:val="TableFooter"/>
      </w:pPr>
      <w:r>
        <w:t>Source: Figure 2-9, of the submission.</w:t>
      </w:r>
    </w:p>
    <w:p w14:paraId="3AB55B40" w14:textId="77777777" w:rsidR="005A2797" w:rsidRDefault="005A2797" w:rsidP="005A2797">
      <w:pPr>
        <w:pStyle w:val="TableFooter"/>
      </w:pPr>
      <w:r>
        <w:t>Abbreviations: b.i.d., twice daily; D, Day; LP023, iptacopan; SD, standard deviation.</w:t>
      </w:r>
    </w:p>
    <w:p w14:paraId="5A7A6A35" w14:textId="77777777" w:rsidR="005A2797" w:rsidRDefault="005A2797" w:rsidP="005A2797">
      <w:pPr>
        <w:pStyle w:val="COMexecsumnumberedpara"/>
      </w:pPr>
      <w:r w:rsidRPr="00D72FF0">
        <w:t>Based on extended follow-up to 48 weeks</w:t>
      </w:r>
      <w:r>
        <w:t>, improvements in haemoglobin level among patients in the iptacopan arm were generally maintained, and patients in the C5 inhibitor arm who switched to iptacopan also achieved a sustained increase in the mean haemoglobin level.</w:t>
      </w:r>
    </w:p>
    <w:p w14:paraId="6C703BDE" w14:textId="59909D34" w:rsidR="00712F1E" w:rsidRPr="00712F1E" w:rsidRDefault="005A2797" w:rsidP="00712F1E">
      <w:pPr>
        <w:pStyle w:val="COMexecsumnumberedpara"/>
        <w:rPr>
          <w:snapToGrid/>
          <w:lang w:val="en-US"/>
        </w:rPr>
      </w:pPr>
      <w:r w:rsidRPr="005A2797">
        <w:rPr>
          <w:snapToGrid/>
          <w:lang w:val="en-US"/>
        </w:rPr>
        <w:t>Treatment with iptacopan was associated with a statistically significant improvement in the proportion of patients avoiding a blood transfusion compared to treatment with a C5 inhibitor (difference: 68.9%; 95% CI: 51.4%, 83.9%).</w:t>
      </w:r>
      <w:r w:rsidR="00712F1E">
        <w:rPr>
          <w:snapToGrid/>
          <w:lang w:val="en-US"/>
        </w:rPr>
        <w:t xml:space="preserve"> </w:t>
      </w:r>
      <w:r w:rsidRPr="00712F1E">
        <w:rPr>
          <w:snapToGrid/>
          <w:lang w:val="en-US"/>
        </w:rPr>
        <w:t xml:space="preserve">Based on extended follow-up to 48 weeks, 82.3% of patients (51/62) in the iptacopan arm did not </w:t>
      </w:r>
      <w:r w:rsidR="005A47AE">
        <w:rPr>
          <w:snapToGrid/>
          <w:lang w:val="en-US"/>
        </w:rPr>
        <w:t>require</w:t>
      </w:r>
      <w:r w:rsidRPr="00712F1E">
        <w:rPr>
          <w:snapToGrid/>
          <w:lang w:val="en-US"/>
        </w:rPr>
        <w:t xml:space="preserve"> a blood transfusion. For patients in the C5 inhibitor arm who switched to iptacopan, 91.2% </w:t>
      </w:r>
      <w:r w:rsidR="00CF1968">
        <w:rPr>
          <w:snapToGrid/>
          <w:lang w:val="en-US"/>
        </w:rPr>
        <w:t xml:space="preserve">of </w:t>
      </w:r>
      <w:r w:rsidRPr="00712F1E">
        <w:rPr>
          <w:snapToGrid/>
          <w:lang w:val="en-US"/>
        </w:rPr>
        <w:t>patients (31/34) did not require a transfusion from Day 1 of initiation of iptacopan.</w:t>
      </w:r>
    </w:p>
    <w:p w14:paraId="1CB2334F" w14:textId="32CE2F43" w:rsidR="00712F1E" w:rsidRPr="00712F1E" w:rsidRDefault="00712F1E" w:rsidP="00712F1E">
      <w:pPr>
        <w:pStyle w:val="COMexecsumnumberedpara"/>
        <w:rPr>
          <w:snapToGrid/>
          <w:lang w:val="en-US"/>
        </w:rPr>
      </w:pPr>
      <w:r>
        <w:t xml:space="preserve">Treatment with iptacopan was associated with a lower rate of breakthrough haemolysis compared to treatment with a C5 inhibitor. The difference was statistically significant based on the reported rate ratio (rate ratio: 0.10; 95% CI: 0.02, 0.61) but not for the reported rate difference (rate difference: -0.60; 95% CI: </w:t>
      </w:r>
      <w:r w:rsidR="005A47AE">
        <w:noBreakHyphen/>
      </w:r>
      <w:r>
        <w:t>1.24, 0.04).</w:t>
      </w:r>
      <w:r>
        <w:rPr>
          <w:snapToGrid/>
          <w:lang w:val="en-US"/>
        </w:rPr>
        <w:t xml:space="preserve"> </w:t>
      </w:r>
      <w:r w:rsidRPr="00B7318C">
        <w:t>Based on extended follow-up to 48 weeks</w:t>
      </w:r>
      <w:r>
        <w:t>, 6 patients (9.7%) in the</w:t>
      </w:r>
      <w:r w:rsidRPr="00B7318C">
        <w:t xml:space="preserve"> iptacopan group and </w:t>
      </w:r>
      <w:r w:rsidR="00CF1968">
        <w:lastRenderedPageBreak/>
        <w:t>7</w:t>
      </w:r>
      <w:r w:rsidR="00E70C72">
        <w:t> </w:t>
      </w:r>
      <w:r w:rsidRPr="00B7318C">
        <w:t xml:space="preserve">patients (20.0%) randomised to the </w:t>
      </w:r>
      <w:r>
        <w:t>C5 inhibitor arm</w:t>
      </w:r>
      <w:r w:rsidRPr="00B7318C">
        <w:t xml:space="preserve"> had at least one clinical </w:t>
      </w:r>
      <w:r>
        <w:t>breakthrough haemolysis</w:t>
      </w:r>
      <w:r w:rsidRPr="00B7318C">
        <w:t xml:space="preserve"> event. Of the </w:t>
      </w:r>
      <w:r w:rsidR="00CF1968">
        <w:t>7</w:t>
      </w:r>
      <w:r w:rsidRPr="00B7318C">
        <w:t xml:space="preserve"> patients in the </w:t>
      </w:r>
      <w:r>
        <w:t>C5 inhibitor arm</w:t>
      </w:r>
      <w:r w:rsidRPr="00B7318C">
        <w:t xml:space="preserve">, one patient (2.9%) </w:t>
      </w:r>
      <w:r>
        <w:t xml:space="preserve">experienced a </w:t>
      </w:r>
      <w:r w:rsidRPr="00B7318C">
        <w:t xml:space="preserve">clinical </w:t>
      </w:r>
      <w:r>
        <w:t xml:space="preserve">breakthrough haemolysis </w:t>
      </w:r>
      <w:r w:rsidRPr="00B7318C">
        <w:t>event after the start of iptacopan treatmen</w:t>
      </w:r>
      <w:r>
        <w:t xml:space="preserve">t. </w:t>
      </w:r>
      <w:r w:rsidRPr="00B7318C">
        <w:t xml:space="preserve">Overall, there were </w:t>
      </w:r>
      <w:r w:rsidR="00CF1968">
        <w:t>8</w:t>
      </w:r>
      <w:r w:rsidRPr="00B7318C">
        <w:t xml:space="preserve"> clinical </w:t>
      </w:r>
      <w:r>
        <w:t>breakthrough haemolysis</w:t>
      </w:r>
      <w:r w:rsidRPr="00B7318C">
        <w:t xml:space="preserve"> events in </w:t>
      </w:r>
      <w:r w:rsidR="00CF1968">
        <w:t>7</w:t>
      </w:r>
      <w:r w:rsidRPr="00B7318C">
        <w:t xml:space="preserve"> patients during iptacopan treatment</w:t>
      </w:r>
      <w:r w:rsidR="00CD1E13">
        <w:t>,</w:t>
      </w:r>
      <w:r w:rsidRPr="00B7318C">
        <w:t xml:space="preserve"> with an adjusted annualised clinical </w:t>
      </w:r>
      <w:r>
        <w:t xml:space="preserve">breakthrough haemolysis </w:t>
      </w:r>
      <w:r w:rsidRPr="00B7318C">
        <w:t>rate of 0.11 (95% CI: 0.05, 0.23).</w:t>
      </w:r>
    </w:p>
    <w:p w14:paraId="42B16EF2" w14:textId="77777777" w:rsidR="00712F1E" w:rsidRPr="00712F1E" w:rsidRDefault="00712F1E" w:rsidP="00712F1E">
      <w:pPr>
        <w:pStyle w:val="COMexecsumnumberedpara"/>
        <w:rPr>
          <w:snapToGrid/>
          <w:lang w:val="en-US"/>
        </w:rPr>
      </w:pPr>
      <w:r>
        <w:t xml:space="preserve">During the </w:t>
      </w:r>
      <w:r w:rsidRPr="008B517A">
        <w:t>24-week randomised treatment period</w:t>
      </w:r>
      <w:r>
        <w:t>, one patient in the iptacopan arm experienced a major adverse vascular event (transient ischaemic attack) that was considered by the investigator to be unrelated to iptacopan. No patients in the C5 inhibitor arm experienced a major adverse vascular event. Based on extended follow-up to 48 weeks, one additional patient in the iptacopan arm experienced a major adverse vascular event (event not specified) and one patient in the C5 inhibitor arm experienced a major adverse vascular event after switching to iptacopan (h</w:t>
      </w:r>
      <w:r w:rsidRPr="008D41B8">
        <w:t>epatic/portal vein thrombosis</w:t>
      </w:r>
      <w:r>
        <w:t>).</w:t>
      </w:r>
    </w:p>
    <w:p w14:paraId="567B20FB" w14:textId="4FF7DF1E" w:rsidR="00712F1E" w:rsidRPr="00712F1E" w:rsidRDefault="006D5094" w:rsidP="00712F1E">
      <w:pPr>
        <w:pStyle w:val="COMexecsumnumberedpara"/>
        <w:rPr>
          <w:snapToGrid/>
          <w:lang w:val="en-US"/>
        </w:rPr>
      </w:pPr>
      <w:r>
        <w:fldChar w:fldCharType="begin"/>
      </w:r>
      <w:r>
        <w:instrText xml:space="preserve"> REF _Ref166448772 \h </w:instrText>
      </w:r>
      <w:r>
        <w:fldChar w:fldCharType="separate"/>
      </w:r>
      <w:r w:rsidR="002E7F91" w:rsidRPr="00A473B4">
        <w:t xml:space="preserve">Table </w:t>
      </w:r>
      <w:r w:rsidR="002E7F91">
        <w:rPr>
          <w:noProof/>
        </w:rPr>
        <w:t>6</w:t>
      </w:r>
      <w:r>
        <w:fldChar w:fldCharType="end"/>
      </w:r>
      <w:r w:rsidR="00712F1E">
        <w:t xml:space="preserve"> presents the results for the change from baseline in FACIT-Fatigue score </w:t>
      </w:r>
      <w:r w:rsidR="00712F1E" w:rsidRPr="008B517A">
        <w:t>in the APPLY-PNH trial, based on the 24-week randomised treatment period.</w:t>
      </w:r>
    </w:p>
    <w:p w14:paraId="26E61807" w14:textId="11D57CB8" w:rsidR="00712F1E" w:rsidRPr="00A473B4" w:rsidRDefault="000056EE" w:rsidP="00712F1E">
      <w:pPr>
        <w:pStyle w:val="COMtablefigcaption"/>
        <w:rPr>
          <w:b w:val="0"/>
        </w:rPr>
      </w:pPr>
      <w:bookmarkStart w:id="32" w:name="_Ref166448772"/>
      <w:r w:rsidRPr="00A473B4">
        <w:t xml:space="preserve">Table </w:t>
      </w:r>
      <w:r w:rsidR="00C52DBB">
        <w:fldChar w:fldCharType="begin"/>
      </w:r>
      <w:r w:rsidR="00C52DBB">
        <w:instrText xml:space="preserve"> SEQ Table \* ARABIC </w:instrText>
      </w:r>
      <w:r w:rsidR="00C52DBB">
        <w:fldChar w:fldCharType="separate"/>
      </w:r>
      <w:r w:rsidR="002E7F91">
        <w:rPr>
          <w:noProof/>
        </w:rPr>
        <w:t>6</w:t>
      </w:r>
      <w:r w:rsidR="00C52DBB">
        <w:rPr>
          <w:noProof/>
        </w:rPr>
        <w:fldChar w:fldCharType="end"/>
      </w:r>
      <w:bookmarkEnd w:id="32"/>
      <w:r w:rsidR="00712F1E" w:rsidRPr="00A473B4">
        <w:t xml:space="preserve">: </w:t>
      </w:r>
      <w:r w:rsidR="00712F1E">
        <w:t>R</w:t>
      </w:r>
      <w:r w:rsidR="00712F1E" w:rsidRPr="008B517A">
        <w:t xml:space="preserve">esults for </w:t>
      </w:r>
      <w:r w:rsidR="00712F1E">
        <w:t xml:space="preserve">the change from baseline in FACIT-Fatigue score </w:t>
      </w:r>
      <w:r w:rsidR="00712F1E" w:rsidRPr="008B517A">
        <w:t>in the APPLY-PNH trial</w:t>
      </w:r>
      <w:r w:rsidR="00712F1E">
        <w:t xml:space="preserve"> (24 weeks)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Results for the change from baseline in FACIT-Fatigue score in the APPLY-PNH trial (24 weeks)"/>
        <w:tblDescription w:val="Table 6: Results for the change from baseline in FACIT-Fatigue score in the APPLY-PNH trial (24 weeks)"/>
      </w:tblPr>
      <w:tblGrid>
        <w:gridCol w:w="3539"/>
        <w:gridCol w:w="1630"/>
        <w:gridCol w:w="1630"/>
        <w:gridCol w:w="2218"/>
      </w:tblGrid>
      <w:tr w:rsidR="00712F1E" w:rsidRPr="00A473B4" w14:paraId="1EE56749" w14:textId="77777777" w:rsidTr="00BF73EB">
        <w:trPr>
          <w:tblHeader/>
        </w:trPr>
        <w:tc>
          <w:tcPr>
            <w:tcW w:w="1962" w:type="pct"/>
            <w:vAlign w:val="center"/>
          </w:tcPr>
          <w:p w14:paraId="643482F5" w14:textId="77777777" w:rsidR="00712F1E" w:rsidRPr="00A473B4" w:rsidRDefault="00712F1E" w:rsidP="00BF73EB">
            <w:pPr>
              <w:pStyle w:val="COMTableheadingrow"/>
            </w:pPr>
          </w:p>
        </w:tc>
        <w:tc>
          <w:tcPr>
            <w:tcW w:w="904" w:type="pct"/>
            <w:vAlign w:val="center"/>
          </w:tcPr>
          <w:p w14:paraId="4D90D69B" w14:textId="77777777" w:rsidR="00712F1E" w:rsidRDefault="00712F1E" w:rsidP="00BF73EB">
            <w:pPr>
              <w:pStyle w:val="COMTableheadingrow"/>
              <w:jc w:val="center"/>
            </w:pPr>
            <w:r>
              <w:t>Iptacopan</w:t>
            </w:r>
          </w:p>
          <w:p w14:paraId="4885DDD6" w14:textId="77777777" w:rsidR="00712F1E" w:rsidRPr="00A473B4" w:rsidRDefault="00712F1E" w:rsidP="00BF73EB">
            <w:pPr>
              <w:pStyle w:val="COMTableheadingrow"/>
              <w:jc w:val="center"/>
            </w:pPr>
            <w:r>
              <w:t>N=62</w:t>
            </w:r>
          </w:p>
        </w:tc>
        <w:tc>
          <w:tcPr>
            <w:tcW w:w="904" w:type="pct"/>
            <w:vAlign w:val="center"/>
          </w:tcPr>
          <w:p w14:paraId="529C394D" w14:textId="77777777" w:rsidR="00712F1E" w:rsidRDefault="00712F1E" w:rsidP="00BF73EB">
            <w:pPr>
              <w:pStyle w:val="COMTableheadingrow"/>
              <w:jc w:val="center"/>
            </w:pPr>
            <w:r>
              <w:t>C5 inhibitor</w:t>
            </w:r>
          </w:p>
          <w:p w14:paraId="4E4F21A7" w14:textId="77777777" w:rsidR="00712F1E" w:rsidRPr="00A473B4" w:rsidRDefault="00712F1E" w:rsidP="00BF73EB">
            <w:pPr>
              <w:pStyle w:val="COMTableheadingrow"/>
              <w:jc w:val="center"/>
            </w:pPr>
            <w:r>
              <w:t>N=35</w:t>
            </w:r>
          </w:p>
        </w:tc>
        <w:tc>
          <w:tcPr>
            <w:tcW w:w="1230" w:type="pct"/>
            <w:vAlign w:val="center"/>
          </w:tcPr>
          <w:p w14:paraId="4CCAE5F9" w14:textId="77777777" w:rsidR="00712F1E" w:rsidRPr="00A473B4" w:rsidRDefault="00712F1E" w:rsidP="00BF73EB">
            <w:pPr>
              <w:pStyle w:val="COMTableheadingrow"/>
              <w:jc w:val="center"/>
            </w:pPr>
            <w:r>
              <w:t>Adjusted mean difference (95% </w:t>
            </w:r>
            <w:r w:rsidRPr="00345C4C">
              <w:t>CI)</w:t>
            </w:r>
          </w:p>
        </w:tc>
      </w:tr>
      <w:tr w:rsidR="00712F1E" w:rsidRPr="00A473B4" w14:paraId="004F1B79" w14:textId="77777777" w:rsidTr="00BF73EB">
        <w:trPr>
          <w:trHeight w:val="66"/>
        </w:trPr>
        <w:tc>
          <w:tcPr>
            <w:tcW w:w="1962" w:type="pct"/>
            <w:vAlign w:val="center"/>
          </w:tcPr>
          <w:p w14:paraId="61B82F96" w14:textId="77777777" w:rsidR="00712F1E" w:rsidRDefault="00712F1E" w:rsidP="00BF73EB">
            <w:pPr>
              <w:pStyle w:val="COMTabletext"/>
            </w:pPr>
            <w:r>
              <w:t>n/N</w:t>
            </w:r>
          </w:p>
        </w:tc>
        <w:tc>
          <w:tcPr>
            <w:tcW w:w="904" w:type="pct"/>
          </w:tcPr>
          <w:p w14:paraId="7206860D" w14:textId="77777777" w:rsidR="00712F1E" w:rsidRPr="00AB7DAF" w:rsidRDefault="00712F1E" w:rsidP="00BF73EB">
            <w:pPr>
              <w:pStyle w:val="COMTabletext"/>
              <w:jc w:val="center"/>
            </w:pPr>
            <w:r w:rsidRPr="00602718">
              <w:t>62/62</w:t>
            </w:r>
          </w:p>
        </w:tc>
        <w:tc>
          <w:tcPr>
            <w:tcW w:w="904" w:type="pct"/>
          </w:tcPr>
          <w:p w14:paraId="7F518486" w14:textId="77777777" w:rsidR="00712F1E" w:rsidRPr="00AB7DAF" w:rsidRDefault="00712F1E" w:rsidP="00BF73EB">
            <w:pPr>
              <w:pStyle w:val="COMTabletext"/>
              <w:jc w:val="center"/>
            </w:pPr>
            <w:r w:rsidRPr="00602718">
              <w:t>31/35</w:t>
            </w:r>
          </w:p>
        </w:tc>
        <w:tc>
          <w:tcPr>
            <w:tcW w:w="1230" w:type="pct"/>
            <w:vMerge w:val="restart"/>
            <w:vAlign w:val="center"/>
          </w:tcPr>
          <w:p w14:paraId="755606C8" w14:textId="77777777" w:rsidR="00712F1E" w:rsidRPr="00EE16D9" w:rsidRDefault="00712F1E" w:rsidP="00BF73EB">
            <w:pPr>
              <w:pStyle w:val="COMTabletext"/>
              <w:jc w:val="center"/>
            </w:pPr>
            <w:r w:rsidRPr="0090677A">
              <w:t>8.29 (5.28, 11.29)</w:t>
            </w:r>
          </w:p>
        </w:tc>
      </w:tr>
      <w:tr w:rsidR="00712F1E" w:rsidRPr="00A473B4" w14:paraId="4B6D0746" w14:textId="77777777" w:rsidTr="00BF73EB">
        <w:trPr>
          <w:trHeight w:val="66"/>
        </w:trPr>
        <w:tc>
          <w:tcPr>
            <w:tcW w:w="1962" w:type="pct"/>
            <w:vAlign w:val="center"/>
          </w:tcPr>
          <w:p w14:paraId="75DDAB53" w14:textId="77777777" w:rsidR="00712F1E" w:rsidRPr="0001787A" w:rsidRDefault="00712F1E" w:rsidP="00BF73EB">
            <w:pPr>
              <w:pStyle w:val="COMTabletext"/>
            </w:pPr>
            <w:r>
              <w:t>Baseline mean score (SD)</w:t>
            </w:r>
          </w:p>
        </w:tc>
        <w:tc>
          <w:tcPr>
            <w:tcW w:w="904" w:type="pct"/>
          </w:tcPr>
          <w:p w14:paraId="54027C19" w14:textId="77777777" w:rsidR="00712F1E" w:rsidRPr="008F7AC8" w:rsidRDefault="00712F1E" w:rsidP="00BF73EB">
            <w:pPr>
              <w:pStyle w:val="COMTabletext"/>
              <w:jc w:val="center"/>
            </w:pPr>
            <w:r w:rsidRPr="00FF340B">
              <w:t>34.7 (9.8)</w:t>
            </w:r>
          </w:p>
        </w:tc>
        <w:tc>
          <w:tcPr>
            <w:tcW w:w="904" w:type="pct"/>
          </w:tcPr>
          <w:p w14:paraId="7E5FB75A" w14:textId="77777777" w:rsidR="00712F1E" w:rsidRPr="008F7AC8" w:rsidRDefault="00712F1E" w:rsidP="00BF73EB">
            <w:pPr>
              <w:pStyle w:val="COMTabletext"/>
              <w:jc w:val="center"/>
            </w:pPr>
            <w:r w:rsidRPr="00FF340B">
              <w:t>30.8 (11.5)</w:t>
            </w:r>
          </w:p>
        </w:tc>
        <w:tc>
          <w:tcPr>
            <w:tcW w:w="1230" w:type="pct"/>
            <w:vMerge/>
            <w:vAlign w:val="center"/>
          </w:tcPr>
          <w:p w14:paraId="3909E398" w14:textId="77777777" w:rsidR="00712F1E" w:rsidRPr="00EE16D9" w:rsidRDefault="00712F1E" w:rsidP="00BF73EB">
            <w:pPr>
              <w:pStyle w:val="COMTabletext"/>
              <w:jc w:val="center"/>
            </w:pPr>
          </w:p>
        </w:tc>
      </w:tr>
      <w:tr w:rsidR="00712F1E" w:rsidRPr="00A473B4" w14:paraId="1EBDB3DA" w14:textId="77777777" w:rsidTr="00BF73EB">
        <w:tc>
          <w:tcPr>
            <w:tcW w:w="1962" w:type="pct"/>
            <w:vAlign w:val="center"/>
          </w:tcPr>
          <w:p w14:paraId="30BCE617" w14:textId="77777777" w:rsidR="00712F1E" w:rsidRPr="0072346B" w:rsidRDefault="00712F1E" w:rsidP="00BF73EB">
            <w:pPr>
              <w:pStyle w:val="COMTabletext"/>
              <w:rPr>
                <w:vertAlign w:val="superscript"/>
              </w:rPr>
            </w:pPr>
            <w:r w:rsidRPr="0090677A">
              <w:t>Adjusted mean change from baseline (95% CI)</w:t>
            </w:r>
          </w:p>
        </w:tc>
        <w:tc>
          <w:tcPr>
            <w:tcW w:w="904" w:type="pct"/>
          </w:tcPr>
          <w:p w14:paraId="59D3DC24" w14:textId="77777777" w:rsidR="00712F1E" w:rsidRPr="00A473B4" w:rsidRDefault="00712F1E" w:rsidP="00BF73EB">
            <w:pPr>
              <w:pStyle w:val="COMTabletext"/>
              <w:jc w:val="center"/>
            </w:pPr>
            <w:r w:rsidRPr="008711CC">
              <w:t>8.59 (6.72, 10.47)</w:t>
            </w:r>
          </w:p>
        </w:tc>
        <w:tc>
          <w:tcPr>
            <w:tcW w:w="904" w:type="pct"/>
          </w:tcPr>
          <w:p w14:paraId="2FB13E7A" w14:textId="77777777" w:rsidR="00712F1E" w:rsidRPr="00A473B4" w:rsidRDefault="00712F1E" w:rsidP="00BF73EB">
            <w:pPr>
              <w:pStyle w:val="COMTabletext"/>
              <w:jc w:val="center"/>
            </w:pPr>
            <w:r w:rsidRPr="008711CC">
              <w:t>0.31 (-2.20, 2.81)</w:t>
            </w:r>
          </w:p>
        </w:tc>
        <w:tc>
          <w:tcPr>
            <w:tcW w:w="1230" w:type="pct"/>
            <w:vMerge/>
            <w:vAlign w:val="center"/>
          </w:tcPr>
          <w:p w14:paraId="3DB6894A" w14:textId="77777777" w:rsidR="00712F1E" w:rsidRPr="00A473B4" w:rsidRDefault="00712F1E" w:rsidP="00BF73EB">
            <w:pPr>
              <w:pStyle w:val="COMTabletext"/>
              <w:jc w:val="center"/>
            </w:pPr>
          </w:p>
        </w:tc>
      </w:tr>
    </w:tbl>
    <w:p w14:paraId="6EA96F1C" w14:textId="4C32F730" w:rsidR="00712F1E" w:rsidRDefault="00712F1E" w:rsidP="00712F1E">
      <w:pPr>
        <w:pStyle w:val="COMTablefooter"/>
      </w:pPr>
      <w:r w:rsidRPr="00A473B4">
        <w:t xml:space="preserve">Source: </w:t>
      </w:r>
      <w:r>
        <w:t>Table 2-29, of the submission.</w:t>
      </w:r>
    </w:p>
    <w:p w14:paraId="751878DC" w14:textId="77777777" w:rsidR="00712F1E" w:rsidRDefault="00712F1E" w:rsidP="00712F1E">
      <w:pPr>
        <w:pStyle w:val="COMTablefooter"/>
      </w:pPr>
      <w:r>
        <w:t>Abbreviations: CI, confidence interval; FACIT, Functional Assessment of Chronic Illness Therapy; SD, standard deviation.</w:t>
      </w:r>
    </w:p>
    <w:p w14:paraId="46E17B25" w14:textId="77777777" w:rsidR="00712F1E" w:rsidRDefault="00712F1E" w:rsidP="00712F1E">
      <w:pPr>
        <w:pStyle w:val="COMTablefooter"/>
      </w:pPr>
      <w:r>
        <w:t>FACIT-Fatigue scored from 0 to 52 with a higher score reflecting a lower symptom burden.</w:t>
      </w:r>
    </w:p>
    <w:p w14:paraId="365D64BF" w14:textId="5609147B" w:rsidR="00712F1E" w:rsidRDefault="00712F1E" w:rsidP="00712F1E">
      <w:pPr>
        <w:pStyle w:val="COMexecsumnumberedpara"/>
      </w:pPr>
      <w:r>
        <w:t>Treatment with iptacopan was associated with a statistically significant improvement in FACIT-Fatigue score compared to treatment with a C5 inhibitor (mean difference: 8.29; 95% CI:</w:t>
      </w:r>
      <w:r w:rsidRPr="006A0501">
        <w:t xml:space="preserve"> 5.28, 11.29</w:t>
      </w:r>
      <w:r>
        <w:t xml:space="preserve">). The submission argued that, based on the minimal clinically important difference of 5 points proposed by Cella et al. (2023), the result represented a clinically important improvement in FACIT-Fatigue score. </w:t>
      </w:r>
    </w:p>
    <w:p w14:paraId="0E5CBD58" w14:textId="6FB3CF9E" w:rsidR="00712F1E" w:rsidRDefault="00712F1E" w:rsidP="00712F1E">
      <w:pPr>
        <w:pStyle w:val="COMexecsumnumberedpara"/>
      </w:pPr>
      <w:r w:rsidRPr="00B7318C">
        <w:t>Based on extended follow-up to 48 weeks</w:t>
      </w:r>
      <w:r>
        <w:t>,</w:t>
      </w:r>
      <w:r w:rsidRPr="006A0501">
        <w:t xml:space="preserve"> the adjusted mean change from baseline in FACIT-Fatigue score was 9.80 points (95% CI: 8.04, 11.56) </w:t>
      </w:r>
      <w:r>
        <w:t xml:space="preserve">in </w:t>
      </w:r>
      <w:r w:rsidRPr="006A0501">
        <w:t xml:space="preserve">the iptacopan </w:t>
      </w:r>
      <w:r>
        <w:t xml:space="preserve">arm </w:t>
      </w:r>
      <w:r w:rsidRPr="006A0501">
        <w:t>and 10.96 points (95% CI: 8.58,</w:t>
      </w:r>
      <w:r w:rsidR="00306026">
        <w:t xml:space="preserve"> </w:t>
      </w:r>
      <w:r w:rsidRPr="006A0501">
        <w:t xml:space="preserve">13.34) </w:t>
      </w:r>
      <w:r>
        <w:t xml:space="preserve">among patients in the C5 inhibitor arm who switched </w:t>
      </w:r>
      <w:r w:rsidRPr="006A0501">
        <w:t>to iptacopan</w:t>
      </w:r>
      <w:r>
        <w:t xml:space="preserve">. Improvements in the FACIT-Fatigue score in the iptacopan arm and among patients who switched to iptacopan from </w:t>
      </w:r>
      <w:r w:rsidR="00CD1E13">
        <w:t xml:space="preserve">a </w:t>
      </w:r>
      <w:r>
        <w:t>C5 inhibitor appeared to be maintained over the follow-up period.</w:t>
      </w:r>
    </w:p>
    <w:p w14:paraId="17501448" w14:textId="3D982208" w:rsidR="00D25E6E" w:rsidRPr="009929EF" w:rsidRDefault="00D25E6E" w:rsidP="00712F1E">
      <w:pPr>
        <w:pStyle w:val="COMexecsumnumberedpara"/>
      </w:pPr>
      <w:r w:rsidRPr="009929EF">
        <w:t>Overall, the ESC noted the significant improvement in outcomes with iptacopan compared to treatment with a C5 inhibitor, for patients non-responsive to a C5 inhibitor.</w:t>
      </w:r>
    </w:p>
    <w:p w14:paraId="4F5028A4" w14:textId="66FEB898" w:rsidR="005A2797" w:rsidRDefault="007F4845" w:rsidP="00E70C72">
      <w:pPr>
        <w:pStyle w:val="COMH3"/>
        <w:spacing w:after="120"/>
        <w:rPr>
          <w:lang w:val="en-US"/>
        </w:rPr>
      </w:pPr>
      <w:r w:rsidRPr="008F78CD">
        <w:rPr>
          <w:sz w:val="24"/>
          <w:szCs w:val="22"/>
          <w:lang w:val="en-US"/>
        </w:rPr>
        <w:t>Bucher method indirect comparison of iptacopan versus pegcetacoplan</w:t>
      </w:r>
    </w:p>
    <w:p w14:paraId="689EA0B2" w14:textId="74235CC7" w:rsidR="007F4845" w:rsidRDefault="007F4845" w:rsidP="007F4845">
      <w:pPr>
        <w:pStyle w:val="COMexecsumnumberedpara"/>
        <w:rPr>
          <w:snapToGrid/>
          <w:lang w:val="en-US"/>
        </w:rPr>
      </w:pPr>
      <w:r w:rsidRPr="007F4845">
        <w:rPr>
          <w:snapToGrid/>
          <w:lang w:val="en-US"/>
        </w:rPr>
        <w:t xml:space="preserve">The submission presented Bucher method indirect comparisons </w:t>
      </w:r>
      <w:r w:rsidR="00556745">
        <w:rPr>
          <w:snapToGrid/>
          <w:lang w:val="en-US"/>
        </w:rPr>
        <w:t>of</w:t>
      </w:r>
      <w:r w:rsidRPr="007F4845">
        <w:rPr>
          <w:snapToGrid/>
          <w:lang w:val="en-US"/>
        </w:rPr>
        <w:t xml:space="preserve"> iptacopan </w:t>
      </w:r>
      <w:r w:rsidR="00556745">
        <w:rPr>
          <w:snapToGrid/>
          <w:lang w:val="en-US"/>
        </w:rPr>
        <w:t>versus</w:t>
      </w:r>
      <w:r w:rsidRPr="007F4845">
        <w:rPr>
          <w:snapToGrid/>
          <w:lang w:val="en-US"/>
        </w:rPr>
        <w:t xml:space="preserve"> pegcetacoplan for the change from baseline in </w:t>
      </w:r>
      <w:r w:rsidRPr="00727D6B">
        <w:rPr>
          <w:snapToGrid/>
        </w:rPr>
        <w:t>haemoglobin</w:t>
      </w:r>
      <w:r w:rsidRPr="007F4845">
        <w:rPr>
          <w:snapToGrid/>
          <w:lang w:val="en-US"/>
        </w:rPr>
        <w:t xml:space="preserve"> level (censored at </w:t>
      </w:r>
      <w:r w:rsidRPr="007F4845">
        <w:rPr>
          <w:snapToGrid/>
          <w:lang w:val="en-US"/>
        </w:rPr>
        <w:lastRenderedPageBreak/>
        <w:t xml:space="preserve">transfusion), the proportion of patients remaining free from a blood transfusion, the change from baseline in absolute reticulocyte count, the proportion of patients experiencing breakthrough </w:t>
      </w:r>
      <w:r w:rsidRPr="00727D6B">
        <w:rPr>
          <w:snapToGrid/>
        </w:rPr>
        <w:t>haemolysis</w:t>
      </w:r>
      <w:r w:rsidRPr="007F4845">
        <w:rPr>
          <w:snapToGrid/>
          <w:lang w:val="en-US"/>
        </w:rPr>
        <w:t>, the change from baseline in FACIT-Fatigue score, and the proportion of patients experiencing selected adverse events.</w:t>
      </w:r>
    </w:p>
    <w:p w14:paraId="7497F204" w14:textId="25C1F086" w:rsidR="00233384" w:rsidRPr="0025780C" w:rsidRDefault="00233384" w:rsidP="007F4845">
      <w:pPr>
        <w:pStyle w:val="COMexecsumnumberedpara"/>
        <w:rPr>
          <w:snapToGrid/>
          <w:lang w:val="en-US"/>
        </w:rPr>
      </w:pPr>
      <w:r w:rsidRPr="0025780C">
        <w:rPr>
          <w:snapToGrid/>
          <w:lang w:val="en-US"/>
        </w:rPr>
        <w:t xml:space="preserve">The results of the Bucher method indirect comparisons should be interpreted </w:t>
      </w:r>
      <w:r w:rsidR="00EF1C2D">
        <w:rPr>
          <w:snapToGrid/>
          <w:lang w:val="en-US"/>
        </w:rPr>
        <w:t xml:space="preserve">with </w:t>
      </w:r>
      <w:r w:rsidRPr="0025780C">
        <w:rPr>
          <w:snapToGrid/>
          <w:lang w:val="en-US"/>
        </w:rPr>
        <w:t>caution due to differences between the APPLY-PNH and PEGASUS trials in common reference arms, trial eligibility criteria, timing of outcome assessments, outcome definitions/methods of analysis, and baseline patient characteristics. In particular, there were large differences between the common reference arms for most of the outcomes suggesting that the results of the Bucher method indirect comparisons may not be reliable.</w:t>
      </w:r>
    </w:p>
    <w:p w14:paraId="2B9A848D" w14:textId="25DE1997" w:rsidR="00233384" w:rsidRDefault="006D5094" w:rsidP="00233384">
      <w:pPr>
        <w:pStyle w:val="COMexecsumnumberedpara"/>
      </w:pPr>
      <w:r>
        <w:fldChar w:fldCharType="begin"/>
      </w:r>
      <w:r>
        <w:instrText xml:space="preserve"> REF _Ref166448786 \h </w:instrText>
      </w:r>
      <w:r>
        <w:fldChar w:fldCharType="separate"/>
      </w:r>
      <w:r w:rsidR="002E7F91" w:rsidRPr="00A473B4">
        <w:t xml:space="preserve">Table </w:t>
      </w:r>
      <w:r w:rsidR="002E7F91">
        <w:rPr>
          <w:noProof/>
        </w:rPr>
        <w:t>7</w:t>
      </w:r>
      <w:r>
        <w:fldChar w:fldCharType="end"/>
      </w:r>
      <w:r w:rsidR="00233384">
        <w:t xml:space="preserve"> presents the results of the Bucher method indirect comparison of iptacopan versus pegcetacoplan for</w:t>
      </w:r>
      <w:r w:rsidR="00233384" w:rsidRPr="008E78C2">
        <w:t xml:space="preserve"> </w:t>
      </w:r>
      <w:r w:rsidR="00233384">
        <w:t>the c</w:t>
      </w:r>
      <w:r w:rsidR="00233384" w:rsidRPr="008E78C2">
        <w:t>hange from baseline in haemoglobin level</w:t>
      </w:r>
      <w:r w:rsidR="00233384">
        <w:t xml:space="preserve"> (censored at transfusion).</w:t>
      </w:r>
    </w:p>
    <w:p w14:paraId="4B80A0BA" w14:textId="5FEECBFD" w:rsidR="00233384" w:rsidRPr="00A473B4" w:rsidRDefault="000056EE" w:rsidP="00233384">
      <w:pPr>
        <w:pStyle w:val="COMtablefigcaption"/>
        <w:jc w:val="both"/>
      </w:pPr>
      <w:bookmarkStart w:id="33" w:name="_Ref166448786"/>
      <w:r w:rsidRPr="00A473B4">
        <w:t xml:space="preserve">Table </w:t>
      </w:r>
      <w:r w:rsidR="00C52DBB">
        <w:fldChar w:fldCharType="begin"/>
      </w:r>
      <w:r w:rsidR="00C52DBB">
        <w:instrText xml:space="preserve"> SEQ Table \* ARABIC </w:instrText>
      </w:r>
      <w:r w:rsidR="00C52DBB">
        <w:fldChar w:fldCharType="separate"/>
      </w:r>
      <w:r w:rsidR="002E7F91">
        <w:rPr>
          <w:noProof/>
        </w:rPr>
        <w:t>7</w:t>
      </w:r>
      <w:r w:rsidR="00C52DBB">
        <w:rPr>
          <w:noProof/>
        </w:rPr>
        <w:fldChar w:fldCharType="end"/>
      </w:r>
      <w:bookmarkEnd w:id="33"/>
      <w:r w:rsidR="00233384" w:rsidRPr="00A473B4">
        <w:t xml:space="preserve">: Results </w:t>
      </w:r>
      <w:r w:rsidR="00233384">
        <w:t>for</w:t>
      </w:r>
      <w:r w:rsidR="00233384" w:rsidRPr="00A473B4">
        <w:t xml:space="preserve"> the indirect comparison </w:t>
      </w:r>
      <w:r w:rsidR="00233384">
        <w:t xml:space="preserve">of </w:t>
      </w:r>
      <w:r w:rsidR="00233384" w:rsidRPr="008E78C2">
        <w:t>change from baseline in haemoglobin level (</w:t>
      </w:r>
      <w:r w:rsidR="00233384">
        <w:t>censored at transfusion</w:t>
      </w:r>
      <w:r w:rsidR="00233384" w:rsidRPr="008E78C2">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7: Results for the indirect comparison of change from baseline in haemoglobin level (censored at transfusion)"/>
        <w:tblDescription w:val="Table 7: Results for the indirect comparison of change from baseline in haemoglobin level (censored at transfusion)"/>
      </w:tblPr>
      <w:tblGrid>
        <w:gridCol w:w="1004"/>
        <w:gridCol w:w="2168"/>
        <w:gridCol w:w="2168"/>
        <w:gridCol w:w="2169"/>
        <w:gridCol w:w="1508"/>
      </w:tblGrid>
      <w:tr w:rsidR="00233384" w:rsidRPr="00A473B4" w14:paraId="61B312E8" w14:textId="77777777" w:rsidTr="00BF73EB">
        <w:trPr>
          <w:tblHeader/>
          <w:jc w:val="center"/>
        </w:trPr>
        <w:tc>
          <w:tcPr>
            <w:tcW w:w="557" w:type="pct"/>
            <w:vMerge w:val="restart"/>
            <w:shd w:val="clear" w:color="auto" w:fill="auto"/>
            <w:vAlign w:val="center"/>
          </w:tcPr>
          <w:p w14:paraId="20A2EB3F" w14:textId="77777777" w:rsidR="00233384" w:rsidRPr="00A473B4" w:rsidRDefault="00233384" w:rsidP="00BF73EB">
            <w:pPr>
              <w:pStyle w:val="COMTableheadingrow"/>
            </w:pPr>
            <w:r w:rsidRPr="00A473B4">
              <w:t>Trial</w:t>
            </w:r>
          </w:p>
        </w:tc>
        <w:tc>
          <w:tcPr>
            <w:tcW w:w="3607" w:type="pct"/>
            <w:gridSpan w:val="3"/>
            <w:shd w:val="clear" w:color="auto" w:fill="auto"/>
            <w:vAlign w:val="center"/>
          </w:tcPr>
          <w:p w14:paraId="2527840A" w14:textId="77777777" w:rsidR="00233384" w:rsidRPr="00A473B4" w:rsidRDefault="00233384" w:rsidP="00BF73EB">
            <w:pPr>
              <w:pStyle w:val="COMTableheadingrow"/>
              <w:jc w:val="center"/>
            </w:pPr>
            <w:r>
              <w:t>Change</w:t>
            </w:r>
            <w:r w:rsidRPr="003F5CAB">
              <w:t xml:space="preserve"> from baseline in </w:t>
            </w:r>
            <w:r w:rsidRPr="00727D6B">
              <w:rPr>
                <w:lang w:val="en-AU"/>
              </w:rPr>
              <w:t>haemoglobin</w:t>
            </w:r>
            <w:r w:rsidRPr="003F5CAB">
              <w:t xml:space="preserve"> level (</w:t>
            </w:r>
            <w:r>
              <w:t>censored at transfusion)</w:t>
            </w:r>
          </w:p>
        </w:tc>
        <w:tc>
          <w:tcPr>
            <w:tcW w:w="836" w:type="pct"/>
            <w:vMerge w:val="restart"/>
            <w:shd w:val="clear" w:color="auto" w:fill="auto"/>
            <w:vAlign w:val="center"/>
          </w:tcPr>
          <w:p w14:paraId="7801374A" w14:textId="77777777" w:rsidR="00233384" w:rsidRPr="00A473B4" w:rsidRDefault="00233384" w:rsidP="00BF73EB">
            <w:pPr>
              <w:pStyle w:val="COMTableheadingrow"/>
              <w:jc w:val="center"/>
            </w:pPr>
            <w:r>
              <w:t>Adjusted difference</w:t>
            </w:r>
            <w:r w:rsidRPr="00A473B4">
              <w:t xml:space="preserve"> (95%</w:t>
            </w:r>
            <w:r>
              <w:t> </w:t>
            </w:r>
            <w:r w:rsidRPr="00A473B4">
              <w:t>CI)</w:t>
            </w:r>
          </w:p>
        </w:tc>
      </w:tr>
      <w:tr w:rsidR="00233384" w:rsidRPr="00A473B4" w14:paraId="2DEBAE1E" w14:textId="77777777" w:rsidTr="00BF73EB">
        <w:trPr>
          <w:tblHeader/>
          <w:jc w:val="center"/>
        </w:trPr>
        <w:tc>
          <w:tcPr>
            <w:tcW w:w="557" w:type="pct"/>
            <w:vMerge/>
            <w:shd w:val="clear" w:color="auto" w:fill="auto"/>
            <w:vAlign w:val="center"/>
          </w:tcPr>
          <w:p w14:paraId="2DE94665" w14:textId="77777777" w:rsidR="00233384" w:rsidRPr="00A473B4" w:rsidRDefault="00233384" w:rsidP="00BF73EB"/>
        </w:tc>
        <w:tc>
          <w:tcPr>
            <w:tcW w:w="1202" w:type="pct"/>
            <w:shd w:val="clear" w:color="auto" w:fill="auto"/>
            <w:vAlign w:val="center"/>
          </w:tcPr>
          <w:p w14:paraId="693E4AAF" w14:textId="77777777" w:rsidR="00233384" w:rsidRDefault="00233384" w:rsidP="00BF73EB">
            <w:pPr>
              <w:pStyle w:val="COMTableheadingrow"/>
              <w:jc w:val="center"/>
              <w:rPr>
                <w:iCs/>
              </w:rPr>
            </w:pPr>
            <w:r>
              <w:rPr>
                <w:iCs/>
              </w:rPr>
              <w:t>Iptacopan</w:t>
            </w:r>
          </w:p>
          <w:p w14:paraId="15C40C0B" w14:textId="77777777" w:rsidR="00233384" w:rsidRPr="00A473B4" w:rsidRDefault="00233384" w:rsidP="00BF73EB">
            <w:pPr>
              <w:pStyle w:val="COMTableheadingrow"/>
              <w:jc w:val="center"/>
            </w:pPr>
            <w:r>
              <w:t>Hb, g/dL</w:t>
            </w:r>
          </w:p>
        </w:tc>
        <w:tc>
          <w:tcPr>
            <w:tcW w:w="1202" w:type="pct"/>
            <w:shd w:val="clear" w:color="auto" w:fill="auto"/>
            <w:vAlign w:val="center"/>
          </w:tcPr>
          <w:p w14:paraId="1D0ECE20" w14:textId="77777777" w:rsidR="00233384" w:rsidRDefault="00233384" w:rsidP="00BF73EB">
            <w:pPr>
              <w:pStyle w:val="COMTableheadingrow"/>
              <w:jc w:val="center"/>
            </w:pPr>
            <w:r>
              <w:t>C5 inhibitor</w:t>
            </w:r>
          </w:p>
          <w:p w14:paraId="5C066A14" w14:textId="77777777" w:rsidR="00233384" w:rsidRPr="00A473B4" w:rsidRDefault="00233384" w:rsidP="00BF73EB">
            <w:pPr>
              <w:pStyle w:val="COMTableheadingrow"/>
              <w:jc w:val="center"/>
            </w:pPr>
            <w:r>
              <w:t>Hb, g/dL</w:t>
            </w:r>
          </w:p>
        </w:tc>
        <w:tc>
          <w:tcPr>
            <w:tcW w:w="1202" w:type="pct"/>
            <w:shd w:val="clear" w:color="auto" w:fill="auto"/>
            <w:vAlign w:val="center"/>
          </w:tcPr>
          <w:p w14:paraId="7D2073E7" w14:textId="77777777" w:rsidR="00233384" w:rsidRDefault="00233384" w:rsidP="00BF73EB">
            <w:pPr>
              <w:pStyle w:val="COMTableheadingrow"/>
              <w:jc w:val="center"/>
            </w:pPr>
            <w:r>
              <w:t>Pegcetacoplan</w:t>
            </w:r>
          </w:p>
          <w:p w14:paraId="610B61AC" w14:textId="77777777" w:rsidR="00233384" w:rsidRPr="00A473B4" w:rsidRDefault="00233384" w:rsidP="00BF73EB">
            <w:pPr>
              <w:pStyle w:val="COMTableheadingrow"/>
              <w:jc w:val="center"/>
            </w:pPr>
            <w:r>
              <w:t>Hb, g/dL</w:t>
            </w:r>
          </w:p>
        </w:tc>
        <w:tc>
          <w:tcPr>
            <w:tcW w:w="836" w:type="pct"/>
            <w:vMerge/>
            <w:shd w:val="clear" w:color="auto" w:fill="auto"/>
            <w:vAlign w:val="center"/>
          </w:tcPr>
          <w:p w14:paraId="0CAEEDF6" w14:textId="77777777" w:rsidR="00233384" w:rsidRPr="00A473B4" w:rsidRDefault="00233384" w:rsidP="00BF73EB">
            <w:pPr>
              <w:jc w:val="center"/>
            </w:pPr>
          </w:p>
        </w:tc>
      </w:tr>
      <w:tr w:rsidR="00233384" w:rsidRPr="00A473B4" w14:paraId="4755FFBF" w14:textId="77777777" w:rsidTr="00BF73EB">
        <w:trPr>
          <w:jc w:val="center"/>
        </w:trPr>
        <w:tc>
          <w:tcPr>
            <w:tcW w:w="557" w:type="pct"/>
            <w:vMerge w:val="restart"/>
            <w:shd w:val="clear" w:color="auto" w:fill="auto"/>
            <w:vAlign w:val="center"/>
          </w:tcPr>
          <w:p w14:paraId="45836DC5" w14:textId="77777777" w:rsidR="00233384" w:rsidRPr="00A473B4" w:rsidRDefault="00233384" w:rsidP="00BF73EB">
            <w:pPr>
              <w:pStyle w:val="COMTabletext"/>
            </w:pPr>
            <w:r>
              <w:t>APPLY-PNH</w:t>
            </w:r>
          </w:p>
        </w:tc>
        <w:tc>
          <w:tcPr>
            <w:tcW w:w="1202" w:type="pct"/>
            <w:shd w:val="clear" w:color="auto" w:fill="auto"/>
          </w:tcPr>
          <w:p w14:paraId="5E16F33C" w14:textId="77777777" w:rsidR="00233384" w:rsidRDefault="00233384" w:rsidP="00BF73EB">
            <w:pPr>
              <w:pStyle w:val="COMTabletext"/>
              <w:jc w:val="center"/>
            </w:pPr>
            <w:r>
              <w:t xml:space="preserve">Baseline mean (SD): </w:t>
            </w:r>
          </w:p>
          <w:p w14:paraId="317E2861" w14:textId="7B2C681C" w:rsidR="00233384" w:rsidRPr="00A473B4" w:rsidRDefault="00233384" w:rsidP="00BF73EB">
            <w:pPr>
              <w:pStyle w:val="COMTabletext"/>
              <w:jc w:val="center"/>
            </w:pPr>
            <w:r w:rsidRPr="00124CC4">
              <w:t>8.9</w:t>
            </w:r>
            <w:r w:rsidR="00594CED">
              <w:t>0</w:t>
            </w:r>
            <w:r w:rsidRPr="00124CC4">
              <w:t xml:space="preserve"> (0.703)</w:t>
            </w:r>
          </w:p>
        </w:tc>
        <w:tc>
          <w:tcPr>
            <w:tcW w:w="1202" w:type="pct"/>
            <w:shd w:val="clear" w:color="auto" w:fill="auto"/>
          </w:tcPr>
          <w:p w14:paraId="4FDFD413" w14:textId="77777777" w:rsidR="00233384" w:rsidRDefault="00233384" w:rsidP="00BF73EB">
            <w:pPr>
              <w:pStyle w:val="COMTabletext"/>
              <w:jc w:val="center"/>
            </w:pPr>
            <w:r>
              <w:t xml:space="preserve">Baseline mean (SD): </w:t>
            </w:r>
          </w:p>
          <w:p w14:paraId="58D7B7A4" w14:textId="77777777" w:rsidR="00233384" w:rsidRPr="00A473B4" w:rsidRDefault="00233384" w:rsidP="00BF73EB">
            <w:pPr>
              <w:pStyle w:val="COMTabletext"/>
              <w:jc w:val="center"/>
            </w:pPr>
            <w:r w:rsidRPr="004F5DA1">
              <w:t>8.85 (0.898)</w:t>
            </w:r>
          </w:p>
        </w:tc>
        <w:tc>
          <w:tcPr>
            <w:tcW w:w="1202" w:type="pct"/>
            <w:shd w:val="clear" w:color="auto" w:fill="auto"/>
            <w:vAlign w:val="center"/>
          </w:tcPr>
          <w:p w14:paraId="66ACE724" w14:textId="77777777" w:rsidR="00233384" w:rsidRPr="00A473B4" w:rsidRDefault="00233384" w:rsidP="00BF73EB">
            <w:pPr>
              <w:pStyle w:val="COMTabletext"/>
              <w:jc w:val="center"/>
            </w:pPr>
            <w:r>
              <w:t>-</w:t>
            </w:r>
          </w:p>
        </w:tc>
        <w:tc>
          <w:tcPr>
            <w:tcW w:w="836" w:type="pct"/>
            <w:vMerge w:val="restart"/>
            <w:shd w:val="clear" w:color="auto" w:fill="auto"/>
            <w:vAlign w:val="center"/>
          </w:tcPr>
          <w:p w14:paraId="122C44BF" w14:textId="77777777" w:rsidR="00233384" w:rsidRPr="0020086C" w:rsidRDefault="00233384" w:rsidP="00BF73EB">
            <w:pPr>
              <w:pStyle w:val="COMTabletext"/>
              <w:jc w:val="center"/>
              <w:rPr>
                <w:b/>
                <w:bCs w:val="0"/>
              </w:rPr>
            </w:pPr>
            <w:r w:rsidRPr="0020086C">
              <w:rPr>
                <w:b/>
                <w:bCs w:val="0"/>
              </w:rPr>
              <w:t>3.66 (3.20, 4.12)</w:t>
            </w:r>
          </w:p>
        </w:tc>
      </w:tr>
      <w:tr w:rsidR="00233384" w:rsidRPr="00A473B4" w14:paraId="7C51065B" w14:textId="77777777" w:rsidTr="00BF73EB">
        <w:trPr>
          <w:jc w:val="center"/>
        </w:trPr>
        <w:tc>
          <w:tcPr>
            <w:tcW w:w="557" w:type="pct"/>
            <w:vMerge/>
            <w:shd w:val="clear" w:color="auto" w:fill="auto"/>
            <w:vAlign w:val="center"/>
          </w:tcPr>
          <w:p w14:paraId="49410A3E" w14:textId="77777777" w:rsidR="00233384" w:rsidRDefault="00233384" w:rsidP="00BF73EB">
            <w:pPr>
              <w:pStyle w:val="COMTabletext"/>
            </w:pPr>
          </w:p>
        </w:tc>
        <w:tc>
          <w:tcPr>
            <w:tcW w:w="1202" w:type="pct"/>
            <w:shd w:val="clear" w:color="auto" w:fill="auto"/>
          </w:tcPr>
          <w:p w14:paraId="5F32CDC7" w14:textId="77777777" w:rsidR="00233384" w:rsidRDefault="00233384" w:rsidP="00BF73EB">
            <w:pPr>
              <w:pStyle w:val="COMTabletext"/>
              <w:jc w:val="center"/>
            </w:pPr>
            <w:r>
              <w:t xml:space="preserve">Adjusted mean change (95% CI): </w:t>
            </w:r>
          </w:p>
          <w:p w14:paraId="3B0D42A8" w14:textId="77777777" w:rsidR="00233384" w:rsidRPr="006F18FC" w:rsidRDefault="00233384" w:rsidP="00BF73EB">
            <w:pPr>
              <w:pStyle w:val="COMTabletext"/>
              <w:jc w:val="center"/>
            </w:pPr>
            <w:r w:rsidRPr="00E01805">
              <w:t>3.60 (3.33, 3.88)</w:t>
            </w:r>
          </w:p>
        </w:tc>
        <w:tc>
          <w:tcPr>
            <w:tcW w:w="1202" w:type="pct"/>
            <w:shd w:val="clear" w:color="auto" w:fill="auto"/>
          </w:tcPr>
          <w:p w14:paraId="06C2E813" w14:textId="77777777" w:rsidR="00233384" w:rsidRDefault="00233384" w:rsidP="00BF73EB">
            <w:pPr>
              <w:pStyle w:val="COMTabletext"/>
              <w:jc w:val="center"/>
            </w:pPr>
            <w:r>
              <w:t xml:space="preserve">Adjusted mean change (95% CI): </w:t>
            </w:r>
          </w:p>
          <w:p w14:paraId="7E4DC77D" w14:textId="77777777" w:rsidR="00233384" w:rsidRPr="006F18FC" w:rsidRDefault="00233384" w:rsidP="00BF73EB">
            <w:pPr>
              <w:pStyle w:val="COMTabletext"/>
              <w:jc w:val="center"/>
            </w:pPr>
            <w:r w:rsidRPr="00E01805">
              <w:t>-0.06 (-0.45, 0.34)</w:t>
            </w:r>
          </w:p>
        </w:tc>
        <w:tc>
          <w:tcPr>
            <w:tcW w:w="1202" w:type="pct"/>
            <w:shd w:val="clear" w:color="auto" w:fill="auto"/>
          </w:tcPr>
          <w:p w14:paraId="08EAF528" w14:textId="77777777" w:rsidR="00233384" w:rsidRPr="00A473B4" w:rsidRDefault="00233384" w:rsidP="00BF73EB">
            <w:pPr>
              <w:pStyle w:val="COMTabletext"/>
              <w:jc w:val="center"/>
            </w:pPr>
            <w:r>
              <w:t>-</w:t>
            </w:r>
          </w:p>
        </w:tc>
        <w:tc>
          <w:tcPr>
            <w:tcW w:w="836" w:type="pct"/>
            <w:vMerge/>
            <w:shd w:val="clear" w:color="auto" w:fill="auto"/>
            <w:vAlign w:val="center"/>
          </w:tcPr>
          <w:p w14:paraId="38CBC4FE" w14:textId="77777777" w:rsidR="00233384" w:rsidRPr="00BE3A74" w:rsidRDefault="00233384" w:rsidP="00BF73EB">
            <w:pPr>
              <w:pStyle w:val="COMTabletext"/>
              <w:jc w:val="center"/>
            </w:pPr>
          </w:p>
        </w:tc>
      </w:tr>
      <w:tr w:rsidR="00233384" w:rsidRPr="00A473B4" w14:paraId="17366F7D" w14:textId="77777777" w:rsidTr="00BF73EB">
        <w:trPr>
          <w:jc w:val="center"/>
        </w:trPr>
        <w:tc>
          <w:tcPr>
            <w:tcW w:w="557" w:type="pct"/>
            <w:vMerge w:val="restart"/>
            <w:shd w:val="clear" w:color="auto" w:fill="auto"/>
            <w:vAlign w:val="center"/>
          </w:tcPr>
          <w:p w14:paraId="4B6DD934" w14:textId="77777777" w:rsidR="00233384" w:rsidRPr="00A473B4" w:rsidRDefault="00233384" w:rsidP="00BF73EB">
            <w:pPr>
              <w:pStyle w:val="COMTabletext"/>
            </w:pPr>
            <w:r>
              <w:t>PEGASUS</w:t>
            </w:r>
          </w:p>
        </w:tc>
        <w:tc>
          <w:tcPr>
            <w:tcW w:w="1202" w:type="pct"/>
            <w:shd w:val="clear" w:color="auto" w:fill="auto"/>
            <w:vAlign w:val="center"/>
          </w:tcPr>
          <w:p w14:paraId="50327B61" w14:textId="77777777" w:rsidR="00233384" w:rsidRPr="00A473B4" w:rsidRDefault="00233384" w:rsidP="00BF73EB">
            <w:pPr>
              <w:pStyle w:val="COMTabletext"/>
              <w:jc w:val="center"/>
            </w:pPr>
            <w:r>
              <w:t>-</w:t>
            </w:r>
          </w:p>
        </w:tc>
        <w:tc>
          <w:tcPr>
            <w:tcW w:w="1202" w:type="pct"/>
            <w:shd w:val="clear" w:color="auto" w:fill="auto"/>
          </w:tcPr>
          <w:p w14:paraId="3BB409C3" w14:textId="77777777" w:rsidR="00233384" w:rsidRPr="00A473B4" w:rsidRDefault="00233384" w:rsidP="00BF73EB">
            <w:pPr>
              <w:pStyle w:val="COMTabletext"/>
              <w:jc w:val="center"/>
            </w:pPr>
            <w:r>
              <w:t xml:space="preserve">Baseline mean (SD): </w:t>
            </w:r>
            <w:r w:rsidRPr="00A87FF1">
              <w:t>8.68</w:t>
            </w:r>
            <w:r>
              <w:t> </w:t>
            </w:r>
            <w:r w:rsidRPr="00A87FF1">
              <w:t>(0.89)</w:t>
            </w:r>
          </w:p>
        </w:tc>
        <w:tc>
          <w:tcPr>
            <w:tcW w:w="1202" w:type="pct"/>
            <w:shd w:val="clear" w:color="auto" w:fill="auto"/>
          </w:tcPr>
          <w:p w14:paraId="04E7494C" w14:textId="77777777" w:rsidR="00233384" w:rsidRPr="00A473B4" w:rsidRDefault="00233384" w:rsidP="00BF73EB">
            <w:pPr>
              <w:pStyle w:val="COMTabletext"/>
              <w:jc w:val="center"/>
            </w:pPr>
            <w:r>
              <w:t xml:space="preserve">Baseline mean (SD): </w:t>
            </w:r>
            <w:r w:rsidRPr="00E63CAC">
              <w:t>8.69</w:t>
            </w:r>
            <w:r>
              <w:t> </w:t>
            </w:r>
            <w:r w:rsidRPr="00E63CAC">
              <w:t>(1.08)</w:t>
            </w:r>
          </w:p>
        </w:tc>
        <w:tc>
          <w:tcPr>
            <w:tcW w:w="836" w:type="pct"/>
            <w:vMerge w:val="restart"/>
            <w:shd w:val="clear" w:color="auto" w:fill="auto"/>
            <w:vAlign w:val="center"/>
          </w:tcPr>
          <w:p w14:paraId="37F398B7" w14:textId="77777777" w:rsidR="00233384" w:rsidRPr="00A87FF1" w:rsidRDefault="00233384" w:rsidP="00BF73EB">
            <w:pPr>
              <w:pStyle w:val="COMTabletext"/>
              <w:jc w:val="center"/>
              <w:rPr>
                <w:b/>
                <w:bCs w:val="0"/>
                <w:vertAlign w:val="superscript"/>
              </w:rPr>
            </w:pPr>
            <w:r w:rsidRPr="00A87FF1">
              <w:rPr>
                <w:b/>
                <w:bCs w:val="0"/>
              </w:rPr>
              <w:t>3.84 (2.33, 5.34)</w:t>
            </w:r>
          </w:p>
        </w:tc>
      </w:tr>
      <w:tr w:rsidR="00233384" w:rsidRPr="00A473B4" w14:paraId="4F44195B" w14:textId="77777777" w:rsidTr="00BF73EB">
        <w:trPr>
          <w:jc w:val="center"/>
        </w:trPr>
        <w:tc>
          <w:tcPr>
            <w:tcW w:w="557" w:type="pct"/>
            <w:vMerge/>
            <w:shd w:val="clear" w:color="auto" w:fill="auto"/>
            <w:vAlign w:val="center"/>
          </w:tcPr>
          <w:p w14:paraId="1E5FBB12" w14:textId="77777777" w:rsidR="00233384" w:rsidRDefault="00233384" w:rsidP="00BF73EB">
            <w:pPr>
              <w:pStyle w:val="COMTabletext"/>
            </w:pPr>
          </w:p>
        </w:tc>
        <w:tc>
          <w:tcPr>
            <w:tcW w:w="1202" w:type="pct"/>
            <w:shd w:val="clear" w:color="auto" w:fill="auto"/>
            <w:vAlign w:val="center"/>
          </w:tcPr>
          <w:p w14:paraId="59985EE7" w14:textId="77777777" w:rsidR="00233384" w:rsidRPr="00A473B4" w:rsidRDefault="00233384" w:rsidP="00BF73EB">
            <w:pPr>
              <w:pStyle w:val="COMTabletext"/>
              <w:jc w:val="center"/>
            </w:pPr>
            <w:r>
              <w:t>-</w:t>
            </w:r>
          </w:p>
        </w:tc>
        <w:tc>
          <w:tcPr>
            <w:tcW w:w="1202" w:type="pct"/>
            <w:shd w:val="clear" w:color="auto" w:fill="auto"/>
          </w:tcPr>
          <w:p w14:paraId="457DBB0E" w14:textId="77777777" w:rsidR="00233384" w:rsidRDefault="00233384" w:rsidP="00BF73EB">
            <w:pPr>
              <w:pStyle w:val="COMTabletext"/>
              <w:jc w:val="center"/>
            </w:pPr>
            <w:r>
              <w:t>Adjusted mean change (SE):</w:t>
            </w:r>
          </w:p>
          <w:p w14:paraId="037DDA96" w14:textId="77777777" w:rsidR="00233384" w:rsidRPr="00BE3A74" w:rsidRDefault="00233384" w:rsidP="00BF73EB">
            <w:pPr>
              <w:pStyle w:val="COMTabletext"/>
              <w:jc w:val="center"/>
            </w:pPr>
            <w:r w:rsidRPr="00A87FF1">
              <w:t>-1.47</w:t>
            </w:r>
            <w:r>
              <w:t> </w:t>
            </w:r>
            <w:r w:rsidRPr="00A87FF1">
              <w:t>(0.67)</w:t>
            </w:r>
          </w:p>
        </w:tc>
        <w:tc>
          <w:tcPr>
            <w:tcW w:w="1202" w:type="pct"/>
            <w:shd w:val="clear" w:color="auto" w:fill="auto"/>
          </w:tcPr>
          <w:p w14:paraId="0E375F72" w14:textId="77777777" w:rsidR="00233384" w:rsidRPr="00BE3A74" w:rsidRDefault="00233384" w:rsidP="00BF73EB">
            <w:pPr>
              <w:pStyle w:val="COMTabletext"/>
              <w:jc w:val="center"/>
            </w:pPr>
            <w:r>
              <w:t xml:space="preserve">Adjusted mean change (SE): </w:t>
            </w:r>
            <w:r w:rsidRPr="00A87FF1">
              <w:t>2.37</w:t>
            </w:r>
            <w:r>
              <w:t> </w:t>
            </w:r>
            <w:r w:rsidRPr="00A87FF1">
              <w:t>(0.36)</w:t>
            </w:r>
          </w:p>
        </w:tc>
        <w:tc>
          <w:tcPr>
            <w:tcW w:w="836" w:type="pct"/>
            <w:vMerge/>
            <w:shd w:val="clear" w:color="auto" w:fill="auto"/>
            <w:vAlign w:val="center"/>
          </w:tcPr>
          <w:p w14:paraId="7D555FAB" w14:textId="77777777" w:rsidR="00233384" w:rsidRPr="00C666B3" w:rsidRDefault="00233384" w:rsidP="00BF73EB">
            <w:pPr>
              <w:pStyle w:val="COMTabletext"/>
              <w:jc w:val="center"/>
            </w:pPr>
          </w:p>
        </w:tc>
      </w:tr>
      <w:tr w:rsidR="00233384" w:rsidRPr="00A473B4" w14:paraId="456AED09" w14:textId="77777777" w:rsidTr="00BF73EB">
        <w:trPr>
          <w:jc w:val="center"/>
        </w:trPr>
        <w:tc>
          <w:tcPr>
            <w:tcW w:w="4164" w:type="pct"/>
            <w:gridSpan w:val="4"/>
            <w:shd w:val="clear" w:color="auto" w:fill="auto"/>
            <w:vAlign w:val="center"/>
          </w:tcPr>
          <w:p w14:paraId="028DAA2E" w14:textId="77777777" w:rsidR="00233384" w:rsidRPr="00A473B4" w:rsidRDefault="00233384" w:rsidP="00BF73EB">
            <w:pPr>
              <w:pStyle w:val="COMTabletext"/>
              <w:jc w:val="right"/>
            </w:pPr>
            <w:r w:rsidRPr="00A473B4">
              <w:rPr>
                <w:b/>
              </w:rPr>
              <w:t xml:space="preserve">Indirect comparison </w:t>
            </w:r>
            <w:r>
              <w:rPr>
                <w:b/>
              </w:rPr>
              <w:t>of iptacopan</w:t>
            </w:r>
            <w:r w:rsidRPr="00A473B4">
              <w:rPr>
                <w:b/>
              </w:rPr>
              <w:t xml:space="preserve"> vs. </w:t>
            </w:r>
            <w:r>
              <w:rPr>
                <w:b/>
              </w:rPr>
              <w:t>pegcetacoplan</w:t>
            </w:r>
          </w:p>
        </w:tc>
        <w:tc>
          <w:tcPr>
            <w:tcW w:w="836" w:type="pct"/>
            <w:shd w:val="clear" w:color="auto" w:fill="auto"/>
            <w:vAlign w:val="center"/>
          </w:tcPr>
          <w:p w14:paraId="0FC64C54" w14:textId="77777777" w:rsidR="00233384" w:rsidRPr="00C666B3" w:rsidRDefault="00233384" w:rsidP="00BF73EB">
            <w:pPr>
              <w:pStyle w:val="COMTabletext"/>
              <w:jc w:val="center"/>
              <w:rPr>
                <w:bCs w:val="0"/>
                <w:vertAlign w:val="superscript"/>
              </w:rPr>
            </w:pPr>
            <w:r w:rsidRPr="00A87FF1">
              <w:rPr>
                <w:bCs w:val="0"/>
              </w:rPr>
              <w:t xml:space="preserve">-0.18 </w:t>
            </w:r>
            <w:r>
              <w:rPr>
                <w:bCs w:val="0"/>
              </w:rPr>
              <w:t>(</w:t>
            </w:r>
            <w:r w:rsidRPr="00A87FF1">
              <w:rPr>
                <w:bCs w:val="0"/>
              </w:rPr>
              <w:t>-1.75, 1.39</w:t>
            </w:r>
            <w:r>
              <w:rPr>
                <w:bCs w:val="0"/>
              </w:rPr>
              <w:t>)</w:t>
            </w:r>
          </w:p>
        </w:tc>
      </w:tr>
    </w:tbl>
    <w:p w14:paraId="32145DCB" w14:textId="5A41C47A" w:rsidR="00233384" w:rsidRDefault="00233384" w:rsidP="00233384">
      <w:pPr>
        <w:pStyle w:val="COMTablefooter"/>
      </w:pPr>
      <w:r w:rsidRPr="00A473B4">
        <w:t xml:space="preserve">Source: </w:t>
      </w:r>
      <w:r>
        <w:t>Table 2-45, of the submission.</w:t>
      </w:r>
    </w:p>
    <w:p w14:paraId="07234DD6" w14:textId="77777777" w:rsidR="005572BA" w:rsidRDefault="00233384" w:rsidP="00233384">
      <w:pPr>
        <w:pStyle w:val="COMTablefooter"/>
      </w:pPr>
      <w:r>
        <w:t>Abbreviations: CI, confidence interval; Hb, haemoglobin; SD, standard deviation; SE, standard error.</w:t>
      </w:r>
    </w:p>
    <w:p w14:paraId="525F0152" w14:textId="0DA8DF70" w:rsidR="00233384" w:rsidRDefault="005572BA" w:rsidP="00233384">
      <w:pPr>
        <w:pStyle w:val="COMTablefooter"/>
      </w:pPr>
      <w:r>
        <w:t>Bolded results reflect nominal statistical significance.</w:t>
      </w:r>
    </w:p>
    <w:p w14:paraId="435BE7FF" w14:textId="67AD624D" w:rsidR="007C2ABF" w:rsidRPr="00C831D0" w:rsidRDefault="00233384" w:rsidP="00233384">
      <w:pPr>
        <w:pStyle w:val="COMexecsumnumberedpara"/>
        <w:rPr>
          <w:i/>
          <w:iCs/>
        </w:rPr>
      </w:pPr>
      <w:r>
        <w:t>Based on the indirect comparison, treatment with iptacopan was associated with a smaller improvement in haemoglobin from baseline compared to pegcetacoplan, but the difference was not statistically significant</w:t>
      </w:r>
      <w:r w:rsidR="008F78CD">
        <w:t>.</w:t>
      </w:r>
    </w:p>
    <w:p w14:paraId="6FE8134E" w14:textId="3C924AAF" w:rsidR="00C831D0" w:rsidRPr="007C2ABF" w:rsidRDefault="00C831D0" w:rsidP="00233384">
      <w:pPr>
        <w:pStyle w:val="COMexecsumnumberedpara"/>
        <w:rPr>
          <w:i/>
          <w:iCs/>
        </w:rPr>
      </w:pPr>
      <w:r>
        <w:t xml:space="preserve">There were similarly no statistically significant differences between iptacopan and pegcetacoplan in the proportion of patients remaining free from transfusion (risk difference = 5.9%; 95% CI: -15.9, 27.7); the proportion of patients experiencing breakthrough haemolysis (risk difference: </w:t>
      </w:r>
      <w:r w:rsidRPr="001430FE">
        <w:t>-0.01</w:t>
      </w:r>
      <w:r>
        <w:t xml:space="preserve">; 95% CI: </w:t>
      </w:r>
      <w:r w:rsidRPr="001430FE">
        <w:t>-0.20, 0.18)</w:t>
      </w:r>
      <w:r>
        <w:t>; and c</w:t>
      </w:r>
      <w:r w:rsidRPr="008E78C2">
        <w:t xml:space="preserve">hange from baseline in </w:t>
      </w:r>
      <w:r>
        <w:t xml:space="preserve">FACIT-Fatigue </w:t>
      </w:r>
      <w:r w:rsidR="002B2A88">
        <w:t xml:space="preserve">score </w:t>
      </w:r>
      <w:r w:rsidR="002B2A88" w:rsidRPr="007C2ABF">
        <w:t>(</w:t>
      </w:r>
      <w:r w:rsidRPr="007C2ABF">
        <w:t>mean difference: -3.61; 95% CI: -10.66, 3.44).</w:t>
      </w:r>
    </w:p>
    <w:p w14:paraId="52461BC7" w14:textId="33874BEE" w:rsidR="007C2ABF" w:rsidRPr="00BE0534" w:rsidRDefault="0081031C" w:rsidP="00E70C72">
      <w:pPr>
        <w:pStyle w:val="COMH3"/>
        <w:spacing w:after="120"/>
        <w:rPr>
          <w:sz w:val="24"/>
        </w:rPr>
      </w:pPr>
      <w:r w:rsidRPr="00BE0534">
        <w:rPr>
          <w:sz w:val="24"/>
        </w:rPr>
        <w:t>Matching</w:t>
      </w:r>
      <w:r w:rsidR="002E59CA">
        <w:rPr>
          <w:sz w:val="24"/>
        </w:rPr>
        <w:t>-</w:t>
      </w:r>
      <w:r w:rsidRPr="00BE0534">
        <w:rPr>
          <w:sz w:val="24"/>
        </w:rPr>
        <w:t>adjusted indirect comparisons</w:t>
      </w:r>
    </w:p>
    <w:p w14:paraId="4F6803A9" w14:textId="2B909A89" w:rsidR="007C2ABF" w:rsidRDefault="0081031C" w:rsidP="0081031C">
      <w:pPr>
        <w:pStyle w:val="COMexecsumnumberedpara"/>
      </w:pPr>
      <w:r>
        <w:t>The submission presented anchored and unanchored MAICs of iptacopan versus pegcetacoplan</w:t>
      </w:r>
      <w:r w:rsidRPr="00C87337">
        <w:t xml:space="preserve"> </w:t>
      </w:r>
      <w:r>
        <w:t>using i</w:t>
      </w:r>
      <w:r w:rsidRPr="00C87337">
        <w:t xml:space="preserve">ndividual patient data for iptacopan from </w:t>
      </w:r>
      <w:r>
        <w:t xml:space="preserve">the </w:t>
      </w:r>
      <w:r w:rsidRPr="00C87337">
        <w:t xml:space="preserve">APPLY-PNH </w:t>
      </w:r>
      <w:r>
        <w:t xml:space="preserve">trial </w:t>
      </w:r>
      <w:r w:rsidRPr="00C87337">
        <w:t xml:space="preserve">and summary-level data for pegcetacoplan from </w:t>
      </w:r>
      <w:r>
        <w:t xml:space="preserve">the </w:t>
      </w:r>
      <w:r w:rsidRPr="00C87337">
        <w:t xml:space="preserve">PEGASUS </w:t>
      </w:r>
      <w:r>
        <w:t>trial.</w:t>
      </w:r>
      <w:r w:rsidR="007F2B0F">
        <w:t xml:space="preserve"> </w:t>
      </w:r>
      <w:r w:rsidR="007F2B0F" w:rsidRPr="007F2B0F">
        <w:t xml:space="preserve">Comparisons were presented for the change from baseline in haemoglobin (censored at transfusion), the </w:t>
      </w:r>
      <w:r w:rsidR="007F2B0F" w:rsidRPr="007F2B0F">
        <w:lastRenderedPageBreak/>
        <w:t>change from baseline in haemoglobin (not censored at transfusion), the proportion of patients remaining free from a blood transfusion, the change from baseline in lactate dehydrogenase level, the change from baseline in FACIT-Fatigue score, and the proportion of patients who experienced a serious adverse event.</w:t>
      </w:r>
    </w:p>
    <w:p w14:paraId="7B2DF18C" w14:textId="48B20AC8" w:rsidR="0081031C" w:rsidRDefault="007F2B0F" w:rsidP="0081031C">
      <w:pPr>
        <w:pStyle w:val="COMexecsumnumberedpara"/>
      </w:pPr>
      <w:r w:rsidRPr="007F2B0F">
        <w:t>The submission argued that the results of the anchored MAICs may be biased against iptacopan, due to the observed worsening of outcomes among patients in the eculizumab arm of the PEGASUS trial after cessation of pegcetacoplan. The submission noted that unanchored MAICs comparing the C5 inhibitor arm of the APPLY-PNH trial and the eculizumab arm of the PEGASUS trial included in the MAIC technical report also suggested moderate to large differences in response for all outcomes apart from the change from baseline in haemoglobin (not censored for transfusion). Given the differences in the control arms between studies, the submission considered that the unanchored MAICs of iptacopan versus pegcetacoplan represented the most suitable analyses for the base case.</w:t>
      </w:r>
    </w:p>
    <w:p w14:paraId="645FD3EB" w14:textId="77777777" w:rsidR="007F2B0F" w:rsidRPr="0025780C" w:rsidRDefault="007F2B0F" w:rsidP="007F2B0F">
      <w:pPr>
        <w:pStyle w:val="COMexecsumnumberedpara"/>
      </w:pPr>
      <w:r w:rsidRPr="0025780C">
        <w:t>The submission stated that the APPLY-PNH trial population was initially aligned based on eligibility criteria to the PEGASUS trial. Of the 62 patients randomised to the iptacopan arm of APPLY-PNH, 54 remained after alignment of the eligibility criteria for the PEGASUS trial. The submission noted that differences between the APPLY-PNH and PEGASUS trials in eligibility criteria for haemoglobin (&lt;10.0 g/dL for the APPLY-PNH trial versus &lt;10.5 g/dL for the PEGASUS trial) could not be aligned as the APPLY-PNH trial inclusion criterion was narrower than the PEGASUS trial inclusion criterion.</w:t>
      </w:r>
    </w:p>
    <w:p w14:paraId="4C674597" w14:textId="3BAE8659" w:rsidR="003A4757" w:rsidRPr="0025780C" w:rsidRDefault="0083178A" w:rsidP="003A4757">
      <w:pPr>
        <w:pStyle w:val="COMexecsumnumberedpara"/>
      </w:pPr>
      <w:r w:rsidRPr="0025780C">
        <w:t xml:space="preserve">The submission stated that </w:t>
      </w:r>
      <w:r w:rsidR="009605A7" w:rsidRPr="0025780C">
        <w:t>6</w:t>
      </w:r>
      <w:r w:rsidRPr="0025780C">
        <w:t xml:space="preserve"> variables were identified and ranked in order of priority for adjustment in the MAIC analyses: baseline haemoglobin, female sex, transfusion-free 12 months prior to baseline, baseline reticulocytes, baseline lactate dehydrogenase, and age. </w:t>
      </w:r>
      <w:r w:rsidR="007F2B0F" w:rsidRPr="0025780C">
        <w:t xml:space="preserve">Anchored MAICs should adjust for all relevant treatment effect modifiers, whereas unanchored MAICs should adjust for all relevant treatment effect modifiers as well as prognostic variables. The status of the </w:t>
      </w:r>
      <w:r w:rsidR="0088265A" w:rsidRPr="0025780C">
        <w:t>6</w:t>
      </w:r>
      <w:r w:rsidR="007F2B0F" w:rsidRPr="0025780C">
        <w:t xml:space="preserve"> ranked variables as either prognostic or treatment effect modifier variables (or both) was not addressed in the submission. Additionally, it is unclear whether all relevant treatment effect modifier and prognostic variables were identified, as details of the process used to identify the treatment effect modifier and prognostic variables for each of the outcomes were not provided.  </w:t>
      </w:r>
    </w:p>
    <w:p w14:paraId="21C7FE3B" w14:textId="281B6692" w:rsidR="003A4757" w:rsidRPr="009929EF" w:rsidRDefault="003A4757" w:rsidP="003A4757">
      <w:pPr>
        <w:pStyle w:val="COMexecsumnumberedpara"/>
      </w:pPr>
      <w:r>
        <w:t xml:space="preserve">Six different scenarios (A to F), based on the </w:t>
      </w:r>
      <w:r w:rsidR="0088265A">
        <w:t>6</w:t>
      </w:r>
      <w:r>
        <w:t xml:space="preserve"> ranked variables were considered for the MAICs. </w:t>
      </w:r>
      <w:r w:rsidRPr="0054028B">
        <w:t xml:space="preserve">The </w:t>
      </w:r>
      <w:r>
        <w:t xml:space="preserve">MAIC base case was based on Scenario D in which </w:t>
      </w:r>
      <w:r w:rsidR="0088265A">
        <w:t>3</w:t>
      </w:r>
      <w:r>
        <w:t xml:space="preserve"> variables were matched (haemoglobin at baseline, female sex and the proportion of patients who are </w:t>
      </w:r>
      <w:r w:rsidRPr="001D2EDA">
        <w:t xml:space="preserve">transfusion-free </w:t>
      </w:r>
      <w:r>
        <w:t xml:space="preserve">in the prior </w:t>
      </w:r>
      <w:r w:rsidRPr="001D2EDA">
        <w:t>12 months</w:t>
      </w:r>
      <w:r>
        <w:t xml:space="preserve">). The submission stated that these </w:t>
      </w:r>
      <w:r w:rsidR="0088265A">
        <w:t>3</w:t>
      </w:r>
      <w:r>
        <w:t xml:space="preserve"> variables were </w:t>
      </w:r>
      <w:r w:rsidRPr="0054028B">
        <w:t xml:space="preserve">chosen </w:t>
      </w:r>
      <w:r w:rsidR="003E1BC2">
        <w:t>in order to achieve a</w:t>
      </w:r>
      <w:r w:rsidRPr="0054028B">
        <w:t xml:space="preserve"> balance between </w:t>
      </w:r>
      <w:r>
        <w:t>the</w:t>
      </w:r>
      <w:r w:rsidRPr="0054028B">
        <w:t xml:space="preserve"> </w:t>
      </w:r>
      <w:r w:rsidR="003E1BC2">
        <w:t xml:space="preserve">number of included variables and the resulting effective sample size. </w:t>
      </w:r>
      <w:r w:rsidRPr="0025780C">
        <w:t xml:space="preserve">Limiting the number of variables to </w:t>
      </w:r>
      <w:r w:rsidR="0088265A" w:rsidRPr="0025780C">
        <w:t>3</w:t>
      </w:r>
      <w:r w:rsidRPr="0025780C">
        <w:t xml:space="preserve"> in order to preserve the effective sample size did not appear to be reasonable. The low effective sample size after matching suggests that the trial sample size was insufficient and/or there was a lack of overlap between the trial populations</w:t>
      </w:r>
      <w:r w:rsidR="003E1BC2" w:rsidRPr="0025780C">
        <w:t>.</w:t>
      </w:r>
      <w:r w:rsidR="00D810DA">
        <w:t xml:space="preserve"> </w:t>
      </w:r>
      <w:r w:rsidR="00D810DA" w:rsidRPr="009929EF">
        <w:t>The Pre-Sub-</w:t>
      </w:r>
      <w:r w:rsidR="00D810DA" w:rsidRPr="009929EF">
        <w:lastRenderedPageBreak/>
        <w:t xml:space="preserve">Committee Response (PSCR) stated that the submission presented all available data for this rare patient population. </w:t>
      </w:r>
    </w:p>
    <w:p w14:paraId="5E931B30" w14:textId="43515905" w:rsidR="007F2B0F" w:rsidRPr="0025780C" w:rsidRDefault="003A4757" w:rsidP="0081031C">
      <w:pPr>
        <w:pStyle w:val="COMexecsumnumberedpara"/>
      </w:pPr>
      <w:r w:rsidRPr="003A4757">
        <w:t>The MAIC analyses weighted continuous variables in the APPLY-PNH to match the published means and standard deviations reported in the PEGASUS trial.</w:t>
      </w:r>
      <w:r>
        <w:t xml:space="preserve"> </w:t>
      </w:r>
      <w:r w:rsidRPr="0025780C">
        <w:t xml:space="preserve">In the base case analyses (based on </w:t>
      </w:r>
      <w:r w:rsidR="0088265A" w:rsidRPr="0025780C">
        <w:t>3</w:t>
      </w:r>
      <w:r w:rsidRPr="0025780C">
        <w:t xml:space="preserve"> included variables), the only included continuous variable was the baseline haemoglobin.</w:t>
      </w:r>
    </w:p>
    <w:p w14:paraId="34D924E5" w14:textId="065DEDB8" w:rsidR="0019797A" w:rsidRPr="009929EF" w:rsidRDefault="0019797A" w:rsidP="003D05F9">
      <w:pPr>
        <w:pStyle w:val="COMexecsumnumberedpara"/>
      </w:pPr>
      <w:r w:rsidRPr="0025780C">
        <w:t xml:space="preserve">Matching based on the </w:t>
      </w:r>
      <w:r w:rsidR="0088265A" w:rsidRPr="0025780C">
        <w:t>3</w:t>
      </w:r>
      <w:r w:rsidRPr="0025780C">
        <w:t xml:space="preserve"> selected variables (baseline haemoglobin, female sex, proportion who were transfusion-free in the prior 12 months) resulted in an effective sample size of 16. The results of the unanchored MAIC are unlikely to be reliable given the very low effective sample size after matching. Additionally, based on examination of the histogram of patient weights for the base case analysis, one patient contributed an equivalent weight of approximately 7 patients to the effective sample size. Based on the post-matching characteristics, there were residual differences in a number of variables, including the platelet count at screening, the time since diagnosis, the FACIT-Fatigue score, the proportion with a history of aplastic anaemia, the proportion with ≥4 transfusions in the prior 12 months, and the proportion with White race. Some of these variables may represent treatment effect modifier or prognostic variables.</w:t>
      </w:r>
      <w:r w:rsidR="003D05F9">
        <w:t xml:space="preserve"> </w:t>
      </w:r>
      <w:r w:rsidR="003D05F9" w:rsidRPr="009929EF">
        <w:t>The ESC acknowledged that one patient having such a high weight was a</w:t>
      </w:r>
      <w:r w:rsidR="00271889" w:rsidRPr="009929EF">
        <w:t xml:space="preserve"> large </w:t>
      </w:r>
      <w:r w:rsidR="003D05F9" w:rsidRPr="009929EF">
        <w:t xml:space="preserve">source of uncertainty. However, </w:t>
      </w:r>
      <w:r w:rsidR="00FF0177" w:rsidRPr="009929EF">
        <w:t xml:space="preserve">the ESC considered that </w:t>
      </w:r>
      <w:r w:rsidR="003D05F9" w:rsidRPr="009929EF">
        <w:t xml:space="preserve">no clear guidance was evident in the literature on what distribution of weights is acceptable, or on the treatment of outlying weights. </w:t>
      </w:r>
      <w:r w:rsidR="00FF0177" w:rsidRPr="009929EF">
        <w:t xml:space="preserve">Acknowledging the methodological limitations outlined above, </w:t>
      </w:r>
      <w:r w:rsidR="003D05F9" w:rsidRPr="009929EF">
        <w:t xml:space="preserve">the </w:t>
      </w:r>
      <w:r w:rsidR="00FF0177" w:rsidRPr="009929EF">
        <w:t>ESC</w:t>
      </w:r>
      <w:r w:rsidR="003D05F9" w:rsidRPr="009929EF">
        <w:t xml:space="preserve"> considered</w:t>
      </w:r>
      <w:r w:rsidR="00FF0177" w:rsidRPr="009929EF">
        <w:t xml:space="preserve"> </w:t>
      </w:r>
      <w:r w:rsidR="003D05F9" w:rsidRPr="009929EF">
        <w:t>that the unanchored MAICs of iptacopan versus pegcetacoplan</w:t>
      </w:r>
      <w:r w:rsidR="00012268" w:rsidRPr="009929EF">
        <w:t xml:space="preserve"> had merit and were informative </w:t>
      </w:r>
      <w:r w:rsidR="00FF0177" w:rsidRPr="009929EF">
        <w:t xml:space="preserve">given the differences in the </w:t>
      </w:r>
      <w:r w:rsidR="00BE57B4" w:rsidRPr="009929EF">
        <w:t xml:space="preserve">common reference </w:t>
      </w:r>
      <w:r w:rsidR="00FF0177" w:rsidRPr="009929EF">
        <w:t>arms between studies</w:t>
      </w:r>
      <w:r w:rsidR="003D05F9" w:rsidRPr="009929EF">
        <w:t>.</w:t>
      </w:r>
    </w:p>
    <w:p w14:paraId="4A038D3E" w14:textId="7ADF6687" w:rsidR="0019797A" w:rsidRDefault="0019797A" w:rsidP="0019797A">
      <w:pPr>
        <w:pStyle w:val="COMexecsumnumberedpara"/>
      </w:pPr>
      <w:r w:rsidRPr="0019797A">
        <w:t xml:space="preserve">The submission noted that due to the 4-week run in period in the PEGASUS trial, the Week 16 efficacy endpoint for pegcetacoplan-treated patients included 20 weeks of pegcetacoplan treatment. To approximate this for the APPLY-PNH trial, outcomes were </w:t>
      </w:r>
      <w:r w:rsidR="00B616D8">
        <w:t>reassessed</w:t>
      </w:r>
      <w:r w:rsidRPr="0019797A">
        <w:t xml:space="preserve"> in a </w:t>
      </w:r>
      <w:r w:rsidRPr="00B616D8">
        <w:rPr>
          <w:i/>
          <w:iCs/>
        </w:rPr>
        <w:t>post hoc</w:t>
      </w:r>
      <w:r w:rsidRPr="0019797A">
        <w:t xml:space="preserve"> analysis based on a similar duration of treatment in the APPLY-PNH trial (i.e., APPLY-PNH data was assessed up to Week 20). Additionally, the individual patient data from the APPLY-PNH trial were used to recalculate outcomes using similar methods of analysis to the methods used in the PEGASUS trial.</w:t>
      </w:r>
    </w:p>
    <w:p w14:paraId="74603243" w14:textId="128CBBA3" w:rsidR="0019797A" w:rsidRDefault="006D5094" w:rsidP="00BF73EB">
      <w:pPr>
        <w:pStyle w:val="COMexecsumnumberedpara"/>
      </w:pPr>
      <w:r>
        <w:fldChar w:fldCharType="begin"/>
      </w:r>
      <w:r>
        <w:instrText xml:space="preserve"> REF _Ref166448835 \h </w:instrText>
      </w:r>
      <w:r>
        <w:fldChar w:fldCharType="separate"/>
      </w:r>
      <w:r w:rsidR="002E7F91" w:rsidRPr="00A473B4">
        <w:t xml:space="preserve">Table </w:t>
      </w:r>
      <w:r w:rsidR="002E7F91">
        <w:rPr>
          <w:noProof/>
        </w:rPr>
        <w:t>8</w:t>
      </w:r>
      <w:r>
        <w:fldChar w:fldCharType="end"/>
      </w:r>
      <w:r w:rsidR="0019797A">
        <w:t xml:space="preserve"> presents the results of the u</w:t>
      </w:r>
      <w:r w:rsidR="0019797A" w:rsidRPr="00E5364D">
        <w:t>nanchored MAIC of change from baseline in haemoglobin (censored at transfusion)</w:t>
      </w:r>
      <w:r w:rsidR="0019797A">
        <w:t>.</w:t>
      </w:r>
    </w:p>
    <w:p w14:paraId="29751A8B" w14:textId="26412E78" w:rsidR="0019797A" w:rsidRPr="00A473B4" w:rsidRDefault="000056EE" w:rsidP="0019797A">
      <w:pPr>
        <w:pStyle w:val="COMtablefigcaption"/>
        <w:jc w:val="both"/>
      </w:pPr>
      <w:bookmarkStart w:id="34" w:name="_Ref166448835"/>
      <w:r w:rsidRPr="00A473B4">
        <w:lastRenderedPageBreak/>
        <w:t xml:space="preserve">Table </w:t>
      </w:r>
      <w:r w:rsidR="00C52DBB">
        <w:fldChar w:fldCharType="begin"/>
      </w:r>
      <w:r w:rsidR="00C52DBB">
        <w:instrText xml:space="preserve"> SEQ Table \* ARABIC </w:instrText>
      </w:r>
      <w:r w:rsidR="00C52DBB">
        <w:fldChar w:fldCharType="separate"/>
      </w:r>
      <w:r w:rsidR="002E7F91">
        <w:rPr>
          <w:noProof/>
        </w:rPr>
        <w:t>8</w:t>
      </w:r>
      <w:r w:rsidR="00C52DBB">
        <w:rPr>
          <w:noProof/>
        </w:rPr>
        <w:fldChar w:fldCharType="end"/>
      </w:r>
      <w:bookmarkEnd w:id="34"/>
      <w:r w:rsidR="0019797A" w:rsidRPr="008F4BDD">
        <w:t xml:space="preserve">: </w:t>
      </w:r>
      <w:r w:rsidR="0019797A">
        <w:t>Unanchored MAIC of results for the change from baseline in haemoglobin (censored at transfusion)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8: Unanchored MAIC of results for the change from baseline in haemoglobin (censored at transfusion)"/>
        <w:tblDescription w:val="Table 8: Unanchored MAIC of results for the change from baseline in haemoglobin (censored at transfusion)"/>
      </w:tblPr>
      <w:tblGrid>
        <w:gridCol w:w="2547"/>
        <w:gridCol w:w="2761"/>
        <w:gridCol w:w="2337"/>
        <w:gridCol w:w="1372"/>
      </w:tblGrid>
      <w:tr w:rsidR="0019797A" w:rsidRPr="00A473B4" w14:paraId="05D65B95" w14:textId="77777777" w:rsidTr="00BF73EB">
        <w:trPr>
          <w:trHeight w:val="46"/>
          <w:tblHeader/>
        </w:trPr>
        <w:tc>
          <w:tcPr>
            <w:tcW w:w="1412" w:type="pct"/>
            <w:shd w:val="clear" w:color="auto" w:fill="auto"/>
            <w:vAlign w:val="center"/>
          </w:tcPr>
          <w:p w14:paraId="0C88170C" w14:textId="77777777" w:rsidR="0019797A" w:rsidRDefault="0019797A" w:rsidP="00BF73EB">
            <w:pPr>
              <w:pStyle w:val="COMTableheadingrow"/>
            </w:pPr>
            <w:r>
              <w:t>Comparison</w:t>
            </w:r>
          </w:p>
        </w:tc>
        <w:tc>
          <w:tcPr>
            <w:tcW w:w="1531" w:type="pct"/>
            <w:vAlign w:val="center"/>
          </w:tcPr>
          <w:p w14:paraId="5BE8E4F3" w14:textId="77777777" w:rsidR="0019797A" w:rsidRDefault="0019797A" w:rsidP="00BF73EB">
            <w:pPr>
              <w:pStyle w:val="COMTableheadingrow"/>
              <w:jc w:val="center"/>
              <w:rPr>
                <w:iCs/>
              </w:rPr>
            </w:pPr>
            <w:r>
              <w:rPr>
                <w:iCs/>
              </w:rPr>
              <w:t>Pegcetacoplan</w:t>
            </w:r>
          </w:p>
          <w:p w14:paraId="10A423F5" w14:textId="77777777" w:rsidR="0019797A" w:rsidRDefault="0019797A" w:rsidP="00BF73EB">
            <w:pPr>
              <w:pStyle w:val="COMTableheadingrow"/>
              <w:jc w:val="center"/>
              <w:rPr>
                <w:iCs/>
              </w:rPr>
            </w:pPr>
            <w:r>
              <w:rPr>
                <w:iCs/>
              </w:rPr>
              <w:t>(PEGASUS)</w:t>
            </w:r>
          </w:p>
          <w:p w14:paraId="04043424" w14:textId="77777777" w:rsidR="0019797A" w:rsidRDefault="0019797A" w:rsidP="00BF73EB">
            <w:pPr>
              <w:pStyle w:val="COMTableheadingrow"/>
              <w:jc w:val="center"/>
              <w:rPr>
                <w:iCs/>
              </w:rPr>
            </w:pPr>
            <w:r>
              <w:rPr>
                <w:iCs/>
              </w:rPr>
              <w:t>Mean change from baseline (95% CI)</w:t>
            </w:r>
          </w:p>
        </w:tc>
        <w:tc>
          <w:tcPr>
            <w:tcW w:w="1296" w:type="pct"/>
          </w:tcPr>
          <w:p w14:paraId="3050FD28" w14:textId="77777777" w:rsidR="0019797A" w:rsidRDefault="0019797A" w:rsidP="00BF73EB">
            <w:pPr>
              <w:pStyle w:val="COMTableheadingrow"/>
              <w:jc w:val="center"/>
              <w:rPr>
                <w:iCs/>
              </w:rPr>
            </w:pPr>
            <w:r>
              <w:rPr>
                <w:iCs/>
              </w:rPr>
              <w:t xml:space="preserve">Iptacopan </w:t>
            </w:r>
          </w:p>
          <w:p w14:paraId="2E0CA439" w14:textId="77777777" w:rsidR="0019797A" w:rsidRDefault="0019797A" w:rsidP="00BF73EB">
            <w:pPr>
              <w:pStyle w:val="COMTableheadingrow"/>
              <w:jc w:val="center"/>
              <w:rPr>
                <w:iCs/>
              </w:rPr>
            </w:pPr>
            <w:r>
              <w:rPr>
                <w:iCs/>
              </w:rPr>
              <w:t>(APPLY-PNH)</w:t>
            </w:r>
          </w:p>
          <w:p w14:paraId="3604FD7E" w14:textId="77777777" w:rsidR="0019797A" w:rsidRPr="00AB5AB4" w:rsidRDefault="0019797A" w:rsidP="00BF73EB">
            <w:pPr>
              <w:pStyle w:val="COMTableheadingrow"/>
              <w:jc w:val="center"/>
              <w:rPr>
                <w:iCs/>
              </w:rPr>
            </w:pPr>
            <w:r>
              <w:rPr>
                <w:iCs/>
              </w:rPr>
              <w:t>Mean change from baseline (95% CI)</w:t>
            </w:r>
          </w:p>
        </w:tc>
        <w:tc>
          <w:tcPr>
            <w:tcW w:w="761" w:type="pct"/>
            <w:vAlign w:val="center"/>
          </w:tcPr>
          <w:p w14:paraId="787D9BFE" w14:textId="77777777" w:rsidR="0019797A" w:rsidRDefault="0019797A" w:rsidP="00BF73EB">
            <w:pPr>
              <w:pStyle w:val="COMTableheadingrow"/>
              <w:jc w:val="center"/>
            </w:pPr>
            <w:r>
              <w:t>Mean difference (95% CI)</w:t>
            </w:r>
          </w:p>
        </w:tc>
      </w:tr>
      <w:tr w:rsidR="0019797A" w:rsidRPr="00A473B4" w14:paraId="7EE5286F" w14:textId="77777777" w:rsidTr="00BF73EB">
        <w:trPr>
          <w:trHeight w:val="469"/>
        </w:trPr>
        <w:tc>
          <w:tcPr>
            <w:tcW w:w="1412" w:type="pct"/>
            <w:shd w:val="clear" w:color="auto" w:fill="auto"/>
            <w:vAlign w:val="center"/>
          </w:tcPr>
          <w:p w14:paraId="0B8423CC" w14:textId="77777777" w:rsidR="0019797A" w:rsidRPr="006113FB" w:rsidRDefault="0019797A" w:rsidP="00BF73EB">
            <w:pPr>
              <w:pStyle w:val="COMTabletext"/>
              <w:rPr>
                <w:vertAlign w:val="superscript"/>
              </w:rPr>
            </w:pPr>
            <w:r w:rsidRPr="00C43A97">
              <w:t>Naïve comparison</w:t>
            </w:r>
            <w:r>
              <w:t xml:space="preserve"> </w:t>
            </w:r>
            <w:r>
              <w:rPr>
                <w:vertAlign w:val="superscript"/>
              </w:rPr>
              <w:t>a</w:t>
            </w:r>
          </w:p>
        </w:tc>
        <w:tc>
          <w:tcPr>
            <w:tcW w:w="1531" w:type="pct"/>
            <w:vAlign w:val="center"/>
          </w:tcPr>
          <w:p w14:paraId="675DF338" w14:textId="77777777" w:rsidR="0019797A" w:rsidRPr="00D66E8F" w:rsidRDefault="0019797A" w:rsidP="00BF73EB">
            <w:pPr>
              <w:pStyle w:val="COMTabletext"/>
              <w:jc w:val="center"/>
            </w:pPr>
            <w:r>
              <w:t>N=41</w:t>
            </w:r>
          </w:p>
          <w:p w14:paraId="1A488855" w14:textId="77777777" w:rsidR="0019797A" w:rsidRPr="00D66E8F" w:rsidRDefault="0019797A" w:rsidP="00BF73EB">
            <w:pPr>
              <w:pStyle w:val="COMTabletext"/>
              <w:jc w:val="center"/>
            </w:pPr>
            <w:r w:rsidRPr="00652810">
              <w:t>2.37 (1.66, 3.08)</w:t>
            </w:r>
          </w:p>
        </w:tc>
        <w:tc>
          <w:tcPr>
            <w:tcW w:w="1296" w:type="pct"/>
            <w:shd w:val="clear" w:color="auto" w:fill="auto"/>
            <w:vAlign w:val="center"/>
          </w:tcPr>
          <w:p w14:paraId="6BA2E850" w14:textId="77777777" w:rsidR="0019797A" w:rsidRDefault="0019797A" w:rsidP="00BF73EB">
            <w:pPr>
              <w:pStyle w:val="COMTabletext"/>
              <w:jc w:val="center"/>
            </w:pPr>
            <w:r>
              <w:t>N=62</w:t>
            </w:r>
          </w:p>
          <w:p w14:paraId="63B7312F" w14:textId="77777777" w:rsidR="0019797A" w:rsidRDefault="0019797A" w:rsidP="00BF73EB">
            <w:pPr>
              <w:pStyle w:val="COMTabletext"/>
              <w:jc w:val="center"/>
            </w:pPr>
            <w:r w:rsidRPr="00652810">
              <w:t>3.63 (3.34, 3.93)</w:t>
            </w:r>
          </w:p>
        </w:tc>
        <w:tc>
          <w:tcPr>
            <w:tcW w:w="761" w:type="pct"/>
            <w:shd w:val="clear" w:color="auto" w:fill="auto"/>
            <w:vAlign w:val="center"/>
          </w:tcPr>
          <w:p w14:paraId="05E6B61D" w14:textId="77777777" w:rsidR="0019797A" w:rsidRPr="008907FB" w:rsidRDefault="0019797A" w:rsidP="00BF73EB">
            <w:pPr>
              <w:pStyle w:val="COMTabletext"/>
              <w:jc w:val="center"/>
            </w:pPr>
            <w:r>
              <w:t>NR</w:t>
            </w:r>
          </w:p>
        </w:tc>
      </w:tr>
      <w:tr w:rsidR="0019797A" w:rsidRPr="00A473B4" w14:paraId="55C19C9B" w14:textId="77777777" w:rsidTr="00BF73EB">
        <w:trPr>
          <w:trHeight w:val="469"/>
        </w:trPr>
        <w:tc>
          <w:tcPr>
            <w:tcW w:w="1412" w:type="pct"/>
            <w:shd w:val="clear" w:color="auto" w:fill="auto"/>
            <w:vAlign w:val="center"/>
          </w:tcPr>
          <w:p w14:paraId="384D297A" w14:textId="77777777" w:rsidR="0019797A" w:rsidRPr="00915E1F" w:rsidRDefault="0019797A" w:rsidP="00BF73EB">
            <w:pPr>
              <w:pStyle w:val="COMTabletext"/>
              <w:rPr>
                <w:vertAlign w:val="superscript"/>
              </w:rPr>
            </w:pPr>
            <w:r w:rsidRPr="00C43A97">
              <w:t>Unmatched and unadjuste</w:t>
            </w:r>
            <w:r>
              <w:t xml:space="preserve">d </w:t>
            </w:r>
            <w:r>
              <w:rPr>
                <w:vertAlign w:val="superscript"/>
              </w:rPr>
              <w:t>b</w:t>
            </w:r>
          </w:p>
        </w:tc>
        <w:tc>
          <w:tcPr>
            <w:tcW w:w="1531" w:type="pct"/>
            <w:vAlign w:val="center"/>
          </w:tcPr>
          <w:p w14:paraId="033D109B" w14:textId="77777777" w:rsidR="0019797A" w:rsidRPr="00D66E8F" w:rsidRDefault="0019797A" w:rsidP="00BF73EB">
            <w:pPr>
              <w:pStyle w:val="COMTabletext"/>
              <w:jc w:val="center"/>
            </w:pPr>
            <w:r>
              <w:t>N=41</w:t>
            </w:r>
          </w:p>
          <w:p w14:paraId="58B2B145" w14:textId="77777777" w:rsidR="0019797A" w:rsidRPr="00D66E8F" w:rsidRDefault="0019797A" w:rsidP="00BF73EB">
            <w:pPr>
              <w:pStyle w:val="COMTabletext"/>
              <w:jc w:val="center"/>
            </w:pPr>
            <w:r w:rsidRPr="00C43A97">
              <w:t>2.37 (1.66, 3.08)</w:t>
            </w:r>
          </w:p>
        </w:tc>
        <w:tc>
          <w:tcPr>
            <w:tcW w:w="1296" w:type="pct"/>
            <w:shd w:val="clear" w:color="auto" w:fill="auto"/>
            <w:vAlign w:val="center"/>
          </w:tcPr>
          <w:p w14:paraId="5A478F4A" w14:textId="77777777" w:rsidR="0019797A" w:rsidRPr="00126517" w:rsidRDefault="0019797A" w:rsidP="00BF73EB">
            <w:pPr>
              <w:pStyle w:val="COMTabletext"/>
              <w:jc w:val="center"/>
            </w:pPr>
            <w:r>
              <w:t>N=62</w:t>
            </w:r>
          </w:p>
          <w:p w14:paraId="0650F7F5" w14:textId="77777777" w:rsidR="0019797A" w:rsidRPr="00126517" w:rsidRDefault="0019797A" w:rsidP="00BF73EB">
            <w:pPr>
              <w:pStyle w:val="COMTabletext"/>
              <w:jc w:val="center"/>
            </w:pPr>
            <w:r w:rsidRPr="00C43A97">
              <w:t>3.31 (3.00, 3.62)</w:t>
            </w:r>
          </w:p>
        </w:tc>
        <w:tc>
          <w:tcPr>
            <w:tcW w:w="761" w:type="pct"/>
            <w:shd w:val="clear" w:color="auto" w:fill="auto"/>
            <w:vAlign w:val="center"/>
          </w:tcPr>
          <w:p w14:paraId="6B451EF5" w14:textId="77777777" w:rsidR="0019797A" w:rsidRPr="00724163" w:rsidRDefault="0019797A" w:rsidP="00BF73EB">
            <w:pPr>
              <w:pStyle w:val="COMTabletext"/>
              <w:jc w:val="center"/>
              <w:rPr>
                <w:b/>
                <w:bCs w:val="0"/>
              </w:rPr>
            </w:pPr>
            <w:r w:rsidRPr="00724163">
              <w:rPr>
                <w:b/>
                <w:bCs w:val="0"/>
              </w:rPr>
              <w:t>0.94 (0.17, 1.71)</w:t>
            </w:r>
          </w:p>
        </w:tc>
      </w:tr>
      <w:tr w:rsidR="0019797A" w:rsidRPr="00A473B4" w14:paraId="6CFAC576" w14:textId="77777777" w:rsidTr="00BF73EB">
        <w:tc>
          <w:tcPr>
            <w:tcW w:w="1412" w:type="pct"/>
            <w:shd w:val="clear" w:color="auto" w:fill="auto"/>
            <w:vAlign w:val="center"/>
          </w:tcPr>
          <w:p w14:paraId="7FA1CD08" w14:textId="77777777" w:rsidR="0019797A" w:rsidRPr="00DA18ED" w:rsidRDefault="0019797A" w:rsidP="00BF73EB">
            <w:pPr>
              <w:pStyle w:val="COMTabletext"/>
              <w:rPr>
                <w:vertAlign w:val="superscript"/>
              </w:rPr>
            </w:pPr>
            <w:r w:rsidRPr="00AF6202">
              <w:t xml:space="preserve">Matched </w:t>
            </w:r>
            <w:r>
              <w:t>and</w:t>
            </w:r>
            <w:r w:rsidRPr="00AF6202">
              <w:t xml:space="preserve"> unadjusted</w:t>
            </w:r>
            <w:r>
              <w:t xml:space="preserve"> </w:t>
            </w:r>
            <w:r>
              <w:rPr>
                <w:vertAlign w:val="superscript"/>
              </w:rPr>
              <w:t>c</w:t>
            </w:r>
          </w:p>
        </w:tc>
        <w:tc>
          <w:tcPr>
            <w:tcW w:w="1531" w:type="pct"/>
          </w:tcPr>
          <w:p w14:paraId="7D43AD3B" w14:textId="77777777" w:rsidR="0019797A" w:rsidRDefault="0019797A" w:rsidP="00BF73EB">
            <w:pPr>
              <w:pStyle w:val="COMTabletext"/>
              <w:jc w:val="center"/>
            </w:pPr>
            <w:r>
              <w:t>N=41</w:t>
            </w:r>
          </w:p>
          <w:p w14:paraId="28599E0E" w14:textId="77777777" w:rsidR="0019797A" w:rsidRPr="00D66E8F" w:rsidRDefault="0019797A" w:rsidP="00BF73EB">
            <w:pPr>
              <w:pStyle w:val="COMTabletext"/>
              <w:jc w:val="center"/>
            </w:pPr>
            <w:r w:rsidRPr="00217293">
              <w:t>2.37 (1.66, 3.08)</w:t>
            </w:r>
          </w:p>
        </w:tc>
        <w:tc>
          <w:tcPr>
            <w:tcW w:w="1296" w:type="pct"/>
            <w:shd w:val="clear" w:color="auto" w:fill="auto"/>
          </w:tcPr>
          <w:p w14:paraId="11114F0A" w14:textId="77777777" w:rsidR="0019797A" w:rsidRDefault="0019797A" w:rsidP="00BF73EB">
            <w:pPr>
              <w:pStyle w:val="COMTabletext"/>
              <w:jc w:val="center"/>
            </w:pPr>
            <w:r>
              <w:t>N=54</w:t>
            </w:r>
          </w:p>
          <w:p w14:paraId="6011DED7" w14:textId="77777777" w:rsidR="0019797A" w:rsidRPr="00126517" w:rsidRDefault="0019797A" w:rsidP="00BF73EB">
            <w:pPr>
              <w:pStyle w:val="COMTabletext"/>
              <w:jc w:val="center"/>
            </w:pPr>
            <w:r w:rsidRPr="00217293">
              <w:t>3.35 (3.00, 3.69)</w:t>
            </w:r>
          </w:p>
        </w:tc>
        <w:tc>
          <w:tcPr>
            <w:tcW w:w="761" w:type="pct"/>
            <w:shd w:val="clear" w:color="auto" w:fill="auto"/>
            <w:vAlign w:val="center"/>
          </w:tcPr>
          <w:p w14:paraId="289EBE64" w14:textId="77777777" w:rsidR="0019797A" w:rsidRPr="00724163" w:rsidRDefault="0019797A" w:rsidP="00BF73EB">
            <w:pPr>
              <w:pStyle w:val="COMTabletext"/>
              <w:jc w:val="center"/>
              <w:rPr>
                <w:b/>
                <w:bCs w:val="0"/>
              </w:rPr>
            </w:pPr>
            <w:r w:rsidRPr="00724163">
              <w:rPr>
                <w:b/>
                <w:bCs w:val="0"/>
              </w:rPr>
              <w:t>0.98 (0.19, 1.76)</w:t>
            </w:r>
          </w:p>
        </w:tc>
      </w:tr>
      <w:tr w:rsidR="0019797A" w:rsidRPr="00A473B4" w14:paraId="246EF083" w14:textId="77777777" w:rsidTr="00BF73EB">
        <w:tc>
          <w:tcPr>
            <w:tcW w:w="1412" w:type="pct"/>
            <w:shd w:val="clear" w:color="auto" w:fill="auto"/>
            <w:vAlign w:val="center"/>
          </w:tcPr>
          <w:p w14:paraId="6B76367A" w14:textId="77777777" w:rsidR="0019797A" w:rsidRPr="00DA18ED" w:rsidRDefault="0019797A" w:rsidP="00BF73EB">
            <w:pPr>
              <w:pStyle w:val="COMTabletext"/>
              <w:rPr>
                <w:vertAlign w:val="superscript"/>
              </w:rPr>
            </w:pPr>
            <w:r>
              <w:t xml:space="preserve">Matched and adjusted </w:t>
            </w:r>
            <w:r>
              <w:rPr>
                <w:vertAlign w:val="superscript"/>
              </w:rPr>
              <w:t>d</w:t>
            </w:r>
          </w:p>
        </w:tc>
        <w:tc>
          <w:tcPr>
            <w:tcW w:w="1531" w:type="pct"/>
          </w:tcPr>
          <w:p w14:paraId="3114D4D7" w14:textId="77777777" w:rsidR="0019797A" w:rsidRDefault="0019797A" w:rsidP="00BF73EB">
            <w:pPr>
              <w:pStyle w:val="COMTabletext"/>
              <w:jc w:val="center"/>
            </w:pPr>
            <w:r>
              <w:t>N=41</w:t>
            </w:r>
          </w:p>
          <w:p w14:paraId="073612F3" w14:textId="77777777" w:rsidR="0019797A" w:rsidRPr="00D66E8F" w:rsidRDefault="0019797A" w:rsidP="00BF73EB">
            <w:pPr>
              <w:pStyle w:val="COMTabletext"/>
              <w:jc w:val="center"/>
            </w:pPr>
            <w:r w:rsidRPr="00EE14FA">
              <w:t>2.37 (1.66, 3.08)</w:t>
            </w:r>
          </w:p>
        </w:tc>
        <w:tc>
          <w:tcPr>
            <w:tcW w:w="1296" w:type="pct"/>
            <w:shd w:val="clear" w:color="auto" w:fill="auto"/>
          </w:tcPr>
          <w:p w14:paraId="4081BBC2" w14:textId="77777777" w:rsidR="0019797A" w:rsidRDefault="0019797A" w:rsidP="00BF73EB">
            <w:pPr>
              <w:pStyle w:val="COMTabletext"/>
              <w:jc w:val="center"/>
            </w:pPr>
            <w:r>
              <w:t>ESS=16</w:t>
            </w:r>
          </w:p>
          <w:p w14:paraId="4C0CE641" w14:textId="77777777" w:rsidR="0019797A" w:rsidRPr="00126517" w:rsidRDefault="0019797A" w:rsidP="00BF73EB">
            <w:pPr>
              <w:pStyle w:val="COMTabletext"/>
              <w:jc w:val="center"/>
            </w:pPr>
            <w:r w:rsidRPr="00EE14FA">
              <w:t>3.68 (3.33, 4.04)</w:t>
            </w:r>
          </w:p>
        </w:tc>
        <w:tc>
          <w:tcPr>
            <w:tcW w:w="761" w:type="pct"/>
            <w:shd w:val="clear" w:color="auto" w:fill="auto"/>
            <w:vAlign w:val="center"/>
          </w:tcPr>
          <w:p w14:paraId="25EA3138" w14:textId="77777777" w:rsidR="0019797A" w:rsidRPr="00724163" w:rsidRDefault="0019797A" w:rsidP="00BF73EB">
            <w:pPr>
              <w:pStyle w:val="COMTabletext"/>
              <w:jc w:val="center"/>
              <w:rPr>
                <w:b/>
                <w:bCs w:val="0"/>
              </w:rPr>
            </w:pPr>
            <w:r w:rsidRPr="00724163">
              <w:rPr>
                <w:b/>
                <w:bCs w:val="0"/>
              </w:rPr>
              <w:t>1.31 (0.52, 2.10)</w:t>
            </w:r>
          </w:p>
        </w:tc>
      </w:tr>
    </w:tbl>
    <w:p w14:paraId="3C7AC4D4" w14:textId="6DBB0E1E" w:rsidR="0019797A" w:rsidRDefault="0019797A" w:rsidP="0019797A">
      <w:pPr>
        <w:pStyle w:val="TableFooter"/>
      </w:pPr>
      <w:r w:rsidRPr="00A473B4">
        <w:t xml:space="preserve">Source: </w:t>
      </w:r>
      <w:r>
        <w:t>Table 2-53,; Appendix Table 19, of the MAIC technical report, Attachment 9 of the submission.</w:t>
      </w:r>
    </w:p>
    <w:p w14:paraId="4CDDC345" w14:textId="77777777" w:rsidR="0019797A" w:rsidRDefault="0019797A" w:rsidP="0019797A">
      <w:pPr>
        <w:pStyle w:val="TableFooter"/>
      </w:pPr>
      <w:r>
        <w:t>Abbreviations: CI, confidence interval; ESS, effective sample size; NR, not reported.</w:t>
      </w:r>
    </w:p>
    <w:p w14:paraId="72990821" w14:textId="77777777" w:rsidR="0019797A" w:rsidRPr="006113FB" w:rsidRDefault="0019797A" w:rsidP="0019797A">
      <w:pPr>
        <w:pStyle w:val="TableFooter"/>
      </w:pPr>
      <w:r>
        <w:rPr>
          <w:vertAlign w:val="superscript"/>
        </w:rPr>
        <w:t>a</w:t>
      </w:r>
      <w:r>
        <w:t xml:space="preserve"> Iptacopan results based on reported outcomes at 24 weeks with no adjustment for differences in outcome definitions between trials.</w:t>
      </w:r>
    </w:p>
    <w:p w14:paraId="73D9C090" w14:textId="77777777" w:rsidR="0019797A" w:rsidRDefault="0019797A" w:rsidP="0019797A">
      <w:pPr>
        <w:pStyle w:val="TableFooter"/>
      </w:pPr>
      <w:r>
        <w:rPr>
          <w:vertAlign w:val="superscript"/>
        </w:rPr>
        <w:t>b</w:t>
      </w:r>
      <w:r>
        <w:t xml:space="preserve"> Iptacopan results recalculated using the PEGASUS trial outcome definition/method of analysis; iptacopan results based on </w:t>
      </w:r>
      <w:r w:rsidRPr="00115BF1">
        <w:rPr>
          <w:i/>
          <w:iCs/>
        </w:rPr>
        <w:t>post hoc</w:t>
      </w:r>
      <w:r>
        <w:t xml:space="preserve"> analysis of outcomes at 20 weeks to approximate the follow-up duration in the PEGASUS trial.</w:t>
      </w:r>
    </w:p>
    <w:p w14:paraId="03BD47C8" w14:textId="77777777" w:rsidR="0019797A" w:rsidRDefault="0019797A" w:rsidP="0019797A">
      <w:pPr>
        <w:pStyle w:val="TableFooter"/>
      </w:pPr>
      <w:r>
        <w:rPr>
          <w:vertAlign w:val="superscript"/>
        </w:rPr>
        <w:t>c</w:t>
      </w:r>
      <w:r>
        <w:t xml:space="preserve"> Iptacopan results based on exclusion of p</w:t>
      </w:r>
      <w:r w:rsidRPr="001F2A3B">
        <w:t xml:space="preserve">atients </w:t>
      </w:r>
      <w:r>
        <w:t xml:space="preserve">who did not meet the eligibility criteria for the </w:t>
      </w:r>
      <w:r w:rsidRPr="001F2A3B">
        <w:t xml:space="preserve">PEGASUS </w:t>
      </w:r>
      <w:r>
        <w:t>trial.</w:t>
      </w:r>
    </w:p>
    <w:p w14:paraId="0F7773B0" w14:textId="77777777" w:rsidR="0019797A" w:rsidRDefault="0019797A" w:rsidP="0019797A">
      <w:pPr>
        <w:pStyle w:val="TableFooter"/>
      </w:pPr>
      <w:r>
        <w:rPr>
          <w:vertAlign w:val="superscript"/>
        </w:rPr>
        <w:t>d</w:t>
      </w:r>
      <w:r>
        <w:t xml:space="preserve"> Includes a</w:t>
      </w:r>
      <w:r w:rsidRPr="001F2A3B">
        <w:t>djust</w:t>
      </w:r>
      <w:r>
        <w:t>ment for</w:t>
      </w:r>
      <w:r w:rsidRPr="001F2A3B">
        <w:t xml:space="preserve"> imbalances in </w:t>
      </w:r>
      <w:r>
        <w:t>3 variables (</w:t>
      </w:r>
      <w:r w:rsidRPr="001F2A3B">
        <w:t>baseline h</w:t>
      </w:r>
      <w:r>
        <w:t>a</w:t>
      </w:r>
      <w:r w:rsidRPr="001F2A3B">
        <w:t xml:space="preserve">emoglobin per PEGASUS definition, sex, and proportion </w:t>
      </w:r>
      <w:r>
        <w:t xml:space="preserve">of patients who were </w:t>
      </w:r>
      <w:r w:rsidRPr="001F2A3B">
        <w:t>transfusion-free within 12 months prior to baseline</w:t>
      </w:r>
      <w:r>
        <w:t>), with continuous variables (haemoglobin) matched based on mean and standard deviation.</w:t>
      </w:r>
    </w:p>
    <w:p w14:paraId="6400F993" w14:textId="6EBBEF11" w:rsidR="00D55BCD" w:rsidRPr="0025780C" w:rsidRDefault="00D55BCD" w:rsidP="00BF73EB">
      <w:pPr>
        <w:pStyle w:val="COMexecsumnumberedpara"/>
      </w:pPr>
      <w:r>
        <w:t xml:space="preserve">Based on the matched and adjusted results for the unanchored MAIC, treatment with iptacopan was associated with a nominally statistically significant improvement in change from baseline </w:t>
      </w:r>
      <w:r w:rsidR="00C15D1F">
        <w:t xml:space="preserve">in haemoglobin </w:t>
      </w:r>
      <w:r>
        <w:t xml:space="preserve">(censored at transfusion) compared to pegcetacoplan (mean difference: </w:t>
      </w:r>
      <w:r w:rsidRPr="002139F0">
        <w:t>1.31</w:t>
      </w:r>
      <w:r>
        <w:t xml:space="preserve">; 95% CI: </w:t>
      </w:r>
      <w:r w:rsidRPr="002139F0">
        <w:t>0.52, 2.10)</w:t>
      </w:r>
      <w:r>
        <w:t xml:space="preserve">. </w:t>
      </w:r>
      <w:r w:rsidRPr="0025780C">
        <w:t>Based on the anchored MAIC, the mean difference favoured iptacopan, but was not statistically significant (mean difference: 0.05; 95% CI: -1.56, 1.67).</w:t>
      </w:r>
    </w:p>
    <w:p w14:paraId="049591AF" w14:textId="087100AF" w:rsidR="00106A34" w:rsidRPr="00106A34" w:rsidRDefault="006D5094" w:rsidP="00106A34">
      <w:pPr>
        <w:pStyle w:val="COMexecsumnumberedpara"/>
        <w:rPr>
          <w:i/>
          <w:iCs/>
        </w:rPr>
      </w:pPr>
      <w:r>
        <w:fldChar w:fldCharType="begin"/>
      </w:r>
      <w:r>
        <w:instrText xml:space="preserve"> REF _Ref166448844 \h </w:instrText>
      </w:r>
      <w:r>
        <w:fldChar w:fldCharType="separate"/>
      </w:r>
      <w:r w:rsidR="002E7F91" w:rsidRPr="00A473B4">
        <w:t xml:space="preserve">Table </w:t>
      </w:r>
      <w:r w:rsidR="002E7F91">
        <w:rPr>
          <w:noProof/>
        </w:rPr>
        <w:t>9</w:t>
      </w:r>
      <w:r>
        <w:fldChar w:fldCharType="end"/>
      </w:r>
      <w:r w:rsidR="00106A34">
        <w:t xml:space="preserve"> presents the results of the u</w:t>
      </w:r>
      <w:r w:rsidR="00106A34" w:rsidRPr="00E5364D">
        <w:t xml:space="preserve">nanchored MAIC of </w:t>
      </w:r>
      <w:r w:rsidR="00106A34">
        <w:t>the proportion of patients who avoided a blood transfusion.</w:t>
      </w:r>
    </w:p>
    <w:p w14:paraId="741353EF" w14:textId="41E366DE" w:rsidR="00106A34" w:rsidRPr="00A473B4" w:rsidRDefault="000056EE" w:rsidP="00E70C72">
      <w:pPr>
        <w:pStyle w:val="COMtablefigcaption"/>
        <w:jc w:val="both"/>
      </w:pPr>
      <w:bookmarkStart w:id="35" w:name="_Ref166448844"/>
      <w:r w:rsidRPr="00A473B4">
        <w:t xml:space="preserve">Table </w:t>
      </w:r>
      <w:r w:rsidR="00C52DBB">
        <w:fldChar w:fldCharType="begin"/>
      </w:r>
      <w:r w:rsidR="00C52DBB">
        <w:instrText xml:space="preserve"> SEQ Table \* ARABIC </w:instrText>
      </w:r>
      <w:r w:rsidR="00C52DBB">
        <w:fldChar w:fldCharType="separate"/>
      </w:r>
      <w:r w:rsidR="002E7F91">
        <w:rPr>
          <w:noProof/>
        </w:rPr>
        <w:t>9</w:t>
      </w:r>
      <w:r w:rsidR="00C52DBB">
        <w:rPr>
          <w:noProof/>
        </w:rPr>
        <w:fldChar w:fldCharType="end"/>
      </w:r>
      <w:bookmarkEnd w:id="35"/>
      <w:r w:rsidR="00106A34" w:rsidRPr="00DF0745">
        <w:t>: Unanchored</w:t>
      </w:r>
      <w:r w:rsidR="00106A34">
        <w:t xml:space="preserve"> MAIC of results for the proportion of patients remaining free from a blood transfusion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9: Unanchored MAIC of results for the proportion of patients remaining free from a blood transfusion"/>
        <w:tblDescription w:val="Table 9: Unanchored MAIC of results for the proportion of patients remaining free from a blood transfusion"/>
      </w:tblPr>
      <w:tblGrid>
        <w:gridCol w:w="2547"/>
        <w:gridCol w:w="2761"/>
        <w:gridCol w:w="2337"/>
        <w:gridCol w:w="1372"/>
      </w:tblGrid>
      <w:tr w:rsidR="00106A34" w:rsidRPr="00A473B4" w14:paraId="05E2FF16" w14:textId="77777777" w:rsidTr="00BF73EB">
        <w:trPr>
          <w:trHeight w:val="46"/>
          <w:tblHeader/>
        </w:trPr>
        <w:tc>
          <w:tcPr>
            <w:tcW w:w="1412" w:type="pct"/>
            <w:shd w:val="clear" w:color="auto" w:fill="auto"/>
            <w:vAlign w:val="center"/>
          </w:tcPr>
          <w:p w14:paraId="2487F615" w14:textId="77777777" w:rsidR="00106A34" w:rsidRDefault="00106A34" w:rsidP="00E70C72">
            <w:pPr>
              <w:pStyle w:val="COMTableheadingrow"/>
            </w:pPr>
            <w:r>
              <w:t>Comparison</w:t>
            </w:r>
          </w:p>
        </w:tc>
        <w:tc>
          <w:tcPr>
            <w:tcW w:w="1531" w:type="pct"/>
            <w:vAlign w:val="center"/>
          </w:tcPr>
          <w:p w14:paraId="0EF839A8" w14:textId="77777777" w:rsidR="00106A34" w:rsidRDefault="00106A34" w:rsidP="00E70C72">
            <w:pPr>
              <w:pStyle w:val="COMTableheadingrow"/>
              <w:jc w:val="center"/>
              <w:rPr>
                <w:iCs/>
              </w:rPr>
            </w:pPr>
            <w:r>
              <w:rPr>
                <w:iCs/>
              </w:rPr>
              <w:t>Pegcetacoplan</w:t>
            </w:r>
          </w:p>
          <w:p w14:paraId="63C89415" w14:textId="77777777" w:rsidR="00106A34" w:rsidRDefault="00106A34" w:rsidP="00E70C72">
            <w:pPr>
              <w:pStyle w:val="COMTableheadingrow"/>
              <w:jc w:val="center"/>
              <w:rPr>
                <w:iCs/>
              </w:rPr>
            </w:pPr>
            <w:r>
              <w:rPr>
                <w:iCs/>
              </w:rPr>
              <w:t>(PEGASUS)</w:t>
            </w:r>
          </w:p>
          <w:p w14:paraId="20E5D05C" w14:textId="77777777" w:rsidR="00106A34" w:rsidRDefault="00106A34" w:rsidP="00E70C72">
            <w:pPr>
              <w:pStyle w:val="COMTableheadingrow"/>
              <w:jc w:val="center"/>
              <w:rPr>
                <w:iCs/>
              </w:rPr>
            </w:pPr>
            <w:r>
              <w:rPr>
                <w:iCs/>
              </w:rPr>
              <w:t>Transfusion free, n (%)</w:t>
            </w:r>
          </w:p>
        </w:tc>
        <w:tc>
          <w:tcPr>
            <w:tcW w:w="1296" w:type="pct"/>
          </w:tcPr>
          <w:p w14:paraId="2B770E06" w14:textId="77777777" w:rsidR="00106A34" w:rsidRDefault="00106A34" w:rsidP="00E70C72">
            <w:pPr>
              <w:pStyle w:val="COMTableheadingrow"/>
              <w:jc w:val="center"/>
              <w:rPr>
                <w:iCs/>
              </w:rPr>
            </w:pPr>
            <w:r>
              <w:rPr>
                <w:iCs/>
              </w:rPr>
              <w:t xml:space="preserve">Iptacopan </w:t>
            </w:r>
          </w:p>
          <w:p w14:paraId="1161C34A" w14:textId="77777777" w:rsidR="00106A34" w:rsidRDefault="00106A34" w:rsidP="00E70C72">
            <w:pPr>
              <w:pStyle w:val="COMTableheadingrow"/>
              <w:jc w:val="center"/>
              <w:rPr>
                <w:iCs/>
              </w:rPr>
            </w:pPr>
            <w:r>
              <w:rPr>
                <w:iCs/>
              </w:rPr>
              <w:t>(APPLY-PNH)</w:t>
            </w:r>
          </w:p>
          <w:p w14:paraId="6E8DAFD1" w14:textId="77777777" w:rsidR="00106A34" w:rsidRPr="00AB5AB4" w:rsidRDefault="00106A34" w:rsidP="00E70C72">
            <w:pPr>
              <w:pStyle w:val="COMTableheadingrow"/>
              <w:jc w:val="center"/>
              <w:rPr>
                <w:iCs/>
              </w:rPr>
            </w:pPr>
            <w:r>
              <w:rPr>
                <w:iCs/>
              </w:rPr>
              <w:t>Transfusion free, n (%)</w:t>
            </w:r>
          </w:p>
        </w:tc>
        <w:tc>
          <w:tcPr>
            <w:tcW w:w="761" w:type="pct"/>
            <w:vAlign w:val="center"/>
          </w:tcPr>
          <w:p w14:paraId="4C9EDF22" w14:textId="77777777" w:rsidR="00106A34" w:rsidRDefault="00106A34" w:rsidP="00E70C72">
            <w:pPr>
              <w:pStyle w:val="COMTableheadingrow"/>
              <w:jc w:val="center"/>
            </w:pPr>
            <w:r>
              <w:t>Odds ratio (95% CI)</w:t>
            </w:r>
          </w:p>
        </w:tc>
      </w:tr>
      <w:tr w:rsidR="00106A34" w:rsidRPr="00A473B4" w14:paraId="0B6E761D" w14:textId="77777777" w:rsidTr="00BF73EB">
        <w:trPr>
          <w:trHeight w:val="469"/>
        </w:trPr>
        <w:tc>
          <w:tcPr>
            <w:tcW w:w="1412" w:type="pct"/>
            <w:shd w:val="clear" w:color="auto" w:fill="auto"/>
            <w:vAlign w:val="center"/>
          </w:tcPr>
          <w:p w14:paraId="70609966" w14:textId="77777777" w:rsidR="00106A34" w:rsidRPr="006113FB" w:rsidRDefault="00106A34" w:rsidP="00E70C72">
            <w:pPr>
              <w:pStyle w:val="COMTabletext"/>
              <w:rPr>
                <w:vertAlign w:val="superscript"/>
              </w:rPr>
            </w:pPr>
            <w:r w:rsidRPr="00C43A97">
              <w:t>Naïve comparison</w:t>
            </w:r>
            <w:r>
              <w:t xml:space="preserve"> </w:t>
            </w:r>
            <w:r>
              <w:rPr>
                <w:vertAlign w:val="superscript"/>
              </w:rPr>
              <w:t>a</w:t>
            </w:r>
          </w:p>
        </w:tc>
        <w:tc>
          <w:tcPr>
            <w:tcW w:w="1531" w:type="pct"/>
            <w:vAlign w:val="center"/>
          </w:tcPr>
          <w:p w14:paraId="44E9D6EA" w14:textId="77777777" w:rsidR="00106A34" w:rsidRPr="00D66E8F" w:rsidRDefault="00106A34" w:rsidP="00E70C72">
            <w:pPr>
              <w:pStyle w:val="COMTabletext"/>
              <w:jc w:val="center"/>
            </w:pPr>
            <w:r>
              <w:t>N=41</w:t>
            </w:r>
          </w:p>
          <w:p w14:paraId="59E6A865" w14:textId="77777777" w:rsidR="00106A34" w:rsidRPr="00D66E8F" w:rsidRDefault="00106A34" w:rsidP="00E70C72">
            <w:pPr>
              <w:pStyle w:val="COMTabletext"/>
              <w:jc w:val="center"/>
            </w:pPr>
            <w:r w:rsidRPr="00B65B43">
              <w:t>35 (85.4%)</w:t>
            </w:r>
          </w:p>
        </w:tc>
        <w:tc>
          <w:tcPr>
            <w:tcW w:w="1296" w:type="pct"/>
            <w:shd w:val="clear" w:color="auto" w:fill="auto"/>
            <w:vAlign w:val="center"/>
          </w:tcPr>
          <w:p w14:paraId="00D71F49" w14:textId="77777777" w:rsidR="00106A34" w:rsidRDefault="00106A34" w:rsidP="00E70C72">
            <w:pPr>
              <w:pStyle w:val="COMTabletext"/>
              <w:jc w:val="center"/>
            </w:pPr>
            <w:r>
              <w:t>N=62</w:t>
            </w:r>
          </w:p>
          <w:p w14:paraId="57D7D8E8" w14:textId="77777777" w:rsidR="00106A34" w:rsidRDefault="00106A34" w:rsidP="00E70C72">
            <w:pPr>
              <w:pStyle w:val="COMTabletext"/>
              <w:jc w:val="center"/>
            </w:pPr>
            <w:r w:rsidRPr="00B65B43">
              <w:t>59 (95.2%)</w:t>
            </w:r>
          </w:p>
        </w:tc>
        <w:tc>
          <w:tcPr>
            <w:tcW w:w="761" w:type="pct"/>
            <w:shd w:val="clear" w:color="auto" w:fill="auto"/>
            <w:vAlign w:val="center"/>
          </w:tcPr>
          <w:p w14:paraId="0EA92EA0" w14:textId="77777777" w:rsidR="00106A34" w:rsidRPr="008907FB" w:rsidRDefault="00106A34" w:rsidP="00E70C72">
            <w:pPr>
              <w:pStyle w:val="COMTabletext"/>
              <w:jc w:val="center"/>
            </w:pPr>
            <w:r>
              <w:t>NR</w:t>
            </w:r>
          </w:p>
        </w:tc>
      </w:tr>
      <w:tr w:rsidR="00106A34" w:rsidRPr="00A473B4" w14:paraId="3DDD96EB" w14:textId="77777777" w:rsidTr="00BF73EB">
        <w:trPr>
          <w:trHeight w:val="469"/>
        </w:trPr>
        <w:tc>
          <w:tcPr>
            <w:tcW w:w="1412" w:type="pct"/>
            <w:shd w:val="clear" w:color="auto" w:fill="auto"/>
            <w:vAlign w:val="center"/>
          </w:tcPr>
          <w:p w14:paraId="27B5DCAD" w14:textId="77777777" w:rsidR="00106A34" w:rsidRPr="00915E1F" w:rsidRDefault="00106A34" w:rsidP="00E70C72">
            <w:pPr>
              <w:pStyle w:val="COMTabletext"/>
              <w:rPr>
                <w:vertAlign w:val="superscript"/>
              </w:rPr>
            </w:pPr>
            <w:r w:rsidRPr="00C43A97">
              <w:t>Unmatched and unadjuste</w:t>
            </w:r>
            <w:r>
              <w:t xml:space="preserve">d </w:t>
            </w:r>
            <w:r>
              <w:rPr>
                <w:vertAlign w:val="superscript"/>
              </w:rPr>
              <w:t>b</w:t>
            </w:r>
          </w:p>
        </w:tc>
        <w:tc>
          <w:tcPr>
            <w:tcW w:w="1531" w:type="pct"/>
            <w:vAlign w:val="center"/>
          </w:tcPr>
          <w:p w14:paraId="06DF9DC9" w14:textId="77777777" w:rsidR="00106A34" w:rsidRPr="00D66E8F" w:rsidRDefault="00106A34" w:rsidP="00E70C72">
            <w:pPr>
              <w:pStyle w:val="COMTabletext"/>
              <w:jc w:val="center"/>
            </w:pPr>
            <w:r>
              <w:t>N=41</w:t>
            </w:r>
          </w:p>
          <w:p w14:paraId="4BB4DFB1" w14:textId="77777777" w:rsidR="00106A34" w:rsidRPr="00D66E8F" w:rsidRDefault="00106A34" w:rsidP="00E70C72">
            <w:pPr>
              <w:pStyle w:val="COMTabletext"/>
              <w:jc w:val="center"/>
            </w:pPr>
            <w:r w:rsidRPr="00B65B43">
              <w:t>35 (85.4%)</w:t>
            </w:r>
          </w:p>
        </w:tc>
        <w:tc>
          <w:tcPr>
            <w:tcW w:w="1296" w:type="pct"/>
            <w:shd w:val="clear" w:color="auto" w:fill="auto"/>
            <w:vAlign w:val="center"/>
          </w:tcPr>
          <w:p w14:paraId="74F66190" w14:textId="77777777" w:rsidR="00106A34" w:rsidRPr="00126517" w:rsidRDefault="00106A34" w:rsidP="00E70C72">
            <w:pPr>
              <w:pStyle w:val="COMTabletext"/>
              <w:jc w:val="center"/>
            </w:pPr>
            <w:r>
              <w:t>N=62</w:t>
            </w:r>
          </w:p>
          <w:p w14:paraId="2B09D078" w14:textId="77777777" w:rsidR="00106A34" w:rsidRPr="00126517" w:rsidRDefault="00106A34" w:rsidP="00E70C72">
            <w:pPr>
              <w:pStyle w:val="COMTabletext"/>
              <w:jc w:val="center"/>
            </w:pPr>
            <w:r w:rsidRPr="00B65B43">
              <w:t>60 (96.8%)</w:t>
            </w:r>
          </w:p>
        </w:tc>
        <w:tc>
          <w:tcPr>
            <w:tcW w:w="761" w:type="pct"/>
            <w:shd w:val="clear" w:color="auto" w:fill="auto"/>
            <w:vAlign w:val="center"/>
          </w:tcPr>
          <w:p w14:paraId="328F4883" w14:textId="77777777" w:rsidR="00106A34" w:rsidRPr="00DD28F5" w:rsidRDefault="00106A34" w:rsidP="00E70C72">
            <w:pPr>
              <w:pStyle w:val="COMTabletext"/>
              <w:jc w:val="center"/>
            </w:pPr>
            <w:r w:rsidRPr="00DD28F5">
              <w:t>5.14 (0.98, 26.88)</w:t>
            </w:r>
          </w:p>
        </w:tc>
      </w:tr>
      <w:tr w:rsidR="00106A34" w:rsidRPr="00A473B4" w14:paraId="3D9847E1" w14:textId="77777777" w:rsidTr="00BF73EB">
        <w:tc>
          <w:tcPr>
            <w:tcW w:w="1412" w:type="pct"/>
            <w:shd w:val="clear" w:color="auto" w:fill="auto"/>
            <w:vAlign w:val="center"/>
          </w:tcPr>
          <w:p w14:paraId="78F37A3A" w14:textId="77777777" w:rsidR="00106A34" w:rsidRPr="00DA18ED" w:rsidRDefault="00106A34" w:rsidP="00E70C72">
            <w:pPr>
              <w:pStyle w:val="COMTabletext"/>
              <w:rPr>
                <w:vertAlign w:val="superscript"/>
              </w:rPr>
            </w:pPr>
            <w:r w:rsidRPr="00AF6202">
              <w:t xml:space="preserve">Matched </w:t>
            </w:r>
            <w:r>
              <w:t>and</w:t>
            </w:r>
            <w:r w:rsidRPr="00AF6202">
              <w:t xml:space="preserve"> unadjusted</w:t>
            </w:r>
            <w:r>
              <w:t xml:space="preserve"> </w:t>
            </w:r>
            <w:r>
              <w:rPr>
                <w:vertAlign w:val="superscript"/>
              </w:rPr>
              <w:t>c</w:t>
            </w:r>
          </w:p>
        </w:tc>
        <w:tc>
          <w:tcPr>
            <w:tcW w:w="1531" w:type="pct"/>
          </w:tcPr>
          <w:p w14:paraId="2FA50080" w14:textId="77777777" w:rsidR="00106A34" w:rsidRPr="00D66E8F" w:rsidRDefault="00106A34" w:rsidP="00E70C72">
            <w:pPr>
              <w:pStyle w:val="COMTabletext"/>
              <w:jc w:val="center"/>
            </w:pPr>
            <w:r>
              <w:t>N=41</w:t>
            </w:r>
          </w:p>
          <w:p w14:paraId="68110B09" w14:textId="77777777" w:rsidR="00106A34" w:rsidRPr="00D66E8F" w:rsidRDefault="00106A34" w:rsidP="00E70C72">
            <w:pPr>
              <w:pStyle w:val="COMTabletext"/>
              <w:jc w:val="center"/>
            </w:pPr>
            <w:r w:rsidRPr="00B65B43">
              <w:t>35 (85.4%)</w:t>
            </w:r>
          </w:p>
        </w:tc>
        <w:tc>
          <w:tcPr>
            <w:tcW w:w="1296" w:type="pct"/>
            <w:shd w:val="clear" w:color="auto" w:fill="auto"/>
          </w:tcPr>
          <w:p w14:paraId="70E13E9E" w14:textId="77777777" w:rsidR="00106A34" w:rsidRDefault="00106A34" w:rsidP="00E70C72">
            <w:pPr>
              <w:pStyle w:val="COMTabletext"/>
              <w:jc w:val="center"/>
            </w:pPr>
            <w:r>
              <w:t>N=54</w:t>
            </w:r>
          </w:p>
          <w:p w14:paraId="0C2C3840" w14:textId="77777777" w:rsidR="00106A34" w:rsidRPr="00126517" w:rsidRDefault="00106A34" w:rsidP="00E70C72">
            <w:pPr>
              <w:pStyle w:val="COMTabletext"/>
              <w:jc w:val="center"/>
            </w:pPr>
            <w:r w:rsidRPr="00B65B43">
              <w:t>52 (96.3%)</w:t>
            </w:r>
          </w:p>
        </w:tc>
        <w:tc>
          <w:tcPr>
            <w:tcW w:w="761" w:type="pct"/>
            <w:shd w:val="clear" w:color="auto" w:fill="auto"/>
            <w:vAlign w:val="center"/>
          </w:tcPr>
          <w:p w14:paraId="1776A4AD" w14:textId="77777777" w:rsidR="00106A34" w:rsidRPr="00DD28F5" w:rsidRDefault="00106A34" w:rsidP="00E70C72">
            <w:pPr>
              <w:pStyle w:val="COMTabletext"/>
              <w:jc w:val="center"/>
            </w:pPr>
            <w:r w:rsidRPr="00DD28F5">
              <w:t>4.46 (0.85, 23.36)</w:t>
            </w:r>
          </w:p>
        </w:tc>
      </w:tr>
      <w:tr w:rsidR="00106A34" w:rsidRPr="00A473B4" w14:paraId="5B0D6225" w14:textId="77777777" w:rsidTr="00BF73EB">
        <w:tc>
          <w:tcPr>
            <w:tcW w:w="1412" w:type="pct"/>
            <w:shd w:val="clear" w:color="auto" w:fill="auto"/>
            <w:vAlign w:val="center"/>
          </w:tcPr>
          <w:p w14:paraId="160A6413" w14:textId="77777777" w:rsidR="00106A34" w:rsidRPr="00DA18ED" w:rsidRDefault="00106A34" w:rsidP="00E70C72">
            <w:pPr>
              <w:pStyle w:val="COMTabletext"/>
              <w:rPr>
                <w:vertAlign w:val="superscript"/>
              </w:rPr>
            </w:pPr>
            <w:r>
              <w:t xml:space="preserve">Matched and adjusted </w:t>
            </w:r>
            <w:r>
              <w:rPr>
                <w:vertAlign w:val="superscript"/>
              </w:rPr>
              <w:t>d</w:t>
            </w:r>
          </w:p>
        </w:tc>
        <w:tc>
          <w:tcPr>
            <w:tcW w:w="1531" w:type="pct"/>
          </w:tcPr>
          <w:p w14:paraId="27ADDE82" w14:textId="77777777" w:rsidR="00106A34" w:rsidRPr="00D66E8F" w:rsidRDefault="00106A34" w:rsidP="00E70C72">
            <w:pPr>
              <w:pStyle w:val="COMTabletext"/>
              <w:jc w:val="center"/>
            </w:pPr>
            <w:r>
              <w:t>N=41</w:t>
            </w:r>
          </w:p>
          <w:p w14:paraId="543DDE24" w14:textId="77777777" w:rsidR="00106A34" w:rsidRPr="00D66E8F" w:rsidRDefault="00106A34" w:rsidP="00E70C72">
            <w:pPr>
              <w:pStyle w:val="COMTabletext"/>
              <w:jc w:val="center"/>
            </w:pPr>
            <w:r w:rsidRPr="00B65B43">
              <w:t>35 (85.4%)</w:t>
            </w:r>
          </w:p>
        </w:tc>
        <w:tc>
          <w:tcPr>
            <w:tcW w:w="1296" w:type="pct"/>
            <w:shd w:val="clear" w:color="auto" w:fill="auto"/>
          </w:tcPr>
          <w:p w14:paraId="647FFEC4" w14:textId="77777777" w:rsidR="00106A34" w:rsidRDefault="00106A34" w:rsidP="00E70C72">
            <w:pPr>
              <w:pStyle w:val="COMTabletext"/>
              <w:jc w:val="center"/>
            </w:pPr>
            <w:r>
              <w:t>ESS=16</w:t>
            </w:r>
          </w:p>
          <w:p w14:paraId="1D5D906E" w14:textId="77777777" w:rsidR="00106A34" w:rsidRPr="00126517" w:rsidRDefault="00106A34" w:rsidP="00E70C72">
            <w:pPr>
              <w:pStyle w:val="COMTabletext"/>
              <w:jc w:val="center"/>
            </w:pPr>
            <w:r>
              <w:t>NR (</w:t>
            </w:r>
            <w:r w:rsidRPr="00ED1728">
              <w:t>98.2%</w:t>
            </w:r>
            <w:r>
              <w:t>)</w:t>
            </w:r>
          </w:p>
        </w:tc>
        <w:tc>
          <w:tcPr>
            <w:tcW w:w="761" w:type="pct"/>
            <w:shd w:val="clear" w:color="auto" w:fill="auto"/>
            <w:vAlign w:val="center"/>
          </w:tcPr>
          <w:p w14:paraId="297A7CAB" w14:textId="178B664D" w:rsidR="00106A34" w:rsidRPr="00DD28F5" w:rsidRDefault="007F6D2A" w:rsidP="00E70C72">
            <w:pPr>
              <w:pStyle w:val="COMTabletext"/>
              <w:jc w:val="center"/>
            </w:pPr>
            <w:r w:rsidRPr="00CA4EA3">
              <w:rPr>
                <w:b/>
                <w:bCs w:val="0"/>
              </w:rPr>
              <w:t>9.17 (1.59, 52.89)</w:t>
            </w:r>
          </w:p>
        </w:tc>
      </w:tr>
    </w:tbl>
    <w:p w14:paraId="7CF0D0F9" w14:textId="3B88630E" w:rsidR="00106A34" w:rsidRDefault="00106A34" w:rsidP="00E70C72">
      <w:pPr>
        <w:pStyle w:val="TableFooter"/>
        <w:keepNext/>
      </w:pPr>
      <w:r w:rsidRPr="00A473B4">
        <w:t xml:space="preserve">Source: </w:t>
      </w:r>
      <w:r>
        <w:t>Table 2-54,; Appendix Table 20, of the MAIC technical report, Attachment 9 of the submission.</w:t>
      </w:r>
    </w:p>
    <w:p w14:paraId="3D8DD9EB" w14:textId="77777777" w:rsidR="00106A34" w:rsidRDefault="00106A34" w:rsidP="00E70C72">
      <w:pPr>
        <w:pStyle w:val="TableFooter"/>
        <w:keepNext/>
      </w:pPr>
      <w:r>
        <w:t>Abbreviations: CI, confidence interval; ESS, effective sample size; NR, not reported.</w:t>
      </w:r>
    </w:p>
    <w:p w14:paraId="05EDD0C9" w14:textId="77777777" w:rsidR="00106A34" w:rsidRPr="006113FB" w:rsidRDefault="00106A34" w:rsidP="00E70C72">
      <w:pPr>
        <w:pStyle w:val="TableFooter"/>
        <w:keepNext/>
      </w:pPr>
      <w:r>
        <w:rPr>
          <w:vertAlign w:val="superscript"/>
        </w:rPr>
        <w:t>a</w:t>
      </w:r>
      <w:r>
        <w:t xml:space="preserve"> Iptacopan results based on reported outcomes at 24 weeks with no adjustment for differences in outcome definitions between trials.</w:t>
      </w:r>
    </w:p>
    <w:p w14:paraId="0F6F5C48" w14:textId="77777777" w:rsidR="00106A34" w:rsidRDefault="00106A34" w:rsidP="00E70C72">
      <w:pPr>
        <w:pStyle w:val="TableFooter"/>
        <w:keepNext/>
      </w:pPr>
      <w:r>
        <w:rPr>
          <w:vertAlign w:val="superscript"/>
        </w:rPr>
        <w:t>b</w:t>
      </w:r>
      <w:r>
        <w:t xml:space="preserve"> Iptacopan results recalculated using the PEGASUS trial outcome definition/method of analysis; iptacopan results based on </w:t>
      </w:r>
      <w:r w:rsidRPr="00115BF1">
        <w:rPr>
          <w:i/>
          <w:iCs/>
        </w:rPr>
        <w:t>post hoc</w:t>
      </w:r>
      <w:r>
        <w:t xml:space="preserve"> analysis of outcomes at 20 weeks to approximate the follow-up duration in the PEGASUS trial.</w:t>
      </w:r>
    </w:p>
    <w:p w14:paraId="3E33DE8B" w14:textId="77777777" w:rsidR="00106A34" w:rsidRDefault="00106A34" w:rsidP="00E70C72">
      <w:pPr>
        <w:pStyle w:val="TableFooter"/>
        <w:keepNext/>
      </w:pPr>
      <w:r>
        <w:rPr>
          <w:vertAlign w:val="superscript"/>
        </w:rPr>
        <w:t>c</w:t>
      </w:r>
      <w:r>
        <w:t xml:space="preserve"> Iptacopan results based on exclusion of p</w:t>
      </w:r>
      <w:r w:rsidRPr="001F2A3B">
        <w:t xml:space="preserve">atients </w:t>
      </w:r>
      <w:r>
        <w:t xml:space="preserve">who did not meet the eligibility criteria for the </w:t>
      </w:r>
      <w:r w:rsidRPr="001F2A3B">
        <w:t xml:space="preserve">PEGASUS </w:t>
      </w:r>
      <w:r>
        <w:t>trial.</w:t>
      </w:r>
    </w:p>
    <w:p w14:paraId="66ED50A9" w14:textId="77777777" w:rsidR="00106A34" w:rsidRDefault="00106A34" w:rsidP="00106A34">
      <w:pPr>
        <w:pStyle w:val="TableFooter"/>
      </w:pPr>
      <w:r>
        <w:rPr>
          <w:vertAlign w:val="superscript"/>
        </w:rPr>
        <w:t>d</w:t>
      </w:r>
      <w:r>
        <w:t xml:space="preserve"> Includes a</w:t>
      </w:r>
      <w:r w:rsidRPr="001F2A3B">
        <w:t>djust</w:t>
      </w:r>
      <w:r>
        <w:t>ment for</w:t>
      </w:r>
      <w:r w:rsidRPr="001F2A3B">
        <w:t xml:space="preserve"> imbalances in </w:t>
      </w:r>
      <w:r>
        <w:t>3 variables (</w:t>
      </w:r>
      <w:r w:rsidRPr="001F2A3B">
        <w:t>baseline h</w:t>
      </w:r>
      <w:r>
        <w:t>a</w:t>
      </w:r>
      <w:r w:rsidRPr="001F2A3B">
        <w:t xml:space="preserve">emoglobin per PEGASUS definition, sex, and proportion </w:t>
      </w:r>
      <w:r>
        <w:t xml:space="preserve">of patients who were </w:t>
      </w:r>
      <w:r w:rsidRPr="001F2A3B">
        <w:t>transfusion-free within 12 months prior to baseline</w:t>
      </w:r>
      <w:r>
        <w:t>), with continuous variables (haemoglobin) matched based on mean and standard deviation.</w:t>
      </w:r>
    </w:p>
    <w:p w14:paraId="202746B8" w14:textId="05E99FB8" w:rsidR="00D55BCD" w:rsidRPr="0025780C" w:rsidRDefault="00D55BCD" w:rsidP="00BF73EB">
      <w:pPr>
        <w:pStyle w:val="COMexecsumnumberedpara"/>
      </w:pPr>
      <w:r>
        <w:lastRenderedPageBreak/>
        <w:t>Based on the matched and adjusted results</w:t>
      </w:r>
      <w:r w:rsidRPr="008C0420">
        <w:t xml:space="preserve"> </w:t>
      </w:r>
      <w:r>
        <w:t xml:space="preserve">for the unanchored MAIC, treatment with iptacopan was associated with an improvement in the proportion of patients who avoided a blood transfusion compared to pegcetacoplan, and the difference was statistically significant (odds ratio: 9.17; 95% CI: 1.59, 52.89). </w:t>
      </w:r>
      <w:r w:rsidRPr="0025780C">
        <w:t xml:space="preserve">Based on the anchored MAIC, the odds ratio favoured iptacopan, </w:t>
      </w:r>
      <w:r w:rsidR="007920AF" w:rsidRPr="0025780C">
        <w:t xml:space="preserve">but the </w:t>
      </w:r>
      <w:r w:rsidRPr="0025780C">
        <w:t xml:space="preserve">difference was </w:t>
      </w:r>
      <w:r w:rsidR="007920AF" w:rsidRPr="0025780C">
        <w:t xml:space="preserve">not </w:t>
      </w:r>
      <w:r w:rsidRPr="0025780C">
        <w:t>statistically significant (odds ratio: 2.70; 95% CI: 0.31, 23.77).</w:t>
      </w:r>
    </w:p>
    <w:p w14:paraId="540D4632" w14:textId="242B4308" w:rsidR="006350C5" w:rsidRPr="0025780C" w:rsidRDefault="006350C5" w:rsidP="00BF73EB">
      <w:pPr>
        <w:pStyle w:val="COMexecsumnumberedpara"/>
      </w:pPr>
      <w:r>
        <w:t>Based on the matched and adjusted results</w:t>
      </w:r>
      <w:r w:rsidRPr="008C0420">
        <w:t xml:space="preserve"> </w:t>
      </w:r>
      <w:r>
        <w:t xml:space="preserve">for the unanchored MAIC, treatment with iptacopan was associated with an increase in LDH level, whereas pegcetacoplan was associated with a decrease in LDH level. The mean difference between treatments favoured pegcetacoplan but was not statistically significant (mean difference: </w:t>
      </w:r>
      <w:r w:rsidRPr="007F7D21">
        <w:t>36.68; 95% CI: -62.54, 135.89)</w:t>
      </w:r>
      <w:r>
        <w:t xml:space="preserve">. </w:t>
      </w:r>
      <w:r w:rsidRPr="0025780C">
        <w:t>Based on the anchored MAIC, the mean difference favoured iptacopan, but was not statistically significant (mean difference: -8.45; 95% CI: -194.92, 178.02).</w:t>
      </w:r>
    </w:p>
    <w:p w14:paraId="4DA7C799" w14:textId="738EE0D3" w:rsidR="00725AD9" w:rsidRPr="0025780C" w:rsidRDefault="00940233" w:rsidP="00D86231">
      <w:pPr>
        <w:pStyle w:val="COMexecsumnumberedpara"/>
      </w:pPr>
      <w:r w:rsidRPr="00940233">
        <w:t>Based on the matched and adjusted results</w:t>
      </w:r>
      <w:r w:rsidR="008C0420" w:rsidRPr="008C0420">
        <w:t xml:space="preserve"> </w:t>
      </w:r>
      <w:r w:rsidR="008C0420">
        <w:t>for the unanchored MAIC</w:t>
      </w:r>
      <w:r w:rsidRPr="00940233">
        <w:t xml:space="preserve">, treatment with iptacopan was associated with </w:t>
      </w:r>
      <w:r w:rsidR="002729C6">
        <w:t xml:space="preserve">a smaller improvement in </w:t>
      </w:r>
      <w:r w:rsidRPr="00940233">
        <w:t xml:space="preserve">FACIT-Fatigue score compared to pegcetacoplan, but the difference was not statistically significant (mean difference: </w:t>
      </w:r>
      <w:r w:rsidR="000476A2" w:rsidRPr="000476A2">
        <w:t xml:space="preserve">-2.32; 95% CI: -6.34, 1.70). </w:t>
      </w:r>
      <w:r w:rsidR="00032192" w:rsidRPr="0025780C">
        <w:t>Based on the anchored MAIC, the mean difference favoured pegcetacoplan, but the difference was not statistically significant (mean difference: -2.96; 95% CI: -10.65, 4.73).</w:t>
      </w:r>
      <w:bookmarkStart w:id="36" w:name="_Toc22897642"/>
    </w:p>
    <w:p w14:paraId="38A12514" w14:textId="77777777" w:rsidR="00725AD9" w:rsidRDefault="00725AD9" w:rsidP="00725AD9">
      <w:pPr>
        <w:pStyle w:val="COMH2-non-numbered"/>
      </w:pPr>
      <w:bookmarkStart w:id="37" w:name="_Toc156204650"/>
      <w:bookmarkStart w:id="38" w:name="_Toc167262987"/>
      <w:bookmarkEnd w:id="36"/>
      <w:r w:rsidRPr="00EC6DE3">
        <w:t>Comparative harms</w:t>
      </w:r>
      <w:bookmarkEnd w:id="37"/>
      <w:bookmarkEnd w:id="38"/>
    </w:p>
    <w:p w14:paraId="63B35F4B" w14:textId="691D2298" w:rsidR="00C15D1F" w:rsidRPr="00BE0534" w:rsidRDefault="00C15D1F" w:rsidP="00E70C72">
      <w:pPr>
        <w:pStyle w:val="COMH3"/>
        <w:spacing w:after="120"/>
        <w:rPr>
          <w:sz w:val="24"/>
        </w:rPr>
      </w:pPr>
      <w:r w:rsidRPr="00BE0534">
        <w:rPr>
          <w:sz w:val="24"/>
        </w:rPr>
        <w:t>APPLY-PNH trial</w:t>
      </w:r>
    </w:p>
    <w:p w14:paraId="1E5972EB" w14:textId="5EB5C995" w:rsidR="00C019FB" w:rsidRDefault="006D5094" w:rsidP="00C019FB">
      <w:pPr>
        <w:pStyle w:val="COMexecsumnumberedpara"/>
      </w:pPr>
      <w:r>
        <w:fldChar w:fldCharType="begin"/>
      </w:r>
      <w:r>
        <w:instrText xml:space="preserve"> REF _Ref166448857 \h </w:instrText>
      </w:r>
      <w:r>
        <w:fldChar w:fldCharType="separate"/>
      </w:r>
      <w:r w:rsidR="002E7F91" w:rsidRPr="00A473B4">
        <w:t xml:space="preserve">Table </w:t>
      </w:r>
      <w:r w:rsidR="002E7F91">
        <w:rPr>
          <w:noProof/>
        </w:rPr>
        <w:t>10</w:t>
      </w:r>
      <w:r>
        <w:fldChar w:fldCharType="end"/>
      </w:r>
      <w:r w:rsidR="00C019FB" w:rsidRPr="00C019FB">
        <w:t xml:space="preserve"> presents a summary of adverse event results for the APPLY-PNH trial, based on the 24-week randomised treatment period.</w:t>
      </w:r>
    </w:p>
    <w:p w14:paraId="57244661" w14:textId="017A85F8" w:rsidR="00C019FB" w:rsidRPr="00A473B4" w:rsidRDefault="000056EE" w:rsidP="00C019FB">
      <w:pPr>
        <w:pStyle w:val="COMtablefigcaption"/>
      </w:pPr>
      <w:bookmarkStart w:id="39" w:name="_Ref166448857"/>
      <w:r w:rsidRPr="00A473B4">
        <w:lastRenderedPageBreak/>
        <w:t xml:space="preserve">Table </w:t>
      </w:r>
      <w:r w:rsidR="00C52DBB">
        <w:fldChar w:fldCharType="begin"/>
      </w:r>
      <w:r w:rsidR="00C52DBB">
        <w:instrText xml:space="preserve"> SEQ Table \* ARABIC </w:instrText>
      </w:r>
      <w:r w:rsidR="00C52DBB">
        <w:fldChar w:fldCharType="separate"/>
      </w:r>
      <w:r w:rsidR="002E7F91">
        <w:rPr>
          <w:noProof/>
        </w:rPr>
        <w:t>10</w:t>
      </w:r>
      <w:r w:rsidR="00C52DBB">
        <w:rPr>
          <w:noProof/>
        </w:rPr>
        <w:fldChar w:fldCharType="end"/>
      </w:r>
      <w:bookmarkEnd w:id="39"/>
      <w:r w:rsidR="00C019FB" w:rsidRPr="00A473B4">
        <w:t xml:space="preserve">: Summary of adverse events in the </w:t>
      </w:r>
      <w:r w:rsidR="00C019FB">
        <w:t>APPLY-PNH trial (24 weeks)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Summary of adverse events in the APPLY-PNH trial (24 weeks)"/>
        <w:tblDescription w:val="Table 10: Summary of adverse events in the APPLY-PNH trial (24 weeks)"/>
      </w:tblPr>
      <w:tblGrid>
        <w:gridCol w:w="3983"/>
        <w:gridCol w:w="2516"/>
        <w:gridCol w:w="2518"/>
      </w:tblGrid>
      <w:tr w:rsidR="00C019FB" w:rsidRPr="00A473B4" w14:paraId="457FABDC" w14:textId="77777777" w:rsidTr="00BF73EB">
        <w:trPr>
          <w:tblHeader/>
        </w:trPr>
        <w:tc>
          <w:tcPr>
            <w:tcW w:w="2209" w:type="pct"/>
            <w:vAlign w:val="center"/>
          </w:tcPr>
          <w:p w14:paraId="25ACCF35" w14:textId="77777777" w:rsidR="00C019FB" w:rsidRPr="00A473B4" w:rsidRDefault="00C019FB" w:rsidP="00BF73EB">
            <w:pPr>
              <w:pStyle w:val="COMTableheadingrow"/>
            </w:pPr>
          </w:p>
        </w:tc>
        <w:tc>
          <w:tcPr>
            <w:tcW w:w="1395" w:type="pct"/>
            <w:vAlign w:val="center"/>
          </w:tcPr>
          <w:p w14:paraId="7195E12B" w14:textId="77777777" w:rsidR="00C019FB" w:rsidRPr="00A473B4" w:rsidRDefault="00C019FB" w:rsidP="00BF73EB">
            <w:pPr>
              <w:pStyle w:val="COMTableheadingrow"/>
              <w:jc w:val="center"/>
            </w:pPr>
            <w:r>
              <w:t>Iptacopan</w:t>
            </w:r>
          </w:p>
          <w:p w14:paraId="1DEC2250" w14:textId="77777777" w:rsidR="00C019FB" w:rsidRPr="00A473B4" w:rsidRDefault="00C019FB" w:rsidP="00BF73EB">
            <w:pPr>
              <w:pStyle w:val="COMTableheadingrow"/>
              <w:jc w:val="center"/>
            </w:pPr>
            <w:r>
              <w:t>N=62</w:t>
            </w:r>
          </w:p>
        </w:tc>
        <w:tc>
          <w:tcPr>
            <w:tcW w:w="1396" w:type="pct"/>
            <w:vAlign w:val="center"/>
          </w:tcPr>
          <w:p w14:paraId="06ED1BED" w14:textId="77777777" w:rsidR="00C019FB" w:rsidRPr="00A473B4" w:rsidRDefault="00C019FB" w:rsidP="00BF73EB">
            <w:pPr>
              <w:pStyle w:val="COMTableheadingrow"/>
              <w:jc w:val="center"/>
            </w:pPr>
            <w:r>
              <w:t>C5 inhibitor</w:t>
            </w:r>
          </w:p>
          <w:p w14:paraId="515503CD" w14:textId="77777777" w:rsidR="00C019FB" w:rsidRPr="00A473B4" w:rsidRDefault="00C019FB" w:rsidP="00BF73EB">
            <w:pPr>
              <w:pStyle w:val="COMTableheadingrow"/>
              <w:jc w:val="center"/>
            </w:pPr>
            <w:r>
              <w:t>N=35</w:t>
            </w:r>
          </w:p>
        </w:tc>
      </w:tr>
      <w:tr w:rsidR="00C019FB" w:rsidRPr="00A473B4" w14:paraId="62BDB86D" w14:textId="77777777" w:rsidTr="00BF73EB">
        <w:tc>
          <w:tcPr>
            <w:tcW w:w="2209" w:type="pct"/>
            <w:vAlign w:val="center"/>
          </w:tcPr>
          <w:p w14:paraId="4DF0EF56" w14:textId="77777777" w:rsidR="00C019FB" w:rsidRDefault="00C019FB" w:rsidP="00BF73EB">
            <w:pPr>
              <w:pStyle w:val="COMTabletext"/>
            </w:pPr>
            <w:r>
              <w:t>Any AE, n (%)</w:t>
            </w:r>
          </w:p>
          <w:p w14:paraId="2F1A9CF8" w14:textId="77777777" w:rsidR="00C019FB" w:rsidRPr="00A473B4" w:rsidRDefault="00C019FB" w:rsidP="00BF73EB">
            <w:pPr>
              <w:pStyle w:val="COMTabletext"/>
            </w:pPr>
            <w:r>
              <w:t>- Treatment-related AE</w:t>
            </w:r>
          </w:p>
        </w:tc>
        <w:tc>
          <w:tcPr>
            <w:tcW w:w="1395" w:type="pct"/>
          </w:tcPr>
          <w:p w14:paraId="2B04B10F" w14:textId="77777777" w:rsidR="00C019FB" w:rsidRDefault="00C019FB" w:rsidP="00BF73EB">
            <w:pPr>
              <w:pStyle w:val="COMTabletext"/>
              <w:jc w:val="center"/>
            </w:pPr>
            <w:r w:rsidRPr="000B3FFB">
              <w:t>51 (82.</w:t>
            </w:r>
            <w:r>
              <w:t>3</w:t>
            </w:r>
            <w:r w:rsidRPr="000B3FFB">
              <w:t>)</w:t>
            </w:r>
          </w:p>
          <w:p w14:paraId="6E09538E" w14:textId="77777777" w:rsidR="00C019FB" w:rsidRPr="00A473B4" w:rsidRDefault="00C019FB" w:rsidP="00BF73EB">
            <w:pPr>
              <w:pStyle w:val="COMTabletext"/>
              <w:jc w:val="center"/>
            </w:pPr>
            <w:r w:rsidRPr="000B3FFB">
              <w:t>16 (25.8)</w:t>
            </w:r>
          </w:p>
        </w:tc>
        <w:tc>
          <w:tcPr>
            <w:tcW w:w="1396" w:type="pct"/>
          </w:tcPr>
          <w:p w14:paraId="76D756E2" w14:textId="77777777" w:rsidR="00C019FB" w:rsidRDefault="00C019FB" w:rsidP="00BF73EB">
            <w:pPr>
              <w:pStyle w:val="COMTabletext"/>
              <w:jc w:val="center"/>
            </w:pPr>
            <w:r w:rsidRPr="002C74A6">
              <w:t>28 (80.0)</w:t>
            </w:r>
          </w:p>
          <w:p w14:paraId="3E2D164F" w14:textId="77777777" w:rsidR="00C019FB" w:rsidRPr="00A473B4" w:rsidRDefault="00C019FB" w:rsidP="00BF73EB">
            <w:pPr>
              <w:pStyle w:val="COMTabletext"/>
              <w:jc w:val="center"/>
            </w:pPr>
            <w:r>
              <w:t>3 (8.6)</w:t>
            </w:r>
          </w:p>
        </w:tc>
      </w:tr>
      <w:tr w:rsidR="00C019FB" w:rsidRPr="00A473B4" w14:paraId="7DBA8855" w14:textId="77777777" w:rsidTr="00BF73EB">
        <w:tc>
          <w:tcPr>
            <w:tcW w:w="2209" w:type="pct"/>
            <w:vAlign w:val="center"/>
          </w:tcPr>
          <w:p w14:paraId="235924BC" w14:textId="77777777" w:rsidR="00C019FB" w:rsidRDefault="00C019FB" w:rsidP="00BF73EB">
            <w:pPr>
              <w:pStyle w:val="COMTabletext"/>
            </w:pPr>
            <w:r>
              <w:t>Severe AE, n (%)</w:t>
            </w:r>
          </w:p>
          <w:p w14:paraId="2DE312CB" w14:textId="77777777" w:rsidR="00C019FB" w:rsidRPr="00A473B4" w:rsidRDefault="00C019FB" w:rsidP="00BF73EB">
            <w:pPr>
              <w:pStyle w:val="COMTabletext"/>
            </w:pPr>
            <w:r>
              <w:t>- Treatment-related AE</w:t>
            </w:r>
          </w:p>
        </w:tc>
        <w:tc>
          <w:tcPr>
            <w:tcW w:w="1395" w:type="pct"/>
          </w:tcPr>
          <w:p w14:paraId="7B54CF0F" w14:textId="77777777" w:rsidR="00C019FB" w:rsidRDefault="00C019FB" w:rsidP="00BF73EB">
            <w:pPr>
              <w:pStyle w:val="COMTabletext"/>
              <w:jc w:val="center"/>
            </w:pPr>
            <w:r>
              <w:t>3 (4.8)</w:t>
            </w:r>
          </w:p>
          <w:p w14:paraId="7F986011" w14:textId="77777777" w:rsidR="00C019FB" w:rsidRPr="00A473B4" w:rsidRDefault="00C019FB" w:rsidP="00BF73EB">
            <w:pPr>
              <w:pStyle w:val="COMTabletext"/>
              <w:jc w:val="center"/>
            </w:pPr>
            <w:r>
              <w:t>0 (0.0)</w:t>
            </w:r>
          </w:p>
        </w:tc>
        <w:tc>
          <w:tcPr>
            <w:tcW w:w="1396" w:type="pct"/>
          </w:tcPr>
          <w:p w14:paraId="13AA627E" w14:textId="77777777" w:rsidR="00C019FB" w:rsidRDefault="00C019FB" w:rsidP="00BF73EB">
            <w:pPr>
              <w:pStyle w:val="COMTabletext"/>
              <w:jc w:val="center"/>
            </w:pPr>
            <w:r>
              <w:t>3 (8.6)</w:t>
            </w:r>
          </w:p>
          <w:p w14:paraId="0A91280F" w14:textId="77777777" w:rsidR="00C019FB" w:rsidRPr="00A473B4" w:rsidRDefault="00C019FB" w:rsidP="00BF73EB">
            <w:pPr>
              <w:pStyle w:val="COMTabletext"/>
              <w:jc w:val="center"/>
            </w:pPr>
            <w:r>
              <w:t>0 (0.0)</w:t>
            </w:r>
          </w:p>
        </w:tc>
      </w:tr>
      <w:tr w:rsidR="00C019FB" w:rsidRPr="00A473B4" w14:paraId="6CA8695B" w14:textId="77777777" w:rsidTr="00BF73EB">
        <w:tc>
          <w:tcPr>
            <w:tcW w:w="2209" w:type="pct"/>
            <w:vAlign w:val="center"/>
          </w:tcPr>
          <w:p w14:paraId="780D309E" w14:textId="77777777" w:rsidR="00C019FB" w:rsidRDefault="00C019FB" w:rsidP="00BF73EB">
            <w:pPr>
              <w:pStyle w:val="COMTabletext"/>
            </w:pPr>
            <w:r>
              <w:t>Serious AE, n (%)</w:t>
            </w:r>
          </w:p>
          <w:p w14:paraId="2D0F1476" w14:textId="77777777" w:rsidR="00C019FB" w:rsidRDefault="00C019FB" w:rsidP="00BF73EB">
            <w:pPr>
              <w:pStyle w:val="COMTabletext"/>
            </w:pPr>
            <w:r>
              <w:t>- Treatment-related AE</w:t>
            </w:r>
          </w:p>
        </w:tc>
        <w:tc>
          <w:tcPr>
            <w:tcW w:w="1395" w:type="pct"/>
          </w:tcPr>
          <w:p w14:paraId="3690BE79" w14:textId="77777777" w:rsidR="00C019FB" w:rsidRDefault="00C019FB" w:rsidP="00BF73EB">
            <w:pPr>
              <w:pStyle w:val="COMTabletext"/>
              <w:jc w:val="center"/>
            </w:pPr>
            <w:r>
              <w:t>6 (9.7)</w:t>
            </w:r>
          </w:p>
          <w:p w14:paraId="69E7E5FF" w14:textId="77777777" w:rsidR="00C019FB" w:rsidRPr="00A473B4" w:rsidRDefault="00C019FB" w:rsidP="00BF73EB">
            <w:pPr>
              <w:pStyle w:val="COMTabletext"/>
              <w:jc w:val="center"/>
            </w:pPr>
            <w:r>
              <w:t>1 (1.6)</w:t>
            </w:r>
          </w:p>
        </w:tc>
        <w:tc>
          <w:tcPr>
            <w:tcW w:w="1396" w:type="pct"/>
          </w:tcPr>
          <w:p w14:paraId="006F50C4" w14:textId="77777777" w:rsidR="00C019FB" w:rsidRDefault="00C019FB" w:rsidP="00BF73EB">
            <w:pPr>
              <w:pStyle w:val="COMTabletext"/>
              <w:jc w:val="center"/>
            </w:pPr>
            <w:r w:rsidRPr="002C74A6">
              <w:t>5 (14.</w:t>
            </w:r>
            <w:r>
              <w:t>3</w:t>
            </w:r>
            <w:r w:rsidRPr="002C74A6">
              <w:t>)</w:t>
            </w:r>
          </w:p>
          <w:p w14:paraId="497A1C9C" w14:textId="77777777" w:rsidR="00C019FB" w:rsidRPr="00A473B4" w:rsidRDefault="00C019FB" w:rsidP="00BF73EB">
            <w:pPr>
              <w:pStyle w:val="COMTabletext"/>
              <w:jc w:val="center"/>
            </w:pPr>
            <w:r>
              <w:t>0 (0.0)</w:t>
            </w:r>
          </w:p>
        </w:tc>
      </w:tr>
      <w:tr w:rsidR="00C019FB" w:rsidRPr="00A473B4" w14:paraId="53B10595" w14:textId="77777777" w:rsidTr="00BF73EB">
        <w:tc>
          <w:tcPr>
            <w:tcW w:w="2209" w:type="pct"/>
            <w:vAlign w:val="center"/>
          </w:tcPr>
          <w:p w14:paraId="13DEC7D0" w14:textId="77777777" w:rsidR="00C019FB" w:rsidRDefault="00C019FB" w:rsidP="00BF73EB">
            <w:pPr>
              <w:pStyle w:val="COMTabletext"/>
            </w:pPr>
            <w:r>
              <w:t>Fatal serious AE, n (%)</w:t>
            </w:r>
          </w:p>
        </w:tc>
        <w:tc>
          <w:tcPr>
            <w:tcW w:w="1395" w:type="pct"/>
          </w:tcPr>
          <w:p w14:paraId="64A444DC" w14:textId="77777777" w:rsidR="00C019FB" w:rsidRPr="00A473B4" w:rsidRDefault="00C019FB" w:rsidP="00BF73EB">
            <w:pPr>
              <w:pStyle w:val="COMTabletext"/>
              <w:jc w:val="center"/>
            </w:pPr>
            <w:r>
              <w:t>0 (0.0)</w:t>
            </w:r>
          </w:p>
        </w:tc>
        <w:tc>
          <w:tcPr>
            <w:tcW w:w="1396" w:type="pct"/>
          </w:tcPr>
          <w:p w14:paraId="0CF2A502" w14:textId="77777777" w:rsidR="00C019FB" w:rsidRPr="00A473B4" w:rsidRDefault="00C019FB" w:rsidP="00BF73EB">
            <w:pPr>
              <w:pStyle w:val="COMTabletext"/>
              <w:jc w:val="center"/>
            </w:pPr>
            <w:r>
              <w:t>0 (0.0)</w:t>
            </w:r>
          </w:p>
        </w:tc>
      </w:tr>
      <w:tr w:rsidR="00C019FB" w:rsidRPr="00A473B4" w14:paraId="5039FA84" w14:textId="77777777" w:rsidTr="00BF73EB">
        <w:tc>
          <w:tcPr>
            <w:tcW w:w="2209" w:type="pct"/>
            <w:vAlign w:val="center"/>
          </w:tcPr>
          <w:p w14:paraId="49300663" w14:textId="77777777" w:rsidR="00C019FB" w:rsidRDefault="00C019FB" w:rsidP="00BF73EB">
            <w:pPr>
              <w:pStyle w:val="COMTabletext"/>
            </w:pPr>
            <w:r>
              <w:t>AE leading to treatment discontinuation, n (%)</w:t>
            </w:r>
          </w:p>
        </w:tc>
        <w:tc>
          <w:tcPr>
            <w:tcW w:w="1395" w:type="pct"/>
            <w:vAlign w:val="center"/>
          </w:tcPr>
          <w:p w14:paraId="5271D4F6" w14:textId="77777777" w:rsidR="00C019FB" w:rsidRPr="00A473B4" w:rsidRDefault="00C019FB" w:rsidP="00BF73EB">
            <w:pPr>
              <w:pStyle w:val="COMTabletext"/>
              <w:jc w:val="center"/>
            </w:pPr>
            <w:r>
              <w:t>0 (0.0)</w:t>
            </w:r>
          </w:p>
        </w:tc>
        <w:tc>
          <w:tcPr>
            <w:tcW w:w="1396" w:type="pct"/>
            <w:vAlign w:val="center"/>
          </w:tcPr>
          <w:p w14:paraId="7403C8C4" w14:textId="77777777" w:rsidR="00C019FB" w:rsidRPr="00A473B4" w:rsidRDefault="00C019FB" w:rsidP="00BF73EB">
            <w:pPr>
              <w:pStyle w:val="COMTabletext"/>
              <w:jc w:val="center"/>
            </w:pPr>
            <w:r>
              <w:t>0 (0.0)</w:t>
            </w:r>
          </w:p>
        </w:tc>
      </w:tr>
      <w:tr w:rsidR="00C019FB" w:rsidRPr="00A473B4" w14:paraId="68EACF56" w14:textId="77777777" w:rsidTr="00BF73EB">
        <w:tc>
          <w:tcPr>
            <w:tcW w:w="2209" w:type="pct"/>
            <w:vAlign w:val="center"/>
          </w:tcPr>
          <w:p w14:paraId="5B4C88C5" w14:textId="77777777" w:rsidR="00C019FB" w:rsidRDefault="00C019FB" w:rsidP="00BF73EB">
            <w:pPr>
              <w:pStyle w:val="COMTabletext"/>
            </w:pPr>
            <w:r>
              <w:t>AE requiring additional therapy, n (%)</w:t>
            </w:r>
          </w:p>
        </w:tc>
        <w:tc>
          <w:tcPr>
            <w:tcW w:w="1395" w:type="pct"/>
          </w:tcPr>
          <w:p w14:paraId="2227E035" w14:textId="77777777" w:rsidR="00C019FB" w:rsidRPr="00A473B4" w:rsidRDefault="00C019FB" w:rsidP="00BF73EB">
            <w:pPr>
              <w:pStyle w:val="COMTabletext"/>
              <w:jc w:val="center"/>
            </w:pPr>
            <w:r w:rsidRPr="002C74A6">
              <w:t>40 (64.5)</w:t>
            </w:r>
          </w:p>
        </w:tc>
        <w:tc>
          <w:tcPr>
            <w:tcW w:w="1396" w:type="pct"/>
          </w:tcPr>
          <w:p w14:paraId="6ED127A5" w14:textId="77777777" w:rsidR="00C019FB" w:rsidRPr="00A473B4" w:rsidRDefault="00C019FB" w:rsidP="00BF73EB">
            <w:pPr>
              <w:pStyle w:val="COMTabletext"/>
              <w:jc w:val="center"/>
            </w:pPr>
            <w:r w:rsidRPr="002C74A6">
              <w:t>18 (51.4)</w:t>
            </w:r>
          </w:p>
        </w:tc>
      </w:tr>
      <w:tr w:rsidR="00C019FB" w:rsidRPr="00A473B4" w14:paraId="70967499" w14:textId="77777777" w:rsidTr="00BF73EB">
        <w:tc>
          <w:tcPr>
            <w:tcW w:w="2209" w:type="pct"/>
            <w:vAlign w:val="center"/>
          </w:tcPr>
          <w:p w14:paraId="132113C0" w14:textId="77777777" w:rsidR="00C019FB" w:rsidRPr="00A473B4" w:rsidRDefault="00C019FB" w:rsidP="00BF73EB">
            <w:pPr>
              <w:pStyle w:val="COMTabletext"/>
            </w:pPr>
            <w:r>
              <w:t>Any AE occurring in ≥5%, n (%)</w:t>
            </w:r>
          </w:p>
        </w:tc>
        <w:tc>
          <w:tcPr>
            <w:tcW w:w="1395" w:type="pct"/>
          </w:tcPr>
          <w:p w14:paraId="76FF69BD" w14:textId="77777777" w:rsidR="00C019FB" w:rsidRPr="00A473B4" w:rsidRDefault="00C019FB" w:rsidP="00BF73EB">
            <w:pPr>
              <w:pStyle w:val="COMTabletext"/>
              <w:jc w:val="center"/>
            </w:pPr>
          </w:p>
        </w:tc>
        <w:tc>
          <w:tcPr>
            <w:tcW w:w="1396" w:type="pct"/>
          </w:tcPr>
          <w:p w14:paraId="3F887251" w14:textId="77777777" w:rsidR="00C019FB" w:rsidRPr="00A473B4" w:rsidRDefault="00C019FB" w:rsidP="00BF73EB">
            <w:pPr>
              <w:pStyle w:val="COMTabletext"/>
              <w:jc w:val="center"/>
            </w:pPr>
          </w:p>
        </w:tc>
      </w:tr>
      <w:tr w:rsidR="00C019FB" w:rsidRPr="00A473B4" w14:paraId="1500B8E6" w14:textId="77777777" w:rsidTr="00BF73EB">
        <w:tc>
          <w:tcPr>
            <w:tcW w:w="2209" w:type="pct"/>
          </w:tcPr>
          <w:p w14:paraId="5704165B" w14:textId="77777777" w:rsidR="00C019FB" w:rsidRPr="00A473B4" w:rsidRDefault="00C019FB" w:rsidP="00BF73EB">
            <w:pPr>
              <w:pStyle w:val="COMTabletext"/>
            </w:pPr>
            <w:r>
              <w:t xml:space="preserve">- </w:t>
            </w:r>
            <w:r w:rsidRPr="00F22481">
              <w:t>Headache</w:t>
            </w:r>
          </w:p>
        </w:tc>
        <w:tc>
          <w:tcPr>
            <w:tcW w:w="1395" w:type="pct"/>
          </w:tcPr>
          <w:p w14:paraId="52DA75CD" w14:textId="77777777" w:rsidR="00C019FB" w:rsidRPr="00A473B4" w:rsidRDefault="00C019FB" w:rsidP="00BF73EB">
            <w:pPr>
              <w:pStyle w:val="COMTabletext"/>
              <w:jc w:val="center"/>
            </w:pPr>
            <w:r w:rsidRPr="000E3DA9">
              <w:t>10 (16.1)</w:t>
            </w:r>
          </w:p>
        </w:tc>
        <w:tc>
          <w:tcPr>
            <w:tcW w:w="1396" w:type="pct"/>
          </w:tcPr>
          <w:p w14:paraId="21E62406" w14:textId="77777777" w:rsidR="00C019FB" w:rsidRPr="00A473B4" w:rsidRDefault="00C019FB" w:rsidP="00BF73EB">
            <w:pPr>
              <w:pStyle w:val="COMTabletext"/>
              <w:jc w:val="center"/>
            </w:pPr>
            <w:r w:rsidRPr="000E3DA9">
              <w:t>1 (2.</w:t>
            </w:r>
            <w:r>
              <w:t>9</w:t>
            </w:r>
            <w:r w:rsidRPr="000E3DA9">
              <w:t>)</w:t>
            </w:r>
          </w:p>
        </w:tc>
      </w:tr>
      <w:tr w:rsidR="00C019FB" w:rsidRPr="00A473B4" w14:paraId="36FEDE34" w14:textId="77777777" w:rsidTr="00BF73EB">
        <w:tc>
          <w:tcPr>
            <w:tcW w:w="2209" w:type="pct"/>
          </w:tcPr>
          <w:p w14:paraId="57C2044E" w14:textId="77777777" w:rsidR="00C019FB" w:rsidRPr="00A473B4" w:rsidRDefault="00C019FB" w:rsidP="00BF73EB">
            <w:pPr>
              <w:pStyle w:val="COMTabletext"/>
            </w:pPr>
            <w:r>
              <w:t xml:space="preserve">- </w:t>
            </w:r>
            <w:r w:rsidRPr="00F22481">
              <w:t>Diarrhoea</w:t>
            </w:r>
          </w:p>
        </w:tc>
        <w:tc>
          <w:tcPr>
            <w:tcW w:w="1395" w:type="pct"/>
          </w:tcPr>
          <w:p w14:paraId="492BF961" w14:textId="77777777" w:rsidR="00C019FB" w:rsidRPr="00A473B4" w:rsidRDefault="00C019FB" w:rsidP="00BF73EB">
            <w:pPr>
              <w:pStyle w:val="COMTabletext"/>
              <w:jc w:val="center"/>
            </w:pPr>
            <w:r w:rsidRPr="000E3DA9">
              <w:t>9 (14.5)</w:t>
            </w:r>
          </w:p>
        </w:tc>
        <w:tc>
          <w:tcPr>
            <w:tcW w:w="1396" w:type="pct"/>
          </w:tcPr>
          <w:p w14:paraId="370ADE4C" w14:textId="77777777" w:rsidR="00C019FB" w:rsidRPr="00A473B4" w:rsidRDefault="00C019FB" w:rsidP="00BF73EB">
            <w:pPr>
              <w:pStyle w:val="COMTabletext"/>
              <w:jc w:val="center"/>
            </w:pPr>
            <w:r w:rsidRPr="000E3DA9">
              <w:t>2 (5.7)</w:t>
            </w:r>
          </w:p>
        </w:tc>
      </w:tr>
      <w:tr w:rsidR="00C019FB" w:rsidRPr="00A473B4" w14:paraId="33D460E8" w14:textId="77777777" w:rsidTr="00BF73EB">
        <w:tc>
          <w:tcPr>
            <w:tcW w:w="2209" w:type="pct"/>
          </w:tcPr>
          <w:p w14:paraId="6A9F4D80" w14:textId="77777777" w:rsidR="00C019FB" w:rsidRPr="00A473B4" w:rsidRDefault="00C019FB" w:rsidP="00BF73EB">
            <w:pPr>
              <w:pStyle w:val="COMTabletext"/>
            </w:pPr>
            <w:r>
              <w:t xml:space="preserve">- </w:t>
            </w:r>
            <w:r w:rsidRPr="00F22481">
              <w:t>Nasopharyngitis</w:t>
            </w:r>
          </w:p>
        </w:tc>
        <w:tc>
          <w:tcPr>
            <w:tcW w:w="1395" w:type="pct"/>
          </w:tcPr>
          <w:p w14:paraId="7C6D14D1" w14:textId="77777777" w:rsidR="00C019FB" w:rsidRPr="00A473B4" w:rsidRDefault="00C019FB" w:rsidP="00BF73EB">
            <w:pPr>
              <w:pStyle w:val="COMTabletext"/>
              <w:jc w:val="center"/>
            </w:pPr>
            <w:r w:rsidRPr="000E3DA9">
              <w:t>7 (11.</w:t>
            </w:r>
            <w:r>
              <w:t>3</w:t>
            </w:r>
            <w:r w:rsidRPr="000E3DA9">
              <w:t>)</w:t>
            </w:r>
          </w:p>
        </w:tc>
        <w:tc>
          <w:tcPr>
            <w:tcW w:w="1396" w:type="pct"/>
          </w:tcPr>
          <w:p w14:paraId="7FC496A6" w14:textId="77777777" w:rsidR="00C019FB" w:rsidRPr="00A473B4" w:rsidRDefault="00C019FB" w:rsidP="00BF73EB">
            <w:pPr>
              <w:pStyle w:val="COMTabletext"/>
              <w:jc w:val="center"/>
            </w:pPr>
            <w:r w:rsidRPr="000E3DA9">
              <w:t>2 (5.7)</w:t>
            </w:r>
          </w:p>
        </w:tc>
      </w:tr>
      <w:tr w:rsidR="00C019FB" w:rsidRPr="00A473B4" w14:paraId="7B68C094" w14:textId="77777777" w:rsidTr="00BF73EB">
        <w:tc>
          <w:tcPr>
            <w:tcW w:w="2209" w:type="pct"/>
          </w:tcPr>
          <w:p w14:paraId="75966ED5" w14:textId="77777777" w:rsidR="00C019FB" w:rsidRPr="00A473B4" w:rsidRDefault="00C019FB" w:rsidP="00BF73EB">
            <w:pPr>
              <w:pStyle w:val="COMTabletext"/>
            </w:pPr>
            <w:r>
              <w:t xml:space="preserve">- </w:t>
            </w:r>
            <w:r w:rsidRPr="00F22481">
              <w:t>Nausea</w:t>
            </w:r>
          </w:p>
        </w:tc>
        <w:tc>
          <w:tcPr>
            <w:tcW w:w="1395" w:type="pct"/>
          </w:tcPr>
          <w:p w14:paraId="2726D751" w14:textId="77777777" w:rsidR="00C019FB" w:rsidRPr="00A473B4" w:rsidRDefault="00C019FB" w:rsidP="00BF73EB">
            <w:pPr>
              <w:pStyle w:val="COMTabletext"/>
              <w:jc w:val="center"/>
            </w:pPr>
            <w:r w:rsidRPr="000E3DA9">
              <w:t>6 (9.</w:t>
            </w:r>
            <w:r>
              <w:t>7</w:t>
            </w:r>
            <w:r w:rsidRPr="000E3DA9">
              <w:t>)</w:t>
            </w:r>
          </w:p>
        </w:tc>
        <w:tc>
          <w:tcPr>
            <w:tcW w:w="1396" w:type="pct"/>
          </w:tcPr>
          <w:p w14:paraId="181F14AC" w14:textId="77777777" w:rsidR="00C019FB" w:rsidRPr="00A473B4" w:rsidRDefault="00C019FB" w:rsidP="00BF73EB">
            <w:pPr>
              <w:pStyle w:val="COMTabletext"/>
              <w:jc w:val="center"/>
            </w:pPr>
            <w:r w:rsidRPr="000E3DA9">
              <w:t>1 (2.</w:t>
            </w:r>
            <w:r>
              <w:t>9</w:t>
            </w:r>
            <w:r w:rsidRPr="000E3DA9">
              <w:t>)</w:t>
            </w:r>
          </w:p>
        </w:tc>
      </w:tr>
      <w:tr w:rsidR="00C019FB" w:rsidRPr="00A473B4" w14:paraId="254C1A36" w14:textId="77777777" w:rsidTr="00BF73EB">
        <w:tc>
          <w:tcPr>
            <w:tcW w:w="2209" w:type="pct"/>
          </w:tcPr>
          <w:p w14:paraId="7CB0F382" w14:textId="77777777" w:rsidR="00C019FB" w:rsidRPr="00A473B4" w:rsidRDefault="00C019FB" w:rsidP="00BF73EB">
            <w:pPr>
              <w:pStyle w:val="COMTabletext"/>
            </w:pPr>
            <w:r>
              <w:t xml:space="preserve">- </w:t>
            </w:r>
            <w:r w:rsidRPr="00F22481">
              <w:t>Arthralgia</w:t>
            </w:r>
          </w:p>
        </w:tc>
        <w:tc>
          <w:tcPr>
            <w:tcW w:w="1395" w:type="pct"/>
          </w:tcPr>
          <w:p w14:paraId="2B7ACB46" w14:textId="77777777" w:rsidR="00C019FB" w:rsidRPr="00A473B4" w:rsidRDefault="00C019FB" w:rsidP="00BF73EB">
            <w:pPr>
              <w:pStyle w:val="COMTabletext"/>
              <w:jc w:val="center"/>
            </w:pPr>
            <w:r w:rsidRPr="000E3DA9">
              <w:t>5 (8.</w:t>
            </w:r>
            <w:r>
              <w:t>1</w:t>
            </w:r>
            <w:r w:rsidRPr="000E3DA9">
              <w:t>)</w:t>
            </w:r>
          </w:p>
        </w:tc>
        <w:tc>
          <w:tcPr>
            <w:tcW w:w="1396" w:type="pct"/>
          </w:tcPr>
          <w:p w14:paraId="20D4F873" w14:textId="77777777" w:rsidR="00C019FB" w:rsidRPr="00A473B4" w:rsidRDefault="00C019FB" w:rsidP="00BF73EB">
            <w:pPr>
              <w:pStyle w:val="COMTabletext"/>
              <w:jc w:val="center"/>
            </w:pPr>
            <w:r w:rsidRPr="000E3DA9">
              <w:t>1 (2.</w:t>
            </w:r>
            <w:r>
              <w:t>9</w:t>
            </w:r>
            <w:r w:rsidRPr="000E3DA9">
              <w:t>)</w:t>
            </w:r>
          </w:p>
        </w:tc>
      </w:tr>
      <w:tr w:rsidR="00C019FB" w:rsidRPr="00A473B4" w14:paraId="57EBF9DC" w14:textId="77777777" w:rsidTr="00BF73EB">
        <w:tc>
          <w:tcPr>
            <w:tcW w:w="2209" w:type="pct"/>
          </w:tcPr>
          <w:p w14:paraId="73965990" w14:textId="77777777" w:rsidR="00C019FB" w:rsidRPr="00A473B4" w:rsidRDefault="00C019FB" w:rsidP="00BF73EB">
            <w:pPr>
              <w:pStyle w:val="COMTabletext"/>
            </w:pPr>
            <w:r>
              <w:t xml:space="preserve">- </w:t>
            </w:r>
            <w:r w:rsidRPr="00F22481">
              <w:t>COVID-19</w:t>
            </w:r>
          </w:p>
        </w:tc>
        <w:tc>
          <w:tcPr>
            <w:tcW w:w="1395" w:type="pct"/>
          </w:tcPr>
          <w:p w14:paraId="69F6E23F" w14:textId="77777777" w:rsidR="00C019FB" w:rsidRPr="00A473B4" w:rsidRDefault="00C019FB" w:rsidP="00BF73EB">
            <w:pPr>
              <w:pStyle w:val="COMTabletext"/>
              <w:jc w:val="center"/>
            </w:pPr>
            <w:r w:rsidRPr="000E3DA9">
              <w:t>5 (8.</w:t>
            </w:r>
            <w:r>
              <w:t>1</w:t>
            </w:r>
            <w:r w:rsidRPr="000E3DA9">
              <w:t>)</w:t>
            </w:r>
          </w:p>
        </w:tc>
        <w:tc>
          <w:tcPr>
            <w:tcW w:w="1396" w:type="pct"/>
          </w:tcPr>
          <w:p w14:paraId="3F526B52" w14:textId="77777777" w:rsidR="00C019FB" w:rsidRPr="00A473B4" w:rsidRDefault="00C019FB" w:rsidP="00BF73EB">
            <w:pPr>
              <w:pStyle w:val="COMTabletext"/>
              <w:jc w:val="center"/>
            </w:pPr>
            <w:r w:rsidRPr="000E3DA9">
              <w:t>9 (25.7)</w:t>
            </w:r>
          </w:p>
        </w:tc>
      </w:tr>
      <w:tr w:rsidR="00C019FB" w:rsidRPr="00A473B4" w14:paraId="122ECCF8" w14:textId="77777777" w:rsidTr="00BF73EB">
        <w:tc>
          <w:tcPr>
            <w:tcW w:w="2209" w:type="pct"/>
          </w:tcPr>
          <w:p w14:paraId="12DD5B4B" w14:textId="77777777" w:rsidR="00C019FB" w:rsidRPr="00A473B4" w:rsidRDefault="00C019FB" w:rsidP="00BF73EB">
            <w:pPr>
              <w:pStyle w:val="COMTabletext"/>
            </w:pPr>
            <w:r>
              <w:t xml:space="preserve">- </w:t>
            </w:r>
            <w:r w:rsidRPr="00F22481">
              <w:t>Urinary tract infection</w:t>
            </w:r>
          </w:p>
        </w:tc>
        <w:tc>
          <w:tcPr>
            <w:tcW w:w="1395" w:type="pct"/>
          </w:tcPr>
          <w:p w14:paraId="51041513" w14:textId="77777777" w:rsidR="00C019FB" w:rsidRPr="00A473B4" w:rsidRDefault="00C019FB" w:rsidP="00BF73EB">
            <w:pPr>
              <w:pStyle w:val="COMTabletext"/>
              <w:jc w:val="center"/>
            </w:pPr>
            <w:r w:rsidRPr="000E3DA9">
              <w:t>5 (8.</w:t>
            </w:r>
            <w:r>
              <w:t>1</w:t>
            </w:r>
            <w:r w:rsidRPr="000E3DA9">
              <w:t>)</w:t>
            </w:r>
          </w:p>
        </w:tc>
        <w:tc>
          <w:tcPr>
            <w:tcW w:w="1396" w:type="pct"/>
          </w:tcPr>
          <w:p w14:paraId="24A96906" w14:textId="77777777" w:rsidR="00C019FB" w:rsidRPr="00A473B4" w:rsidRDefault="00C019FB" w:rsidP="00BF73EB">
            <w:pPr>
              <w:pStyle w:val="COMTabletext"/>
              <w:jc w:val="center"/>
            </w:pPr>
            <w:r w:rsidRPr="000E3DA9">
              <w:t>1 (2.</w:t>
            </w:r>
            <w:r>
              <w:t>9</w:t>
            </w:r>
            <w:r w:rsidRPr="000E3DA9">
              <w:t>)</w:t>
            </w:r>
          </w:p>
        </w:tc>
      </w:tr>
      <w:tr w:rsidR="00C019FB" w:rsidRPr="00A473B4" w14:paraId="22343D69" w14:textId="77777777" w:rsidTr="00BF73EB">
        <w:tc>
          <w:tcPr>
            <w:tcW w:w="2209" w:type="pct"/>
          </w:tcPr>
          <w:p w14:paraId="287A0C01" w14:textId="77777777" w:rsidR="00C019FB" w:rsidRPr="00A473B4" w:rsidRDefault="00C019FB" w:rsidP="00BF73EB">
            <w:pPr>
              <w:pStyle w:val="COMTabletext"/>
            </w:pPr>
            <w:r>
              <w:t xml:space="preserve">- </w:t>
            </w:r>
            <w:r w:rsidRPr="00F22481">
              <w:t>Abdominal pain</w:t>
            </w:r>
          </w:p>
        </w:tc>
        <w:tc>
          <w:tcPr>
            <w:tcW w:w="1395" w:type="pct"/>
          </w:tcPr>
          <w:p w14:paraId="6D2B47E5" w14:textId="77777777" w:rsidR="00C019FB" w:rsidRPr="00A473B4" w:rsidRDefault="00C019FB" w:rsidP="00BF73EB">
            <w:pPr>
              <w:pStyle w:val="COMTabletext"/>
              <w:jc w:val="center"/>
            </w:pPr>
            <w:r w:rsidRPr="000E3DA9">
              <w:t>4 (6.</w:t>
            </w:r>
            <w:r>
              <w:t>5</w:t>
            </w:r>
            <w:r w:rsidRPr="000E3DA9">
              <w:t>)</w:t>
            </w:r>
          </w:p>
        </w:tc>
        <w:tc>
          <w:tcPr>
            <w:tcW w:w="1396" w:type="pct"/>
          </w:tcPr>
          <w:p w14:paraId="30720B9C" w14:textId="77777777" w:rsidR="00C019FB" w:rsidRPr="00A473B4" w:rsidRDefault="00C019FB" w:rsidP="00BF73EB">
            <w:pPr>
              <w:pStyle w:val="COMTabletext"/>
              <w:jc w:val="center"/>
            </w:pPr>
            <w:r w:rsidRPr="000E3DA9">
              <w:t>1 (2.</w:t>
            </w:r>
            <w:r>
              <w:t>9</w:t>
            </w:r>
            <w:r w:rsidRPr="000E3DA9">
              <w:t>)</w:t>
            </w:r>
          </w:p>
        </w:tc>
      </w:tr>
      <w:tr w:rsidR="00C019FB" w:rsidRPr="00A473B4" w14:paraId="22A6B6D6" w14:textId="77777777" w:rsidTr="00BF73EB">
        <w:tc>
          <w:tcPr>
            <w:tcW w:w="2209" w:type="pct"/>
          </w:tcPr>
          <w:p w14:paraId="4924A189" w14:textId="77777777" w:rsidR="00C019FB" w:rsidRPr="00A473B4" w:rsidRDefault="00C019FB" w:rsidP="00BF73EB">
            <w:pPr>
              <w:pStyle w:val="COMTabletext"/>
            </w:pPr>
            <w:r>
              <w:t xml:space="preserve">- </w:t>
            </w:r>
            <w:r w:rsidRPr="00F22481">
              <w:t>Blood LDH increased</w:t>
            </w:r>
          </w:p>
        </w:tc>
        <w:tc>
          <w:tcPr>
            <w:tcW w:w="1395" w:type="pct"/>
          </w:tcPr>
          <w:p w14:paraId="1D55EE0C" w14:textId="77777777" w:rsidR="00C019FB" w:rsidRPr="00A473B4" w:rsidRDefault="00C019FB" w:rsidP="00BF73EB">
            <w:pPr>
              <w:pStyle w:val="COMTabletext"/>
              <w:jc w:val="center"/>
            </w:pPr>
            <w:r w:rsidRPr="000E3DA9">
              <w:t>4 (6.</w:t>
            </w:r>
            <w:r>
              <w:t>5</w:t>
            </w:r>
            <w:r w:rsidRPr="000E3DA9">
              <w:t>)</w:t>
            </w:r>
          </w:p>
        </w:tc>
        <w:tc>
          <w:tcPr>
            <w:tcW w:w="1396" w:type="pct"/>
          </w:tcPr>
          <w:p w14:paraId="0499FDB5" w14:textId="77777777" w:rsidR="00C019FB" w:rsidRPr="00A473B4" w:rsidRDefault="00C019FB" w:rsidP="00BF73EB">
            <w:pPr>
              <w:pStyle w:val="COMTabletext"/>
              <w:jc w:val="center"/>
            </w:pPr>
            <w:r w:rsidRPr="000E3DA9">
              <w:t>3 (8.</w:t>
            </w:r>
            <w:r>
              <w:t>6</w:t>
            </w:r>
            <w:r w:rsidRPr="000E3DA9">
              <w:t>)</w:t>
            </w:r>
          </w:p>
        </w:tc>
      </w:tr>
      <w:tr w:rsidR="00C019FB" w:rsidRPr="00A473B4" w14:paraId="4FD6052B" w14:textId="77777777" w:rsidTr="00BF73EB">
        <w:tc>
          <w:tcPr>
            <w:tcW w:w="2209" w:type="pct"/>
          </w:tcPr>
          <w:p w14:paraId="70C0FE6A" w14:textId="77777777" w:rsidR="00C019FB" w:rsidRPr="00A473B4" w:rsidRDefault="00C019FB" w:rsidP="00BF73EB">
            <w:pPr>
              <w:pStyle w:val="COMTabletext"/>
            </w:pPr>
            <w:r>
              <w:t xml:space="preserve">- </w:t>
            </w:r>
            <w:r w:rsidRPr="00F22481">
              <w:t>Dizziness</w:t>
            </w:r>
          </w:p>
        </w:tc>
        <w:tc>
          <w:tcPr>
            <w:tcW w:w="1395" w:type="pct"/>
          </w:tcPr>
          <w:p w14:paraId="36ED1E12" w14:textId="77777777" w:rsidR="00C019FB" w:rsidRPr="00A473B4" w:rsidRDefault="00C019FB" w:rsidP="00BF73EB">
            <w:pPr>
              <w:pStyle w:val="COMTabletext"/>
              <w:jc w:val="center"/>
            </w:pPr>
            <w:r w:rsidRPr="000E3DA9">
              <w:t>4 (6.</w:t>
            </w:r>
            <w:r>
              <w:t>5</w:t>
            </w:r>
            <w:r w:rsidRPr="000E3DA9">
              <w:t>)</w:t>
            </w:r>
          </w:p>
        </w:tc>
        <w:tc>
          <w:tcPr>
            <w:tcW w:w="1396" w:type="pct"/>
          </w:tcPr>
          <w:p w14:paraId="41A7723A" w14:textId="77777777" w:rsidR="00C019FB" w:rsidRPr="00A473B4" w:rsidRDefault="00C019FB" w:rsidP="00BF73EB">
            <w:pPr>
              <w:pStyle w:val="COMTabletext"/>
              <w:jc w:val="center"/>
            </w:pPr>
            <w:r w:rsidRPr="000E3DA9">
              <w:t>0 (0.0)</w:t>
            </w:r>
          </w:p>
        </w:tc>
      </w:tr>
      <w:tr w:rsidR="00C019FB" w:rsidRPr="00A473B4" w14:paraId="6B818EFD" w14:textId="77777777" w:rsidTr="00BF73EB">
        <w:tc>
          <w:tcPr>
            <w:tcW w:w="2209" w:type="pct"/>
          </w:tcPr>
          <w:p w14:paraId="60912440" w14:textId="77777777" w:rsidR="00C019FB" w:rsidRPr="00A473B4" w:rsidRDefault="00C019FB" w:rsidP="00BF73EB">
            <w:pPr>
              <w:pStyle w:val="COMTabletext"/>
            </w:pPr>
            <w:r>
              <w:t xml:space="preserve">- </w:t>
            </w:r>
            <w:r w:rsidRPr="00F22481">
              <w:t>Back pain</w:t>
            </w:r>
          </w:p>
        </w:tc>
        <w:tc>
          <w:tcPr>
            <w:tcW w:w="1395" w:type="pct"/>
          </w:tcPr>
          <w:p w14:paraId="3B289F17" w14:textId="77777777" w:rsidR="00C019FB" w:rsidRPr="00A473B4" w:rsidRDefault="00C019FB" w:rsidP="00BF73EB">
            <w:pPr>
              <w:pStyle w:val="COMTabletext"/>
              <w:jc w:val="center"/>
            </w:pPr>
            <w:r w:rsidRPr="000E3DA9">
              <w:t>3 (4.8)</w:t>
            </w:r>
          </w:p>
        </w:tc>
        <w:tc>
          <w:tcPr>
            <w:tcW w:w="1396" w:type="pct"/>
          </w:tcPr>
          <w:p w14:paraId="206C0827" w14:textId="77777777" w:rsidR="00C019FB" w:rsidRPr="00A473B4" w:rsidRDefault="00C019FB" w:rsidP="00BF73EB">
            <w:pPr>
              <w:pStyle w:val="COMTabletext"/>
              <w:jc w:val="center"/>
            </w:pPr>
            <w:r w:rsidRPr="000E3DA9">
              <w:t>2 (5.7)</w:t>
            </w:r>
          </w:p>
        </w:tc>
      </w:tr>
      <w:tr w:rsidR="00C019FB" w:rsidRPr="00A473B4" w14:paraId="1B4496FB" w14:textId="77777777" w:rsidTr="00BF73EB">
        <w:tc>
          <w:tcPr>
            <w:tcW w:w="2209" w:type="pct"/>
          </w:tcPr>
          <w:p w14:paraId="64578368" w14:textId="77777777" w:rsidR="00C019FB" w:rsidRPr="00A473B4" w:rsidRDefault="00C019FB" w:rsidP="00BF73EB">
            <w:pPr>
              <w:pStyle w:val="COMTabletext"/>
            </w:pPr>
            <w:r>
              <w:t xml:space="preserve">- </w:t>
            </w:r>
            <w:r w:rsidRPr="00F22481">
              <w:t>B</w:t>
            </w:r>
            <w:r>
              <w:t>reakthrough haemolysis</w:t>
            </w:r>
          </w:p>
        </w:tc>
        <w:tc>
          <w:tcPr>
            <w:tcW w:w="1395" w:type="pct"/>
          </w:tcPr>
          <w:p w14:paraId="0C592498" w14:textId="77777777" w:rsidR="00C019FB" w:rsidRPr="00A473B4" w:rsidRDefault="00C019FB" w:rsidP="00BF73EB">
            <w:pPr>
              <w:pStyle w:val="COMTabletext"/>
              <w:jc w:val="center"/>
            </w:pPr>
            <w:r w:rsidRPr="000E3DA9">
              <w:t>2 (3.2)</w:t>
            </w:r>
          </w:p>
        </w:tc>
        <w:tc>
          <w:tcPr>
            <w:tcW w:w="1396" w:type="pct"/>
          </w:tcPr>
          <w:p w14:paraId="52DD9FB4" w14:textId="77777777" w:rsidR="00C019FB" w:rsidRPr="00A473B4" w:rsidRDefault="00C019FB" w:rsidP="00BF73EB">
            <w:pPr>
              <w:pStyle w:val="COMTabletext"/>
              <w:jc w:val="center"/>
            </w:pPr>
            <w:r w:rsidRPr="000E3DA9">
              <w:t>6 (17.1)</w:t>
            </w:r>
          </w:p>
        </w:tc>
      </w:tr>
      <w:tr w:rsidR="00C019FB" w:rsidRPr="00A473B4" w14:paraId="2AED1BB5" w14:textId="77777777" w:rsidTr="00BF73EB">
        <w:tc>
          <w:tcPr>
            <w:tcW w:w="2209" w:type="pct"/>
          </w:tcPr>
          <w:p w14:paraId="3160E5D0" w14:textId="77777777" w:rsidR="00C019FB" w:rsidRPr="00A473B4" w:rsidRDefault="00C019FB" w:rsidP="00BF73EB">
            <w:pPr>
              <w:pStyle w:val="COMTabletext"/>
            </w:pPr>
            <w:r>
              <w:t xml:space="preserve">- </w:t>
            </w:r>
            <w:r w:rsidRPr="00F22481">
              <w:t>Pyrexia</w:t>
            </w:r>
          </w:p>
        </w:tc>
        <w:tc>
          <w:tcPr>
            <w:tcW w:w="1395" w:type="pct"/>
          </w:tcPr>
          <w:p w14:paraId="6D5D331A" w14:textId="77777777" w:rsidR="00C019FB" w:rsidRPr="00A473B4" w:rsidRDefault="00C019FB" w:rsidP="00BF73EB">
            <w:pPr>
              <w:pStyle w:val="COMTabletext"/>
              <w:jc w:val="center"/>
            </w:pPr>
            <w:r w:rsidRPr="000E3DA9">
              <w:t>2 (3.2)</w:t>
            </w:r>
          </w:p>
        </w:tc>
        <w:tc>
          <w:tcPr>
            <w:tcW w:w="1396" w:type="pct"/>
          </w:tcPr>
          <w:p w14:paraId="2B7E64C8" w14:textId="77777777" w:rsidR="00C019FB" w:rsidRPr="00A473B4" w:rsidRDefault="00C019FB" w:rsidP="00BF73EB">
            <w:pPr>
              <w:pStyle w:val="COMTabletext"/>
              <w:jc w:val="center"/>
            </w:pPr>
            <w:r w:rsidRPr="000E3DA9">
              <w:t>3 (8.</w:t>
            </w:r>
            <w:r>
              <w:t>6</w:t>
            </w:r>
            <w:r w:rsidRPr="000E3DA9">
              <w:t>)</w:t>
            </w:r>
          </w:p>
        </w:tc>
      </w:tr>
      <w:tr w:rsidR="00C019FB" w:rsidRPr="00A473B4" w14:paraId="5354B03F" w14:textId="77777777" w:rsidTr="00BF73EB">
        <w:tc>
          <w:tcPr>
            <w:tcW w:w="2209" w:type="pct"/>
          </w:tcPr>
          <w:p w14:paraId="654CBA6E" w14:textId="77777777" w:rsidR="00C019FB" w:rsidRPr="00A473B4" w:rsidRDefault="00C019FB" w:rsidP="00BF73EB">
            <w:pPr>
              <w:pStyle w:val="COMTabletext"/>
            </w:pPr>
            <w:r>
              <w:t xml:space="preserve">- </w:t>
            </w:r>
            <w:r w:rsidRPr="00F22481">
              <w:t>Sinusitis</w:t>
            </w:r>
          </w:p>
        </w:tc>
        <w:tc>
          <w:tcPr>
            <w:tcW w:w="1395" w:type="pct"/>
          </w:tcPr>
          <w:p w14:paraId="4B98F955" w14:textId="77777777" w:rsidR="00C019FB" w:rsidRPr="00A473B4" w:rsidRDefault="00C019FB" w:rsidP="00BF73EB">
            <w:pPr>
              <w:pStyle w:val="COMTabletext"/>
              <w:jc w:val="center"/>
            </w:pPr>
            <w:r w:rsidRPr="000E3DA9">
              <w:t>2 (3.2)</w:t>
            </w:r>
          </w:p>
        </w:tc>
        <w:tc>
          <w:tcPr>
            <w:tcW w:w="1396" w:type="pct"/>
          </w:tcPr>
          <w:p w14:paraId="46A216E2" w14:textId="77777777" w:rsidR="00C019FB" w:rsidRPr="00A473B4" w:rsidRDefault="00C019FB" w:rsidP="00BF73EB">
            <w:pPr>
              <w:pStyle w:val="COMTabletext"/>
              <w:jc w:val="center"/>
            </w:pPr>
            <w:r w:rsidRPr="000E3DA9">
              <w:t>3 (8.</w:t>
            </w:r>
            <w:r>
              <w:t>6</w:t>
            </w:r>
            <w:r w:rsidRPr="000E3DA9">
              <w:t>)</w:t>
            </w:r>
          </w:p>
        </w:tc>
      </w:tr>
      <w:tr w:rsidR="00C019FB" w:rsidRPr="00A473B4" w14:paraId="1493BF48" w14:textId="77777777" w:rsidTr="00BF73EB">
        <w:tc>
          <w:tcPr>
            <w:tcW w:w="2209" w:type="pct"/>
          </w:tcPr>
          <w:p w14:paraId="72FA3A0C" w14:textId="77777777" w:rsidR="00C019FB" w:rsidRPr="00A473B4" w:rsidRDefault="00C019FB" w:rsidP="00BF73EB">
            <w:pPr>
              <w:pStyle w:val="COMTabletext"/>
            </w:pPr>
            <w:r>
              <w:t xml:space="preserve">- </w:t>
            </w:r>
            <w:r w:rsidRPr="00F22481">
              <w:t>Upper respiratory tract infection</w:t>
            </w:r>
          </w:p>
        </w:tc>
        <w:tc>
          <w:tcPr>
            <w:tcW w:w="1395" w:type="pct"/>
          </w:tcPr>
          <w:p w14:paraId="0491E469" w14:textId="77777777" w:rsidR="00C019FB" w:rsidRPr="00A473B4" w:rsidRDefault="00C019FB" w:rsidP="00BF73EB">
            <w:pPr>
              <w:pStyle w:val="COMTabletext"/>
              <w:jc w:val="center"/>
            </w:pPr>
            <w:r w:rsidRPr="000E3DA9">
              <w:t>2 (3.2)</w:t>
            </w:r>
          </w:p>
        </w:tc>
        <w:tc>
          <w:tcPr>
            <w:tcW w:w="1396" w:type="pct"/>
          </w:tcPr>
          <w:p w14:paraId="6BF441F8" w14:textId="77777777" w:rsidR="00C019FB" w:rsidRPr="00A473B4" w:rsidRDefault="00C019FB" w:rsidP="00BF73EB">
            <w:pPr>
              <w:pStyle w:val="COMTabletext"/>
              <w:jc w:val="center"/>
            </w:pPr>
            <w:r w:rsidRPr="000E3DA9">
              <w:t>3 (8.</w:t>
            </w:r>
            <w:r>
              <w:t>6</w:t>
            </w:r>
            <w:r w:rsidRPr="000E3DA9">
              <w:t>)</w:t>
            </w:r>
          </w:p>
        </w:tc>
      </w:tr>
      <w:tr w:rsidR="00C019FB" w:rsidRPr="00A473B4" w14:paraId="4C6FAA44" w14:textId="77777777" w:rsidTr="00BF73EB">
        <w:tc>
          <w:tcPr>
            <w:tcW w:w="2209" w:type="pct"/>
          </w:tcPr>
          <w:p w14:paraId="031DEE20" w14:textId="77777777" w:rsidR="00C019FB" w:rsidRPr="00A473B4" w:rsidRDefault="00C019FB" w:rsidP="00BF73EB">
            <w:pPr>
              <w:pStyle w:val="COMTabletext"/>
            </w:pPr>
            <w:r>
              <w:t xml:space="preserve">- </w:t>
            </w:r>
            <w:r w:rsidRPr="00F22481">
              <w:t>Extravascular haemolysis</w:t>
            </w:r>
          </w:p>
        </w:tc>
        <w:tc>
          <w:tcPr>
            <w:tcW w:w="1395" w:type="pct"/>
          </w:tcPr>
          <w:p w14:paraId="2E44E13F" w14:textId="77777777" w:rsidR="00C019FB" w:rsidRPr="00A473B4" w:rsidRDefault="00C019FB" w:rsidP="00BF73EB">
            <w:pPr>
              <w:pStyle w:val="COMTabletext"/>
              <w:jc w:val="center"/>
            </w:pPr>
            <w:r w:rsidRPr="000E3DA9">
              <w:t>0 (0.0)</w:t>
            </w:r>
          </w:p>
        </w:tc>
        <w:tc>
          <w:tcPr>
            <w:tcW w:w="1396" w:type="pct"/>
          </w:tcPr>
          <w:p w14:paraId="2381FA65" w14:textId="77777777" w:rsidR="00C019FB" w:rsidRPr="00A473B4" w:rsidRDefault="00C019FB" w:rsidP="00BF73EB">
            <w:pPr>
              <w:pStyle w:val="COMTabletext"/>
              <w:jc w:val="center"/>
            </w:pPr>
            <w:r w:rsidRPr="000E3DA9">
              <w:t>2 (5.7)</w:t>
            </w:r>
          </w:p>
        </w:tc>
      </w:tr>
    </w:tbl>
    <w:p w14:paraId="72E3C7AB" w14:textId="74D38DF7" w:rsidR="00C019FB" w:rsidRDefault="00C019FB" w:rsidP="00C019FB">
      <w:pPr>
        <w:pStyle w:val="COMTablefooter"/>
      </w:pPr>
      <w:r w:rsidRPr="00A473B4">
        <w:t xml:space="preserve">Source: </w:t>
      </w:r>
      <w:r>
        <w:t>Table 2-34,; Table 2-35 of the submission; Table 12-3, pp145-146 of the APPLY-PNH clinical study report.</w:t>
      </w:r>
    </w:p>
    <w:p w14:paraId="276FEA93" w14:textId="4F6B29BC" w:rsidR="00C019FB" w:rsidRDefault="00C019FB" w:rsidP="00C019FB">
      <w:pPr>
        <w:pStyle w:val="COMexecsumnumberedpara"/>
      </w:pPr>
      <w:r>
        <w:t xml:space="preserve">The proportion </w:t>
      </w:r>
      <w:r w:rsidR="00F620CF">
        <w:t xml:space="preserve">of </w:t>
      </w:r>
      <w:r>
        <w:t xml:space="preserve">patients experiencing at least one treatment-emergent adverse event during the 24-week randomised treatment period was similar between treatment arms (82.3% in the iptacopan arm versus 80.0% in the C5 inhibitor arm). The most commonly occurring events (&gt;10% in either treatment arm) were headache (16.1% versus 2.9% in the iptacopan and C5 inhibitor arms, respectively), diarrhoea (14.5% versus 5.7%), nasopharyngitis (11.3% versus 5.7%), COVID-19 (8.1% versus 25.7%) and breakthrough haemolysis (3.2% versus 17.1%). </w:t>
      </w:r>
    </w:p>
    <w:p w14:paraId="32093206" w14:textId="77777777" w:rsidR="004C70D7" w:rsidRDefault="00C019FB" w:rsidP="00C019FB">
      <w:pPr>
        <w:pStyle w:val="COMexecsumnumberedpara"/>
      </w:pPr>
      <w:r>
        <w:t>A higher proportion of patients in the iptacopan arm experienced a treatment-related treatment-emergent adverse event. The most commonly reported events (&gt;3% in either treatment arm) were headache (6.5% and 2.9% in the iptacopan and C5 inhibitor arms, respectively), arthralgia (4.8% versus 0%), nausea (4.8% versus 2.9%), diarrhoea (3.2% versus 0%), hot flush (3.2% versus 0%) and thrombocytopenia (3.2% versus 0%).</w:t>
      </w:r>
    </w:p>
    <w:p w14:paraId="31E9F416" w14:textId="1E6F61D7" w:rsidR="00C019FB" w:rsidRDefault="004C70D7" w:rsidP="00C019FB">
      <w:pPr>
        <w:pStyle w:val="COMexecsumnumberedpara"/>
      </w:pPr>
      <w:r>
        <w:t>Serious adverse events occurred in 9.7% of patients in the iptacopan arm and 14.3% of patients in the C5 inhibitor arm. The only serious adverse event that occurred in &gt;1 patient in either treatment arm was COVID-19, occurring in 1 patient (1.6%) in the iptacopan arm and 2 patients (5.7%) in the C5 inhibitor arm. There were no fatal serious adverse events in either treatment arm.</w:t>
      </w:r>
    </w:p>
    <w:p w14:paraId="07E60A45" w14:textId="54ABE1B5" w:rsidR="00C019FB" w:rsidRDefault="004C70D7" w:rsidP="00C019FB">
      <w:pPr>
        <w:pStyle w:val="COMexecsumnumberedpara"/>
      </w:pPr>
      <w:r>
        <w:lastRenderedPageBreak/>
        <w:t>Based on the reported adverse events of special interest, t</w:t>
      </w:r>
      <w:r w:rsidRPr="004C70D7">
        <w:t>reatment with iptacopan was associated with a numerically lower incidence of serious or severe infections (3.2% versus 8.6%) and PNH haemolysis and thrombosis events (16.1% versus 28.6%), and a numerically higher incidence of decreased platelets (6.5% versus 0%) compared to the C5 inhibitor arm.</w:t>
      </w:r>
    </w:p>
    <w:p w14:paraId="7FCD44E1" w14:textId="61E9423D" w:rsidR="00337EB7" w:rsidRDefault="00337EB7" w:rsidP="00337EB7">
      <w:pPr>
        <w:pStyle w:val="COMexecsumnumberedpara"/>
      </w:pPr>
      <w:r>
        <w:t>Based on extended follow-up to 48 weeks, serious adverse events occurred in 14.5% of patients (9/62) patients randomised to iptacopan and in an additional four patients in the C5 inhibitor arm who switched to iptacopan. Overall, 13.5% of patients (13/96) who received iptacopan experienced a serious adverse event. No serious adverse event occurred in more than one patient.</w:t>
      </w:r>
    </w:p>
    <w:p w14:paraId="22D6FA0C" w14:textId="79FAF2EB" w:rsidR="00955588" w:rsidRDefault="00955588" w:rsidP="00337EB7">
      <w:pPr>
        <w:pStyle w:val="COMexecsumnumberedpara"/>
      </w:pPr>
      <w:r w:rsidRPr="00955588">
        <w:t>The submission provided the European Union safety risk management plan along with the Australian Specific Annex. Important identified risks for iptacopan include infections caused by encapsulated bacteria. Important potential risks include serious haemolysis following discontinuation of iptacopan. Missing information includes use in pregnant patients and long-term safety.</w:t>
      </w:r>
    </w:p>
    <w:p w14:paraId="4C095A00" w14:textId="6B06381A" w:rsidR="00C019FB" w:rsidRPr="00955588" w:rsidRDefault="00845B1C" w:rsidP="00E70C72">
      <w:pPr>
        <w:pStyle w:val="COMH3"/>
        <w:spacing w:after="120"/>
        <w:rPr>
          <w:sz w:val="24"/>
          <w:szCs w:val="22"/>
        </w:rPr>
      </w:pPr>
      <w:r w:rsidRPr="00955588">
        <w:rPr>
          <w:sz w:val="24"/>
          <w:szCs w:val="22"/>
        </w:rPr>
        <w:t>Bucher method indirect comparison of iptacopan versus pegcetacoplan</w:t>
      </w:r>
    </w:p>
    <w:p w14:paraId="5CE790C8" w14:textId="5ED508DD" w:rsidR="00D2214F" w:rsidRPr="004E5738" w:rsidRDefault="006350C5" w:rsidP="00845B1C">
      <w:pPr>
        <w:pStyle w:val="COMexecsumnumberedpara"/>
      </w:pPr>
      <w:r w:rsidRPr="004E5738">
        <w:t>The submission presented Bucher method indirect comparisons of s</w:t>
      </w:r>
      <w:r w:rsidR="00D2214F" w:rsidRPr="004E5738">
        <w:t xml:space="preserve">elected summary events, </w:t>
      </w:r>
      <w:r w:rsidR="004E5738" w:rsidRPr="004E5738">
        <w:t>the proportion of patients with a serious adverse event of breakthrough haemolysis</w:t>
      </w:r>
      <w:r w:rsidR="004E5738">
        <w:t xml:space="preserve">, and </w:t>
      </w:r>
      <w:r w:rsidR="00D2214F" w:rsidRPr="004E5738">
        <w:t>selected treatment-emergent adverse events occurring in &gt;5%</w:t>
      </w:r>
      <w:r w:rsidR="004E5738">
        <w:t xml:space="preserve"> of patients in the APPLY-PNH or PEGASUS trials.</w:t>
      </w:r>
    </w:p>
    <w:p w14:paraId="3B8B831D" w14:textId="6D1EF7AF" w:rsidR="00845B1C" w:rsidRDefault="006D5094" w:rsidP="00845B1C">
      <w:pPr>
        <w:pStyle w:val="COMexecsumnumberedpara"/>
      </w:pPr>
      <w:r>
        <w:fldChar w:fldCharType="begin"/>
      </w:r>
      <w:r>
        <w:instrText xml:space="preserve"> REF _Ref166448873 \h </w:instrText>
      </w:r>
      <w:r>
        <w:fldChar w:fldCharType="separate"/>
      </w:r>
      <w:r w:rsidR="002E7F91" w:rsidRPr="00A473B4">
        <w:t xml:space="preserve">Table </w:t>
      </w:r>
      <w:r w:rsidR="002E7F91">
        <w:rPr>
          <w:noProof/>
        </w:rPr>
        <w:t>11</w:t>
      </w:r>
      <w:r>
        <w:fldChar w:fldCharType="end"/>
      </w:r>
      <w:r w:rsidR="00845B1C">
        <w:t xml:space="preserve"> presents the results of the Bucher method </w:t>
      </w:r>
      <w:r w:rsidR="00845B1C" w:rsidRPr="004F4F76">
        <w:t xml:space="preserve">indirect comparison </w:t>
      </w:r>
      <w:r w:rsidR="00845B1C">
        <w:t>of iptacopan versus pegcetacoplan for</w:t>
      </w:r>
      <w:r w:rsidR="00845B1C" w:rsidRPr="008E78C2">
        <w:t xml:space="preserve"> </w:t>
      </w:r>
      <w:r w:rsidR="00845B1C">
        <w:t>selected summary adverse events (treatment-emergent adverse events, serious adverse events, treatment-emergent adverse events leading to discontinuation).</w:t>
      </w:r>
    </w:p>
    <w:p w14:paraId="7231C64D" w14:textId="5F7734E8" w:rsidR="00845B1C" w:rsidRPr="00A473B4" w:rsidRDefault="000056EE" w:rsidP="00845B1C">
      <w:pPr>
        <w:pStyle w:val="COMtablefigcaption"/>
        <w:jc w:val="both"/>
      </w:pPr>
      <w:bookmarkStart w:id="40" w:name="_Ref166448873"/>
      <w:r w:rsidRPr="00A473B4">
        <w:t xml:space="preserve">Table </w:t>
      </w:r>
      <w:r w:rsidR="00C52DBB">
        <w:fldChar w:fldCharType="begin"/>
      </w:r>
      <w:r w:rsidR="00C52DBB">
        <w:instrText xml:space="preserve"> SEQ Table \* ARABIC </w:instrText>
      </w:r>
      <w:r w:rsidR="00C52DBB">
        <w:fldChar w:fldCharType="separate"/>
      </w:r>
      <w:r w:rsidR="002E7F91">
        <w:rPr>
          <w:noProof/>
        </w:rPr>
        <w:t>11</w:t>
      </w:r>
      <w:r w:rsidR="00C52DBB">
        <w:rPr>
          <w:noProof/>
        </w:rPr>
        <w:fldChar w:fldCharType="end"/>
      </w:r>
      <w:bookmarkEnd w:id="40"/>
      <w:r w:rsidR="00845B1C" w:rsidRPr="00A473B4">
        <w:t xml:space="preserve">: Results of the indirect comparison </w:t>
      </w:r>
      <w:r w:rsidR="00845B1C">
        <w:t>for selected summary adverse events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1: Results of the indirect comparison for selected summary adverse events"/>
        <w:tblDescription w:val="Table 11: Results of the indirect comparison for selected summary adverse events"/>
      </w:tblPr>
      <w:tblGrid>
        <w:gridCol w:w="2547"/>
        <w:gridCol w:w="1987"/>
        <w:gridCol w:w="2243"/>
        <w:gridCol w:w="2240"/>
      </w:tblGrid>
      <w:tr w:rsidR="00845B1C" w:rsidRPr="00A473B4" w14:paraId="38C813DC" w14:textId="77777777" w:rsidTr="00BF73EB">
        <w:trPr>
          <w:tblHeader/>
        </w:trPr>
        <w:tc>
          <w:tcPr>
            <w:tcW w:w="1412" w:type="pct"/>
            <w:shd w:val="clear" w:color="auto" w:fill="auto"/>
            <w:vAlign w:val="center"/>
          </w:tcPr>
          <w:p w14:paraId="7A915ED9" w14:textId="77777777" w:rsidR="00845B1C" w:rsidRPr="00A473B4" w:rsidRDefault="00845B1C" w:rsidP="00BF73EB">
            <w:pPr>
              <w:pStyle w:val="COMTableheadingrow"/>
            </w:pPr>
            <w:r>
              <w:t>Adverse event</w:t>
            </w:r>
          </w:p>
        </w:tc>
        <w:tc>
          <w:tcPr>
            <w:tcW w:w="1102" w:type="pct"/>
            <w:shd w:val="clear" w:color="auto" w:fill="auto"/>
            <w:vAlign w:val="center"/>
          </w:tcPr>
          <w:p w14:paraId="35F093CF" w14:textId="77777777" w:rsidR="00845B1C" w:rsidRDefault="00845B1C" w:rsidP="00BF73EB">
            <w:pPr>
              <w:pStyle w:val="COMTableheadingrow"/>
              <w:jc w:val="center"/>
              <w:rPr>
                <w:iCs/>
              </w:rPr>
            </w:pPr>
            <w:r>
              <w:rPr>
                <w:iCs/>
              </w:rPr>
              <w:t xml:space="preserve">Iptacopan vs </w:t>
            </w:r>
          </w:p>
          <w:p w14:paraId="6963321B" w14:textId="77777777" w:rsidR="00845B1C" w:rsidRPr="004E2327" w:rsidRDefault="00845B1C" w:rsidP="00BF73EB">
            <w:pPr>
              <w:pStyle w:val="COMTableheadingrow"/>
              <w:jc w:val="center"/>
              <w:rPr>
                <w:iCs/>
              </w:rPr>
            </w:pPr>
            <w:r>
              <w:rPr>
                <w:iCs/>
              </w:rPr>
              <w:t>C5 inhibitor</w:t>
            </w:r>
          </w:p>
        </w:tc>
        <w:tc>
          <w:tcPr>
            <w:tcW w:w="1244" w:type="pct"/>
            <w:shd w:val="clear" w:color="auto" w:fill="auto"/>
            <w:vAlign w:val="center"/>
          </w:tcPr>
          <w:p w14:paraId="1D8621B5" w14:textId="77777777" w:rsidR="00845B1C" w:rsidRPr="00A473B4" w:rsidRDefault="00845B1C" w:rsidP="00BF73EB">
            <w:pPr>
              <w:pStyle w:val="COMTableheadingrow"/>
              <w:jc w:val="center"/>
            </w:pPr>
            <w:r>
              <w:t>Pegcetacoplan vs eculizumab</w:t>
            </w:r>
          </w:p>
        </w:tc>
        <w:tc>
          <w:tcPr>
            <w:tcW w:w="1242" w:type="pct"/>
            <w:shd w:val="clear" w:color="auto" w:fill="auto"/>
            <w:vAlign w:val="center"/>
          </w:tcPr>
          <w:p w14:paraId="3DC7E5CF" w14:textId="77777777" w:rsidR="00845B1C" w:rsidRPr="00A473B4" w:rsidRDefault="00845B1C" w:rsidP="00BF73EB">
            <w:pPr>
              <w:pStyle w:val="COMTableheadingrow"/>
              <w:jc w:val="center"/>
            </w:pPr>
            <w:r>
              <w:t xml:space="preserve">Indirect estimate (95% CI) </w:t>
            </w:r>
          </w:p>
        </w:tc>
      </w:tr>
      <w:tr w:rsidR="00845B1C" w:rsidRPr="00A473B4" w14:paraId="403D9F26" w14:textId="77777777" w:rsidTr="00BF73EB">
        <w:tc>
          <w:tcPr>
            <w:tcW w:w="5000" w:type="pct"/>
            <w:gridSpan w:val="4"/>
            <w:shd w:val="clear" w:color="auto" w:fill="auto"/>
            <w:vAlign w:val="center"/>
          </w:tcPr>
          <w:p w14:paraId="6EAEBAB5" w14:textId="77777777" w:rsidR="00845B1C" w:rsidRPr="00DA1F2A" w:rsidRDefault="00845B1C" w:rsidP="00BF73EB">
            <w:pPr>
              <w:pStyle w:val="COMTabletext"/>
              <w:rPr>
                <w:b/>
                <w:bCs w:val="0"/>
              </w:rPr>
            </w:pPr>
            <w:r>
              <w:rPr>
                <w:b/>
                <w:bCs w:val="0"/>
              </w:rPr>
              <w:t>Treatment-emergent AE</w:t>
            </w:r>
          </w:p>
        </w:tc>
      </w:tr>
      <w:tr w:rsidR="00845B1C" w:rsidRPr="00A473B4" w14:paraId="526C074E" w14:textId="77777777" w:rsidTr="00BF73EB">
        <w:tc>
          <w:tcPr>
            <w:tcW w:w="1412" w:type="pct"/>
            <w:shd w:val="clear" w:color="auto" w:fill="auto"/>
            <w:vAlign w:val="center"/>
          </w:tcPr>
          <w:p w14:paraId="170F5624" w14:textId="77777777" w:rsidR="00845B1C" w:rsidRDefault="00845B1C" w:rsidP="00BF73EB">
            <w:pPr>
              <w:pStyle w:val="COMTabletext"/>
            </w:pPr>
            <w:r>
              <w:t>Risk ratio (95% CI)</w:t>
            </w:r>
          </w:p>
        </w:tc>
        <w:tc>
          <w:tcPr>
            <w:tcW w:w="1102" w:type="pct"/>
            <w:shd w:val="clear" w:color="auto" w:fill="auto"/>
          </w:tcPr>
          <w:p w14:paraId="426854AE" w14:textId="77777777" w:rsidR="00845B1C" w:rsidRDefault="00845B1C" w:rsidP="00BF73EB">
            <w:pPr>
              <w:pStyle w:val="COMTabletext"/>
              <w:jc w:val="center"/>
            </w:pPr>
            <w:r w:rsidRPr="00DA1F2A">
              <w:t xml:space="preserve">1.03 </w:t>
            </w:r>
            <w:r>
              <w:t>(</w:t>
            </w:r>
            <w:r w:rsidRPr="00DA1F2A">
              <w:t>0.84, 1.26</w:t>
            </w:r>
            <w:r>
              <w:t>)</w:t>
            </w:r>
          </w:p>
        </w:tc>
        <w:tc>
          <w:tcPr>
            <w:tcW w:w="1244" w:type="pct"/>
            <w:shd w:val="clear" w:color="auto" w:fill="auto"/>
          </w:tcPr>
          <w:p w14:paraId="37857A7E" w14:textId="77777777" w:rsidR="00845B1C" w:rsidRDefault="00845B1C" w:rsidP="00BF73EB">
            <w:pPr>
              <w:pStyle w:val="COMTabletext"/>
              <w:jc w:val="center"/>
            </w:pPr>
            <w:r w:rsidRPr="00DA1F2A">
              <w:t xml:space="preserve">1.01 </w:t>
            </w:r>
            <w:r>
              <w:t>(</w:t>
            </w:r>
            <w:r w:rsidRPr="00DA1F2A">
              <w:t>0.85, 1.19</w:t>
            </w:r>
            <w:r>
              <w:t>)</w:t>
            </w:r>
          </w:p>
        </w:tc>
        <w:tc>
          <w:tcPr>
            <w:tcW w:w="1242" w:type="pct"/>
            <w:shd w:val="clear" w:color="auto" w:fill="auto"/>
            <w:vAlign w:val="center"/>
          </w:tcPr>
          <w:p w14:paraId="16B9011A" w14:textId="77777777" w:rsidR="00845B1C" w:rsidRPr="008907FB" w:rsidRDefault="00845B1C" w:rsidP="00BF73EB">
            <w:pPr>
              <w:pStyle w:val="COMTabletext"/>
              <w:jc w:val="center"/>
            </w:pPr>
            <w:r w:rsidRPr="008907FB">
              <w:t>1.02 (0.78, 1.33)</w:t>
            </w:r>
          </w:p>
        </w:tc>
      </w:tr>
      <w:tr w:rsidR="00845B1C" w:rsidRPr="00A473B4" w14:paraId="22FC92C9" w14:textId="77777777" w:rsidTr="00BF73EB">
        <w:tc>
          <w:tcPr>
            <w:tcW w:w="1412" w:type="pct"/>
            <w:shd w:val="clear" w:color="auto" w:fill="auto"/>
            <w:vAlign w:val="center"/>
          </w:tcPr>
          <w:p w14:paraId="15611268" w14:textId="77777777" w:rsidR="00845B1C" w:rsidRDefault="00845B1C" w:rsidP="00BF73EB">
            <w:pPr>
              <w:pStyle w:val="COMTabletext"/>
            </w:pPr>
            <w:r>
              <w:t>Risk difference (95% CI)</w:t>
            </w:r>
          </w:p>
        </w:tc>
        <w:tc>
          <w:tcPr>
            <w:tcW w:w="1102" w:type="pct"/>
            <w:shd w:val="clear" w:color="auto" w:fill="auto"/>
          </w:tcPr>
          <w:p w14:paraId="480BD5CE" w14:textId="77777777" w:rsidR="00845B1C" w:rsidRDefault="00845B1C" w:rsidP="00BF73EB">
            <w:pPr>
              <w:pStyle w:val="COMTabletext"/>
              <w:jc w:val="center"/>
            </w:pPr>
            <w:r w:rsidRPr="00DA1F2A">
              <w:t xml:space="preserve">0.02 </w:t>
            </w:r>
            <w:r>
              <w:t>(</w:t>
            </w:r>
            <w:r w:rsidRPr="00DA1F2A">
              <w:t>-0.14, 0.18</w:t>
            </w:r>
            <w:r>
              <w:t>)</w:t>
            </w:r>
          </w:p>
        </w:tc>
        <w:tc>
          <w:tcPr>
            <w:tcW w:w="1244" w:type="pct"/>
            <w:shd w:val="clear" w:color="auto" w:fill="auto"/>
          </w:tcPr>
          <w:p w14:paraId="09161841" w14:textId="77777777" w:rsidR="00845B1C" w:rsidRDefault="00845B1C" w:rsidP="00BF73EB">
            <w:pPr>
              <w:pStyle w:val="COMTabletext"/>
              <w:jc w:val="center"/>
            </w:pPr>
            <w:r w:rsidRPr="00DA1F2A">
              <w:t xml:space="preserve">0.01 </w:t>
            </w:r>
            <w:r>
              <w:t>(</w:t>
            </w:r>
            <w:r w:rsidRPr="00DA1F2A">
              <w:t>-0.14, 0.15</w:t>
            </w:r>
            <w:r>
              <w:t>)</w:t>
            </w:r>
          </w:p>
        </w:tc>
        <w:tc>
          <w:tcPr>
            <w:tcW w:w="1242" w:type="pct"/>
            <w:shd w:val="clear" w:color="auto" w:fill="auto"/>
            <w:vAlign w:val="center"/>
          </w:tcPr>
          <w:p w14:paraId="2FAD35FA" w14:textId="1D10F9A2" w:rsidR="00845B1C" w:rsidRPr="008907FB" w:rsidRDefault="00845B1C" w:rsidP="00BF73EB">
            <w:pPr>
              <w:pStyle w:val="COMTabletext"/>
              <w:jc w:val="center"/>
            </w:pPr>
            <w:r w:rsidRPr="008907FB">
              <w:t>0.01 (-0.2</w:t>
            </w:r>
            <w:r w:rsidR="006F7AD1">
              <w:t>1</w:t>
            </w:r>
            <w:r w:rsidRPr="008907FB">
              <w:t>, 0.2</w:t>
            </w:r>
            <w:r w:rsidR="006F7AD1">
              <w:t>3</w:t>
            </w:r>
            <w:r w:rsidRPr="008907FB">
              <w:t>)</w:t>
            </w:r>
          </w:p>
        </w:tc>
      </w:tr>
      <w:tr w:rsidR="00845B1C" w:rsidRPr="00A473B4" w14:paraId="35E3E3ED" w14:textId="77777777" w:rsidTr="00BF73EB">
        <w:tc>
          <w:tcPr>
            <w:tcW w:w="5000" w:type="pct"/>
            <w:gridSpan w:val="4"/>
            <w:shd w:val="clear" w:color="auto" w:fill="auto"/>
            <w:vAlign w:val="center"/>
          </w:tcPr>
          <w:p w14:paraId="4E97F020" w14:textId="77777777" w:rsidR="00845B1C" w:rsidRPr="00DA1F2A" w:rsidRDefault="00845B1C" w:rsidP="00BF73EB">
            <w:pPr>
              <w:pStyle w:val="COMTabletext"/>
              <w:rPr>
                <w:b/>
                <w:bCs w:val="0"/>
              </w:rPr>
            </w:pPr>
            <w:r w:rsidRPr="00DA1F2A">
              <w:rPr>
                <w:b/>
                <w:bCs w:val="0"/>
              </w:rPr>
              <w:t>Serious AE</w:t>
            </w:r>
          </w:p>
        </w:tc>
      </w:tr>
      <w:tr w:rsidR="00845B1C" w:rsidRPr="00A473B4" w14:paraId="7878E169" w14:textId="77777777" w:rsidTr="00BF73EB">
        <w:tc>
          <w:tcPr>
            <w:tcW w:w="1412" w:type="pct"/>
            <w:shd w:val="clear" w:color="auto" w:fill="auto"/>
            <w:vAlign w:val="center"/>
          </w:tcPr>
          <w:p w14:paraId="02ABCEF2" w14:textId="77777777" w:rsidR="00845B1C" w:rsidRDefault="00845B1C" w:rsidP="00BF73EB">
            <w:pPr>
              <w:pStyle w:val="COMTabletext"/>
            </w:pPr>
            <w:r>
              <w:t>Risk ratio (95% CI)</w:t>
            </w:r>
          </w:p>
        </w:tc>
        <w:tc>
          <w:tcPr>
            <w:tcW w:w="1102" w:type="pct"/>
            <w:shd w:val="clear" w:color="auto" w:fill="auto"/>
          </w:tcPr>
          <w:p w14:paraId="142ED735" w14:textId="77777777" w:rsidR="00845B1C" w:rsidRDefault="00845B1C" w:rsidP="00BF73EB">
            <w:pPr>
              <w:pStyle w:val="COMTabletext"/>
              <w:jc w:val="center"/>
            </w:pPr>
            <w:r w:rsidRPr="00147B3C">
              <w:t xml:space="preserve">0.68 </w:t>
            </w:r>
            <w:r>
              <w:t>(</w:t>
            </w:r>
            <w:r w:rsidRPr="00147B3C">
              <w:t>0.22, 2.06</w:t>
            </w:r>
            <w:r>
              <w:t>)</w:t>
            </w:r>
          </w:p>
        </w:tc>
        <w:tc>
          <w:tcPr>
            <w:tcW w:w="1244" w:type="pct"/>
            <w:shd w:val="clear" w:color="auto" w:fill="auto"/>
          </w:tcPr>
          <w:p w14:paraId="6402D60F" w14:textId="77777777" w:rsidR="00845B1C" w:rsidRDefault="00845B1C" w:rsidP="00BF73EB">
            <w:pPr>
              <w:pStyle w:val="COMTabletext"/>
              <w:jc w:val="center"/>
            </w:pPr>
            <w:r w:rsidRPr="00147B3C">
              <w:t xml:space="preserve">1.11 </w:t>
            </w:r>
            <w:r>
              <w:t>(</w:t>
            </w:r>
            <w:r w:rsidRPr="00147B3C">
              <w:t>0.41, 3.01</w:t>
            </w:r>
            <w:r>
              <w:t>)</w:t>
            </w:r>
          </w:p>
        </w:tc>
        <w:tc>
          <w:tcPr>
            <w:tcW w:w="1242" w:type="pct"/>
            <w:shd w:val="clear" w:color="auto" w:fill="auto"/>
            <w:vAlign w:val="center"/>
          </w:tcPr>
          <w:p w14:paraId="5BDAEB11" w14:textId="25C156DC" w:rsidR="00845B1C" w:rsidRPr="00147B3C" w:rsidRDefault="00845B1C" w:rsidP="00BF73EB">
            <w:pPr>
              <w:pStyle w:val="COMTabletext"/>
              <w:jc w:val="center"/>
            </w:pPr>
            <w:r w:rsidRPr="00147B3C">
              <w:t xml:space="preserve">0.61 </w:t>
            </w:r>
            <w:r>
              <w:t>(</w:t>
            </w:r>
            <w:r w:rsidRPr="00147B3C">
              <w:t>0.1</w:t>
            </w:r>
            <w:r w:rsidR="006F7AD1">
              <w:t>4</w:t>
            </w:r>
            <w:r w:rsidRPr="00147B3C">
              <w:t>, 2.74</w:t>
            </w:r>
            <w:r>
              <w:t>)</w:t>
            </w:r>
          </w:p>
        </w:tc>
      </w:tr>
      <w:tr w:rsidR="00845B1C" w:rsidRPr="00A473B4" w14:paraId="3542A787" w14:textId="77777777" w:rsidTr="00BF73EB">
        <w:tc>
          <w:tcPr>
            <w:tcW w:w="1412" w:type="pct"/>
            <w:shd w:val="clear" w:color="auto" w:fill="auto"/>
            <w:vAlign w:val="center"/>
          </w:tcPr>
          <w:p w14:paraId="506C6B1C" w14:textId="77777777" w:rsidR="00845B1C" w:rsidRDefault="00845B1C" w:rsidP="00BF73EB">
            <w:pPr>
              <w:pStyle w:val="COMTabletext"/>
            </w:pPr>
            <w:r>
              <w:t>Risk difference (95% CI)</w:t>
            </w:r>
          </w:p>
        </w:tc>
        <w:tc>
          <w:tcPr>
            <w:tcW w:w="1102" w:type="pct"/>
            <w:shd w:val="clear" w:color="auto" w:fill="auto"/>
          </w:tcPr>
          <w:p w14:paraId="6A55F5A6" w14:textId="77777777" w:rsidR="00845B1C" w:rsidRDefault="00845B1C" w:rsidP="00BF73EB">
            <w:pPr>
              <w:pStyle w:val="COMTabletext"/>
              <w:jc w:val="center"/>
            </w:pPr>
            <w:r w:rsidRPr="00147B3C">
              <w:t xml:space="preserve">-0.05 </w:t>
            </w:r>
            <w:r>
              <w:t>(</w:t>
            </w:r>
            <w:r w:rsidRPr="00147B3C">
              <w:t>-0.18, 0.09</w:t>
            </w:r>
            <w:r>
              <w:t>)</w:t>
            </w:r>
          </w:p>
        </w:tc>
        <w:tc>
          <w:tcPr>
            <w:tcW w:w="1244" w:type="pct"/>
            <w:shd w:val="clear" w:color="auto" w:fill="auto"/>
          </w:tcPr>
          <w:p w14:paraId="7EBDD165" w14:textId="77777777" w:rsidR="00845B1C" w:rsidRDefault="00845B1C" w:rsidP="00BF73EB">
            <w:pPr>
              <w:pStyle w:val="COMTabletext"/>
              <w:jc w:val="center"/>
            </w:pPr>
            <w:r w:rsidRPr="00147B3C">
              <w:t xml:space="preserve">0.02 </w:t>
            </w:r>
            <w:r>
              <w:t>(</w:t>
            </w:r>
            <w:r w:rsidRPr="00147B3C">
              <w:t>-0.14, 0.18</w:t>
            </w:r>
            <w:r>
              <w:t>)</w:t>
            </w:r>
          </w:p>
        </w:tc>
        <w:tc>
          <w:tcPr>
            <w:tcW w:w="1242" w:type="pct"/>
            <w:shd w:val="clear" w:color="auto" w:fill="auto"/>
            <w:vAlign w:val="center"/>
          </w:tcPr>
          <w:p w14:paraId="531705B4" w14:textId="67C78663" w:rsidR="00845B1C" w:rsidRPr="00147B3C" w:rsidRDefault="00845B1C" w:rsidP="00BF73EB">
            <w:pPr>
              <w:pStyle w:val="COMTabletext"/>
              <w:jc w:val="center"/>
            </w:pPr>
            <w:r w:rsidRPr="00147B3C">
              <w:t xml:space="preserve">-0.07 </w:t>
            </w:r>
            <w:r>
              <w:t>(</w:t>
            </w:r>
            <w:r w:rsidRPr="00147B3C">
              <w:t>-0.2</w:t>
            </w:r>
            <w:r w:rsidR="006F7AD1">
              <w:t>8</w:t>
            </w:r>
            <w:r w:rsidRPr="00147B3C">
              <w:t>, 0.1</w:t>
            </w:r>
            <w:r w:rsidR="006F7AD1">
              <w:t>4</w:t>
            </w:r>
            <w:r>
              <w:t>)</w:t>
            </w:r>
          </w:p>
        </w:tc>
      </w:tr>
      <w:tr w:rsidR="00845B1C" w:rsidRPr="00A473B4" w14:paraId="7D864162" w14:textId="77777777" w:rsidTr="00BF73EB">
        <w:tc>
          <w:tcPr>
            <w:tcW w:w="5000" w:type="pct"/>
            <w:gridSpan w:val="4"/>
            <w:shd w:val="clear" w:color="auto" w:fill="auto"/>
            <w:vAlign w:val="center"/>
          </w:tcPr>
          <w:p w14:paraId="5921B76A" w14:textId="77777777" w:rsidR="00845B1C" w:rsidRPr="00147B3C" w:rsidRDefault="00845B1C" w:rsidP="00BF73EB">
            <w:pPr>
              <w:pStyle w:val="COMTabletext"/>
              <w:rPr>
                <w:b/>
                <w:bCs w:val="0"/>
              </w:rPr>
            </w:pPr>
            <w:r w:rsidRPr="00147B3C">
              <w:rPr>
                <w:b/>
                <w:bCs w:val="0"/>
              </w:rPr>
              <w:t>Treatment-emergent AE leading to discontinuation</w:t>
            </w:r>
          </w:p>
        </w:tc>
      </w:tr>
      <w:tr w:rsidR="00845B1C" w:rsidRPr="00A473B4" w14:paraId="404793DD" w14:textId="77777777" w:rsidTr="00BF73EB">
        <w:tc>
          <w:tcPr>
            <w:tcW w:w="1412" w:type="pct"/>
            <w:shd w:val="clear" w:color="auto" w:fill="auto"/>
            <w:vAlign w:val="center"/>
          </w:tcPr>
          <w:p w14:paraId="228751AD" w14:textId="77777777" w:rsidR="00845B1C" w:rsidRDefault="00845B1C" w:rsidP="00BF73EB">
            <w:pPr>
              <w:pStyle w:val="COMTabletext"/>
            </w:pPr>
            <w:r>
              <w:t>Risk ratio (95% CI)</w:t>
            </w:r>
          </w:p>
        </w:tc>
        <w:tc>
          <w:tcPr>
            <w:tcW w:w="1102" w:type="pct"/>
            <w:shd w:val="clear" w:color="auto" w:fill="auto"/>
          </w:tcPr>
          <w:p w14:paraId="3C55241A" w14:textId="77777777" w:rsidR="00845B1C" w:rsidRDefault="00845B1C" w:rsidP="00BF73EB">
            <w:pPr>
              <w:pStyle w:val="COMTabletext"/>
              <w:jc w:val="center"/>
            </w:pPr>
            <w:r>
              <w:t>NE</w:t>
            </w:r>
          </w:p>
        </w:tc>
        <w:tc>
          <w:tcPr>
            <w:tcW w:w="1244" w:type="pct"/>
            <w:shd w:val="clear" w:color="auto" w:fill="auto"/>
          </w:tcPr>
          <w:p w14:paraId="2956D383" w14:textId="77777777" w:rsidR="00845B1C" w:rsidRDefault="00845B1C" w:rsidP="00BF73EB">
            <w:pPr>
              <w:pStyle w:val="COMTabletext"/>
              <w:jc w:val="center"/>
            </w:pPr>
            <w:r>
              <w:t>NE</w:t>
            </w:r>
          </w:p>
        </w:tc>
        <w:tc>
          <w:tcPr>
            <w:tcW w:w="1242" w:type="pct"/>
            <w:shd w:val="clear" w:color="auto" w:fill="auto"/>
            <w:vAlign w:val="center"/>
          </w:tcPr>
          <w:p w14:paraId="02FD08CF" w14:textId="77777777" w:rsidR="00845B1C" w:rsidRPr="00567FCE" w:rsidRDefault="00845B1C" w:rsidP="00BF73EB">
            <w:pPr>
              <w:pStyle w:val="COMTabletext"/>
              <w:jc w:val="center"/>
            </w:pPr>
            <w:r w:rsidRPr="00567FCE">
              <w:t>NE</w:t>
            </w:r>
          </w:p>
        </w:tc>
      </w:tr>
      <w:tr w:rsidR="00845B1C" w:rsidRPr="00567FCE" w14:paraId="34763E6A" w14:textId="77777777" w:rsidTr="00BF73EB">
        <w:tc>
          <w:tcPr>
            <w:tcW w:w="1412" w:type="pct"/>
            <w:shd w:val="clear" w:color="auto" w:fill="auto"/>
            <w:vAlign w:val="center"/>
          </w:tcPr>
          <w:p w14:paraId="150054A4" w14:textId="77777777" w:rsidR="00845B1C" w:rsidRDefault="00845B1C" w:rsidP="00BF73EB">
            <w:pPr>
              <w:pStyle w:val="COMTabletext"/>
            </w:pPr>
            <w:r>
              <w:t>Risk difference (95% CI)</w:t>
            </w:r>
          </w:p>
        </w:tc>
        <w:tc>
          <w:tcPr>
            <w:tcW w:w="1102" w:type="pct"/>
            <w:shd w:val="clear" w:color="auto" w:fill="auto"/>
          </w:tcPr>
          <w:p w14:paraId="48BBC968" w14:textId="77777777" w:rsidR="00845B1C" w:rsidRDefault="00845B1C" w:rsidP="00BF73EB">
            <w:pPr>
              <w:pStyle w:val="COMTabletext"/>
              <w:jc w:val="center"/>
            </w:pPr>
            <w:r>
              <w:t>0 (0, 0)</w:t>
            </w:r>
          </w:p>
        </w:tc>
        <w:tc>
          <w:tcPr>
            <w:tcW w:w="1244" w:type="pct"/>
            <w:shd w:val="clear" w:color="auto" w:fill="auto"/>
          </w:tcPr>
          <w:p w14:paraId="672A6C9A" w14:textId="77777777" w:rsidR="00845B1C" w:rsidRDefault="00845B1C" w:rsidP="00BF73EB">
            <w:pPr>
              <w:pStyle w:val="COMTabletext"/>
              <w:jc w:val="center"/>
            </w:pPr>
            <w:r w:rsidRPr="00567FCE">
              <w:t xml:space="preserve">0.07 </w:t>
            </w:r>
            <w:r>
              <w:t>(</w:t>
            </w:r>
            <w:r w:rsidRPr="00567FCE">
              <w:t>-0.01, 0.16</w:t>
            </w:r>
            <w:r>
              <w:t>)</w:t>
            </w:r>
          </w:p>
        </w:tc>
        <w:tc>
          <w:tcPr>
            <w:tcW w:w="1242" w:type="pct"/>
            <w:shd w:val="clear" w:color="auto" w:fill="auto"/>
            <w:vAlign w:val="center"/>
          </w:tcPr>
          <w:p w14:paraId="61953745" w14:textId="603C2A8E" w:rsidR="00845B1C" w:rsidRPr="00567FCE" w:rsidRDefault="00845B1C" w:rsidP="00BF73EB">
            <w:pPr>
              <w:pStyle w:val="COMTabletext"/>
              <w:jc w:val="center"/>
            </w:pPr>
            <w:r w:rsidRPr="00567FCE">
              <w:t xml:space="preserve">-0.07 </w:t>
            </w:r>
            <w:r>
              <w:t>(</w:t>
            </w:r>
            <w:r w:rsidRPr="00567FCE">
              <w:t>-0.1</w:t>
            </w:r>
            <w:r w:rsidR="00B0217D">
              <w:t>6</w:t>
            </w:r>
            <w:r w:rsidRPr="00567FCE">
              <w:t>, 0.0</w:t>
            </w:r>
            <w:r w:rsidR="00B0217D">
              <w:t>2</w:t>
            </w:r>
            <w:r>
              <w:t>)</w:t>
            </w:r>
          </w:p>
        </w:tc>
      </w:tr>
    </w:tbl>
    <w:p w14:paraId="37453503" w14:textId="72FA2434" w:rsidR="00845B1C" w:rsidRDefault="00845B1C" w:rsidP="00845B1C">
      <w:pPr>
        <w:pStyle w:val="COMTablefooter"/>
      </w:pPr>
      <w:r w:rsidRPr="00A473B4">
        <w:t xml:space="preserve">Source: </w:t>
      </w:r>
      <w:r>
        <w:t>Table 2-48, of the submission.</w:t>
      </w:r>
    </w:p>
    <w:p w14:paraId="750F7905" w14:textId="77777777" w:rsidR="00845B1C" w:rsidRDefault="00845B1C" w:rsidP="00845B1C">
      <w:pPr>
        <w:pStyle w:val="COMTablefooter"/>
      </w:pPr>
      <w:r>
        <w:t>Abbreviations: AE, adverse event; CI, confidence interval; NE, not estimable.</w:t>
      </w:r>
    </w:p>
    <w:p w14:paraId="785051A9" w14:textId="77777777" w:rsidR="00514DEC" w:rsidRPr="0025780C" w:rsidRDefault="00845B1C" w:rsidP="00514DEC">
      <w:pPr>
        <w:pStyle w:val="COMexecsumnumberedpara"/>
      </w:pPr>
      <w:r>
        <w:t xml:space="preserve">Based on the indirect comparison, there were no statistically significant differences in summary treatment-emergent adverse events, serious adverse events or treatment-emergent adverse events leading to discontinuation. </w:t>
      </w:r>
      <w:r w:rsidRPr="0025780C">
        <w:t>The safety comparisons were based on a relatively short duration of follow-up.</w:t>
      </w:r>
    </w:p>
    <w:p w14:paraId="6D8AFB0D" w14:textId="1DCC358C" w:rsidR="00514DEC" w:rsidRPr="00514DEC" w:rsidRDefault="00514DEC" w:rsidP="00514DEC">
      <w:pPr>
        <w:pStyle w:val="COMexecsumnumberedpara"/>
        <w:rPr>
          <w:i/>
          <w:iCs/>
        </w:rPr>
      </w:pPr>
      <w:r>
        <w:lastRenderedPageBreak/>
        <w:t xml:space="preserve">The submission noted that the only commonly reported serious adverse event in the APPLY-PNH and PEGASUS trials was breakthrough haemolysis. </w:t>
      </w:r>
      <w:r w:rsidR="00C62EBB">
        <w:fldChar w:fldCharType="begin"/>
      </w:r>
      <w:r w:rsidR="00C62EBB">
        <w:instrText xml:space="preserve"> REF _Ref166448887 \h </w:instrText>
      </w:r>
      <w:r w:rsidR="00C62EBB">
        <w:fldChar w:fldCharType="separate"/>
      </w:r>
      <w:r w:rsidR="002E7F91" w:rsidRPr="00A473B4">
        <w:t xml:space="preserve">Table </w:t>
      </w:r>
      <w:r w:rsidR="002E7F91">
        <w:rPr>
          <w:noProof/>
        </w:rPr>
        <w:t>12</w:t>
      </w:r>
      <w:r w:rsidR="00C62EBB">
        <w:fldChar w:fldCharType="end"/>
      </w:r>
      <w:r>
        <w:t xml:space="preserve"> presents a comparison of the occurrence of serious adverse events of breakthrough haemolysis for the APPLY-PNH and PEGASUS trials.</w:t>
      </w:r>
    </w:p>
    <w:p w14:paraId="06C237D6" w14:textId="508F5B82" w:rsidR="00514DEC" w:rsidRPr="00A473B4" w:rsidRDefault="00242EA1" w:rsidP="00514DEC">
      <w:pPr>
        <w:pStyle w:val="COMtablefigcaption"/>
        <w:jc w:val="both"/>
      </w:pPr>
      <w:bookmarkStart w:id="41" w:name="_Ref166448887"/>
      <w:r w:rsidRPr="00A473B4">
        <w:t xml:space="preserve">Table </w:t>
      </w:r>
      <w:r w:rsidR="00C52DBB">
        <w:fldChar w:fldCharType="begin"/>
      </w:r>
      <w:r w:rsidR="00C52DBB">
        <w:instrText xml:space="preserve"> SEQ Table \* ARABIC </w:instrText>
      </w:r>
      <w:r w:rsidR="00C52DBB">
        <w:fldChar w:fldCharType="separate"/>
      </w:r>
      <w:r w:rsidR="002E7F91">
        <w:rPr>
          <w:noProof/>
        </w:rPr>
        <w:t>12</w:t>
      </w:r>
      <w:r w:rsidR="00C52DBB">
        <w:rPr>
          <w:noProof/>
        </w:rPr>
        <w:fldChar w:fldCharType="end"/>
      </w:r>
      <w:bookmarkEnd w:id="41"/>
      <w:r w:rsidR="00514DEC" w:rsidRPr="00A473B4">
        <w:t xml:space="preserve">: Results of the indirect comparison </w:t>
      </w:r>
      <w:r w:rsidR="00514DEC">
        <w:t>for serious adverse events of breakthrough haemolysis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2: Results of the indirect comparison for serious adverse events of breakthrough haemolysis"/>
        <w:tblDescription w:val="Table 12: Results of the indirect comparison for serious adverse events of breakthrough haemolysis"/>
      </w:tblPr>
      <w:tblGrid>
        <w:gridCol w:w="2547"/>
        <w:gridCol w:w="1987"/>
        <w:gridCol w:w="2243"/>
        <w:gridCol w:w="2240"/>
      </w:tblGrid>
      <w:tr w:rsidR="00514DEC" w:rsidRPr="00A473B4" w14:paraId="256588DE" w14:textId="77777777" w:rsidTr="00BF73EB">
        <w:trPr>
          <w:tblHeader/>
        </w:trPr>
        <w:tc>
          <w:tcPr>
            <w:tcW w:w="1412" w:type="pct"/>
            <w:shd w:val="clear" w:color="auto" w:fill="auto"/>
            <w:vAlign w:val="center"/>
          </w:tcPr>
          <w:p w14:paraId="63E4BC18" w14:textId="77777777" w:rsidR="00514DEC" w:rsidRPr="00A473B4" w:rsidRDefault="00514DEC" w:rsidP="00BF73EB">
            <w:pPr>
              <w:pStyle w:val="COMTableheadingrow"/>
            </w:pPr>
            <w:r>
              <w:t>Adverse event</w:t>
            </w:r>
          </w:p>
        </w:tc>
        <w:tc>
          <w:tcPr>
            <w:tcW w:w="1102" w:type="pct"/>
            <w:shd w:val="clear" w:color="auto" w:fill="auto"/>
            <w:vAlign w:val="center"/>
          </w:tcPr>
          <w:p w14:paraId="5910DD21" w14:textId="77777777" w:rsidR="00514DEC" w:rsidRDefault="00514DEC" w:rsidP="00BF73EB">
            <w:pPr>
              <w:pStyle w:val="COMTableheadingrow"/>
              <w:jc w:val="center"/>
              <w:rPr>
                <w:iCs/>
              </w:rPr>
            </w:pPr>
            <w:r>
              <w:rPr>
                <w:iCs/>
              </w:rPr>
              <w:t xml:space="preserve">Iptacopan vs </w:t>
            </w:r>
          </w:p>
          <w:p w14:paraId="770010DA" w14:textId="77777777" w:rsidR="00514DEC" w:rsidRPr="004E2327" w:rsidRDefault="00514DEC" w:rsidP="00BF73EB">
            <w:pPr>
              <w:pStyle w:val="COMTableheadingrow"/>
              <w:jc w:val="center"/>
              <w:rPr>
                <w:iCs/>
              </w:rPr>
            </w:pPr>
            <w:r>
              <w:rPr>
                <w:iCs/>
              </w:rPr>
              <w:t>C5 inhibitor</w:t>
            </w:r>
          </w:p>
        </w:tc>
        <w:tc>
          <w:tcPr>
            <w:tcW w:w="1244" w:type="pct"/>
            <w:shd w:val="clear" w:color="auto" w:fill="auto"/>
            <w:vAlign w:val="center"/>
          </w:tcPr>
          <w:p w14:paraId="5893818A" w14:textId="77777777" w:rsidR="00514DEC" w:rsidRPr="00A473B4" w:rsidRDefault="00514DEC" w:rsidP="00BF73EB">
            <w:pPr>
              <w:pStyle w:val="COMTableheadingrow"/>
              <w:jc w:val="center"/>
            </w:pPr>
            <w:r>
              <w:t>Pegcetacoplan vs eculizumab</w:t>
            </w:r>
          </w:p>
        </w:tc>
        <w:tc>
          <w:tcPr>
            <w:tcW w:w="1242" w:type="pct"/>
            <w:shd w:val="clear" w:color="auto" w:fill="auto"/>
            <w:vAlign w:val="center"/>
          </w:tcPr>
          <w:p w14:paraId="2DDD7F33" w14:textId="77777777" w:rsidR="00514DEC" w:rsidRPr="00A473B4" w:rsidRDefault="00514DEC" w:rsidP="00BF73EB">
            <w:pPr>
              <w:pStyle w:val="COMTableheadingrow"/>
              <w:jc w:val="center"/>
            </w:pPr>
            <w:r>
              <w:t xml:space="preserve">Indirect estimate (95% CI) </w:t>
            </w:r>
          </w:p>
        </w:tc>
      </w:tr>
      <w:tr w:rsidR="00514DEC" w:rsidRPr="00A473B4" w14:paraId="3037EAA0" w14:textId="77777777" w:rsidTr="00BF73EB">
        <w:tc>
          <w:tcPr>
            <w:tcW w:w="1412" w:type="pct"/>
            <w:shd w:val="clear" w:color="auto" w:fill="auto"/>
            <w:vAlign w:val="center"/>
          </w:tcPr>
          <w:p w14:paraId="43406F1C" w14:textId="77777777" w:rsidR="00514DEC" w:rsidRDefault="00514DEC" w:rsidP="00BF73EB">
            <w:pPr>
              <w:pStyle w:val="COMTabletext"/>
            </w:pPr>
            <w:r>
              <w:t>Relative risk (95% CI)</w:t>
            </w:r>
          </w:p>
        </w:tc>
        <w:tc>
          <w:tcPr>
            <w:tcW w:w="1102" w:type="pct"/>
            <w:shd w:val="clear" w:color="auto" w:fill="auto"/>
          </w:tcPr>
          <w:p w14:paraId="19F3636F" w14:textId="77777777" w:rsidR="00514DEC" w:rsidRDefault="00514DEC" w:rsidP="00BF73EB">
            <w:pPr>
              <w:pStyle w:val="COMTabletext"/>
              <w:jc w:val="center"/>
            </w:pPr>
            <w:r>
              <w:t>NE</w:t>
            </w:r>
          </w:p>
        </w:tc>
        <w:tc>
          <w:tcPr>
            <w:tcW w:w="1244" w:type="pct"/>
            <w:shd w:val="clear" w:color="auto" w:fill="auto"/>
          </w:tcPr>
          <w:p w14:paraId="293A6022" w14:textId="77777777" w:rsidR="00514DEC" w:rsidRDefault="00514DEC" w:rsidP="00BF73EB">
            <w:pPr>
              <w:pStyle w:val="COMTabletext"/>
              <w:jc w:val="center"/>
            </w:pPr>
            <w:r w:rsidRPr="00126517">
              <w:t xml:space="preserve">1.9 </w:t>
            </w:r>
            <w:r>
              <w:t>(</w:t>
            </w:r>
            <w:r w:rsidRPr="00126517">
              <w:t>0.18, 20.15</w:t>
            </w:r>
            <w:r>
              <w:t>)</w:t>
            </w:r>
          </w:p>
        </w:tc>
        <w:tc>
          <w:tcPr>
            <w:tcW w:w="1242" w:type="pct"/>
            <w:shd w:val="clear" w:color="auto" w:fill="auto"/>
            <w:vAlign w:val="center"/>
          </w:tcPr>
          <w:p w14:paraId="3F86C4C7" w14:textId="77777777" w:rsidR="00514DEC" w:rsidRPr="008907FB" w:rsidRDefault="00514DEC" w:rsidP="00BF73EB">
            <w:pPr>
              <w:pStyle w:val="COMTabletext"/>
              <w:jc w:val="center"/>
            </w:pPr>
            <w:r>
              <w:t>NE</w:t>
            </w:r>
          </w:p>
        </w:tc>
      </w:tr>
      <w:tr w:rsidR="00514DEC" w:rsidRPr="00A473B4" w14:paraId="08FE6D47" w14:textId="77777777" w:rsidTr="00BF73EB">
        <w:tc>
          <w:tcPr>
            <w:tcW w:w="1412" w:type="pct"/>
            <w:shd w:val="clear" w:color="auto" w:fill="auto"/>
            <w:vAlign w:val="center"/>
          </w:tcPr>
          <w:p w14:paraId="6C30B7EA" w14:textId="77777777" w:rsidR="00514DEC" w:rsidRDefault="00514DEC" w:rsidP="00BF73EB">
            <w:pPr>
              <w:pStyle w:val="COMTabletext"/>
            </w:pPr>
            <w:r>
              <w:t>Risk difference (95% CI)</w:t>
            </w:r>
          </w:p>
        </w:tc>
        <w:tc>
          <w:tcPr>
            <w:tcW w:w="1102" w:type="pct"/>
            <w:shd w:val="clear" w:color="auto" w:fill="auto"/>
          </w:tcPr>
          <w:p w14:paraId="240C8A44" w14:textId="77777777" w:rsidR="00514DEC" w:rsidRDefault="00514DEC" w:rsidP="00BF73EB">
            <w:pPr>
              <w:pStyle w:val="COMTabletext"/>
              <w:jc w:val="center"/>
            </w:pPr>
            <w:r w:rsidRPr="00126517">
              <w:t xml:space="preserve">-0.03 </w:t>
            </w:r>
            <w:r>
              <w:t>(</w:t>
            </w:r>
            <w:r w:rsidRPr="00126517">
              <w:t>-0.07, 0.01</w:t>
            </w:r>
            <w:r>
              <w:t>)</w:t>
            </w:r>
          </w:p>
        </w:tc>
        <w:tc>
          <w:tcPr>
            <w:tcW w:w="1244" w:type="pct"/>
            <w:shd w:val="clear" w:color="auto" w:fill="auto"/>
          </w:tcPr>
          <w:p w14:paraId="102108BB" w14:textId="77777777" w:rsidR="00514DEC" w:rsidRDefault="00514DEC" w:rsidP="00BF73EB">
            <w:pPr>
              <w:pStyle w:val="COMTabletext"/>
              <w:jc w:val="center"/>
            </w:pPr>
            <w:r w:rsidRPr="00126517">
              <w:t xml:space="preserve">0.02 </w:t>
            </w:r>
            <w:r>
              <w:t>(</w:t>
            </w:r>
            <w:r w:rsidRPr="00126517">
              <w:t>-0.06, 0.11</w:t>
            </w:r>
            <w:r>
              <w:t>)</w:t>
            </w:r>
          </w:p>
        </w:tc>
        <w:tc>
          <w:tcPr>
            <w:tcW w:w="1242" w:type="pct"/>
            <w:shd w:val="clear" w:color="auto" w:fill="auto"/>
            <w:vAlign w:val="center"/>
          </w:tcPr>
          <w:p w14:paraId="5E589FFC" w14:textId="77777777" w:rsidR="00514DEC" w:rsidRPr="008907FB" w:rsidRDefault="00514DEC" w:rsidP="00BF73EB">
            <w:pPr>
              <w:pStyle w:val="COMTabletext"/>
              <w:jc w:val="center"/>
            </w:pPr>
            <w:r w:rsidRPr="00126517">
              <w:t xml:space="preserve">-0.05 </w:t>
            </w:r>
            <w:r>
              <w:t>(</w:t>
            </w:r>
            <w:r w:rsidRPr="00126517">
              <w:t>-0.144, 0.044</w:t>
            </w:r>
            <w:r>
              <w:t>)</w:t>
            </w:r>
          </w:p>
        </w:tc>
      </w:tr>
    </w:tbl>
    <w:p w14:paraId="23B2F165" w14:textId="014BD941" w:rsidR="00514DEC" w:rsidRDefault="00514DEC" w:rsidP="00514DEC">
      <w:pPr>
        <w:pStyle w:val="COMTablefooter"/>
      </w:pPr>
      <w:r w:rsidRPr="00A473B4">
        <w:t xml:space="preserve">Source: </w:t>
      </w:r>
      <w:r>
        <w:t>Table 2-51, of the submission.</w:t>
      </w:r>
    </w:p>
    <w:p w14:paraId="22E376CD" w14:textId="77777777" w:rsidR="00514DEC" w:rsidRDefault="00514DEC" w:rsidP="00514DEC">
      <w:pPr>
        <w:pStyle w:val="COMTablefooter"/>
      </w:pPr>
      <w:r>
        <w:t>Abbreviations: CI, confidence interval; NE, not estimable.</w:t>
      </w:r>
    </w:p>
    <w:p w14:paraId="0B51586A" w14:textId="7FE74126" w:rsidR="00514DEC" w:rsidRDefault="00514DEC" w:rsidP="00242EA1">
      <w:pPr>
        <w:pStyle w:val="COMexecsumnumberedpara"/>
      </w:pPr>
      <w:r w:rsidRPr="002822A0">
        <w:t>Based</w:t>
      </w:r>
      <w:r>
        <w:t xml:space="preserve"> on the indirect comparison</w:t>
      </w:r>
      <w:r w:rsidR="00277201">
        <w:t xml:space="preserve"> of serious adverse events of breakthrough haemolysis</w:t>
      </w:r>
      <w:r>
        <w:t>, there was no statistically significant difference between iptacopan and pegcetacoplan.</w:t>
      </w:r>
    </w:p>
    <w:p w14:paraId="050D1747" w14:textId="5E8882AD" w:rsidR="004E5738" w:rsidRPr="0025780C" w:rsidRDefault="004E5738" w:rsidP="00242EA1">
      <w:pPr>
        <w:pStyle w:val="COMexecsumnumberedpara"/>
      </w:pPr>
      <w:r w:rsidRPr="00365814">
        <w:t xml:space="preserve">Based on </w:t>
      </w:r>
      <w:r w:rsidR="00277201">
        <w:t xml:space="preserve">the </w:t>
      </w:r>
      <w:r w:rsidRPr="00365814">
        <w:t>indirect comparison</w:t>
      </w:r>
      <w:r w:rsidR="00277201">
        <w:t xml:space="preserve"> of</w:t>
      </w:r>
      <w:r w:rsidR="00277201" w:rsidRPr="00277201">
        <w:t xml:space="preserve"> treatment-emergent adverse events occurring in &gt;5% of patients</w:t>
      </w:r>
      <w:r w:rsidR="00277201">
        <w:t>, t</w:t>
      </w:r>
      <w:r>
        <w:t xml:space="preserve">reatment with </w:t>
      </w:r>
      <w:r w:rsidRPr="00365814">
        <w:t xml:space="preserve">iptacopan </w:t>
      </w:r>
      <w:r>
        <w:t>was associated with a nominally statistically significant increase in the proportion of patients experiencing headache (risk difference: 0.29; 95% CI: 0.088, 0.492). There was no statistically significant difference for any of the other adverse events.</w:t>
      </w:r>
      <w:r w:rsidRPr="006B39AA">
        <w:t xml:space="preserve"> </w:t>
      </w:r>
      <w:r w:rsidRPr="0025780C">
        <w:t>The submission noted that injection site reactions were the most frequently reported adverse event associated with pegcetacoplan treatment, but that these were not applicable (hence not reported) in the APPLY-PNH trial given that iptacopan is an oral treatment.</w:t>
      </w:r>
    </w:p>
    <w:p w14:paraId="2E4830BF" w14:textId="2D77043D" w:rsidR="00845B1C" w:rsidRPr="00955588" w:rsidRDefault="00845B1C" w:rsidP="00E70C72">
      <w:pPr>
        <w:pStyle w:val="COMH3"/>
        <w:spacing w:after="120"/>
        <w:rPr>
          <w:sz w:val="24"/>
          <w:szCs w:val="22"/>
        </w:rPr>
      </w:pPr>
      <w:r w:rsidRPr="00955588">
        <w:rPr>
          <w:sz w:val="24"/>
          <w:szCs w:val="22"/>
        </w:rPr>
        <w:t>Matching</w:t>
      </w:r>
      <w:r w:rsidR="002E59CA">
        <w:rPr>
          <w:sz w:val="24"/>
          <w:szCs w:val="22"/>
        </w:rPr>
        <w:t>-</w:t>
      </w:r>
      <w:r w:rsidRPr="00955588">
        <w:rPr>
          <w:sz w:val="24"/>
          <w:szCs w:val="22"/>
        </w:rPr>
        <w:t>adjusted indirect comparisons</w:t>
      </w:r>
    </w:p>
    <w:p w14:paraId="755AD060" w14:textId="3A4E171C" w:rsidR="006350C5" w:rsidRPr="006350C5" w:rsidRDefault="00CB3EA0" w:rsidP="006350C5">
      <w:pPr>
        <w:pStyle w:val="COMexecsumnumberedpara"/>
        <w:rPr>
          <w:i/>
          <w:iCs/>
        </w:rPr>
      </w:pPr>
      <w:bookmarkStart w:id="42" w:name="_Ref172287974"/>
      <w:r>
        <w:t>T</w:t>
      </w:r>
      <w:r w:rsidRPr="00CB3EA0">
        <w:t xml:space="preserve">he </w:t>
      </w:r>
      <w:r>
        <w:t xml:space="preserve">submission presented </w:t>
      </w:r>
      <w:r w:rsidR="00D32F8F">
        <w:t xml:space="preserve">MAICs comparing the </w:t>
      </w:r>
      <w:r w:rsidRPr="00CB3EA0">
        <w:t>proportion of patients who experienced a serious adverse event.</w:t>
      </w:r>
      <w:r w:rsidR="006350C5">
        <w:t xml:space="preserve"> Based on the matched and adjusted results</w:t>
      </w:r>
      <w:r w:rsidR="006350C5" w:rsidRPr="008C0420">
        <w:t xml:space="preserve"> </w:t>
      </w:r>
      <w:r w:rsidR="006350C5">
        <w:t xml:space="preserve">for the unanchored MAIC, treatment with iptacopan was associated with a lower rate of serious adverse events compared to pegcetacoplan, and the difference was nominally statistically significant (odds ratio: </w:t>
      </w:r>
      <w:r w:rsidR="006350C5" w:rsidRPr="00B9260B">
        <w:t>0.24</w:t>
      </w:r>
      <w:r w:rsidR="006350C5">
        <w:t xml:space="preserve">; </w:t>
      </w:r>
      <w:r w:rsidR="006350C5" w:rsidRPr="007F7D21">
        <w:t xml:space="preserve">95% CI: </w:t>
      </w:r>
      <w:r w:rsidR="006350C5" w:rsidRPr="00B9260B">
        <w:t>0.06, 0.98</w:t>
      </w:r>
      <w:r w:rsidR="006350C5" w:rsidRPr="007F7D21">
        <w:t>)</w:t>
      </w:r>
      <w:r w:rsidR="006350C5">
        <w:t xml:space="preserve">. </w:t>
      </w:r>
      <w:r w:rsidR="006350C5" w:rsidRPr="00921B56">
        <w:t>Based on the anchored MAIC, the odds ratio favoured iptacopan, but the difference was not statistically significant (odds ratio: 0.13; 95% CI: 0.01, 1.</w:t>
      </w:r>
      <w:r w:rsidR="006403EB" w:rsidRPr="00921B56">
        <w:t>2</w:t>
      </w:r>
      <w:r w:rsidR="006350C5" w:rsidRPr="00921B56">
        <w:t xml:space="preserve">3). The relevance of the </w:t>
      </w:r>
      <w:r w:rsidR="007248A9" w:rsidRPr="00921B56">
        <w:t>3</w:t>
      </w:r>
      <w:r w:rsidR="006350C5" w:rsidRPr="00921B56">
        <w:t xml:space="preserve"> matched </w:t>
      </w:r>
      <w:r w:rsidR="00D32F8F" w:rsidRPr="00921B56">
        <w:t xml:space="preserve">variables </w:t>
      </w:r>
      <w:r w:rsidR="006350C5" w:rsidRPr="00921B56">
        <w:t>(baseline haemoglobin, female sex, the proportion who received a blood transfusion in the prior 12 months) to the proportion of patients experiencing a serious adverse event was unclear.</w:t>
      </w:r>
      <w:bookmarkEnd w:id="42"/>
    </w:p>
    <w:p w14:paraId="04908C7F" w14:textId="415B9B7D" w:rsidR="007F1017" w:rsidRPr="00A473B4" w:rsidRDefault="007F1017" w:rsidP="00D86231">
      <w:pPr>
        <w:pStyle w:val="COMH2-non-numbered"/>
      </w:pPr>
      <w:bookmarkStart w:id="43" w:name="_Toc22897643"/>
      <w:bookmarkStart w:id="44" w:name="_Toc167262988"/>
      <w:r w:rsidRPr="00A473B4">
        <w:t>Benefits/harms</w:t>
      </w:r>
      <w:bookmarkEnd w:id="43"/>
      <w:bookmarkEnd w:id="44"/>
    </w:p>
    <w:p w14:paraId="02B9BDE3" w14:textId="1682E39E" w:rsidR="007A1345" w:rsidRPr="00A473B4" w:rsidRDefault="00311D9B" w:rsidP="00D2155B">
      <w:pPr>
        <w:pStyle w:val="COMexecsumnumberedpara"/>
      </w:pPr>
      <w:r w:rsidRPr="00A473B4">
        <w:rPr>
          <w:snapToGrid/>
          <w:lang w:val="en-US"/>
        </w:rPr>
        <w:t xml:space="preserve">A benefits and harms table </w:t>
      </w:r>
      <w:r w:rsidR="00955588">
        <w:rPr>
          <w:snapToGrid/>
          <w:lang w:val="en-US"/>
        </w:rPr>
        <w:t>was</w:t>
      </w:r>
      <w:r w:rsidRPr="00A473B4">
        <w:rPr>
          <w:snapToGrid/>
          <w:lang w:val="en-US"/>
        </w:rPr>
        <w:t xml:space="preserve"> not presented as the submission made a claim of non-inferiority.</w:t>
      </w:r>
      <w:r w:rsidR="00E926A5" w:rsidRPr="00A473B4">
        <w:rPr>
          <w:snapToGrid/>
          <w:lang w:val="en-US"/>
        </w:rPr>
        <w:t xml:space="preserve"> </w:t>
      </w:r>
    </w:p>
    <w:p w14:paraId="7A1772B6" w14:textId="23BB3145" w:rsidR="00B60939" w:rsidRPr="00A473B4" w:rsidRDefault="00B60939" w:rsidP="00E9094A">
      <w:pPr>
        <w:pStyle w:val="COMH2-non-numbered"/>
      </w:pPr>
      <w:bookmarkStart w:id="45" w:name="_Toc22897644"/>
      <w:bookmarkStart w:id="46" w:name="_Toc167262989"/>
      <w:r w:rsidRPr="00A473B4">
        <w:t>Clinical claim</w:t>
      </w:r>
      <w:bookmarkEnd w:id="45"/>
      <w:bookmarkEnd w:id="46"/>
    </w:p>
    <w:p w14:paraId="0763888F" w14:textId="77777777" w:rsidR="00D218DA" w:rsidRDefault="00D218DA" w:rsidP="00D218DA">
      <w:pPr>
        <w:pStyle w:val="COMexecsumnumberedpara"/>
      </w:pPr>
      <w:r w:rsidRPr="00A473B4">
        <w:t xml:space="preserve">The submission described </w:t>
      </w:r>
      <w:r>
        <w:t xml:space="preserve">iptacopan as non-inferior </w:t>
      </w:r>
      <w:r w:rsidRPr="00A473B4">
        <w:t xml:space="preserve">in terms of effectiveness and safety compared to </w:t>
      </w:r>
      <w:r>
        <w:t>pegcetacoplan, in</w:t>
      </w:r>
      <w:r w:rsidRPr="00F56ECF">
        <w:t xml:space="preserve"> patients with persistent anaemia despite C5 inhibitor therapy</w:t>
      </w:r>
      <w:r>
        <w:t>.</w:t>
      </w:r>
    </w:p>
    <w:p w14:paraId="36B65F21" w14:textId="24E52DE5" w:rsidR="00D218DA" w:rsidRPr="0025780C" w:rsidRDefault="00D218DA" w:rsidP="00D218DA">
      <w:pPr>
        <w:pStyle w:val="COMexecsumnumberedpara"/>
      </w:pPr>
      <w:bookmarkStart w:id="47" w:name="_Ref172280719"/>
      <w:r w:rsidRPr="0025780C">
        <w:lastRenderedPageBreak/>
        <w:t xml:space="preserve">The </w:t>
      </w:r>
      <w:r w:rsidR="00921B56">
        <w:t xml:space="preserve">evaluation considered the </w:t>
      </w:r>
      <w:r w:rsidRPr="0025780C">
        <w:t>therapeutic conclusion presented in the submission was not adequately supported.</w:t>
      </w:r>
      <w:bookmarkEnd w:id="47"/>
    </w:p>
    <w:p w14:paraId="5AC3CD1F" w14:textId="43847AD4" w:rsidR="00FB236B" w:rsidRPr="0025780C" w:rsidRDefault="00FB236B" w:rsidP="006115F0">
      <w:pPr>
        <w:pStyle w:val="COMexecsummbulletlist"/>
        <w:ind w:left="1134"/>
      </w:pPr>
      <w:r w:rsidRPr="0025780C">
        <w:t xml:space="preserve">The results of the Bucher method indirect comparisons were considered highly uncertain due to </w:t>
      </w:r>
      <w:r w:rsidR="00B231BF" w:rsidRPr="0025780C">
        <w:t>major</w:t>
      </w:r>
      <w:r w:rsidRPr="0025780C">
        <w:t xml:space="preserve"> differences between the APPLY-PNH and PEGASUS trials (including differences in common reference arm treatments, eligibility criteria, timing of outcome assessments, outcome definitions/methods of analysis, and baseline patient characteristics), which impacted the assessment of the comparative effectiveness and safety of iptacopan and pegcetacoplan. </w:t>
      </w:r>
    </w:p>
    <w:p w14:paraId="29B2B3C6" w14:textId="364BDC61" w:rsidR="001D06B2" w:rsidRDefault="00D218DA" w:rsidP="006115F0">
      <w:pPr>
        <w:pStyle w:val="COMexecsummbulletlist"/>
        <w:ind w:left="1134"/>
      </w:pPr>
      <w:r w:rsidRPr="0025780C">
        <w:t xml:space="preserve">The submission attempted to address some of the differences in eligibility criteria, timing of outcome assessments, outcome definitions/methods of analysis, and patient characteristics using MAICs. </w:t>
      </w:r>
      <w:r w:rsidR="00CE2743" w:rsidRPr="0025780C">
        <w:t xml:space="preserve">However, the effective sample size after partial alignment of trial eligibility criteria and matching for </w:t>
      </w:r>
      <w:r w:rsidR="00955588" w:rsidRPr="0025780C">
        <w:t>3</w:t>
      </w:r>
      <w:r w:rsidR="00CE2743" w:rsidRPr="0025780C">
        <w:t xml:space="preserve"> patient characteristics in the MAICs was very low, suggesting that the comparisons are unlikely to be reliable. Additionally, the effective sample size was dominated by a single patient with a large weighting (equivalent to approximately 7 patients), the status of the </w:t>
      </w:r>
      <w:r w:rsidR="00955588" w:rsidRPr="0025780C">
        <w:t>3</w:t>
      </w:r>
      <w:r w:rsidR="00CE2743" w:rsidRPr="0025780C">
        <w:t xml:space="preserve"> included variables as either treatment effect modifiers or prognostic variables (or both) was not adequately addressed in the submission, MAICs did not appear to include all relevant treatment effect modifier and prognostic variables, and no non-inferiority margins for the indirect comparisons were nominated in the submission.</w:t>
      </w:r>
    </w:p>
    <w:p w14:paraId="5695CEC1" w14:textId="2AAD4D98" w:rsidR="002F51AB" w:rsidRPr="009929EF" w:rsidRDefault="002F51AB" w:rsidP="00955588">
      <w:pPr>
        <w:pStyle w:val="COMexecsumnumberedpara"/>
      </w:pPr>
      <w:r w:rsidRPr="009929EF">
        <w:t xml:space="preserve">The ESC acknowledged that the comparative clinical evidence </w:t>
      </w:r>
      <w:r w:rsidR="0097575A" w:rsidRPr="009929EF">
        <w:t>had limitations</w:t>
      </w:r>
      <w:r w:rsidRPr="009929EF">
        <w:t xml:space="preserve"> but considered the APPLY-PNH trial showed iptacopan was an effective therapy in </w:t>
      </w:r>
      <w:r w:rsidR="00333D68" w:rsidRPr="009929EF">
        <w:t>patients</w:t>
      </w:r>
      <w:r w:rsidR="00CC08A4" w:rsidRPr="009929EF">
        <w:t xml:space="preserve"> unresponsive to C5 inhibitors</w:t>
      </w:r>
      <w:r w:rsidR="0097575A" w:rsidRPr="009929EF">
        <w:t xml:space="preserve">. The majority of the clinical outcomes used in the </w:t>
      </w:r>
      <w:r w:rsidR="00333D68" w:rsidRPr="009929EF">
        <w:t xml:space="preserve">indirect </w:t>
      </w:r>
      <w:r w:rsidR="0097575A" w:rsidRPr="009929EF">
        <w:t>comparative analyses were objective and relevant in this treatment space, with results across all the anchored analyses showing wide and overlapping confidence intervals.</w:t>
      </w:r>
      <w:r w:rsidRPr="009929EF">
        <w:t xml:space="preserve"> </w:t>
      </w:r>
      <w:r w:rsidR="0097575A" w:rsidRPr="009929EF">
        <w:t>T</w:t>
      </w:r>
      <w:r w:rsidRPr="009929EF">
        <w:t>he ESC acknowledged the transitivity concerns between the APPLY-PNH and PEGASUS trials and the remaining methodological limitations of the indirect comparisons</w:t>
      </w:r>
      <w:r w:rsidR="00CC08A4" w:rsidRPr="009929EF">
        <w:t>;</w:t>
      </w:r>
      <w:r w:rsidR="0097575A" w:rsidRPr="009929EF">
        <w:t xml:space="preserve"> </w:t>
      </w:r>
      <w:r w:rsidR="00CC08A4" w:rsidRPr="009929EF">
        <w:t>h</w:t>
      </w:r>
      <w:r w:rsidRPr="009929EF">
        <w:t>owever, in the context of this rare disease</w:t>
      </w:r>
      <w:r w:rsidR="00CC08A4" w:rsidRPr="009929EF">
        <w:t>,</w:t>
      </w:r>
      <w:r w:rsidRPr="009929EF">
        <w:t xml:space="preserve"> the ESC considered it was reasonable to accept the claim of non-inferior effectiveness given the results of the unanchored MAIC either found no significant difference between iptacopan and pegcetacoplan or reported a nominal statistically significant difference in favour of iptacopan.</w:t>
      </w:r>
    </w:p>
    <w:p w14:paraId="6B4D1621" w14:textId="0415165B" w:rsidR="00D218DA" w:rsidRPr="009929EF" w:rsidRDefault="00CC08A4" w:rsidP="00955588">
      <w:pPr>
        <w:pStyle w:val="COMexecsumnumberedpara"/>
      </w:pPr>
      <w:r w:rsidRPr="009929EF">
        <w:t>The evaluation noted</w:t>
      </w:r>
      <w:r w:rsidR="009360E7" w:rsidRPr="009929EF">
        <w:t xml:space="preserve"> the comparative clinical evidence </w:t>
      </w:r>
      <w:r w:rsidRPr="009929EF">
        <w:t xml:space="preserve">from APPLY-PNH </w:t>
      </w:r>
      <w:r w:rsidR="009360E7" w:rsidRPr="009929EF">
        <w:t>was limited to 24 weeks</w:t>
      </w:r>
      <w:r w:rsidRPr="009929EF">
        <w:t>, and as such</w:t>
      </w:r>
      <w:r w:rsidR="009360E7" w:rsidRPr="009929EF">
        <w:t xml:space="preserve"> </w:t>
      </w:r>
      <w:r w:rsidRPr="009929EF">
        <w:t>t</w:t>
      </w:r>
      <w:r w:rsidR="009360E7" w:rsidRPr="009929EF">
        <w:t>h</w:t>
      </w:r>
      <w:r w:rsidR="00216E50" w:rsidRPr="009929EF">
        <w:t>e</w:t>
      </w:r>
      <w:r w:rsidR="009360E7" w:rsidRPr="009929EF">
        <w:t xml:space="preserve"> longer-term effectiveness of </w:t>
      </w:r>
      <w:r w:rsidR="00216E50" w:rsidRPr="009929EF">
        <w:t>iptacopan treatment</w:t>
      </w:r>
      <w:r w:rsidR="009360E7" w:rsidRPr="009929EF">
        <w:t xml:space="preserve"> on the </w:t>
      </w:r>
      <w:r w:rsidR="00216E50" w:rsidRPr="009929EF">
        <w:t>incidence</w:t>
      </w:r>
      <w:r w:rsidR="009360E7" w:rsidRPr="009929EF">
        <w:t xml:space="preserve"> of breakthrough haemolysis and thrombotic events is unclear.</w:t>
      </w:r>
      <w:r w:rsidR="00921B56" w:rsidRPr="009929EF">
        <w:t xml:space="preserve"> The PSCR noted that patients in the APPLY-PNH trial entered an open label extension period to 48 weeks and stated that no serious haemolysis treatment emergent adverse events occurred with iptacopan over that period. The ESC noted that 48 weeks of evidence was provided in the final analysis. The ESC considered that, whilst</w:t>
      </w:r>
      <w:r w:rsidRPr="009929EF">
        <w:t xml:space="preserve"> the additional 24</w:t>
      </w:r>
      <w:r w:rsidR="00E70C72">
        <w:t> </w:t>
      </w:r>
      <w:r w:rsidRPr="009929EF">
        <w:t>weeks of data was not comparative and</w:t>
      </w:r>
      <w:r w:rsidR="00921B56" w:rsidRPr="009929EF">
        <w:t xml:space="preserve"> this is still relatively short for a lifetime </w:t>
      </w:r>
      <w:r w:rsidR="00921B56" w:rsidRPr="009929EF">
        <w:lastRenderedPageBreak/>
        <w:t xml:space="preserve">treatment, there was no increased incidence of breakthrough haemolysis or thrombotic events. </w:t>
      </w:r>
    </w:p>
    <w:p w14:paraId="3D2578EA" w14:textId="02C1BD21" w:rsidR="00B14AE8" w:rsidRDefault="00CC08A4" w:rsidP="00B14AE8">
      <w:pPr>
        <w:pStyle w:val="COMexecsumnumberedpara"/>
      </w:pPr>
      <w:r w:rsidRPr="009929EF">
        <w:t>The ESC noted the comparative harms presented showed similar rates of AEs between iptacopan and pegcetacoplan. Overall, the ESC agreed with the submission claim of non-inferior safety, noting the safety comparisons were based on a relatively short duration of follow-up.</w:t>
      </w:r>
    </w:p>
    <w:p w14:paraId="327301F2" w14:textId="0D5A0C5F" w:rsidR="00B14AE8" w:rsidRPr="00896F23" w:rsidRDefault="00B14AE8" w:rsidP="00B14AE8">
      <w:pPr>
        <w:widowControl w:val="0"/>
        <w:numPr>
          <w:ilvl w:val="1"/>
          <w:numId w:val="1"/>
        </w:numPr>
        <w:spacing w:after="120"/>
        <w:ind w:left="720" w:hanging="720"/>
        <w:rPr>
          <w:rFonts w:asciiTheme="minorHAnsi" w:hAnsiTheme="minorHAnsi"/>
          <w:snapToGrid w:val="0"/>
          <w:szCs w:val="20"/>
        </w:rPr>
      </w:pPr>
      <w:bookmarkStart w:id="48" w:name="_Hlk76376200"/>
      <w:r w:rsidRPr="00896F23">
        <w:rPr>
          <w:rFonts w:asciiTheme="minorHAnsi" w:hAnsiTheme="minorHAnsi"/>
          <w:iCs/>
          <w:snapToGrid w:val="0"/>
        </w:rPr>
        <w:t>The</w:t>
      </w:r>
      <w:r w:rsidRPr="00896F23">
        <w:rPr>
          <w:rFonts w:asciiTheme="minorHAnsi" w:hAnsiTheme="minorHAnsi"/>
          <w:snapToGrid w:val="0"/>
          <w:szCs w:val="20"/>
        </w:rPr>
        <w:t xml:space="preserve"> PBAC considered that the claim of non-inferior</w:t>
      </w:r>
      <w:r w:rsidR="00896F23" w:rsidRPr="00896F23">
        <w:rPr>
          <w:rFonts w:asciiTheme="minorHAnsi" w:hAnsiTheme="minorHAnsi"/>
          <w:snapToGrid w:val="0"/>
          <w:szCs w:val="20"/>
        </w:rPr>
        <w:t xml:space="preserve"> </w:t>
      </w:r>
      <w:r w:rsidRPr="00896F23">
        <w:rPr>
          <w:rFonts w:asciiTheme="minorHAnsi" w:hAnsiTheme="minorHAnsi"/>
          <w:snapToGrid w:val="0"/>
          <w:szCs w:val="20"/>
        </w:rPr>
        <w:t>comparative effectiveness was</w:t>
      </w:r>
      <w:r w:rsidR="00896F23" w:rsidRPr="00896F23">
        <w:rPr>
          <w:rFonts w:asciiTheme="minorHAnsi" w:hAnsiTheme="minorHAnsi"/>
          <w:snapToGrid w:val="0"/>
          <w:szCs w:val="20"/>
        </w:rPr>
        <w:t xml:space="preserve">  </w:t>
      </w:r>
      <w:r w:rsidRPr="00896F23">
        <w:rPr>
          <w:rFonts w:asciiTheme="minorHAnsi" w:hAnsiTheme="minorHAnsi"/>
          <w:snapToGrid w:val="0"/>
          <w:szCs w:val="20"/>
        </w:rPr>
        <w:t xml:space="preserve"> reasonable</w:t>
      </w:r>
      <w:r w:rsidR="00896F23" w:rsidRPr="00896F23">
        <w:rPr>
          <w:rFonts w:asciiTheme="minorHAnsi" w:hAnsiTheme="minorHAnsi"/>
          <w:snapToGrid w:val="0"/>
          <w:szCs w:val="20"/>
        </w:rPr>
        <w:t xml:space="preserve"> in the context of this rare disease</w:t>
      </w:r>
      <w:r w:rsidRPr="00896F23">
        <w:rPr>
          <w:rFonts w:asciiTheme="minorHAnsi" w:hAnsiTheme="minorHAnsi"/>
          <w:snapToGrid w:val="0"/>
          <w:szCs w:val="20"/>
        </w:rPr>
        <w:t>.</w:t>
      </w:r>
    </w:p>
    <w:p w14:paraId="468C074F" w14:textId="48777C3E" w:rsidR="00B14AE8" w:rsidRPr="00896F23" w:rsidRDefault="00B14AE8" w:rsidP="00B14AE8">
      <w:pPr>
        <w:widowControl w:val="0"/>
        <w:numPr>
          <w:ilvl w:val="1"/>
          <w:numId w:val="1"/>
        </w:numPr>
        <w:spacing w:after="120"/>
        <w:ind w:left="720" w:hanging="720"/>
        <w:rPr>
          <w:rFonts w:asciiTheme="minorHAnsi" w:hAnsiTheme="minorHAnsi"/>
          <w:snapToGrid w:val="0"/>
          <w:szCs w:val="20"/>
        </w:rPr>
      </w:pPr>
      <w:r w:rsidRPr="00896F23">
        <w:rPr>
          <w:rFonts w:asciiTheme="minorHAnsi" w:hAnsiTheme="minorHAnsi"/>
          <w:snapToGrid w:val="0"/>
          <w:szCs w:val="20"/>
        </w:rPr>
        <w:t>The PBAC considered that the claim of non-inferior comparative safety was reasonable</w:t>
      </w:r>
      <w:r w:rsidR="00625748">
        <w:rPr>
          <w:rFonts w:asciiTheme="minorHAnsi" w:hAnsiTheme="minorHAnsi"/>
          <w:snapToGrid w:val="0"/>
          <w:szCs w:val="20"/>
        </w:rPr>
        <w:t xml:space="preserve"> </w:t>
      </w:r>
      <w:r w:rsidR="00625748" w:rsidRPr="00896F23">
        <w:rPr>
          <w:rFonts w:asciiTheme="minorHAnsi" w:hAnsiTheme="minorHAnsi"/>
          <w:snapToGrid w:val="0"/>
          <w:szCs w:val="20"/>
        </w:rPr>
        <w:t>in the context of this rare disease</w:t>
      </w:r>
      <w:r w:rsidRPr="00896F23">
        <w:rPr>
          <w:rFonts w:asciiTheme="minorHAnsi" w:hAnsiTheme="minorHAnsi"/>
          <w:snapToGrid w:val="0"/>
          <w:szCs w:val="20"/>
        </w:rPr>
        <w:t>.</w:t>
      </w:r>
      <w:bookmarkEnd w:id="48"/>
    </w:p>
    <w:p w14:paraId="74A1172E" w14:textId="128C170E" w:rsidR="00B60939" w:rsidRPr="00A473B4" w:rsidRDefault="00B60939" w:rsidP="00E9094A">
      <w:pPr>
        <w:pStyle w:val="COMH2-non-numbered"/>
      </w:pPr>
      <w:bookmarkStart w:id="49" w:name="_Toc22897645"/>
      <w:bookmarkStart w:id="50" w:name="_Toc167262990"/>
      <w:r w:rsidRPr="00A473B4">
        <w:t>Economic analysis</w:t>
      </w:r>
      <w:bookmarkEnd w:id="49"/>
      <w:bookmarkEnd w:id="50"/>
      <w:r w:rsidR="00491B3A" w:rsidRPr="00A473B4">
        <w:t xml:space="preserve"> </w:t>
      </w:r>
    </w:p>
    <w:p w14:paraId="660A890D" w14:textId="7BCA01F3" w:rsidR="00D07351" w:rsidRPr="00C62EBB" w:rsidRDefault="00D07351" w:rsidP="00BF73EB">
      <w:pPr>
        <w:pStyle w:val="COMexecsumnumberedpara"/>
      </w:pPr>
      <w:r w:rsidRPr="00D07351">
        <w:t>The submission presented a cost-minimisation of iptacopan versus pegcetacoplan for the treatment of adults with PNH who have inadequate clinical response to C5 inhibitor treatment.</w:t>
      </w:r>
      <w:r w:rsidR="00EF2279">
        <w:t xml:space="preserve"> </w:t>
      </w:r>
      <w:r w:rsidR="00EF2279" w:rsidRPr="00EF2279">
        <w:t>Key components of the cost-minimisation approach are summarised in</w:t>
      </w:r>
      <w:r w:rsidR="00EF2279">
        <w:t xml:space="preserve"> </w:t>
      </w:r>
      <w:r w:rsidR="00C62EBB" w:rsidRPr="00C62EBB">
        <w:fldChar w:fldCharType="begin"/>
      </w:r>
      <w:r w:rsidR="00C62EBB" w:rsidRPr="00C62EBB">
        <w:instrText xml:space="preserve"> REF _Ref166448903 \h </w:instrText>
      </w:r>
      <w:r w:rsidR="00C62EBB">
        <w:instrText xml:space="preserve"> \* MERGEFORMAT </w:instrText>
      </w:r>
      <w:r w:rsidR="00C62EBB" w:rsidRPr="00C62EBB">
        <w:fldChar w:fldCharType="separate"/>
      </w:r>
      <w:r w:rsidR="002E7F91" w:rsidRPr="00A473B4">
        <w:t xml:space="preserve">Table </w:t>
      </w:r>
      <w:r w:rsidR="002E7F91">
        <w:rPr>
          <w:noProof/>
        </w:rPr>
        <w:t>13</w:t>
      </w:r>
      <w:r w:rsidR="00C62EBB" w:rsidRPr="00C62EBB">
        <w:fldChar w:fldCharType="end"/>
      </w:r>
      <w:r w:rsidR="00EF2279" w:rsidRPr="00C62EBB">
        <w:t>.</w:t>
      </w:r>
    </w:p>
    <w:p w14:paraId="572A8573" w14:textId="3D59480E" w:rsidR="00EF2279" w:rsidRPr="00A473B4" w:rsidRDefault="00242EA1" w:rsidP="00EF2279">
      <w:pPr>
        <w:pStyle w:val="COMtablefigcaption"/>
        <w:rPr>
          <w:b w:val="0"/>
        </w:rPr>
      </w:pPr>
      <w:bookmarkStart w:id="51" w:name="_Ref166448903"/>
      <w:r w:rsidRPr="00A473B4">
        <w:t xml:space="preserve">Table </w:t>
      </w:r>
      <w:r w:rsidR="00C52DBB">
        <w:fldChar w:fldCharType="begin"/>
      </w:r>
      <w:r w:rsidR="00C52DBB">
        <w:instrText xml:space="preserve"> SEQ Table \* ARABIC </w:instrText>
      </w:r>
      <w:r w:rsidR="00C52DBB">
        <w:fldChar w:fldCharType="separate"/>
      </w:r>
      <w:r w:rsidR="002E7F91">
        <w:rPr>
          <w:noProof/>
        </w:rPr>
        <w:t>13</w:t>
      </w:r>
      <w:r w:rsidR="00C52DBB">
        <w:rPr>
          <w:noProof/>
        </w:rPr>
        <w:fldChar w:fldCharType="end"/>
      </w:r>
      <w:bookmarkEnd w:id="51"/>
      <w:r w:rsidR="00EF2279" w:rsidRPr="00A473B4">
        <w:t>: Key components and assumptions of the cost-minimisation approach</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13: Key components and assumptions of the cost-minimisation approach"/>
        <w:tblDescription w:val="Table 13: Key components and assumptions of the cost-minimisation approach"/>
      </w:tblPr>
      <w:tblGrid>
        <w:gridCol w:w="2547"/>
        <w:gridCol w:w="6633"/>
      </w:tblGrid>
      <w:tr w:rsidR="00EF2279" w:rsidRPr="00A473B4" w14:paraId="25580161" w14:textId="77777777" w:rsidTr="00BF73EB">
        <w:tc>
          <w:tcPr>
            <w:tcW w:w="2547" w:type="dxa"/>
            <w:vAlign w:val="center"/>
          </w:tcPr>
          <w:p w14:paraId="154E7980" w14:textId="77777777" w:rsidR="00EF2279" w:rsidRPr="00A473B4" w:rsidRDefault="00EF2279" w:rsidP="00BF73EB">
            <w:pPr>
              <w:pStyle w:val="COMTableheadingrow"/>
            </w:pPr>
            <w:r w:rsidRPr="00A473B4">
              <w:t>Component</w:t>
            </w:r>
          </w:p>
        </w:tc>
        <w:tc>
          <w:tcPr>
            <w:tcW w:w="6633" w:type="dxa"/>
            <w:vAlign w:val="center"/>
          </w:tcPr>
          <w:p w14:paraId="7E97EC7A" w14:textId="77777777" w:rsidR="00EF2279" w:rsidRPr="00A473B4" w:rsidRDefault="00EF2279" w:rsidP="00BF73EB">
            <w:pPr>
              <w:pStyle w:val="COMTableheadingrow"/>
              <w:jc w:val="center"/>
            </w:pPr>
            <w:r w:rsidRPr="00A473B4">
              <w:t>Claim or assumption</w:t>
            </w:r>
          </w:p>
        </w:tc>
      </w:tr>
      <w:tr w:rsidR="00EF2279" w:rsidRPr="00A473B4" w14:paraId="3AA14398" w14:textId="77777777" w:rsidTr="00BF73EB">
        <w:tc>
          <w:tcPr>
            <w:tcW w:w="2547" w:type="dxa"/>
            <w:vAlign w:val="center"/>
          </w:tcPr>
          <w:p w14:paraId="3C399FDC" w14:textId="77777777" w:rsidR="00EF2279" w:rsidRPr="00A473B4" w:rsidRDefault="00EF2279" w:rsidP="00BF73EB">
            <w:pPr>
              <w:pStyle w:val="COMTabletext"/>
            </w:pPr>
            <w:r w:rsidRPr="00A473B4">
              <w:t>Therapeutic claim: effectiveness</w:t>
            </w:r>
          </w:p>
        </w:tc>
        <w:tc>
          <w:tcPr>
            <w:tcW w:w="6633" w:type="dxa"/>
            <w:vAlign w:val="center"/>
          </w:tcPr>
          <w:p w14:paraId="09B6888D" w14:textId="20211033" w:rsidR="00EF2279" w:rsidRPr="00A473B4" w:rsidRDefault="00EF2279" w:rsidP="00BF73EB">
            <w:pPr>
              <w:pStyle w:val="COMTabletext"/>
            </w:pPr>
            <w:r w:rsidRPr="00A473B4">
              <w:t xml:space="preserve">Based on evidence presented, effectiveness </w:t>
            </w:r>
            <w:r>
              <w:t>was</w:t>
            </w:r>
            <w:r w:rsidRPr="00A473B4">
              <w:t xml:space="preserve"> </w:t>
            </w:r>
            <w:r>
              <w:t>claimed</w:t>
            </w:r>
            <w:r w:rsidRPr="00A473B4">
              <w:t xml:space="preserve"> to be non-inferior</w:t>
            </w:r>
            <w:r>
              <w:t>.</w:t>
            </w:r>
          </w:p>
        </w:tc>
      </w:tr>
      <w:tr w:rsidR="00EF2279" w:rsidRPr="00A473B4" w14:paraId="0DB515C1" w14:textId="77777777" w:rsidTr="00BF73EB">
        <w:tc>
          <w:tcPr>
            <w:tcW w:w="2547" w:type="dxa"/>
            <w:vAlign w:val="center"/>
          </w:tcPr>
          <w:p w14:paraId="57AAE4CD" w14:textId="77777777" w:rsidR="00EF2279" w:rsidRPr="00A473B4" w:rsidRDefault="00EF2279" w:rsidP="00BF73EB">
            <w:pPr>
              <w:pStyle w:val="COMTabletext"/>
            </w:pPr>
            <w:r w:rsidRPr="00A473B4">
              <w:t>Therapeutic claim: safety</w:t>
            </w:r>
          </w:p>
        </w:tc>
        <w:tc>
          <w:tcPr>
            <w:tcW w:w="6633" w:type="dxa"/>
            <w:vAlign w:val="center"/>
          </w:tcPr>
          <w:p w14:paraId="52186A5B" w14:textId="69A8404A" w:rsidR="00EF2279" w:rsidRPr="00A473B4" w:rsidRDefault="00EF2279" w:rsidP="00BF73EB">
            <w:pPr>
              <w:pStyle w:val="COMTabletext"/>
            </w:pPr>
            <w:r w:rsidRPr="00A473B4">
              <w:t xml:space="preserve">Based on evidence presented, safety </w:t>
            </w:r>
            <w:r>
              <w:t>was</w:t>
            </w:r>
            <w:r w:rsidRPr="00A473B4">
              <w:t xml:space="preserve"> </w:t>
            </w:r>
            <w:r>
              <w:t>claimed</w:t>
            </w:r>
            <w:r w:rsidRPr="00A473B4">
              <w:t xml:space="preserve"> to be non</w:t>
            </w:r>
            <w:r>
              <w:t>-</w:t>
            </w:r>
            <w:r w:rsidRPr="00A473B4">
              <w:t>inferior</w:t>
            </w:r>
            <w:r>
              <w:t>.</w:t>
            </w:r>
          </w:p>
        </w:tc>
      </w:tr>
      <w:tr w:rsidR="00EF2279" w:rsidRPr="00A473B4" w14:paraId="1860C48F" w14:textId="77777777" w:rsidTr="00BF73EB">
        <w:tc>
          <w:tcPr>
            <w:tcW w:w="2547" w:type="dxa"/>
            <w:vAlign w:val="center"/>
          </w:tcPr>
          <w:p w14:paraId="771047C7" w14:textId="77777777" w:rsidR="00EF2279" w:rsidRPr="00A473B4" w:rsidRDefault="00EF2279" w:rsidP="00BF73EB">
            <w:pPr>
              <w:pStyle w:val="COMTabletext"/>
            </w:pPr>
            <w:r w:rsidRPr="00A473B4">
              <w:t>Evidence base</w:t>
            </w:r>
          </w:p>
        </w:tc>
        <w:tc>
          <w:tcPr>
            <w:tcW w:w="6633" w:type="dxa"/>
            <w:vAlign w:val="center"/>
          </w:tcPr>
          <w:p w14:paraId="469EA61D" w14:textId="77777777" w:rsidR="00EF2279" w:rsidRDefault="00EF2279" w:rsidP="00BF73EB">
            <w:pPr>
              <w:pStyle w:val="COMTabletext"/>
            </w:pPr>
            <w:r>
              <w:t xml:space="preserve">Bucher method indirect comparison of iptacopan (APPLY-PNH) versus pegcetacoplan (PEGASUS) </w:t>
            </w:r>
            <w:r w:rsidRPr="00194D1E">
              <w:t>using the trial control arms (APPLY-PNH: eculizumab or ravulizumab; PEGASUS: eculizumab) as common reference</w:t>
            </w:r>
            <w:r>
              <w:t>.</w:t>
            </w:r>
          </w:p>
          <w:p w14:paraId="4F577416" w14:textId="77777777" w:rsidR="00EF2279" w:rsidRDefault="00EF2279" w:rsidP="00BF73EB">
            <w:pPr>
              <w:pStyle w:val="COMTabletext"/>
            </w:pPr>
          </w:p>
          <w:p w14:paraId="690D49C1" w14:textId="77777777" w:rsidR="00EF2279" w:rsidRDefault="00EF2279" w:rsidP="00BF73EB">
            <w:pPr>
              <w:pStyle w:val="COMTabletext"/>
            </w:pPr>
            <w:r>
              <w:t xml:space="preserve">Anchored MAIC of iptacopan (APPLY-PNH) versus pegcetacoplan (PEGASUS) </w:t>
            </w:r>
            <w:r w:rsidRPr="00194D1E">
              <w:t>using the trial control arms (APPLY-PNH: eculizumab or ravulizumab; PEGASUS: eculizumab) as common reference</w:t>
            </w:r>
            <w:r>
              <w:t>.</w:t>
            </w:r>
          </w:p>
          <w:p w14:paraId="3DD3622E" w14:textId="77777777" w:rsidR="00EF2279" w:rsidRDefault="00EF2279" w:rsidP="00BF73EB">
            <w:pPr>
              <w:pStyle w:val="COMTabletext"/>
            </w:pPr>
          </w:p>
          <w:p w14:paraId="716A5C38" w14:textId="77777777" w:rsidR="00EF2279" w:rsidRPr="00A473B4" w:rsidRDefault="00EF2279" w:rsidP="00BF73EB">
            <w:pPr>
              <w:pStyle w:val="COMTabletext"/>
            </w:pPr>
            <w:r>
              <w:t>Unanchored MAIC of iptacopan (APPLY-PNH) versus pegcetacoplan (PEGASUS).</w:t>
            </w:r>
          </w:p>
        </w:tc>
      </w:tr>
      <w:tr w:rsidR="00EF2279" w:rsidRPr="00A473B4" w14:paraId="44F6F7C8" w14:textId="77777777" w:rsidTr="00BF73EB">
        <w:tc>
          <w:tcPr>
            <w:tcW w:w="2547" w:type="dxa"/>
            <w:vAlign w:val="center"/>
          </w:tcPr>
          <w:p w14:paraId="5361714C" w14:textId="77777777" w:rsidR="00EF2279" w:rsidRPr="00A473B4" w:rsidRDefault="00EF2279" w:rsidP="00BF73EB">
            <w:pPr>
              <w:pStyle w:val="COMTabletext"/>
            </w:pPr>
            <w:r w:rsidRPr="00A473B4">
              <w:t>Equi-effective doses</w:t>
            </w:r>
          </w:p>
        </w:tc>
        <w:tc>
          <w:tcPr>
            <w:tcW w:w="6633" w:type="dxa"/>
            <w:vAlign w:val="center"/>
          </w:tcPr>
          <w:p w14:paraId="5C445829" w14:textId="092F63E1" w:rsidR="00EF2279" w:rsidRPr="00A473B4" w:rsidRDefault="00EF2279" w:rsidP="00BF73EB">
            <w:pPr>
              <w:pStyle w:val="COMTabletext"/>
            </w:pPr>
            <w:r w:rsidRPr="00622056">
              <w:t>Iptacopan 145,600</w:t>
            </w:r>
            <w:r>
              <w:t> </w:t>
            </w:r>
            <w:r w:rsidRPr="00622056">
              <w:t xml:space="preserve">mg </w:t>
            </w:r>
            <w:r>
              <w:t>(</w:t>
            </w:r>
            <w:r w:rsidRPr="00622056">
              <w:t>200</w:t>
            </w:r>
            <w:r>
              <w:t> </w:t>
            </w:r>
            <w:r w:rsidRPr="00622056">
              <w:t xml:space="preserve">mg twice </w:t>
            </w:r>
            <w:r>
              <w:t xml:space="preserve">a day x </w:t>
            </w:r>
            <w:r w:rsidRPr="00622056">
              <w:t>13 pack</w:t>
            </w:r>
            <w:r>
              <w:t>s</w:t>
            </w:r>
            <w:r w:rsidRPr="00622056">
              <w:t xml:space="preserve"> </w:t>
            </w:r>
            <w:r>
              <w:t>per year)</w:t>
            </w:r>
            <w:r w:rsidRPr="00622056">
              <w:t xml:space="preserve"> is equivalent to pegcetacoplan 116,365</w:t>
            </w:r>
            <w:r>
              <w:t> </w:t>
            </w:r>
            <w:r w:rsidRPr="00622056">
              <w:t xml:space="preserve">mg </w:t>
            </w:r>
            <w:r>
              <w:t>(</w:t>
            </w:r>
            <w:r w:rsidRPr="00622056">
              <w:t>1</w:t>
            </w:r>
            <w:r>
              <w:t>,</w:t>
            </w:r>
            <w:r w:rsidRPr="00622056">
              <w:t>080</w:t>
            </w:r>
            <w:r w:rsidR="008A2F66">
              <w:t> </w:t>
            </w:r>
            <w:r w:rsidRPr="00622056">
              <w:t xml:space="preserve">mg </w:t>
            </w:r>
            <w:r>
              <w:t xml:space="preserve">x </w:t>
            </w:r>
            <w:r w:rsidRPr="00622056">
              <w:t>107.7 injections per year)</w:t>
            </w:r>
            <w:r>
              <w:t>.</w:t>
            </w:r>
          </w:p>
        </w:tc>
      </w:tr>
      <w:tr w:rsidR="00EF2279" w:rsidRPr="00A473B4" w14:paraId="7AE3501C" w14:textId="77777777" w:rsidTr="00BF73EB">
        <w:tc>
          <w:tcPr>
            <w:tcW w:w="2547" w:type="dxa"/>
            <w:vAlign w:val="center"/>
          </w:tcPr>
          <w:p w14:paraId="518C9A28" w14:textId="77777777" w:rsidR="00EF2279" w:rsidRPr="00A473B4" w:rsidRDefault="00EF2279" w:rsidP="00BF73EB">
            <w:pPr>
              <w:pStyle w:val="COMTabletext"/>
            </w:pPr>
            <w:r w:rsidRPr="00A473B4">
              <w:t>Direct medicine costs</w:t>
            </w:r>
          </w:p>
        </w:tc>
        <w:tc>
          <w:tcPr>
            <w:tcW w:w="6633" w:type="dxa"/>
            <w:vAlign w:val="center"/>
          </w:tcPr>
          <w:p w14:paraId="1A02DCF5" w14:textId="77777777" w:rsidR="00EF2279" w:rsidRPr="00860B4E" w:rsidRDefault="00EF2279" w:rsidP="00BF73EB">
            <w:pPr>
              <w:pStyle w:val="COMTabletext"/>
            </w:pPr>
            <w:r w:rsidRPr="00860B4E">
              <w:t xml:space="preserve">The annual cost of treatment with iptacopan </w:t>
            </w:r>
            <w:r>
              <w:t>was</w:t>
            </w:r>
            <w:r w:rsidRPr="00860B4E">
              <w:t xml:space="preserve"> assumed to be lower than pegcetacoplan, due to the inclusion of additional costs associated with </w:t>
            </w:r>
            <w:r>
              <w:t xml:space="preserve">coadministration of a </w:t>
            </w:r>
            <w:r w:rsidRPr="00860B4E">
              <w:t>C5 inhibitor (ravulizumab) during the initial 4 weeks of pegcetacoplan treatment.</w:t>
            </w:r>
          </w:p>
        </w:tc>
      </w:tr>
      <w:tr w:rsidR="00EF2279" w:rsidRPr="00A473B4" w14:paraId="4B3B42B6" w14:textId="77777777" w:rsidTr="00BF73EB">
        <w:tc>
          <w:tcPr>
            <w:tcW w:w="2547" w:type="dxa"/>
            <w:vAlign w:val="center"/>
          </w:tcPr>
          <w:p w14:paraId="7D852958" w14:textId="77777777" w:rsidR="00EF2279" w:rsidRPr="00A473B4" w:rsidRDefault="00EF2279" w:rsidP="00BF73EB">
            <w:pPr>
              <w:pStyle w:val="COMTabletext"/>
            </w:pPr>
            <w:r w:rsidRPr="00A473B4">
              <w:t>Other costs or cost offsets</w:t>
            </w:r>
          </w:p>
        </w:tc>
        <w:tc>
          <w:tcPr>
            <w:tcW w:w="6633" w:type="dxa"/>
            <w:vAlign w:val="center"/>
          </w:tcPr>
          <w:p w14:paraId="789019D0" w14:textId="77777777" w:rsidR="00EF2279" w:rsidRPr="00A473B4" w:rsidRDefault="00EF2279" w:rsidP="00BF73EB">
            <w:pPr>
              <w:pStyle w:val="COMTabletext"/>
            </w:pPr>
            <w:r>
              <w:t>Included drug and administration costs for concomitant C5 inhibitor therapy (ravulizumab) during the initial 4 weeks of treatment with pegcetacoplan.</w:t>
            </w:r>
          </w:p>
        </w:tc>
      </w:tr>
    </w:tbl>
    <w:p w14:paraId="3B7B2D97" w14:textId="2F920B1E" w:rsidR="00EF2279" w:rsidRDefault="00EF2279" w:rsidP="00EF2279">
      <w:pPr>
        <w:pStyle w:val="COMTablefooter"/>
      </w:pPr>
      <w:r w:rsidRPr="00A473B4">
        <w:t xml:space="preserve">Source: </w:t>
      </w:r>
      <w:r>
        <w:t>Table 3-1, of the submission.</w:t>
      </w:r>
    </w:p>
    <w:p w14:paraId="1736B996" w14:textId="77BBC354" w:rsidR="005A2C46" w:rsidRPr="0025780C" w:rsidRDefault="005A2C46" w:rsidP="005A2C46">
      <w:pPr>
        <w:pStyle w:val="COMexecsumnumberedpara"/>
      </w:pPr>
      <w:r>
        <w:t>The submission argued that, based on the claim of non-inferiority for iptacopan versus pegcetacoplan, the derivation of equi-effective doses based on the dos</w:t>
      </w:r>
      <w:r w:rsidR="009360E7">
        <w:t xml:space="preserve">es </w:t>
      </w:r>
      <w:r>
        <w:t xml:space="preserve">used in the clinical trials (APPLY-PNH and PEGASUS, respectively) was appropriate. </w:t>
      </w:r>
    </w:p>
    <w:p w14:paraId="6C3F6606" w14:textId="05249773" w:rsidR="005A2C46" w:rsidRPr="0025780C" w:rsidRDefault="00EF2279" w:rsidP="00EF2279">
      <w:pPr>
        <w:pStyle w:val="COMexecsumnumberedpara"/>
      </w:pPr>
      <w:r>
        <w:t xml:space="preserve">The equi-effective dose for iptacopan was based on the dosing used in the APPLY-PNH trial (200 mg twice daily). The submission estimated a total dose of 145,600 mg per year (200 mg x 56 capsules/pack x 13 packs/year). </w:t>
      </w:r>
      <w:r w:rsidRPr="0025780C">
        <w:t xml:space="preserve">The assumed dose of 200 mg twice daily is consistent with the dose used in the APPLY-PNH trial and the draft product information. Dose increases were not permitted in the APPLY-PNH trial, and the draft </w:t>
      </w:r>
      <w:r w:rsidRPr="0025780C">
        <w:lastRenderedPageBreak/>
        <w:t xml:space="preserve">product information does not include any recommendations relating to dose increases for iptacopan. The proposed total dose included in the proposed equi-effective dose </w:t>
      </w:r>
      <w:r w:rsidR="00DD6BDF" w:rsidRPr="0025780C">
        <w:t>relationship</w:t>
      </w:r>
      <w:r w:rsidRPr="0025780C">
        <w:t xml:space="preserve"> equated to 364 days of treatment with iptacopan, due to rounding of the number of packs per year to 13 packs (145,600 mg </w:t>
      </w:r>
      <w:r w:rsidRPr="0025780C">
        <w:rPr>
          <w:rFonts w:cs="Calibri"/>
        </w:rPr>
        <w:t>÷ 400 mg = 364 days)</w:t>
      </w:r>
      <w:r w:rsidRPr="0025780C">
        <w:t>. This differed from the calculation included in the cost-minimisation, which assumed 365 days per year, equating to</w:t>
      </w:r>
      <w:r w:rsidR="00351759">
        <w:t xml:space="preserve"> 13.04 packs</w:t>
      </w:r>
      <w:r w:rsidRPr="0025780C">
        <w:t xml:space="preserve"> </w:t>
      </w:r>
      <w:r w:rsidR="00351759">
        <w:t>(</w:t>
      </w:r>
      <w:r w:rsidRPr="0025780C">
        <w:t>400 mg</w:t>
      </w:r>
      <w:r w:rsidR="00351759">
        <w:t xml:space="preserve"> x</w:t>
      </w:r>
      <w:r w:rsidRPr="0025780C">
        <w:t xml:space="preserve"> 13.</w:t>
      </w:r>
      <w:r w:rsidR="006420A8" w:rsidRPr="0025780C">
        <w:t>0</w:t>
      </w:r>
      <w:r w:rsidR="006420A8">
        <w:t>4</w:t>
      </w:r>
      <w:r w:rsidR="006420A8" w:rsidRPr="0025780C">
        <w:t xml:space="preserve"> </w:t>
      </w:r>
      <w:r w:rsidRPr="0025780C">
        <w:t>packs</w:t>
      </w:r>
      <w:r w:rsidR="00351759">
        <w:t xml:space="preserve"> = 146,048 </w:t>
      </w:r>
      <w:r w:rsidR="00351759" w:rsidRPr="0025780C">
        <w:t>mg</w:t>
      </w:r>
      <w:r w:rsidRPr="0025780C">
        <w:t>). The proposed equi-effective dose for iptacopan assumes perfect adherence to treatment.</w:t>
      </w:r>
    </w:p>
    <w:p w14:paraId="29846589" w14:textId="73BD7092" w:rsidR="005A2C46" w:rsidRPr="0025780C" w:rsidRDefault="00EF2279" w:rsidP="00EF2279">
      <w:pPr>
        <w:pStyle w:val="COMexecsumnumberedpara"/>
      </w:pPr>
      <w:r w:rsidRPr="0025780C">
        <w:t>The equi-effective dose for pegcetacoplan was based on the dose included in the July</w:t>
      </w:r>
      <w:r w:rsidR="0097430E">
        <w:t> </w:t>
      </w:r>
      <w:r w:rsidRPr="0025780C">
        <w:t>2022 pegcetacoplan submission, in which pegcetacoplan was cost-minimised to ravulizumab over a 52-week maintenance treatment period (paragraph 5.5, pegcetacoplan, Public Summary Document</w:t>
      </w:r>
      <w:r w:rsidR="008C1CA6">
        <w:t xml:space="preserve"> (PSD)</w:t>
      </w:r>
      <w:r w:rsidRPr="0025780C">
        <w:t xml:space="preserve">, July 2022 PBAC meeting). The equi-effective pegcetacoplan dose of 116,365 mg (1,080 mg x 107.7 injections) reflected the doses of pegcetacoplan used in the PEGASUS trial. In the PEGASUS trial, patients initiated pegcetacoplan at a dose of 1,080 mg twice a week but may have increased to 1,080 mg every third day if they did not respond sufficiently to treatment. Details of the method and assumptions used to derive the number of pegcetacoplan injections (including any adjustments for treatment adherence) were not included in the July 2022 pegcetacoplan </w:t>
      </w:r>
      <w:r w:rsidR="008C1CA6">
        <w:t>PSD</w:t>
      </w:r>
      <w:r w:rsidRPr="0025780C">
        <w:t>. However, the number of injections included in the cost-minimisation (equating to 2.07 doses per week) suggests that a proportion of patients were assumed to require a dose frequency greater than twice a week.</w:t>
      </w:r>
    </w:p>
    <w:p w14:paraId="6FBF53E6" w14:textId="1D6E3F70" w:rsidR="00EF2279" w:rsidRPr="005A2C46" w:rsidRDefault="00EF2279" w:rsidP="00EF2279">
      <w:pPr>
        <w:pStyle w:val="COMexecsumnumberedpara"/>
        <w:rPr>
          <w:i/>
          <w:iCs/>
        </w:rPr>
      </w:pPr>
      <w:r>
        <w:t xml:space="preserve">The proposed equi-effective doses for iptacopan and pegcetacoplan were: </w:t>
      </w:r>
    </w:p>
    <w:p w14:paraId="1A029325" w14:textId="77777777" w:rsidR="00EF2279" w:rsidRDefault="00EF2279" w:rsidP="006115F0">
      <w:pPr>
        <w:pStyle w:val="COMexecsummbulletlist"/>
        <w:ind w:left="1134"/>
      </w:pPr>
      <w:r w:rsidRPr="0013728D">
        <w:t>Iptacopan 145,600</w:t>
      </w:r>
      <w:r>
        <w:t> </w:t>
      </w:r>
      <w:r w:rsidRPr="0013728D">
        <w:t>mg (200</w:t>
      </w:r>
      <w:r>
        <w:t> </w:t>
      </w:r>
      <w:r w:rsidRPr="0013728D">
        <w:t>mg/capsule × 56</w:t>
      </w:r>
      <w:r>
        <w:t> </w:t>
      </w:r>
      <w:r w:rsidRPr="0013728D">
        <w:t>capsules/pack × 13</w:t>
      </w:r>
      <w:r>
        <w:t> </w:t>
      </w:r>
      <w:r w:rsidRPr="0013728D">
        <w:t>packs) is equivalent to pegcetacoplan 116,365</w:t>
      </w:r>
      <w:r>
        <w:t> </w:t>
      </w:r>
      <w:r w:rsidRPr="0013728D">
        <w:t>mg (1,080</w:t>
      </w:r>
      <w:r>
        <w:t> </w:t>
      </w:r>
      <w:r w:rsidRPr="0013728D">
        <w:t>mg/vial × 107.7</w:t>
      </w:r>
      <w:r>
        <w:t> </w:t>
      </w:r>
      <w:r w:rsidRPr="0013728D">
        <w:t>injections).</w:t>
      </w:r>
    </w:p>
    <w:p w14:paraId="2F2A3214" w14:textId="25F8037B" w:rsidR="00351759" w:rsidRDefault="00351759" w:rsidP="00351759">
      <w:pPr>
        <w:pStyle w:val="COMexecsummbulletlist"/>
        <w:numPr>
          <w:ilvl w:val="0"/>
          <w:numId w:val="0"/>
        </w:numPr>
        <w:ind w:left="774"/>
      </w:pPr>
      <w:r>
        <w:t>If corrected for 365 days instead of 364 days, the equi-effective doses for iptacopan and pegcetacoplan were:</w:t>
      </w:r>
    </w:p>
    <w:p w14:paraId="3AA0DB41" w14:textId="70A53C8B" w:rsidR="00351759" w:rsidRDefault="00351759" w:rsidP="00351759">
      <w:pPr>
        <w:pStyle w:val="COMexecsummbulletlist"/>
        <w:ind w:left="1134"/>
      </w:pPr>
      <w:r w:rsidRPr="0013728D">
        <w:t xml:space="preserve">Iptacopan </w:t>
      </w:r>
      <w:r>
        <w:t xml:space="preserve">146,048 </w:t>
      </w:r>
      <w:r w:rsidRPr="0025780C">
        <w:t>mg</w:t>
      </w:r>
      <w:r w:rsidRPr="0013728D">
        <w:t xml:space="preserve"> (200</w:t>
      </w:r>
      <w:r>
        <w:t> </w:t>
      </w:r>
      <w:r w:rsidRPr="0013728D">
        <w:t>mg/capsule × 56</w:t>
      </w:r>
      <w:r>
        <w:t> </w:t>
      </w:r>
      <w:r w:rsidRPr="0013728D">
        <w:t>capsules/pack × 13</w:t>
      </w:r>
      <w:r>
        <w:t>.04 </w:t>
      </w:r>
      <w:r w:rsidRPr="0013728D">
        <w:t>packs) is equivalent to pegcetacoplan 116,365</w:t>
      </w:r>
      <w:r>
        <w:t> </w:t>
      </w:r>
      <w:r w:rsidRPr="0013728D">
        <w:t>mg (1,080</w:t>
      </w:r>
      <w:r>
        <w:t> </w:t>
      </w:r>
      <w:r w:rsidRPr="0013728D">
        <w:t>mg/vial × 107.7</w:t>
      </w:r>
      <w:r>
        <w:t> </w:t>
      </w:r>
      <w:r w:rsidRPr="0013728D">
        <w:t>injections).</w:t>
      </w:r>
    </w:p>
    <w:p w14:paraId="5FCA0AB1" w14:textId="2BAC424E" w:rsidR="007C4525" w:rsidRPr="0025780C" w:rsidRDefault="002B153F" w:rsidP="007C4525">
      <w:pPr>
        <w:pStyle w:val="COMexecsumnumberedpara"/>
      </w:pPr>
      <w:r>
        <w:t xml:space="preserve">The submission noted that the product information for pegcetacoplan states that patients switching from a C5 inhibitor to pegcetacoplan are required to continue treatment with </w:t>
      </w:r>
      <w:r w:rsidR="00C4592F">
        <w:t>the</w:t>
      </w:r>
      <w:r>
        <w:t xml:space="preserve"> C5 inhibitor during the initial 4 weeks of pegcetacoplan treatment; and that this differs from iptacopan, which does not require concurrent treatment with a C5 inhibitor during the initial 4 weeks. Costs associated with the use of a C5</w:t>
      </w:r>
      <w:r w:rsidR="00C4592F">
        <w:t> </w:t>
      </w:r>
      <w:r>
        <w:t>inhibitor during the initial 4 weeks of pegcetacoplan treatment were included in the cost-minimisation</w:t>
      </w:r>
      <w:r w:rsidR="00086BDD">
        <w:t xml:space="preserve"> to iptacopan</w:t>
      </w:r>
      <w:r>
        <w:t xml:space="preserve">. </w:t>
      </w:r>
      <w:r w:rsidRPr="0025780C">
        <w:t>The inclusion of this cost did not appear to be appropriate given that the PBAC Guidelines</w:t>
      </w:r>
      <w:r w:rsidR="006E7C43" w:rsidRPr="0025780C">
        <w:t xml:space="preserve"> v5.0</w:t>
      </w:r>
      <w:r w:rsidRPr="0025780C">
        <w:t xml:space="preserve"> note that for medicines that are ongoing, a steady state dose comparison is generally most relevant. Iptacopan and pegcetacoplan are both chronic therapies that are expected to be used lifelong</w:t>
      </w:r>
      <w:r w:rsidR="007C4525" w:rsidRPr="0025780C">
        <w:t>.</w:t>
      </w:r>
    </w:p>
    <w:p w14:paraId="6FC867B0" w14:textId="61E818AB" w:rsidR="00C4592F" w:rsidRPr="009929EF" w:rsidRDefault="007C4525" w:rsidP="007C4525">
      <w:pPr>
        <w:pStyle w:val="COMexecsumnumberedpara"/>
      </w:pPr>
      <w:bookmarkStart w:id="52" w:name="_Ref172289327"/>
      <w:r w:rsidRPr="0059276D">
        <w:t>The submission noted that the pegcetacoplan sponsor proposed a percent</w:t>
      </w:r>
      <w:r>
        <w:t>age</w:t>
      </w:r>
      <w:r w:rsidRPr="0059276D">
        <w:t xml:space="preserve"> rebate of the cost of the initial month of pegcetacoplan treatment</w:t>
      </w:r>
      <w:r>
        <w:t xml:space="preserve"> (i.e., when used in combination with a C5 inhibitor)</w:t>
      </w:r>
      <w:r w:rsidRPr="0059276D">
        <w:t>, but that the percentage rebate is unknown</w:t>
      </w:r>
      <w:r>
        <w:t xml:space="preserve"> due to </w:t>
      </w:r>
      <w:r>
        <w:lastRenderedPageBreak/>
        <w:t>being r</w:t>
      </w:r>
      <w:r w:rsidRPr="0059276D">
        <w:t xml:space="preserve">edacted in the July 2022 pegcetacoplan </w:t>
      </w:r>
      <w:r w:rsidR="008C1CA6">
        <w:t>PSD</w:t>
      </w:r>
      <w:r>
        <w:t xml:space="preserve"> </w:t>
      </w:r>
      <w:r w:rsidRPr="00BB10C5">
        <w:t xml:space="preserve">(paragraph 1.10, pegcetacoplan, </w:t>
      </w:r>
      <w:r w:rsidR="008C1CA6">
        <w:t>PSD</w:t>
      </w:r>
      <w:r w:rsidRPr="00BB10C5">
        <w:t>, July 2022 PBAC meeting</w:t>
      </w:r>
      <w:r w:rsidRPr="00BA2B46">
        <w:t xml:space="preserve">). In the absence of information relating to the rebate, the full cost of C5 inhibitor treatment over the initial 4-week </w:t>
      </w:r>
      <w:r>
        <w:t xml:space="preserve">pegcetacoplan treatment </w:t>
      </w:r>
      <w:r w:rsidRPr="00BA2B46">
        <w:t>period was included in the cost-minimisation.</w:t>
      </w:r>
      <w:r w:rsidR="00C356D4">
        <w:t xml:space="preserve"> </w:t>
      </w:r>
      <w:r w:rsidR="00C356D4" w:rsidRPr="009929EF">
        <w:t xml:space="preserve">The </w:t>
      </w:r>
      <w:r w:rsidR="002B2A88" w:rsidRPr="009929EF">
        <w:t>PSCR stated</w:t>
      </w:r>
      <w:r w:rsidR="00C356D4" w:rsidRPr="009929EF">
        <w:t xml:space="preserve"> that the pegcetacoplan rebates are assumed to be considered within the </w:t>
      </w:r>
      <w:r w:rsidR="00BC12F7" w:rsidRPr="009929EF">
        <w:t>s</w:t>
      </w:r>
      <w:r w:rsidR="00C356D4" w:rsidRPr="009929EF">
        <w:t xml:space="preserve">pecial </w:t>
      </w:r>
      <w:r w:rsidR="00BC12F7" w:rsidRPr="009929EF">
        <w:t>p</w:t>
      </w:r>
      <w:r w:rsidR="00C356D4" w:rsidRPr="009929EF">
        <w:t xml:space="preserve">ricing </w:t>
      </w:r>
      <w:r w:rsidR="00BC12F7" w:rsidRPr="009929EF">
        <w:t>a</w:t>
      </w:r>
      <w:r w:rsidR="00C356D4" w:rsidRPr="009929EF">
        <w:t xml:space="preserve">rrangements and hence the cost-minimisation </w:t>
      </w:r>
      <w:r w:rsidR="00F839FC">
        <w:t>approach</w:t>
      </w:r>
      <w:r w:rsidR="00C356D4" w:rsidRPr="009929EF">
        <w:t xml:space="preserve"> presented will also include these rebates when the arrangements can be shared.</w:t>
      </w:r>
      <w:bookmarkEnd w:id="52"/>
      <w:r w:rsidR="00C356D4" w:rsidRPr="009929EF">
        <w:t xml:space="preserve"> </w:t>
      </w:r>
    </w:p>
    <w:p w14:paraId="421C05A3" w14:textId="7C3EF037" w:rsidR="007C4525" w:rsidRPr="007C4525" w:rsidRDefault="008A24BB" w:rsidP="007C4525">
      <w:pPr>
        <w:pStyle w:val="COMexecsumnumberedpara"/>
        <w:rPr>
          <w:i/>
          <w:iCs/>
        </w:rPr>
      </w:pPr>
      <w:r w:rsidRPr="008A24BB">
        <w:t>The submission’s cost-minimisation approach included ravulizumab as a proxy for the cost associated with C5 inhibitor therapy during the initial 4 weeks treatment with pegcetacoplan.</w:t>
      </w:r>
      <w:r w:rsidR="00C4592F">
        <w:t xml:space="preserve"> </w:t>
      </w:r>
      <w:r w:rsidR="00C4592F" w:rsidRPr="0025780C">
        <w:t>This was reasonable.</w:t>
      </w:r>
    </w:p>
    <w:p w14:paraId="480EADE1" w14:textId="395949F1" w:rsidR="00D07351" w:rsidRDefault="008A24BB" w:rsidP="00BF73EB">
      <w:pPr>
        <w:pStyle w:val="COMexecsumnumberedpara"/>
      </w:pPr>
      <w:bookmarkStart w:id="53" w:name="_Ref172632010"/>
      <w:r w:rsidRPr="008A24BB">
        <w:t>The submission noted that pegcetacoplan is administered as a subcutaneous infusion using a commercially available infusion pump, and that, due to the complexity associated with administration of pegcetacoplan, a proportion of patients may not be able to self-administer treatment. However, in the absence of data on the proportion of patients who do not self-administer pegcetacoplan, administration costs for pegcetacoplan were excluded from the cost-minimisation.</w:t>
      </w:r>
      <w:r w:rsidR="00C4592F">
        <w:t xml:space="preserve"> </w:t>
      </w:r>
      <w:r w:rsidR="00C4592F" w:rsidRPr="0025780C">
        <w:t>This was reasonable</w:t>
      </w:r>
      <w:r w:rsidR="00C4592F">
        <w:rPr>
          <w:i/>
          <w:iCs/>
        </w:rPr>
        <w:t>.</w:t>
      </w:r>
      <w:bookmarkEnd w:id="53"/>
    </w:p>
    <w:p w14:paraId="33AF80DA" w14:textId="690F061B" w:rsidR="008A24BB" w:rsidRPr="006A523F" w:rsidRDefault="008A24BB" w:rsidP="008A24BB">
      <w:pPr>
        <w:pStyle w:val="COMexecsumnumberedpara"/>
      </w:pPr>
      <w:r>
        <w:t xml:space="preserve">The submission noted that, based on the respective product information documents for iptacopan and pegcetacoplan, </w:t>
      </w:r>
      <w:r w:rsidRPr="0033135E">
        <w:t xml:space="preserve">the same vaccinations are required </w:t>
      </w:r>
      <w:r>
        <w:t>prior to initiating iptacopan and pegcetacoplan (</w:t>
      </w:r>
      <w:r w:rsidRPr="00FA7EED">
        <w:rPr>
          <w:i/>
          <w:iCs/>
        </w:rPr>
        <w:t>Neisseria meningitidis</w:t>
      </w:r>
      <w:r w:rsidRPr="0033135E">
        <w:t xml:space="preserve"> types A, C, W, Y, and B</w:t>
      </w:r>
      <w:r>
        <w:t>;</w:t>
      </w:r>
      <w:r w:rsidRPr="0033135E">
        <w:t xml:space="preserve"> </w:t>
      </w:r>
      <w:r w:rsidRPr="00FA7EED">
        <w:rPr>
          <w:i/>
          <w:iCs/>
        </w:rPr>
        <w:t>Streptococcus pneumoniae</w:t>
      </w:r>
      <w:r w:rsidRPr="0033135E">
        <w:t xml:space="preserve"> and </w:t>
      </w:r>
      <w:r w:rsidRPr="00FA7EED">
        <w:rPr>
          <w:i/>
          <w:iCs/>
        </w:rPr>
        <w:t>Haemophilus influenzae</w:t>
      </w:r>
      <w:r w:rsidRPr="0033135E">
        <w:t xml:space="preserve"> </w:t>
      </w:r>
      <w:r>
        <w:t>t</w:t>
      </w:r>
      <w:r w:rsidRPr="0033135E">
        <w:t>ype B</w:t>
      </w:r>
      <w:r>
        <w:t>), and therefore, costs associated with vaccination were not included in the cost-minimisation a</w:t>
      </w:r>
      <w:r w:rsidR="00F839FC">
        <w:t>pproach</w:t>
      </w:r>
      <w:r>
        <w:t xml:space="preserve">. </w:t>
      </w:r>
      <w:r w:rsidRPr="006A523F">
        <w:t>This appeared reasonable.</w:t>
      </w:r>
    </w:p>
    <w:p w14:paraId="4BB8AC15" w14:textId="46660A78" w:rsidR="007D3015" w:rsidRPr="007D3015" w:rsidRDefault="008A24BB" w:rsidP="007D3015">
      <w:pPr>
        <w:pStyle w:val="COMexecsumnumberedpara"/>
      </w:pPr>
      <w:r>
        <w:t xml:space="preserve">The cost-minimisation was conducted at the AEMP level, based on the published prices for pegcetacoplan and ravulizumab, over a 1-year time horizon (assumed to be the initial year of treatment with iptacopan). </w:t>
      </w:r>
      <w:r w:rsidRPr="006A523F">
        <w:t xml:space="preserve">Pegcetacoplan and ravulizumab are both subject to special pricing arrangements. </w:t>
      </w:r>
    </w:p>
    <w:p w14:paraId="7229E130" w14:textId="3A814A2F" w:rsidR="007D3015" w:rsidRPr="00A473B4" w:rsidRDefault="00C62EBB" w:rsidP="007D3015">
      <w:pPr>
        <w:pStyle w:val="COMexecsumnumberedpara"/>
      </w:pPr>
      <w:r>
        <w:fldChar w:fldCharType="begin"/>
      </w:r>
      <w:r>
        <w:instrText xml:space="preserve"> REF _Ref166448918 \h </w:instrText>
      </w:r>
      <w:r>
        <w:fldChar w:fldCharType="separate"/>
      </w:r>
      <w:r w:rsidR="002E7F91" w:rsidRPr="00A473B4">
        <w:t xml:space="preserve">Table </w:t>
      </w:r>
      <w:r w:rsidR="002E7F91">
        <w:rPr>
          <w:noProof/>
        </w:rPr>
        <w:t>14</w:t>
      </w:r>
      <w:r>
        <w:fldChar w:fldCharType="end"/>
      </w:r>
      <w:r w:rsidR="007D3015">
        <w:t xml:space="preserve"> presents the results of the cost-minimisation of pegcetacoplan versus iptacopan.</w:t>
      </w:r>
      <w:r w:rsidR="005F57B0">
        <w:t xml:space="preserve"> </w:t>
      </w:r>
    </w:p>
    <w:p w14:paraId="5CE844F3" w14:textId="0BDD1E75" w:rsidR="007D3015" w:rsidRPr="00A473B4" w:rsidRDefault="00242EA1" w:rsidP="0097430E">
      <w:pPr>
        <w:pStyle w:val="COMtablefigcaption"/>
        <w:rPr>
          <w:b w:val="0"/>
        </w:rPr>
      </w:pPr>
      <w:bookmarkStart w:id="54" w:name="_Ref166448918"/>
      <w:r w:rsidRPr="00A473B4">
        <w:lastRenderedPageBreak/>
        <w:t xml:space="preserve">Table </w:t>
      </w:r>
      <w:r w:rsidR="00C52DBB">
        <w:fldChar w:fldCharType="begin"/>
      </w:r>
      <w:r w:rsidR="00C52DBB">
        <w:instrText xml:space="preserve"> SEQ Table \* ARABIC </w:instrText>
      </w:r>
      <w:r w:rsidR="00C52DBB">
        <w:fldChar w:fldCharType="separate"/>
      </w:r>
      <w:r w:rsidR="002E7F91">
        <w:rPr>
          <w:noProof/>
        </w:rPr>
        <w:t>14</w:t>
      </w:r>
      <w:r w:rsidR="00C52DBB">
        <w:rPr>
          <w:noProof/>
        </w:rPr>
        <w:fldChar w:fldCharType="end"/>
      </w:r>
      <w:bookmarkEnd w:id="54"/>
      <w:r w:rsidR="007D3015" w:rsidRPr="00A473B4">
        <w:t>: Results of the cost-minimisation approach</w:t>
      </w:r>
      <w:r w:rsidR="007D3015">
        <w:t xml:space="preserve"> based on published prices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14: Results of the cost-minimisation approach based on published prices"/>
        <w:tblDescription w:val="Table 14: Results of the cost-minimisation approach based on published prices"/>
      </w:tblPr>
      <w:tblGrid>
        <w:gridCol w:w="5665"/>
        <w:gridCol w:w="1392"/>
        <w:gridCol w:w="1960"/>
      </w:tblGrid>
      <w:tr w:rsidR="007D3015" w:rsidRPr="00A473B4" w14:paraId="00EBB8DB" w14:textId="77777777" w:rsidTr="00BF73EB">
        <w:tc>
          <w:tcPr>
            <w:tcW w:w="5665" w:type="dxa"/>
          </w:tcPr>
          <w:p w14:paraId="55A9F9D7" w14:textId="77777777" w:rsidR="007D3015" w:rsidRPr="00A473B4" w:rsidRDefault="007D3015" w:rsidP="0097430E">
            <w:pPr>
              <w:pStyle w:val="COMTableheadingrow"/>
            </w:pPr>
            <w:r w:rsidRPr="00A473B4">
              <w:t>Component</w:t>
            </w:r>
          </w:p>
        </w:tc>
        <w:tc>
          <w:tcPr>
            <w:tcW w:w="1392" w:type="dxa"/>
          </w:tcPr>
          <w:p w14:paraId="74E28598" w14:textId="77777777" w:rsidR="007D3015" w:rsidRPr="00A473B4" w:rsidRDefault="007D3015" w:rsidP="0097430E">
            <w:pPr>
              <w:pStyle w:val="COMTableheadingrow"/>
              <w:jc w:val="center"/>
            </w:pPr>
            <w:r>
              <w:t>Pegcetacoplan</w:t>
            </w:r>
          </w:p>
        </w:tc>
        <w:tc>
          <w:tcPr>
            <w:tcW w:w="1960" w:type="dxa"/>
          </w:tcPr>
          <w:p w14:paraId="312C05EA" w14:textId="77777777" w:rsidR="007D3015" w:rsidRPr="00A473B4" w:rsidRDefault="007D3015" w:rsidP="0097430E">
            <w:pPr>
              <w:pStyle w:val="COMTableheadingrow"/>
              <w:jc w:val="center"/>
            </w:pPr>
            <w:r>
              <w:t>Iptacopan</w:t>
            </w:r>
          </w:p>
        </w:tc>
      </w:tr>
      <w:tr w:rsidR="007D3015" w:rsidRPr="00A473B4" w14:paraId="4180B3A1" w14:textId="77777777" w:rsidTr="00BF73EB">
        <w:tc>
          <w:tcPr>
            <w:tcW w:w="9017" w:type="dxa"/>
            <w:gridSpan w:val="3"/>
          </w:tcPr>
          <w:p w14:paraId="6E1F4AAD" w14:textId="77777777" w:rsidR="007D3015" w:rsidRPr="00652987" w:rsidRDefault="007D3015" w:rsidP="0097430E">
            <w:pPr>
              <w:pStyle w:val="COMTabletext"/>
              <w:rPr>
                <w:b/>
                <w:bCs w:val="0"/>
              </w:rPr>
            </w:pPr>
            <w:r>
              <w:rPr>
                <w:b/>
                <w:bCs w:val="0"/>
              </w:rPr>
              <w:t>Pegcetacoplan treatment cost</w:t>
            </w:r>
          </w:p>
        </w:tc>
      </w:tr>
      <w:tr w:rsidR="007D3015" w:rsidRPr="00A473B4" w14:paraId="132C454E" w14:textId="77777777" w:rsidTr="00BF73EB">
        <w:tc>
          <w:tcPr>
            <w:tcW w:w="5665" w:type="dxa"/>
          </w:tcPr>
          <w:p w14:paraId="0177F259" w14:textId="77777777" w:rsidR="007D3015" w:rsidRPr="0060550C" w:rsidRDefault="007D3015" w:rsidP="0097430E">
            <w:pPr>
              <w:pStyle w:val="COMTabletext"/>
              <w:rPr>
                <w:vertAlign w:val="superscript"/>
              </w:rPr>
            </w:pPr>
            <w:r>
              <w:t xml:space="preserve">Pegcetacoplan administrations in first year </w:t>
            </w:r>
            <w:r>
              <w:rPr>
                <w:vertAlign w:val="superscript"/>
              </w:rPr>
              <w:t>a</w:t>
            </w:r>
          </w:p>
        </w:tc>
        <w:tc>
          <w:tcPr>
            <w:tcW w:w="1392" w:type="dxa"/>
          </w:tcPr>
          <w:p w14:paraId="7198DF0D" w14:textId="0FFF8F6F" w:rsidR="007D3015" w:rsidRPr="00A473B4" w:rsidRDefault="007D3015" w:rsidP="0097430E">
            <w:pPr>
              <w:pStyle w:val="COMTabletext"/>
              <w:jc w:val="center"/>
            </w:pPr>
            <w:r w:rsidRPr="006F3D18">
              <w:t>107.7</w:t>
            </w:r>
          </w:p>
        </w:tc>
        <w:tc>
          <w:tcPr>
            <w:tcW w:w="1960" w:type="dxa"/>
          </w:tcPr>
          <w:p w14:paraId="10B1E1B3" w14:textId="77777777" w:rsidR="007D3015" w:rsidRPr="00A473B4" w:rsidRDefault="007D3015" w:rsidP="0097430E">
            <w:pPr>
              <w:pStyle w:val="COMTabletext"/>
              <w:jc w:val="center"/>
            </w:pPr>
            <w:r>
              <w:t>-</w:t>
            </w:r>
          </w:p>
        </w:tc>
      </w:tr>
      <w:tr w:rsidR="007D3015" w:rsidRPr="00A473B4" w14:paraId="7E5482DE" w14:textId="77777777" w:rsidTr="00BF73EB">
        <w:tc>
          <w:tcPr>
            <w:tcW w:w="5665" w:type="dxa"/>
          </w:tcPr>
          <w:p w14:paraId="246B7A6F" w14:textId="0CC8D77D" w:rsidR="007D3015" w:rsidRDefault="007D3015" w:rsidP="0097430E">
            <w:pPr>
              <w:pStyle w:val="COMTabletext"/>
            </w:pPr>
            <w:r>
              <w:t>Pegcetacoplan cost (AEMP) in first year (</w:t>
            </w:r>
            <w:r w:rsidRPr="00143BC1">
              <w:t>$4,343.86</w:t>
            </w:r>
            <w:r>
              <w:t xml:space="preserve"> x 107.7)</w:t>
            </w:r>
          </w:p>
        </w:tc>
        <w:tc>
          <w:tcPr>
            <w:tcW w:w="1392" w:type="dxa"/>
          </w:tcPr>
          <w:p w14:paraId="4A44B789" w14:textId="77777777" w:rsidR="007D3015" w:rsidRPr="006F3D18" w:rsidRDefault="007D3015" w:rsidP="0097430E">
            <w:pPr>
              <w:pStyle w:val="COMTabletext"/>
              <w:jc w:val="center"/>
            </w:pPr>
            <w:r w:rsidRPr="00B46869">
              <w:t>$467,833.72</w:t>
            </w:r>
          </w:p>
        </w:tc>
        <w:tc>
          <w:tcPr>
            <w:tcW w:w="1960" w:type="dxa"/>
          </w:tcPr>
          <w:p w14:paraId="4941D9FC" w14:textId="77777777" w:rsidR="007D3015" w:rsidRPr="006F3D18" w:rsidRDefault="007D3015" w:rsidP="0097430E">
            <w:pPr>
              <w:pStyle w:val="COMTabletext"/>
              <w:jc w:val="center"/>
            </w:pPr>
            <w:r>
              <w:t>-</w:t>
            </w:r>
          </w:p>
        </w:tc>
      </w:tr>
      <w:tr w:rsidR="007D3015" w:rsidRPr="00A473B4" w14:paraId="11F16F7C" w14:textId="77777777" w:rsidTr="00BF73EB">
        <w:tc>
          <w:tcPr>
            <w:tcW w:w="5665" w:type="dxa"/>
          </w:tcPr>
          <w:p w14:paraId="0B2D7530" w14:textId="77777777" w:rsidR="007D3015" w:rsidRPr="000A4D01" w:rsidRDefault="007D3015" w:rsidP="0097430E">
            <w:pPr>
              <w:pStyle w:val="COMTabletext"/>
              <w:rPr>
                <w:vertAlign w:val="superscript"/>
              </w:rPr>
            </w:pPr>
            <w:r>
              <w:t>Ravulizumab cost (AEMP) over initial 4 weeks (</w:t>
            </w:r>
            <w:r w:rsidRPr="00AC733C">
              <w:t>$</w:t>
            </w:r>
            <w:r>
              <w:t xml:space="preserve">21.91 per mg x </w:t>
            </w:r>
            <w:r w:rsidRPr="00BF3927">
              <w:t>1,644</w:t>
            </w:r>
            <w:r>
              <w:t xml:space="preserve"> mg) </w:t>
            </w:r>
            <w:r>
              <w:rPr>
                <w:vertAlign w:val="superscript"/>
              </w:rPr>
              <w:t>b</w:t>
            </w:r>
          </w:p>
        </w:tc>
        <w:tc>
          <w:tcPr>
            <w:tcW w:w="1392" w:type="dxa"/>
          </w:tcPr>
          <w:p w14:paraId="69F573B3" w14:textId="77777777" w:rsidR="007D3015" w:rsidRPr="00A473B4" w:rsidRDefault="007D3015" w:rsidP="0097430E">
            <w:pPr>
              <w:pStyle w:val="COMTabletext"/>
              <w:jc w:val="center"/>
            </w:pPr>
            <w:r w:rsidRPr="00AC733C">
              <w:t>$36,031.24</w:t>
            </w:r>
          </w:p>
        </w:tc>
        <w:tc>
          <w:tcPr>
            <w:tcW w:w="1960" w:type="dxa"/>
          </w:tcPr>
          <w:p w14:paraId="08647BE3" w14:textId="77777777" w:rsidR="007D3015" w:rsidRPr="00A473B4" w:rsidRDefault="007D3015" w:rsidP="0097430E">
            <w:pPr>
              <w:pStyle w:val="COMTabletext"/>
              <w:jc w:val="center"/>
            </w:pPr>
            <w:r>
              <w:t>-</w:t>
            </w:r>
          </w:p>
        </w:tc>
      </w:tr>
      <w:tr w:rsidR="007D3015" w:rsidRPr="00A473B4" w14:paraId="49171863" w14:textId="77777777" w:rsidTr="00BF73EB">
        <w:tc>
          <w:tcPr>
            <w:tcW w:w="5665" w:type="dxa"/>
          </w:tcPr>
          <w:p w14:paraId="764EAE7A" w14:textId="77777777" w:rsidR="007D3015" w:rsidRPr="007241F8" w:rsidRDefault="007D3015" w:rsidP="0097430E">
            <w:pPr>
              <w:pStyle w:val="COMTabletext"/>
              <w:rPr>
                <w:vertAlign w:val="superscript"/>
              </w:rPr>
            </w:pPr>
            <w:r>
              <w:t xml:space="preserve">Ravulizumab administration cost over initial 4 weeks (1 x $59.45) </w:t>
            </w:r>
            <w:r>
              <w:rPr>
                <w:vertAlign w:val="superscript"/>
              </w:rPr>
              <w:t>c</w:t>
            </w:r>
          </w:p>
        </w:tc>
        <w:tc>
          <w:tcPr>
            <w:tcW w:w="1392" w:type="dxa"/>
          </w:tcPr>
          <w:p w14:paraId="438874A2" w14:textId="77777777" w:rsidR="007D3015" w:rsidRPr="00A473B4" w:rsidRDefault="007D3015" w:rsidP="0097430E">
            <w:pPr>
              <w:pStyle w:val="COMTabletext"/>
              <w:jc w:val="center"/>
            </w:pPr>
            <w:r>
              <w:t>$59.45</w:t>
            </w:r>
          </w:p>
        </w:tc>
        <w:tc>
          <w:tcPr>
            <w:tcW w:w="1960" w:type="dxa"/>
          </w:tcPr>
          <w:p w14:paraId="64EF3D7F" w14:textId="77777777" w:rsidR="007D3015" w:rsidRPr="00A473B4" w:rsidRDefault="007D3015" w:rsidP="0097430E">
            <w:pPr>
              <w:pStyle w:val="COMTabletext"/>
              <w:jc w:val="center"/>
            </w:pPr>
            <w:r>
              <w:t>-</w:t>
            </w:r>
          </w:p>
        </w:tc>
      </w:tr>
      <w:tr w:rsidR="007D3015" w:rsidRPr="00A473B4" w14:paraId="004571DB" w14:textId="77777777" w:rsidTr="00BF73EB">
        <w:tc>
          <w:tcPr>
            <w:tcW w:w="5665" w:type="dxa"/>
          </w:tcPr>
          <w:p w14:paraId="160F7359" w14:textId="77777777" w:rsidR="007D3015" w:rsidRPr="00A473B4" w:rsidRDefault="007D3015" w:rsidP="0097430E">
            <w:pPr>
              <w:pStyle w:val="COMTabletext"/>
            </w:pPr>
            <w:r>
              <w:t>Total cost of pegcetacoplan treatment in first year</w:t>
            </w:r>
          </w:p>
        </w:tc>
        <w:tc>
          <w:tcPr>
            <w:tcW w:w="1392" w:type="dxa"/>
          </w:tcPr>
          <w:p w14:paraId="69C8C797" w14:textId="77777777" w:rsidR="007D3015" w:rsidRPr="00A473B4" w:rsidRDefault="007D3015" w:rsidP="0097430E">
            <w:pPr>
              <w:pStyle w:val="COMTabletext"/>
              <w:jc w:val="center"/>
            </w:pPr>
            <w:r w:rsidRPr="00FA3594">
              <w:t>$503,924.41</w:t>
            </w:r>
          </w:p>
        </w:tc>
        <w:tc>
          <w:tcPr>
            <w:tcW w:w="1960" w:type="dxa"/>
          </w:tcPr>
          <w:p w14:paraId="569DD6C7" w14:textId="77777777" w:rsidR="007D3015" w:rsidRPr="00A473B4" w:rsidRDefault="007D3015" w:rsidP="0097430E">
            <w:pPr>
              <w:pStyle w:val="COMTabletext"/>
              <w:jc w:val="center"/>
            </w:pPr>
            <w:r>
              <w:t>-</w:t>
            </w:r>
          </w:p>
        </w:tc>
      </w:tr>
      <w:tr w:rsidR="007D3015" w:rsidRPr="00A473B4" w14:paraId="03629650" w14:textId="77777777" w:rsidTr="00BF73EB">
        <w:tc>
          <w:tcPr>
            <w:tcW w:w="9017" w:type="dxa"/>
            <w:gridSpan w:val="3"/>
          </w:tcPr>
          <w:p w14:paraId="032D7EB5" w14:textId="77777777" w:rsidR="007D3015" w:rsidRPr="00652987" w:rsidRDefault="007D3015" w:rsidP="0097430E">
            <w:pPr>
              <w:pStyle w:val="COMTabletext"/>
              <w:jc w:val="both"/>
              <w:rPr>
                <w:b/>
                <w:bCs w:val="0"/>
              </w:rPr>
            </w:pPr>
            <w:r>
              <w:rPr>
                <w:b/>
                <w:bCs w:val="0"/>
              </w:rPr>
              <w:t>Cost-minimisation of iptacopan</w:t>
            </w:r>
          </w:p>
        </w:tc>
      </w:tr>
      <w:tr w:rsidR="007D3015" w:rsidRPr="00A473B4" w14:paraId="52053331" w14:textId="77777777" w:rsidTr="00BF73EB">
        <w:tc>
          <w:tcPr>
            <w:tcW w:w="5665" w:type="dxa"/>
          </w:tcPr>
          <w:p w14:paraId="782D3185" w14:textId="77777777" w:rsidR="007D3015" w:rsidRPr="00A473B4" w:rsidRDefault="007D3015" w:rsidP="0097430E">
            <w:pPr>
              <w:pStyle w:val="COMTabletext"/>
            </w:pPr>
            <w:r>
              <w:t>Iptacopan cost over the first year</w:t>
            </w:r>
          </w:p>
        </w:tc>
        <w:tc>
          <w:tcPr>
            <w:tcW w:w="1392" w:type="dxa"/>
          </w:tcPr>
          <w:p w14:paraId="78D1BDA7" w14:textId="77777777" w:rsidR="007D3015" w:rsidRPr="00A473B4" w:rsidRDefault="007D3015" w:rsidP="0097430E">
            <w:pPr>
              <w:pStyle w:val="COMTabletext"/>
              <w:jc w:val="center"/>
            </w:pPr>
            <w:r>
              <w:t>-</w:t>
            </w:r>
          </w:p>
        </w:tc>
        <w:tc>
          <w:tcPr>
            <w:tcW w:w="1960" w:type="dxa"/>
          </w:tcPr>
          <w:p w14:paraId="21659B58" w14:textId="77777777" w:rsidR="007D3015" w:rsidRPr="00A473B4" w:rsidRDefault="007D3015" w:rsidP="0097430E">
            <w:pPr>
              <w:pStyle w:val="COMTabletext"/>
              <w:jc w:val="center"/>
            </w:pPr>
            <w:r w:rsidRPr="00FA3594">
              <w:t>$503,924.41</w:t>
            </w:r>
          </w:p>
        </w:tc>
      </w:tr>
      <w:tr w:rsidR="007D3015" w:rsidRPr="00A473B4" w14:paraId="2766C576" w14:textId="77777777" w:rsidTr="00BF73EB">
        <w:tc>
          <w:tcPr>
            <w:tcW w:w="5665" w:type="dxa"/>
          </w:tcPr>
          <w:p w14:paraId="2C89CFCB" w14:textId="77777777" w:rsidR="007D3015" w:rsidRPr="007241F8" w:rsidRDefault="007D3015" w:rsidP="0097430E">
            <w:pPr>
              <w:pStyle w:val="COMTabletext"/>
              <w:rPr>
                <w:vertAlign w:val="superscript"/>
              </w:rPr>
            </w:pPr>
            <w:r>
              <w:t xml:space="preserve">Iptacopan packs in first year </w:t>
            </w:r>
            <w:r>
              <w:rPr>
                <w:vertAlign w:val="superscript"/>
              </w:rPr>
              <w:t>d</w:t>
            </w:r>
          </w:p>
        </w:tc>
        <w:tc>
          <w:tcPr>
            <w:tcW w:w="1392" w:type="dxa"/>
          </w:tcPr>
          <w:p w14:paraId="3DF5754A" w14:textId="77777777" w:rsidR="007D3015" w:rsidRPr="00A473B4" w:rsidRDefault="007D3015" w:rsidP="0097430E">
            <w:pPr>
              <w:pStyle w:val="COMTabletext"/>
              <w:jc w:val="center"/>
            </w:pPr>
            <w:r>
              <w:t>-</w:t>
            </w:r>
          </w:p>
        </w:tc>
        <w:tc>
          <w:tcPr>
            <w:tcW w:w="1960" w:type="dxa"/>
          </w:tcPr>
          <w:p w14:paraId="0CA169DC" w14:textId="77777777" w:rsidR="007D3015" w:rsidRPr="00D35481" w:rsidRDefault="007D3015" w:rsidP="0097430E">
            <w:pPr>
              <w:pStyle w:val="COMTabletext"/>
              <w:jc w:val="center"/>
              <w:rPr>
                <w:vertAlign w:val="superscript"/>
              </w:rPr>
            </w:pPr>
            <w:r>
              <w:t>13.04</w:t>
            </w:r>
          </w:p>
        </w:tc>
      </w:tr>
      <w:tr w:rsidR="007D3015" w:rsidRPr="00A473B4" w14:paraId="3122A819" w14:textId="77777777" w:rsidTr="00BF73EB">
        <w:tc>
          <w:tcPr>
            <w:tcW w:w="5665" w:type="dxa"/>
          </w:tcPr>
          <w:p w14:paraId="2CB1FD9C" w14:textId="77777777" w:rsidR="007D3015" w:rsidRPr="00A473B4" w:rsidRDefault="007D3015" w:rsidP="0097430E">
            <w:pPr>
              <w:pStyle w:val="COMTabletext"/>
            </w:pPr>
            <w:r>
              <w:t>Iptacopan cost (AEMP) in first year (</w:t>
            </w:r>
            <w:r w:rsidRPr="00FA3594">
              <w:t>$503,924.41</w:t>
            </w:r>
            <w:r>
              <w:t xml:space="preserve"> ÷ 13.04)</w:t>
            </w:r>
          </w:p>
        </w:tc>
        <w:tc>
          <w:tcPr>
            <w:tcW w:w="1392" w:type="dxa"/>
          </w:tcPr>
          <w:p w14:paraId="435B16EC" w14:textId="77777777" w:rsidR="007D3015" w:rsidRPr="00A473B4" w:rsidRDefault="007D3015" w:rsidP="0097430E">
            <w:pPr>
              <w:pStyle w:val="COMTabletext"/>
              <w:jc w:val="center"/>
            </w:pPr>
            <w:r>
              <w:t>-</w:t>
            </w:r>
          </w:p>
        </w:tc>
        <w:tc>
          <w:tcPr>
            <w:tcW w:w="1960" w:type="dxa"/>
          </w:tcPr>
          <w:p w14:paraId="188B3FFE" w14:textId="77777777" w:rsidR="007D3015" w:rsidRPr="00A473B4" w:rsidRDefault="007D3015" w:rsidP="0097430E">
            <w:pPr>
              <w:pStyle w:val="COMTabletext"/>
              <w:jc w:val="center"/>
            </w:pPr>
            <w:r w:rsidRPr="00370C39">
              <w:t>$38,657.22</w:t>
            </w:r>
          </w:p>
        </w:tc>
      </w:tr>
    </w:tbl>
    <w:p w14:paraId="1997A319" w14:textId="77777777" w:rsidR="007D3015" w:rsidRDefault="007D3015" w:rsidP="0097430E">
      <w:pPr>
        <w:pStyle w:val="COMTablefooter"/>
        <w:keepNext/>
      </w:pPr>
      <w:r w:rsidRPr="00F57D7D">
        <w:t>Source: Derived using the ‘Cost-min analysis’ worksheet of the cost-minimisation Excel workbook, Attachment 10 of the submission.</w:t>
      </w:r>
    </w:p>
    <w:p w14:paraId="6958ABA7" w14:textId="77777777" w:rsidR="007D3015" w:rsidRDefault="007D3015" w:rsidP="0097430E">
      <w:pPr>
        <w:pStyle w:val="COMTablefooter"/>
        <w:keepNext/>
      </w:pPr>
      <w:r>
        <w:t>Abbreviations: AEMP, approved ex-manufacturer price.</w:t>
      </w:r>
      <w:r w:rsidRPr="00A473B4">
        <w:t xml:space="preserve"> </w:t>
      </w:r>
    </w:p>
    <w:p w14:paraId="09BE2101" w14:textId="77777777" w:rsidR="007D3015" w:rsidRPr="0060550C" w:rsidRDefault="007D3015" w:rsidP="0097430E">
      <w:pPr>
        <w:pStyle w:val="COMTablefooter"/>
        <w:keepNext/>
      </w:pPr>
      <w:r>
        <w:rPr>
          <w:vertAlign w:val="superscript"/>
        </w:rPr>
        <w:t>a</w:t>
      </w:r>
      <w:r>
        <w:t xml:space="preserve"> Based on the number of pegcetacoplan injections included in the equi-effective dose relationship for pegcetacoplan versus ravulizumab in the July 2022 pegcetacoplan submission (paragraph 5.5, pegcetacoplan, Public Summary Document, July 2022 PBAC meeting).</w:t>
      </w:r>
    </w:p>
    <w:p w14:paraId="5E04D617" w14:textId="3DF8DE15" w:rsidR="007D3015" w:rsidRPr="007241F8" w:rsidRDefault="007D3015" w:rsidP="0097430E">
      <w:pPr>
        <w:pStyle w:val="COMTablefooter"/>
        <w:keepNext/>
      </w:pPr>
      <w:r>
        <w:rPr>
          <w:vertAlign w:val="superscript"/>
        </w:rPr>
        <w:t>b</w:t>
      </w:r>
      <w:r>
        <w:t xml:space="preserve"> </w:t>
      </w:r>
      <w:r w:rsidRPr="007241F8">
        <w:t>Based on the maintenance dosing of ravulizumab reported in the July 2022 pegcetacoplan Public Summary Document in the cost-minimisation of pegcetacoplan versus ravulizumab (21,375 mg</w:t>
      </w:r>
      <w:r>
        <w:t xml:space="preserve">), </w:t>
      </w:r>
      <w:r w:rsidR="007248A9">
        <w:t>t</w:t>
      </w:r>
      <w:r w:rsidRPr="007241F8">
        <w:t>he submission assumed that 1,644 mg of ravulizumab would be required over 4 weeks (21,375 mg ÷ 52 weeks x 4 weeks)</w:t>
      </w:r>
      <w:r>
        <w:t>.</w:t>
      </w:r>
    </w:p>
    <w:p w14:paraId="7A960911" w14:textId="77777777" w:rsidR="007D3015" w:rsidRPr="000A4D01" w:rsidRDefault="007D3015" w:rsidP="0097430E">
      <w:pPr>
        <w:pStyle w:val="COMTablefooter"/>
        <w:keepNext/>
      </w:pPr>
      <w:r>
        <w:rPr>
          <w:vertAlign w:val="superscript"/>
        </w:rPr>
        <w:t>c</w:t>
      </w:r>
      <w:r>
        <w:t xml:space="preserve"> Based on the recommended dosing of ravulizumab every 8 weeks, the administration cost for 4 weeks of treatment </w:t>
      </w:r>
      <w:r w:rsidRPr="000A4D01">
        <w:t xml:space="preserve">was assumed to be 50% of the cost </w:t>
      </w:r>
      <w:r>
        <w:t>of</w:t>
      </w:r>
      <w:r w:rsidRPr="000A4D01">
        <w:t xml:space="preserve"> MBS Item 13950</w:t>
      </w:r>
      <w:r>
        <w:t xml:space="preserve"> (</w:t>
      </w:r>
      <w:r w:rsidRPr="00F36559">
        <w:t>parenteral administration of one or more antineoplastic agents</w:t>
      </w:r>
      <w:r>
        <w:t>).</w:t>
      </w:r>
    </w:p>
    <w:p w14:paraId="68E6D3C6" w14:textId="77777777" w:rsidR="007D3015" w:rsidRDefault="007D3015" w:rsidP="007D3015">
      <w:pPr>
        <w:pStyle w:val="COMTablefooter"/>
      </w:pPr>
      <w:r>
        <w:rPr>
          <w:vertAlign w:val="superscript"/>
        </w:rPr>
        <w:t>d</w:t>
      </w:r>
      <w:r>
        <w:t xml:space="preserve"> </w:t>
      </w:r>
      <w:r w:rsidRPr="009767A9">
        <w:t xml:space="preserve">Iptacopan packs in first year </w:t>
      </w:r>
      <w:r>
        <w:t xml:space="preserve">based on </w:t>
      </w:r>
      <w:r w:rsidRPr="009767A9">
        <w:t>365</w:t>
      </w:r>
      <w:r>
        <w:t> </w:t>
      </w:r>
      <w:r w:rsidRPr="009767A9">
        <w:t>days per year</w:t>
      </w:r>
      <w:r>
        <w:t xml:space="preserve"> and </w:t>
      </w:r>
      <w:r w:rsidRPr="009767A9">
        <w:t>28</w:t>
      </w:r>
      <w:r>
        <w:t> </w:t>
      </w:r>
      <w:r w:rsidRPr="009767A9">
        <w:t>days per pack</w:t>
      </w:r>
      <w:r>
        <w:t>.</w:t>
      </w:r>
    </w:p>
    <w:p w14:paraId="022F28BD" w14:textId="53AC70FD" w:rsidR="007D3015" w:rsidRDefault="007D3015" w:rsidP="007D3015">
      <w:pPr>
        <w:pStyle w:val="COMexecsumnumberedpara"/>
      </w:pPr>
      <w:r>
        <w:t>Based on the cost</w:t>
      </w:r>
      <w:r w:rsidR="008E7C84">
        <w:t>-</w:t>
      </w:r>
      <w:r>
        <w:t xml:space="preserve">minimisation of iptacopan versus pegcetacoplan, the submission estimated an AEMP </w:t>
      </w:r>
      <w:r w:rsidR="00680588">
        <w:t xml:space="preserve">of </w:t>
      </w:r>
      <w:r w:rsidRPr="00FA6051">
        <w:t>$38,657.22</w:t>
      </w:r>
      <w:r>
        <w:t xml:space="preserve"> per pack of 56 x 200 mg </w:t>
      </w:r>
      <w:r w:rsidR="00680588">
        <w:t xml:space="preserve">iptacopan </w:t>
      </w:r>
      <w:r>
        <w:t>capsules, equating to a Section 100 public hospital DPMQ of $38,657.22 and a Section 100 private hospital DPMQ of $38,705.59.</w:t>
      </w:r>
      <w:r w:rsidR="005F57B0">
        <w:t xml:space="preserve"> </w:t>
      </w:r>
      <w:r w:rsidR="008E7C84">
        <w:t xml:space="preserve">The submission acknowledged that the effective price and cost per patient will be lower than the numbers presented in the cost-minimisation, which are based on published prices. </w:t>
      </w:r>
    </w:p>
    <w:p w14:paraId="224FA3DC" w14:textId="5FB163DE" w:rsidR="00086BDD" w:rsidRPr="009929EF" w:rsidRDefault="007D3015" w:rsidP="007D3015">
      <w:pPr>
        <w:pStyle w:val="COMexecsumnumberedpara"/>
      </w:pPr>
      <w:r w:rsidRPr="009929EF">
        <w:t>Based on exclusion of the drug and administration costs associated with ravulizumab</w:t>
      </w:r>
      <w:r w:rsidR="00086BDD" w:rsidRPr="009929EF">
        <w:t xml:space="preserve"> (steady state dose comparison)</w:t>
      </w:r>
      <w:r w:rsidRPr="009929EF">
        <w:t>, the cost-minimised AEMP of iptacopan was $35,888.61.</w:t>
      </w:r>
      <w:r w:rsidR="00C356D4" w:rsidRPr="009929EF">
        <w:t xml:space="preserve"> </w:t>
      </w:r>
    </w:p>
    <w:p w14:paraId="6F2FB0EE" w14:textId="73533080" w:rsidR="007D3015" w:rsidRPr="009929EF" w:rsidRDefault="00CE3128" w:rsidP="007D3015">
      <w:pPr>
        <w:pStyle w:val="COMexecsumnumberedpara"/>
      </w:pPr>
      <w:r w:rsidRPr="009929EF">
        <w:t>The ESC considered it was appropriate for iptacopan to be cost</w:t>
      </w:r>
      <w:r w:rsidR="006F5DD0">
        <w:t xml:space="preserve"> </w:t>
      </w:r>
      <w:r w:rsidRPr="009929EF">
        <w:t xml:space="preserve">neutral to the PBS. </w:t>
      </w:r>
    </w:p>
    <w:p w14:paraId="472842D7" w14:textId="135E791B" w:rsidR="00C25D9C" w:rsidRDefault="00C25D9C" w:rsidP="00BB732D">
      <w:pPr>
        <w:pStyle w:val="COMH2-non-numbered"/>
      </w:pPr>
      <w:bookmarkStart w:id="55" w:name="_Toc22897646"/>
      <w:bookmarkStart w:id="56" w:name="_Toc167262991"/>
      <w:r w:rsidRPr="00A473B4">
        <w:t>Drug cost/patient/year</w:t>
      </w:r>
      <w:bookmarkEnd w:id="55"/>
      <w:bookmarkEnd w:id="56"/>
    </w:p>
    <w:p w14:paraId="1B8D0803" w14:textId="582FF6B9" w:rsidR="00C62EBB" w:rsidRPr="00C62EBB" w:rsidRDefault="00C62EBB" w:rsidP="00C62EBB">
      <w:pPr>
        <w:pStyle w:val="COMexecsumnumberedpara"/>
      </w:pPr>
      <w:r>
        <w:fldChar w:fldCharType="begin"/>
      </w:r>
      <w:r>
        <w:instrText xml:space="preserve"> REF _Ref104805102 \h </w:instrText>
      </w:r>
      <w:r>
        <w:fldChar w:fldCharType="separate"/>
      </w:r>
      <w:r w:rsidR="002E7F91" w:rsidRPr="00A473B4">
        <w:t xml:space="preserve">Table </w:t>
      </w:r>
      <w:r w:rsidR="002E7F91">
        <w:rPr>
          <w:noProof/>
        </w:rPr>
        <w:t>15</w:t>
      </w:r>
      <w:r>
        <w:fldChar w:fldCharType="end"/>
      </w:r>
      <w:r>
        <w:t xml:space="preserve"> presents a comparison of drug costs for iptacopan and pegcetacoplan included in the cost-minimisation and financial estimates. </w:t>
      </w:r>
    </w:p>
    <w:p w14:paraId="51691BD3" w14:textId="6D6DB658" w:rsidR="00494207" w:rsidRPr="00A473B4" w:rsidRDefault="00E16AD8" w:rsidP="00FD4ED6">
      <w:pPr>
        <w:pStyle w:val="COMtablefigcaption"/>
      </w:pPr>
      <w:bookmarkStart w:id="57" w:name="_Ref104805102"/>
      <w:r w:rsidRPr="00A473B4">
        <w:lastRenderedPageBreak/>
        <w:t xml:space="preserve">Table </w:t>
      </w:r>
      <w:r w:rsidR="00C52DBB">
        <w:fldChar w:fldCharType="begin"/>
      </w:r>
      <w:r w:rsidR="00C52DBB">
        <w:instrText xml:space="preserve"> SEQ Table \* ARABIC </w:instrText>
      </w:r>
      <w:r w:rsidR="00C52DBB">
        <w:fldChar w:fldCharType="separate"/>
      </w:r>
      <w:r w:rsidR="002E7F91">
        <w:rPr>
          <w:noProof/>
        </w:rPr>
        <w:t>15</w:t>
      </w:r>
      <w:r w:rsidR="00C52DBB">
        <w:rPr>
          <w:noProof/>
        </w:rPr>
        <w:fldChar w:fldCharType="end"/>
      </w:r>
      <w:bookmarkEnd w:id="57"/>
      <w:r w:rsidRPr="00A473B4">
        <w:t>:</w:t>
      </w:r>
      <w:r w:rsidR="00494207" w:rsidRPr="00A473B4">
        <w:t xml:space="preserve"> Drug cost per patient for </w:t>
      </w:r>
      <w:r w:rsidR="00361281">
        <w:t>iptacopan</w:t>
      </w:r>
      <w:r w:rsidR="00494207" w:rsidRPr="00A473B4">
        <w:t xml:space="preserve"> and </w:t>
      </w:r>
      <w:r w:rsidR="00361281">
        <w:t>pegcetacoplan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5: Drug cost per patient for iptacopan and pegcetacoplan"/>
        <w:tblDescription w:val="Table 15: Drug cost per patient for iptacopan and pegcetacoplan"/>
      </w:tblPr>
      <w:tblGrid>
        <w:gridCol w:w="2830"/>
        <w:gridCol w:w="2061"/>
        <w:gridCol w:w="2061"/>
        <w:gridCol w:w="2065"/>
      </w:tblGrid>
      <w:tr w:rsidR="00293B46" w:rsidRPr="00A473B4" w14:paraId="21AC90BD" w14:textId="77777777" w:rsidTr="00720832">
        <w:trPr>
          <w:cantSplit/>
          <w:tblHeader/>
          <w:jc w:val="center"/>
        </w:trPr>
        <w:tc>
          <w:tcPr>
            <w:tcW w:w="1569" w:type="pct"/>
            <w:shd w:val="clear" w:color="auto" w:fill="auto"/>
            <w:vAlign w:val="center"/>
          </w:tcPr>
          <w:p w14:paraId="485D48B1" w14:textId="77777777" w:rsidR="00293B46" w:rsidRPr="00A473B4" w:rsidRDefault="00293B46" w:rsidP="00BB732D">
            <w:pPr>
              <w:pStyle w:val="COMTableheadingrow"/>
              <w:jc w:val="center"/>
            </w:pPr>
          </w:p>
        </w:tc>
        <w:tc>
          <w:tcPr>
            <w:tcW w:w="1143" w:type="pct"/>
            <w:shd w:val="clear" w:color="auto" w:fill="auto"/>
            <w:vAlign w:val="center"/>
          </w:tcPr>
          <w:p w14:paraId="3642530E" w14:textId="5F77FE13" w:rsidR="00293B46" w:rsidRPr="00A473B4" w:rsidRDefault="00293B46" w:rsidP="00BB732D">
            <w:pPr>
              <w:pStyle w:val="COMTableheadingrow"/>
              <w:jc w:val="center"/>
            </w:pPr>
            <w:r>
              <w:t>Clinical trial</w:t>
            </w:r>
          </w:p>
        </w:tc>
        <w:tc>
          <w:tcPr>
            <w:tcW w:w="1143" w:type="pct"/>
            <w:shd w:val="clear" w:color="auto" w:fill="auto"/>
            <w:vAlign w:val="center"/>
          </w:tcPr>
          <w:p w14:paraId="250CD479" w14:textId="7EE7BE30" w:rsidR="00293B46" w:rsidRPr="00A473B4" w:rsidRDefault="00293B46" w:rsidP="00BB732D">
            <w:pPr>
              <w:pStyle w:val="COMTableheadingrow"/>
              <w:jc w:val="center"/>
            </w:pPr>
            <w:r>
              <w:t>Cost-minimisation</w:t>
            </w:r>
          </w:p>
        </w:tc>
        <w:tc>
          <w:tcPr>
            <w:tcW w:w="1144" w:type="pct"/>
            <w:shd w:val="clear" w:color="auto" w:fill="auto"/>
            <w:vAlign w:val="center"/>
          </w:tcPr>
          <w:p w14:paraId="44C76606" w14:textId="1B8545D7" w:rsidR="00293B46" w:rsidRPr="00A473B4" w:rsidRDefault="00293B46" w:rsidP="00BB732D">
            <w:pPr>
              <w:pStyle w:val="COMTableheadingrow"/>
              <w:jc w:val="center"/>
            </w:pPr>
            <w:r>
              <w:t>Financial estimates</w:t>
            </w:r>
          </w:p>
        </w:tc>
      </w:tr>
      <w:tr w:rsidR="00293B46" w:rsidRPr="00A473B4" w14:paraId="745DAF0B" w14:textId="77777777" w:rsidTr="00293B46">
        <w:trPr>
          <w:cantSplit/>
          <w:jc w:val="center"/>
        </w:trPr>
        <w:tc>
          <w:tcPr>
            <w:tcW w:w="5000" w:type="pct"/>
            <w:gridSpan w:val="4"/>
            <w:shd w:val="clear" w:color="auto" w:fill="auto"/>
            <w:vAlign w:val="center"/>
          </w:tcPr>
          <w:p w14:paraId="23821253" w14:textId="380C1829" w:rsidR="00293B46" w:rsidRPr="00293B46" w:rsidRDefault="002E7477" w:rsidP="00293B46">
            <w:pPr>
              <w:pStyle w:val="COMTabletext"/>
              <w:rPr>
                <w:b/>
                <w:bCs w:val="0"/>
                <w:lang w:val="en-US"/>
              </w:rPr>
            </w:pPr>
            <w:r>
              <w:rPr>
                <w:b/>
                <w:bCs w:val="0"/>
                <w:lang w:val="en-US"/>
              </w:rPr>
              <w:t>Iptacopan</w:t>
            </w:r>
          </w:p>
        </w:tc>
      </w:tr>
      <w:tr w:rsidR="00A27ED8" w:rsidRPr="00A473B4" w14:paraId="35901BA2" w14:textId="77777777" w:rsidTr="00720832">
        <w:trPr>
          <w:cantSplit/>
          <w:jc w:val="center"/>
        </w:trPr>
        <w:tc>
          <w:tcPr>
            <w:tcW w:w="1569" w:type="pct"/>
            <w:shd w:val="clear" w:color="auto" w:fill="auto"/>
            <w:vAlign w:val="center"/>
          </w:tcPr>
          <w:p w14:paraId="15FA7BDE" w14:textId="48E06268" w:rsidR="00A27ED8" w:rsidRDefault="00A27ED8" w:rsidP="00A27ED8">
            <w:pPr>
              <w:pStyle w:val="COMTabletext"/>
              <w:rPr>
                <w:lang w:val="en-US"/>
              </w:rPr>
            </w:pPr>
            <w:r>
              <w:rPr>
                <w:lang w:val="en-US"/>
              </w:rPr>
              <w:t>Dose</w:t>
            </w:r>
            <w:r w:rsidR="00B74D3C">
              <w:rPr>
                <w:lang w:val="en-US"/>
              </w:rPr>
              <w:t xml:space="preserve"> regimen</w:t>
            </w:r>
          </w:p>
        </w:tc>
        <w:tc>
          <w:tcPr>
            <w:tcW w:w="1143" w:type="pct"/>
            <w:shd w:val="clear" w:color="auto" w:fill="auto"/>
            <w:vAlign w:val="center"/>
          </w:tcPr>
          <w:p w14:paraId="456EB789" w14:textId="43AC3E25" w:rsidR="00A27ED8" w:rsidRDefault="00A27ED8" w:rsidP="00A27ED8">
            <w:pPr>
              <w:pStyle w:val="COMTabletext"/>
              <w:jc w:val="center"/>
              <w:rPr>
                <w:bCs w:val="0"/>
                <w:lang w:val="en-US"/>
              </w:rPr>
            </w:pPr>
            <w:r>
              <w:rPr>
                <w:bCs w:val="0"/>
                <w:lang w:val="en-US"/>
              </w:rPr>
              <w:t>200 mg twice daily</w:t>
            </w:r>
          </w:p>
        </w:tc>
        <w:tc>
          <w:tcPr>
            <w:tcW w:w="1143" w:type="pct"/>
            <w:shd w:val="clear" w:color="auto" w:fill="auto"/>
            <w:vAlign w:val="center"/>
          </w:tcPr>
          <w:p w14:paraId="4383CBF9" w14:textId="6EC3A8F8" w:rsidR="00A27ED8" w:rsidRPr="00A27ED8" w:rsidRDefault="00A27ED8" w:rsidP="00A27ED8">
            <w:pPr>
              <w:pStyle w:val="COMTabletext"/>
              <w:jc w:val="center"/>
              <w:rPr>
                <w:bCs w:val="0"/>
                <w:lang w:val="en-US"/>
              </w:rPr>
            </w:pPr>
            <w:r>
              <w:rPr>
                <w:bCs w:val="0"/>
                <w:lang w:val="en-US"/>
              </w:rPr>
              <w:t>200 mg twice daily</w:t>
            </w:r>
          </w:p>
        </w:tc>
        <w:tc>
          <w:tcPr>
            <w:tcW w:w="1144" w:type="pct"/>
            <w:shd w:val="clear" w:color="auto" w:fill="auto"/>
            <w:vAlign w:val="center"/>
          </w:tcPr>
          <w:p w14:paraId="3234FB0E" w14:textId="4F57727D" w:rsidR="00A27ED8" w:rsidRPr="00A27ED8" w:rsidRDefault="00A27ED8" w:rsidP="00A27ED8">
            <w:pPr>
              <w:pStyle w:val="COMTabletext"/>
              <w:jc w:val="center"/>
              <w:rPr>
                <w:bCs w:val="0"/>
                <w:lang w:val="en-US"/>
              </w:rPr>
            </w:pPr>
            <w:r>
              <w:rPr>
                <w:bCs w:val="0"/>
                <w:lang w:val="en-US"/>
              </w:rPr>
              <w:t>200 mg twice daily</w:t>
            </w:r>
          </w:p>
        </w:tc>
      </w:tr>
      <w:tr w:rsidR="00A27ED8" w:rsidRPr="00A473B4" w14:paraId="67602110" w14:textId="77777777" w:rsidTr="00720832">
        <w:trPr>
          <w:cantSplit/>
          <w:jc w:val="center"/>
        </w:trPr>
        <w:tc>
          <w:tcPr>
            <w:tcW w:w="1569" w:type="pct"/>
            <w:shd w:val="clear" w:color="auto" w:fill="auto"/>
            <w:vAlign w:val="center"/>
          </w:tcPr>
          <w:p w14:paraId="7B6CF719" w14:textId="6815529E" w:rsidR="00A27ED8" w:rsidRDefault="00A27ED8" w:rsidP="00A27ED8">
            <w:pPr>
              <w:pStyle w:val="COMTabletext"/>
              <w:rPr>
                <w:lang w:val="en-US"/>
              </w:rPr>
            </w:pPr>
            <w:r>
              <w:rPr>
                <w:lang w:val="en-US"/>
              </w:rPr>
              <w:t>Cost per pack</w:t>
            </w:r>
            <w:r w:rsidR="00B74D3C">
              <w:rPr>
                <w:lang w:val="en-US"/>
              </w:rPr>
              <w:t xml:space="preserve"> (56 x 200 mg capsules)</w:t>
            </w:r>
          </w:p>
        </w:tc>
        <w:tc>
          <w:tcPr>
            <w:tcW w:w="1143" w:type="pct"/>
            <w:shd w:val="clear" w:color="auto" w:fill="auto"/>
            <w:vAlign w:val="center"/>
          </w:tcPr>
          <w:p w14:paraId="1E50689B" w14:textId="6712A08E" w:rsidR="00A27ED8" w:rsidRPr="00CC50EA" w:rsidRDefault="00A27ED8" w:rsidP="00A27ED8">
            <w:pPr>
              <w:pStyle w:val="COMTabletext"/>
              <w:jc w:val="center"/>
              <w:rPr>
                <w:bCs w:val="0"/>
                <w:lang w:val="en-US"/>
              </w:rPr>
            </w:pPr>
            <w:r>
              <w:rPr>
                <w:bCs w:val="0"/>
                <w:lang w:val="en-US"/>
              </w:rPr>
              <w:t>-</w:t>
            </w:r>
          </w:p>
        </w:tc>
        <w:tc>
          <w:tcPr>
            <w:tcW w:w="1143" w:type="pct"/>
            <w:shd w:val="clear" w:color="auto" w:fill="auto"/>
            <w:vAlign w:val="center"/>
          </w:tcPr>
          <w:p w14:paraId="0DC9B2CA" w14:textId="362F38DD" w:rsidR="00A27ED8" w:rsidRPr="00CC50EA" w:rsidRDefault="00A27ED8" w:rsidP="00A27ED8">
            <w:pPr>
              <w:pStyle w:val="COMTabletext"/>
              <w:jc w:val="center"/>
              <w:rPr>
                <w:bCs w:val="0"/>
                <w:lang w:val="en-US"/>
              </w:rPr>
            </w:pPr>
            <w:r w:rsidRPr="00A27ED8">
              <w:rPr>
                <w:bCs w:val="0"/>
                <w:lang w:val="en-US"/>
              </w:rPr>
              <w:t>$38,657.22</w:t>
            </w:r>
          </w:p>
        </w:tc>
        <w:tc>
          <w:tcPr>
            <w:tcW w:w="1144" w:type="pct"/>
            <w:shd w:val="clear" w:color="auto" w:fill="auto"/>
            <w:vAlign w:val="center"/>
          </w:tcPr>
          <w:p w14:paraId="0DDCB6DE" w14:textId="13A3F6D8" w:rsidR="00A27ED8" w:rsidRPr="00CC50EA" w:rsidRDefault="00A27ED8" w:rsidP="00A27ED8">
            <w:pPr>
              <w:pStyle w:val="COMTabletext"/>
              <w:jc w:val="center"/>
              <w:rPr>
                <w:bCs w:val="0"/>
                <w:lang w:val="en-US"/>
              </w:rPr>
            </w:pPr>
            <w:r w:rsidRPr="00A27ED8">
              <w:rPr>
                <w:bCs w:val="0"/>
                <w:lang w:val="en-US"/>
              </w:rPr>
              <w:t>$38,657.22</w:t>
            </w:r>
          </w:p>
        </w:tc>
      </w:tr>
      <w:tr w:rsidR="00A27ED8" w:rsidRPr="00A473B4" w14:paraId="0B84FE33" w14:textId="77777777" w:rsidTr="00720832">
        <w:trPr>
          <w:cantSplit/>
          <w:jc w:val="center"/>
        </w:trPr>
        <w:tc>
          <w:tcPr>
            <w:tcW w:w="1569" w:type="pct"/>
            <w:shd w:val="clear" w:color="auto" w:fill="auto"/>
            <w:vAlign w:val="center"/>
          </w:tcPr>
          <w:p w14:paraId="49111F6C" w14:textId="3FDD367E" w:rsidR="00A27ED8" w:rsidRPr="00A473B4" w:rsidRDefault="00A27ED8" w:rsidP="00A27ED8">
            <w:pPr>
              <w:pStyle w:val="COMTabletext"/>
              <w:rPr>
                <w:lang w:val="en-US"/>
              </w:rPr>
            </w:pPr>
            <w:r>
              <w:rPr>
                <w:lang w:val="en-US"/>
              </w:rPr>
              <w:t>Scripts per year</w:t>
            </w:r>
          </w:p>
        </w:tc>
        <w:tc>
          <w:tcPr>
            <w:tcW w:w="1143" w:type="pct"/>
            <w:shd w:val="clear" w:color="auto" w:fill="auto"/>
            <w:vAlign w:val="center"/>
          </w:tcPr>
          <w:p w14:paraId="30EF57C3" w14:textId="166AB5CA" w:rsidR="00A27ED8" w:rsidRPr="00CC50EA" w:rsidRDefault="00A27ED8" w:rsidP="00A27ED8">
            <w:pPr>
              <w:pStyle w:val="COMTabletext"/>
              <w:jc w:val="center"/>
              <w:rPr>
                <w:bCs w:val="0"/>
                <w:vertAlign w:val="superscript"/>
                <w:lang w:val="en-US"/>
              </w:rPr>
            </w:pPr>
            <w:r>
              <w:rPr>
                <w:bCs w:val="0"/>
                <w:lang w:val="en-US"/>
              </w:rPr>
              <w:t>-</w:t>
            </w:r>
          </w:p>
        </w:tc>
        <w:tc>
          <w:tcPr>
            <w:tcW w:w="1143" w:type="pct"/>
            <w:shd w:val="clear" w:color="auto" w:fill="auto"/>
            <w:vAlign w:val="center"/>
          </w:tcPr>
          <w:p w14:paraId="6906B266" w14:textId="7B17A878" w:rsidR="00A27ED8" w:rsidRPr="001E620C" w:rsidRDefault="00B74D3C" w:rsidP="00A27ED8">
            <w:pPr>
              <w:pStyle w:val="COMTabletext"/>
              <w:jc w:val="center"/>
              <w:rPr>
                <w:bCs w:val="0"/>
                <w:vertAlign w:val="superscript"/>
                <w:lang w:val="en-US"/>
              </w:rPr>
            </w:pPr>
            <w:r>
              <w:rPr>
                <w:bCs w:val="0"/>
                <w:lang w:val="en-US"/>
              </w:rPr>
              <w:t>13.04</w:t>
            </w:r>
            <w:r w:rsidR="001E620C">
              <w:rPr>
                <w:bCs w:val="0"/>
                <w:lang w:val="en-US"/>
              </w:rPr>
              <w:t> </w:t>
            </w:r>
            <w:r w:rsidR="001E620C">
              <w:rPr>
                <w:bCs w:val="0"/>
                <w:vertAlign w:val="superscript"/>
                <w:lang w:val="en-US"/>
              </w:rPr>
              <w:t>a</w:t>
            </w:r>
          </w:p>
        </w:tc>
        <w:tc>
          <w:tcPr>
            <w:tcW w:w="1144" w:type="pct"/>
            <w:shd w:val="clear" w:color="auto" w:fill="auto"/>
            <w:vAlign w:val="center"/>
          </w:tcPr>
          <w:p w14:paraId="40F6D5BC" w14:textId="43550E7A" w:rsidR="00A27ED8" w:rsidRPr="001E620C" w:rsidRDefault="00B74D3C" w:rsidP="00A27ED8">
            <w:pPr>
              <w:pStyle w:val="COMTabletext"/>
              <w:jc w:val="center"/>
              <w:rPr>
                <w:bCs w:val="0"/>
                <w:vertAlign w:val="superscript"/>
                <w:lang w:val="en-US"/>
              </w:rPr>
            </w:pPr>
            <w:r>
              <w:rPr>
                <w:bCs w:val="0"/>
                <w:lang w:val="en-US"/>
              </w:rPr>
              <w:t>13.0</w:t>
            </w:r>
            <w:r w:rsidR="00361281">
              <w:rPr>
                <w:bCs w:val="0"/>
                <w:lang w:val="en-US"/>
              </w:rPr>
              <w:t>0</w:t>
            </w:r>
            <w:r w:rsidR="001E620C">
              <w:rPr>
                <w:bCs w:val="0"/>
                <w:lang w:val="en-US"/>
              </w:rPr>
              <w:t> </w:t>
            </w:r>
            <w:r w:rsidR="001E620C">
              <w:rPr>
                <w:bCs w:val="0"/>
                <w:vertAlign w:val="superscript"/>
                <w:lang w:val="en-US"/>
              </w:rPr>
              <w:t>b</w:t>
            </w:r>
          </w:p>
        </w:tc>
      </w:tr>
      <w:tr w:rsidR="00B74D3C" w:rsidRPr="00A473B4" w14:paraId="62BF7BF0" w14:textId="77777777" w:rsidTr="00720832">
        <w:trPr>
          <w:cantSplit/>
          <w:jc w:val="center"/>
        </w:trPr>
        <w:tc>
          <w:tcPr>
            <w:tcW w:w="1569" w:type="pct"/>
            <w:shd w:val="clear" w:color="auto" w:fill="auto"/>
            <w:vAlign w:val="center"/>
          </w:tcPr>
          <w:p w14:paraId="69E643D6" w14:textId="469FC880" w:rsidR="00B74D3C" w:rsidRDefault="00B74D3C" w:rsidP="00A27ED8">
            <w:pPr>
              <w:pStyle w:val="COMTabletext"/>
              <w:rPr>
                <w:lang w:val="en-US"/>
              </w:rPr>
            </w:pPr>
            <w:r>
              <w:rPr>
                <w:lang w:val="en-US"/>
              </w:rPr>
              <w:t>Cost per patient per year</w:t>
            </w:r>
          </w:p>
        </w:tc>
        <w:tc>
          <w:tcPr>
            <w:tcW w:w="1143" w:type="pct"/>
            <w:shd w:val="clear" w:color="auto" w:fill="auto"/>
            <w:vAlign w:val="center"/>
          </w:tcPr>
          <w:p w14:paraId="41C55E74" w14:textId="7ADBBA3A" w:rsidR="00B74D3C" w:rsidRDefault="00B74D3C" w:rsidP="00A27ED8">
            <w:pPr>
              <w:pStyle w:val="COMTabletext"/>
              <w:jc w:val="center"/>
              <w:rPr>
                <w:bCs w:val="0"/>
                <w:lang w:val="en-US"/>
              </w:rPr>
            </w:pPr>
            <w:r>
              <w:rPr>
                <w:bCs w:val="0"/>
                <w:lang w:val="en-US"/>
              </w:rPr>
              <w:t>-</w:t>
            </w:r>
          </w:p>
        </w:tc>
        <w:tc>
          <w:tcPr>
            <w:tcW w:w="1143" w:type="pct"/>
            <w:shd w:val="clear" w:color="auto" w:fill="auto"/>
            <w:vAlign w:val="center"/>
          </w:tcPr>
          <w:p w14:paraId="4BC56FB1" w14:textId="6833C148" w:rsidR="00B74D3C" w:rsidRPr="006C7777" w:rsidRDefault="00504863" w:rsidP="00A27ED8">
            <w:pPr>
              <w:pStyle w:val="COMTabletext"/>
              <w:jc w:val="center"/>
              <w:rPr>
                <w:bCs w:val="0"/>
                <w:vertAlign w:val="superscript"/>
                <w:lang w:val="en-US"/>
              </w:rPr>
            </w:pPr>
            <w:r w:rsidRPr="00504863">
              <w:rPr>
                <w:bCs w:val="0"/>
                <w:lang w:val="en-US"/>
              </w:rPr>
              <w:t>$503,924.41</w:t>
            </w:r>
          </w:p>
        </w:tc>
        <w:tc>
          <w:tcPr>
            <w:tcW w:w="1144" w:type="pct"/>
            <w:shd w:val="clear" w:color="auto" w:fill="auto"/>
            <w:vAlign w:val="center"/>
          </w:tcPr>
          <w:p w14:paraId="705AB430" w14:textId="30B7411E" w:rsidR="00B74D3C" w:rsidRPr="006C7777" w:rsidRDefault="006C7777" w:rsidP="00A27ED8">
            <w:pPr>
              <w:pStyle w:val="COMTabletext"/>
              <w:jc w:val="center"/>
              <w:rPr>
                <w:bCs w:val="0"/>
                <w:vertAlign w:val="superscript"/>
                <w:lang w:val="en-US"/>
              </w:rPr>
            </w:pPr>
            <w:r w:rsidRPr="006C7777">
              <w:rPr>
                <w:bCs w:val="0"/>
                <w:lang w:val="en-US"/>
              </w:rPr>
              <w:t>$502,543.86</w:t>
            </w:r>
          </w:p>
        </w:tc>
      </w:tr>
      <w:tr w:rsidR="00A27ED8" w:rsidRPr="00A473B4" w14:paraId="63F6792E" w14:textId="77777777" w:rsidTr="002E7477">
        <w:trPr>
          <w:cantSplit/>
          <w:jc w:val="center"/>
        </w:trPr>
        <w:tc>
          <w:tcPr>
            <w:tcW w:w="5000" w:type="pct"/>
            <w:gridSpan w:val="4"/>
            <w:shd w:val="clear" w:color="auto" w:fill="auto"/>
            <w:vAlign w:val="center"/>
          </w:tcPr>
          <w:p w14:paraId="2F317F7B" w14:textId="18BC1F7F" w:rsidR="00A27ED8" w:rsidRPr="002E7477" w:rsidRDefault="00A27ED8" w:rsidP="00A27ED8">
            <w:pPr>
              <w:pStyle w:val="COMTabletext"/>
              <w:rPr>
                <w:b/>
                <w:bCs w:val="0"/>
                <w:lang w:val="en-US"/>
              </w:rPr>
            </w:pPr>
            <w:r>
              <w:rPr>
                <w:b/>
                <w:bCs w:val="0"/>
                <w:lang w:val="en-US"/>
              </w:rPr>
              <w:t>Pegcetacoplan</w:t>
            </w:r>
          </w:p>
        </w:tc>
      </w:tr>
      <w:tr w:rsidR="008003B0" w:rsidRPr="00A473B4" w14:paraId="326E36AB" w14:textId="77777777" w:rsidTr="008003B0">
        <w:trPr>
          <w:cantSplit/>
          <w:jc w:val="center"/>
        </w:trPr>
        <w:tc>
          <w:tcPr>
            <w:tcW w:w="5000" w:type="pct"/>
            <w:gridSpan w:val="4"/>
            <w:shd w:val="clear" w:color="auto" w:fill="auto"/>
            <w:vAlign w:val="center"/>
          </w:tcPr>
          <w:p w14:paraId="673D36DA" w14:textId="020D9335" w:rsidR="008003B0" w:rsidRPr="008003B0" w:rsidRDefault="008003B0" w:rsidP="008003B0">
            <w:pPr>
              <w:pStyle w:val="COMTabletext"/>
              <w:rPr>
                <w:smallCaps/>
                <w:lang w:val="en-US"/>
              </w:rPr>
            </w:pPr>
            <w:r>
              <w:rPr>
                <w:smallCaps/>
                <w:lang w:val="en-US"/>
              </w:rPr>
              <w:t>Pegcetacoplan</w:t>
            </w:r>
          </w:p>
        </w:tc>
      </w:tr>
      <w:tr w:rsidR="0077346A" w:rsidRPr="00A473B4" w14:paraId="27453AF8" w14:textId="77777777" w:rsidTr="00720832">
        <w:trPr>
          <w:cantSplit/>
          <w:jc w:val="center"/>
        </w:trPr>
        <w:tc>
          <w:tcPr>
            <w:tcW w:w="1569" w:type="pct"/>
            <w:shd w:val="clear" w:color="auto" w:fill="auto"/>
            <w:vAlign w:val="center"/>
          </w:tcPr>
          <w:p w14:paraId="25F6C269" w14:textId="10868F48" w:rsidR="0077346A" w:rsidRPr="00A473B4" w:rsidRDefault="00422700" w:rsidP="0077346A">
            <w:pPr>
              <w:pStyle w:val="COMTabletext"/>
              <w:rPr>
                <w:lang w:val="en-US"/>
              </w:rPr>
            </w:pPr>
            <w:r>
              <w:rPr>
                <w:lang w:val="en-US"/>
              </w:rPr>
              <w:t>D</w:t>
            </w:r>
            <w:r w:rsidR="0077346A">
              <w:rPr>
                <w:lang w:val="en-US"/>
              </w:rPr>
              <w:t>ose regimen</w:t>
            </w:r>
          </w:p>
        </w:tc>
        <w:tc>
          <w:tcPr>
            <w:tcW w:w="1143" w:type="pct"/>
            <w:shd w:val="clear" w:color="auto" w:fill="auto"/>
            <w:vAlign w:val="center"/>
          </w:tcPr>
          <w:p w14:paraId="068D01E7" w14:textId="29D14094" w:rsidR="0077346A" w:rsidRPr="0036472D" w:rsidRDefault="0077346A" w:rsidP="0077346A">
            <w:pPr>
              <w:pStyle w:val="COMTabletext"/>
              <w:jc w:val="center"/>
              <w:rPr>
                <w:vertAlign w:val="superscript"/>
                <w:lang w:val="en-US"/>
              </w:rPr>
            </w:pPr>
            <w:r>
              <w:rPr>
                <w:lang w:val="en-US"/>
              </w:rPr>
              <w:t>1,080 mg twice weekly or every third day </w:t>
            </w:r>
            <w:r>
              <w:rPr>
                <w:vertAlign w:val="superscript"/>
                <w:lang w:val="en-US"/>
              </w:rPr>
              <w:t>c</w:t>
            </w:r>
          </w:p>
        </w:tc>
        <w:tc>
          <w:tcPr>
            <w:tcW w:w="1143" w:type="pct"/>
            <w:shd w:val="clear" w:color="auto" w:fill="auto"/>
            <w:vAlign w:val="center"/>
          </w:tcPr>
          <w:p w14:paraId="6A8EA088" w14:textId="773F36D9" w:rsidR="0077346A" w:rsidRPr="00C011A8" w:rsidRDefault="0077346A" w:rsidP="0077346A">
            <w:pPr>
              <w:pStyle w:val="COMTabletext"/>
              <w:jc w:val="center"/>
              <w:rPr>
                <w:vertAlign w:val="superscript"/>
                <w:lang w:val="en-US"/>
              </w:rPr>
            </w:pPr>
            <w:r>
              <w:rPr>
                <w:lang w:val="en-US"/>
              </w:rPr>
              <w:t>107.7</w:t>
            </w:r>
            <w:r w:rsidR="00720832">
              <w:rPr>
                <w:lang w:val="en-US"/>
              </w:rPr>
              <w:t> </w:t>
            </w:r>
            <w:r>
              <w:rPr>
                <w:lang w:val="en-US"/>
              </w:rPr>
              <w:t>infusions of 1,080 mg per year</w:t>
            </w:r>
          </w:p>
        </w:tc>
        <w:tc>
          <w:tcPr>
            <w:tcW w:w="1144" w:type="pct"/>
            <w:shd w:val="clear" w:color="auto" w:fill="auto"/>
            <w:vAlign w:val="center"/>
          </w:tcPr>
          <w:p w14:paraId="7CB16249" w14:textId="4F280EF4" w:rsidR="0077346A" w:rsidRPr="00C06669" w:rsidRDefault="00152ABE" w:rsidP="0077346A">
            <w:pPr>
              <w:pStyle w:val="COMTabletext"/>
              <w:jc w:val="center"/>
              <w:rPr>
                <w:vertAlign w:val="superscript"/>
                <w:lang w:val="en-US"/>
              </w:rPr>
            </w:pPr>
            <w:r>
              <w:rPr>
                <w:lang w:val="en-US"/>
              </w:rPr>
              <w:t>107.</w:t>
            </w:r>
            <w:r w:rsidR="00AA51A3">
              <w:rPr>
                <w:lang w:val="en-US"/>
              </w:rPr>
              <w:t>7</w:t>
            </w:r>
            <w:r w:rsidR="00720832">
              <w:rPr>
                <w:lang w:val="en-US"/>
              </w:rPr>
              <w:t> </w:t>
            </w:r>
            <w:r>
              <w:rPr>
                <w:lang w:val="en-US"/>
              </w:rPr>
              <w:t>infusions of 1,080 mg per year</w:t>
            </w:r>
            <w:r w:rsidR="00C06669">
              <w:rPr>
                <w:lang w:val="en-US"/>
              </w:rPr>
              <w:t> </w:t>
            </w:r>
          </w:p>
        </w:tc>
      </w:tr>
      <w:tr w:rsidR="0077346A" w:rsidRPr="00A473B4" w14:paraId="6BB7981E" w14:textId="77777777" w:rsidTr="00720832">
        <w:trPr>
          <w:cantSplit/>
          <w:jc w:val="center"/>
        </w:trPr>
        <w:tc>
          <w:tcPr>
            <w:tcW w:w="1569" w:type="pct"/>
            <w:shd w:val="clear" w:color="auto" w:fill="auto"/>
            <w:vAlign w:val="center"/>
          </w:tcPr>
          <w:p w14:paraId="05FE691C" w14:textId="2A66D104" w:rsidR="0077346A" w:rsidRPr="00A473B4" w:rsidRDefault="0077346A" w:rsidP="0077346A">
            <w:pPr>
              <w:pStyle w:val="COMTabletext"/>
              <w:rPr>
                <w:lang w:val="en-US"/>
              </w:rPr>
            </w:pPr>
            <w:r>
              <w:rPr>
                <w:lang w:val="en-US"/>
              </w:rPr>
              <w:t xml:space="preserve">Cost per 1,080 mg vial </w:t>
            </w:r>
          </w:p>
        </w:tc>
        <w:tc>
          <w:tcPr>
            <w:tcW w:w="1143" w:type="pct"/>
            <w:shd w:val="clear" w:color="auto" w:fill="auto"/>
            <w:vAlign w:val="center"/>
          </w:tcPr>
          <w:p w14:paraId="0C12FDD7" w14:textId="1465785A" w:rsidR="0077346A" w:rsidRPr="00A473B4" w:rsidRDefault="0077346A" w:rsidP="0077346A">
            <w:pPr>
              <w:pStyle w:val="COMTabletext"/>
              <w:jc w:val="center"/>
              <w:rPr>
                <w:lang w:val="en-US"/>
              </w:rPr>
            </w:pPr>
            <w:r>
              <w:rPr>
                <w:lang w:val="en-US"/>
              </w:rPr>
              <w:t>-</w:t>
            </w:r>
          </w:p>
        </w:tc>
        <w:tc>
          <w:tcPr>
            <w:tcW w:w="1143" w:type="pct"/>
            <w:shd w:val="clear" w:color="auto" w:fill="auto"/>
            <w:vAlign w:val="center"/>
          </w:tcPr>
          <w:p w14:paraId="4FA0CA17" w14:textId="34EE60D3" w:rsidR="0077346A" w:rsidRPr="0047525B" w:rsidRDefault="0077346A" w:rsidP="0077346A">
            <w:pPr>
              <w:pStyle w:val="COMTabletext"/>
              <w:jc w:val="center"/>
              <w:rPr>
                <w:vertAlign w:val="superscript"/>
                <w:lang w:val="en-US"/>
              </w:rPr>
            </w:pPr>
            <w:r w:rsidRPr="008003B0">
              <w:rPr>
                <w:lang w:val="en-US"/>
              </w:rPr>
              <w:t>$4,343.86</w:t>
            </w:r>
          </w:p>
        </w:tc>
        <w:tc>
          <w:tcPr>
            <w:tcW w:w="1144" w:type="pct"/>
            <w:shd w:val="clear" w:color="auto" w:fill="auto"/>
            <w:vAlign w:val="center"/>
          </w:tcPr>
          <w:p w14:paraId="6675BBE8" w14:textId="2DB686A3" w:rsidR="0077346A" w:rsidRPr="00A473B4" w:rsidRDefault="0077346A" w:rsidP="0077346A">
            <w:pPr>
              <w:pStyle w:val="COMTabletext"/>
              <w:jc w:val="center"/>
              <w:rPr>
                <w:lang w:val="en-US"/>
              </w:rPr>
            </w:pPr>
            <w:r w:rsidRPr="008B3AE4">
              <w:rPr>
                <w:lang w:val="en-US"/>
              </w:rPr>
              <w:t>$4,343.86</w:t>
            </w:r>
          </w:p>
        </w:tc>
      </w:tr>
      <w:tr w:rsidR="0047525B" w:rsidRPr="00A473B4" w14:paraId="7AC2DFEA" w14:textId="77777777" w:rsidTr="00720832">
        <w:trPr>
          <w:cantSplit/>
          <w:jc w:val="center"/>
        </w:trPr>
        <w:tc>
          <w:tcPr>
            <w:tcW w:w="1569" w:type="pct"/>
            <w:shd w:val="clear" w:color="auto" w:fill="auto"/>
            <w:vAlign w:val="center"/>
          </w:tcPr>
          <w:p w14:paraId="761CA44F" w14:textId="2408F6B1" w:rsidR="0047525B" w:rsidRDefault="0047525B" w:rsidP="0047525B">
            <w:pPr>
              <w:pStyle w:val="COMTabletext"/>
              <w:rPr>
                <w:lang w:val="en-US"/>
              </w:rPr>
            </w:pPr>
            <w:r>
              <w:rPr>
                <w:lang w:val="en-US"/>
              </w:rPr>
              <w:t>Cost per patient per year</w:t>
            </w:r>
          </w:p>
        </w:tc>
        <w:tc>
          <w:tcPr>
            <w:tcW w:w="1143" w:type="pct"/>
            <w:shd w:val="clear" w:color="auto" w:fill="auto"/>
            <w:vAlign w:val="center"/>
          </w:tcPr>
          <w:p w14:paraId="43D85566" w14:textId="13C6CBB2" w:rsidR="0047525B" w:rsidRPr="00A473B4" w:rsidRDefault="0047525B" w:rsidP="0047525B">
            <w:pPr>
              <w:pStyle w:val="COMTabletext"/>
              <w:jc w:val="center"/>
              <w:rPr>
                <w:lang w:val="en-US"/>
              </w:rPr>
            </w:pPr>
            <w:r>
              <w:rPr>
                <w:lang w:val="en-US"/>
              </w:rPr>
              <w:t>-</w:t>
            </w:r>
          </w:p>
        </w:tc>
        <w:tc>
          <w:tcPr>
            <w:tcW w:w="1143" w:type="pct"/>
            <w:shd w:val="clear" w:color="auto" w:fill="auto"/>
            <w:vAlign w:val="center"/>
          </w:tcPr>
          <w:p w14:paraId="5D50F6B4" w14:textId="6265C826" w:rsidR="0047525B" w:rsidRPr="00654044" w:rsidRDefault="0047525B" w:rsidP="0047525B">
            <w:pPr>
              <w:pStyle w:val="COMTabletext"/>
              <w:jc w:val="center"/>
              <w:rPr>
                <w:vertAlign w:val="superscript"/>
                <w:lang w:val="en-US"/>
              </w:rPr>
            </w:pPr>
            <w:r w:rsidRPr="00422700">
              <w:rPr>
                <w:lang w:val="en-US"/>
              </w:rPr>
              <w:t>$467,833.72</w:t>
            </w:r>
          </w:p>
        </w:tc>
        <w:tc>
          <w:tcPr>
            <w:tcW w:w="1144" w:type="pct"/>
            <w:shd w:val="clear" w:color="auto" w:fill="auto"/>
            <w:vAlign w:val="center"/>
          </w:tcPr>
          <w:p w14:paraId="061550A1" w14:textId="5C260CFD" w:rsidR="0047525B" w:rsidRPr="00A473B4" w:rsidRDefault="0045110E" w:rsidP="0047525B">
            <w:pPr>
              <w:pStyle w:val="COMTabletext"/>
              <w:jc w:val="center"/>
              <w:rPr>
                <w:lang w:val="en-US"/>
              </w:rPr>
            </w:pPr>
            <w:r w:rsidRPr="0045110E">
              <w:rPr>
                <w:lang w:val="en-US"/>
              </w:rPr>
              <w:t>$467,573.09</w:t>
            </w:r>
            <w:r w:rsidR="00AA51A3">
              <w:rPr>
                <w:vertAlign w:val="superscript"/>
                <w:lang w:val="en-US"/>
              </w:rPr>
              <w:t xml:space="preserve"> d</w:t>
            </w:r>
          </w:p>
        </w:tc>
      </w:tr>
      <w:tr w:rsidR="0047525B" w:rsidRPr="00A473B4" w14:paraId="38EDA362" w14:textId="77777777" w:rsidTr="008003B0">
        <w:trPr>
          <w:cantSplit/>
          <w:jc w:val="center"/>
        </w:trPr>
        <w:tc>
          <w:tcPr>
            <w:tcW w:w="5000" w:type="pct"/>
            <w:gridSpan w:val="4"/>
            <w:shd w:val="clear" w:color="auto" w:fill="auto"/>
            <w:vAlign w:val="center"/>
          </w:tcPr>
          <w:p w14:paraId="5D819A8D" w14:textId="13760ED9" w:rsidR="0047525B" w:rsidRPr="008003B0" w:rsidRDefault="0047525B" w:rsidP="0047525B">
            <w:pPr>
              <w:pStyle w:val="COMTabletext"/>
              <w:rPr>
                <w:smallCaps/>
                <w:lang w:val="en-US"/>
              </w:rPr>
            </w:pPr>
            <w:r>
              <w:rPr>
                <w:smallCaps/>
                <w:lang w:val="en-US"/>
              </w:rPr>
              <w:t>Ravulizumab</w:t>
            </w:r>
          </w:p>
        </w:tc>
      </w:tr>
      <w:tr w:rsidR="00D2191C" w:rsidRPr="00A473B4" w14:paraId="5F12D126" w14:textId="77777777" w:rsidTr="00720832">
        <w:trPr>
          <w:cantSplit/>
          <w:jc w:val="center"/>
        </w:trPr>
        <w:tc>
          <w:tcPr>
            <w:tcW w:w="1569" w:type="pct"/>
            <w:shd w:val="clear" w:color="auto" w:fill="auto"/>
            <w:vAlign w:val="center"/>
          </w:tcPr>
          <w:p w14:paraId="77CC685E" w14:textId="0E955C0D" w:rsidR="00D2191C" w:rsidRPr="00A473B4" w:rsidRDefault="00D2191C" w:rsidP="00D2191C">
            <w:pPr>
              <w:pStyle w:val="COMTabletext"/>
              <w:rPr>
                <w:lang w:val="en-US"/>
              </w:rPr>
            </w:pPr>
            <w:r>
              <w:rPr>
                <w:lang w:val="en-US"/>
              </w:rPr>
              <w:t>Dose regimen</w:t>
            </w:r>
          </w:p>
        </w:tc>
        <w:tc>
          <w:tcPr>
            <w:tcW w:w="1143" w:type="pct"/>
            <w:shd w:val="clear" w:color="auto" w:fill="auto"/>
            <w:vAlign w:val="center"/>
          </w:tcPr>
          <w:p w14:paraId="77CCDA74" w14:textId="58DD4679" w:rsidR="00D2191C" w:rsidRPr="00D15D65" w:rsidRDefault="00D2191C" w:rsidP="00D2191C">
            <w:pPr>
              <w:pStyle w:val="COMTabletext"/>
              <w:jc w:val="center"/>
              <w:rPr>
                <w:vertAlign w:val="superscript"/>
                <w:lang w:val="en-US"/>
              </w:rPr>
            </w:pPr>
            <w:r>
              <w:rPr>
                <w:lang w:val="en-US"/>
              </w:rPr>
              <w:t>NA </w:t>
            </w:r>
            <w:r>
              <w:rPr>
                <w:vertAlign w:val="superscript"/>
                <w:lang w:val="en-US"/>
              </w:rPr>
              <w:t>e</w:t>
            </w:r>
          </w:p>
        </w:tc>
        <w:tc>
          <w:tcPr>
            <w:tcW w:w="1143" w:type="pct"/>
            <w:shd w:val="clear" w:color="auto" w:fill="auto"/>
            <w:vAlign w:val="center"/>
          </w:tcPr>
          <w:p w14:paraId="08E57B2C" w14:textId="43ACF25C" w:rsidR="00D2191C" w:rsidRPr="0098376F" w:rsidRDefault="00D2191C" w:rsidP="00D2191C">
            <w:pPr>
              <w:pStyle w:val="COMTabletext"/>
              <w:jc w:val="center"/>
              <w:rPr>
                <w:vertAlign w:val="superscript"/>
                <w:lang w:val="en-US"/>
              </w:rPr>
            </w:pPr>
            <w:r>
              <w:rPr>
                <w:lang w:val="en-US"/>
              </w:rPr>
              <w:t>One dose of 1,644 mg during initial 4 weeks of pegcetacoplan treatmen</w:t>
            </w:r>
            <w:r w:rsidR="0098376F">
              <w:rPr>
                <w:lang w:val="en-US"/>
              </w:rPr>
              <w:t>t </w:t>
            </w:r>
            <w:r w:rsidR="0098376F">
              <w:rPr>
                <w:vertAlign w:val="superscript"/>
                <w:lang w:val="en-US"/>
              </w:rPr>
              <w:t>f</w:t>
            </w:r>
          </w:p>
        </w:tc>
        <w:tc>
          <w:tcPr>
            <w:tcW w:w="1144" w:type="pct"/>
            <w:shd w:val="clear" w:color="auto" w:fill="auto"/>
            <w:vAlign w:val="center"/>
          </w:tcPr>
          <w:p w14:paraId="66B2F12B" w14:textId="448D15FD" w:rsidR="00D2191C" w:rsidRPr="0098376F" w:rsidRDefault="00D2191C" w:rsidP="00D2191C">
            <w:pPr>
              <w:pStyle w:val="COMTabletext"/>
              <w:jc w:val="center"/>
              <w:rPr>
                <w:vertAlign w:val="superscript"/>
                <w:lang w:val="en-US"/>
              </w:rPr>
            </w:pPr>
            <w:r>
              <w:rPr>
                <w:lang w:val="en-US"/>
              </w:rPr>
              <w:t>One dose of 1,644 mg during initial 4 weeks of pegcetacoplan treatment</w:t>
            </w:r>
            <w:r w:rsidR="0098376F">
              <w:rPr>
                <w:lang w:val="en-US"/>
              </w:rPr>
              <w:t> </w:t>
            </w:r>
            <w:r w:rsidR="0098376F">
              <w:rPr>
                <w:vertAlign w:val="superscript"/>
                <w:lang w:val="en-US"/>
              </w:rPr>
              <w:t>f</w:t>
            </w:r>
          </w:p>
        </w:tc>
      </w:tr>
      <w:tr w:rsidR="007C2BF1" w:rsidRPr="00A473B4" w14:paraId="5E55BC2E" w14:textId="77777777" w:rsidTr="00720832">
        <w:trPr>
          <w:cantSplit/>
          <w:jc w:val="center"/>
        </w:trPr>
        <w:tc>
          <w:tcPr>
            <w:tcW w:w="1569" w:type="pct"/>
            <w:shd w:val="clear" w:color="auto" w:fill="auto"/>
            <w:vAlign w:val="center"/>
          </w:tcPr>
          <w:p w14:paraId="6B1D8DE4" w14:textId="64225CE9" w:rsidR="007C2BF1" w:rsidRPr="00A473B4" w:rsidRDefault="007C2BF1" w:rsidP="00D2191C">
            <w:pPr>
              <w:pStyle w:val="COMTabletext"/>
              <w:rPr>
                <w:lang w:val="en-US"/>
              </w:rPr>
            </w:pPr>
            <w:r>
              <w:rPr>
                <w:lang w:val="en-US"/>
              </w:rPr>
              <w:t>Cost per mg</w:t>
            </w:r>
          </w:p>
        </w:tc>
        <w:tc>
          <w:tcPr>
            <w:tcW w:w="1143" w:type="pct"/>
            <w:shd w:val="clear" w:color="auto" w:fill="auto"/>
            <w:vAlign w:val="center"/>
          </w:tcPr>
          <w:p w14:paraId="67D94F93" w14:textId="5EF54805" w:rsidR="007C2BF1" w:rsidRPr="00A473B4" w:rsidRDefault="003410CA" w:rsidP="00D2191C">
            <w:pPr>
              <w:pStyle w:val="COMTabletext"/>
              <w:jc w:val="center"/>
              <w:rPr>
                <w:lang w:val="en-US"/>
              </w:rPr>
            </w:pPr>
            <w:r>
              <w:rPr>
                <w:lang w:val="en-US"/>
              </w:rPr>
              <w:t>-</w:t>
            </w:r>
          </w:p>
        </w:tc>
        <w:tc>
          <w:tcPr>
            <w:tcW w:w="1143" w:type="pct"/>
            <w:shd w:val="clear" w:color="auto" w:fill="auto"/>
            <w:vAlign w:val="center"/>
          </w:tcPr>
          <w:p w14:paraId="16CE9C09" w14:textId="2A7F1439" w:rsidR="007C2BF1" w:rsidRPr="00422700" w:rsidRDefault="007C2BF1" w:rsidP="00D2191C">
            <w:pPr>
              <w:pStyle w:val="COMTabletext"/>
              <w:jc w:val="center"/>
              <w:rPr>
                <w:lang w:val="en-US"/>
              </w:rPr>
            </w:pPr>
            <w:r>
              <w:rPr>
                <w:lang w:val="en-US"/>
              </w:rPr>
              <w:t>$</w:t>
            </w:r>
            <w:r w:rsidR="00281674">
              <w:rPr>
                <w:lang w:val="en-US"/>
              </w:rPr>
              <w:t>21.91</w:t>
            </w:r>
          </w:p>
        </w:tc>
        <w:tc>
          <w:tcPr>
            <w:tcW w:w="1144" w:type="pct"/>
            <w:shd w:val="clear" w:color="auto" w:fill="auto"/>
            <w:vAlign w:val="center"/>
          </w:tcPr>
          <w:p w14:paraId="0F44D2C0" w14:textId="01004389" w:rsidR="007C2BF1" w:rsidRPr="00A473B4" w:rsidRDefault="00281674" w:rsidP="00D2191C">
            <w:pPr>
              <w:pStyle w:val="COMTabletext"/>
              <w:jc w:val="center"/>
              <w:rPr>
                <w:lang w:val="en-US"/>
              </w:rPr>
            </w:pPr>
            <w:r>
              <w:rPr>
                <w:lang w:val="en-US"/>
              </w:rPr>
              <w:t>$21.91</w:t>
            </w:r>
          </w:p>
        </w:tc>
      </w:tr>
      <w:tr w:rsidR="00D2191C" w:rsidRPr="00A473B4" w14:paraId="53B8E80E" w14:textId="77777777" w:rsidTr="00720832">
        <w:trPr>
          <w:cantSplit/>
          <w:jc w:val="center"/>
        </w:trPr>
        <w:tc>
          <w:tcPr>
            <w:tcW w:w="1569" w:type="pct"/>
            <w:shd w:val="clear" w:color="auto" w:fill="auto"/>
            <w:vAlign w:val="center"/>
          </w:tcPr>
          <w:p w14:paraId="03B398A7" w14:textId="3C9A8B61" w:rsidR="00D2191C" w:rsidRPr="00A473B4" w:rsidRDefault="003410CA" w:rsidP="00D2191C">
            <w:pPr>
              <w:pStyle w:val="COMTabletext"/>
              <w:rPr>
                <w:lang w:val="en-US"/>
              </w:rPr>
            </w:pPr>
            <w:r>
              <w:rPr>
                <w:lang w:val="en-US"/>
              </w:rPr>
              <w:t>Cost per patient per year</w:t>
            </w:r>
          </w:p>
        </w:tc>
        <w:tc>
          <w:tcPr>
            <w:tcW w:w="1143" w:type="pct"/>
            <w:shd w:val="clear" w:color="auto" w:fill="auto"/>
            <w:vAlign w:val="center"/>
          </w:tcPr>
          <w:p w14:paraId="1BF3DE11" w14:textId="02D8CE53" w:rsidR="00D2191C" w:rsidRPr="00A473B4" w:rsidRDefault="003410CA" w:rsidP="00D2191C">
            <w:pPr>
              <w:pStyle w:val="COMTabletext"/>
              <w:jc w:val="center"/>
              <w:rPr>
                <w:lang w:val="en-US"/>
              </w:rPr>
            </w:pPr>
            <w:r>
              <w:rPr>
                <w:lang w:val="en-US"/>
              </w:rPr>
              <w:t>-</w:t>
            </w:r>
          </w:p>
        </w:tc>
        <w:tc>
          <w:tcPr>
            <w:tcW w:w="1143" w:type="pct"/>
            <w:shd w:val="clear" w:color="auto" w:fill="auto"/>
            <w:vAlign w:val="center"/>
          </w:tcPr>
          <w:p w14:paraId="759AE9C5" w14:textId="1488CB8B" w:rsidR="00D2191C" w:rsidRPr="00A473B4" w:rsidRDefault="003410CA" w:rsidP="00D2191C">
            <w:pPr>
              <w:pStyle w:val="COMTabletext"/>
              <w:jc w:val="center"/>
              <w:rPr>
                <w:lang w:val="en-US"/>
              </w:rPr>
            </w:pPr>
            <w:r w:rsidRPr="00422700">
              <w:rPr>
                <w:lang w:val="en-US"/>
              </w:rPr>
              <w:t>$36,031.24</w:t>
            </w:r>
          </w:p>
        </w:tc>
        <w:tc>
          <w:tcPr>
            <w:tcW w:w="1144" w:type="pct"/>
            <w:shd w:val="clear" w:color="auto" w:fill="auto"/>
            <w:vAlign w:val="center"/>
          </w:tcPr>
          <w:p w14:paraId="3EAFFF0C" w14:textId="0107CB3B" w:rsidR="00D2191C" w:rsidRDefault="00D2191C" w:rsidP="00D2191C">
            <w:pPr>
              <w:pStyle w:val="COMTabletext"/>
              <w:jc w:val="center"/>
              <w:rPr>
                <w:lang w:val="en-US"/>
              </w:rPr>
            </w:pPr>
            <w:r>
              <w:rPr>
                <w:lang w:val="en-US"/>
              </w:rPr>
              <w:t>Initial year:</w:t>
            </w:r>
            <w:r w:rsidR="003410CA" w:rsidRPr="003410CA">
              <w:rPr>
                <w:lang w:val="en-US"/>
              </w:rPr>
              <w:t xml:space="preserve"> $36,031.24</w:t>
            </w:r>
          </w:p>
          <w:p w14:paraId="5307223A" w14:textId="00D8544B" w:rsidR="00D2191C" w:rsidRPr="00A473B4" w:rsidRDefault="00D2191C" w:rsidP="00D2191C">
            <w:pPr>
              <w:pStyle w:val="COMTabletext"/>
              <w:jc w:val="center"/>
              <w:rPr>
                <w:lang w:val="en-US"/>
              </w:rPr>
            </w:pPr>
            <w:r>
              <w:rPr>
                <w:lang w:val="en-US"/>
              </w:rPr>
              <w:t>Subsequent year: Nil</w:t>
            </w:r>
          </w:p>
        </w:tc>
      </w:tr>
      <w:tr w:rsidR="00D2191C" w:rsidRPr="00A473B4" w14:paraId="321BBCF2" w14:textId="77777777" w:rsidTr="00720832">
        <w:trPr>
          <w:cantSplit/>
          <w:jc w:val="center"/>
        </w:trPr>
        <w:tc>
          <w:tcPr>
            <w:tcW w:w="1569" w:type="pct"/>
            <w:shd w:val="clear" w:color="auto" w:fill="auto"/>
            <w:vAlign w:val="center"/>
          </w:tcPr>
          <w:p w14:paraId="43EC19EE" w14:textId="3B063445" w:rsidR="00D2191C" w:rsidRPr="00A473B4" w:rsidRDefault="00D2191C" w:rsidP="00D2191C">
            <w:pPr>
              <w:pStyle w:val="COMTabletext"/>
              <w:rPr>
                <w:lang w:val="en-US"/>
              </w:rPr>
            </w:pPr>
            <w:r>
              <w:rPr>
                <w:lang w:val="en-US"/>
              </w:rPr>
              <w:t>Total cost per patient per year of pegcetacoplan</w:t>
            </w:r>
          </w:p>
        </w:tc>
        <w:tc>
          <w:tcPr>
            <w:tcW w:w="1143" w:type="pct"/>
            <w:shd w:val="clear" w:color="auto" w:fill="auto"/>
            <w:vAlign w:val="center"/>
          </w:tcPr>
          <w:p w14:paraId="53ABA331" w14:textId="04D54918" w:rsidR="00D2191C" w:rsidRPr="00A473B4" w:rsidRDefault="00D2191C" w:rsidP="00D2191C">
            <w:pPr>
              <w:pStyle w:val="COMTabletext"/>
              <w:jc w:val="center"/>
              <w:rPr>
                <w:lang w:val="en-US"/>
              </w:rPr>
            </w:pPr>
            <w:r>
              <w:rPr>
                <w:lang w:val="en-US"/>
              </w:rPr>
              <w:t>-</w:t>
            </w:r>
          </w:p>
        </w:tc>
        <w:tc>
          <w:tcPr>
            <w:tcW w:w="1143" w:type="pct"/>
            <w:shd w:val="clear" w:color="auto" w:fill="auto"/>
            <w:vAlign w:val="center"/>
          </w:tcPr>
          <w:p w14:paraId="7AA05F92" w14:textId="7DE7F455" w:rsidR="00D2191C" w:rsidRPr="00F26CCB" w:rsidRDefault="003410CA" w:rsidP="00D2191C">
            <w:pPr>
              <w:pStyle w:val="COMTabletext"/>
              <w:jc w:val="center"/>
              <w:rPr>
                <w:vertAlign w:val="superscript"/>
                <w:lang w:val="en-US"/>
              </w:rPr>
            </w:pPr>
            <w:r w:rsidRPr="00F26CCB">
              <w:rPr>
                <w:lang w:val="en-US"/>
              </w:rPr>
              <w:t>$503,864.96</w:t>
            </w:r>
            <w:r>
              <w:rPr>
                <w:lang w:val="en-US"/>
              </w:rPr>
              <w:t> </w:t>
            </w:r>
            <w:r>
              <w:rPr>
                <w:vertAlign w:val="superscript"/>
                <w:lang w:val="en-US"/>
              </w:rPr>
              <w:t>g</w:t>
            </w:r>
          </w:p>
        </w:tc>
        <w:tc>
          <w:tcPr>
            <w:tcW w:w="1144" w:type="pct"/>
            <w:shd w:val="clear" w:color="auto" w:fill="auto"/>
            <w:vAlign w:val="center"/>
          </w:tcPr>
          <w:p w14:paraId="74BDEB19" w14:textId="6C266D97" w:rsidR="00D2191C" w:rsidRDefault="00D2191C" w:rsidP="00D2191C">
            <w:pPr>
              <w:pStyle w:val="COMTabletext"/>
              <w:jc w:val="center"/>
              <w:rPr>
                <w:lang w:val="en-US"/>
              </w:rPr>
            </w:pPr>
            <w:r>
              <w:rPr>
                <w:lang w:val="en-US"/>
              </w:rPr>
              <w:t>Initial year:</w:t>
            </w:r>
            <w:r w:rsidR="00D435B5">
              <w:rPr>
                <w:lang w:val="en-US"/>
              </w:rPr>
              <w:t xml:space="preserve"> </w:t>
            </w:r>
            <w:r w:rsidR="00D435B5" w:rsidRPr="00D435B5">
              <w:rPr>
                <w:lang w:val="en-US"/>
              </w:rPr>
              <w:t>$503,604.33</w:t>
            </w:r>
          </w:p>
          <w:p w14:paraId="757F5CE5" w14:textId="145EAC87" w:rsidR="00D2191C" w:rsidRPr="00A473B4" w:rsidRDefault="00D2191C" w:rsidP="00D2191C">
            <w:pPr>
              <w:pStyle w:val="COMTabletext"/>
              <w:jc w:val="center"/>
              <w:rPr>
                <w:lang w:val="en-US"/>
              </w:rPr>
            </w:pPr>
            <w:r>
              <w:rPr>
                <w:lang w:val="en-US"/>
              </w:rPr>
              <w:t xml:space="preserve">Subsequent year: </w:t>
            </w:r>
            <w:r w:rsidR="00D435B5" w:rsidRPr="00D435B5">
              <w:rPr>
                <w:lang w:val="en-US"/>
              </w:rPr>
              <w:t>$467,573.09</w:t>
            </w:r>
          </w:p>
        </w:tc>
      </w:tr>
    </w:tbl>
    <w:p w14:paraId="5BA34AF0" w14:textId="728A5D9F" w:rsidR="001E1503" w:rsidRDefault="00494207" w:rsidP="00C94053">
      <w:pPr>
        <w:pStyle w:val="COMTablefooter"/>
      </w:pPr>
      <w:r w:rsidRPr="00A473B4">
        <w:t xml:space="preserve">Source: </w:t>
      </w:r>
      <w:r w:rsidR="00AB4933">
        <w:t>Constructed during the evaluation using the Section 3 cost-minimisation Excel workbook (Attachment 10 of the submission) and the Section 4 utilisation and financial implications Excel workbook (Attachment 11 of the submission).</w:t>
      </w:r>
    </w:p>
    <w:p w14:paraId="39A1ACE9" w14:textId="30A2E854" w:rsidR="009B02C9" w:rsidRDefault="001E1503" w:rsidP="00C94053">
      <w:pPr>
        <w:pStyle w:val="COMTablefooter"/>
      </w:pPr>
      <w:r>
        <w:t>Abbreviations: NA, not applicable.</w:t>
      </w:r>
    </w:p>
    <w:p w14:paraId="62F4F8ED" w14:textId="79FEC47E" w:rsidR="006C7777" w:rsidRDefault="009B02C9" w:rsidP="00C94053">
      <w:pPr>
        <w:pStyle w:val="COMTablefooter"/>
      </w:pPr>
      <w:r>
        <w:rPr>
          <w:vertAlign w:val="superscript"/>
        </w:rPr>
        <w:t>a</w:t>
      </w:r>
      <w:r>
        <w:t xml:space="preserve"> </w:t>
      </w:r>
      <w:r w:rsidR="00C011A8">
        <w:t xml:space="preserve">Based on </w:t>
      </w:r>
      <w:r w:rsidR="00AB4933">
        <w:t xml:space="preserve">an </w:t>
      </w:r>
      <w:r w:rsidR="00C011A8">
        <w:t xml:space="preserve">assumption of </w:t>
      </w:r>
      <w:r w:rsidR="006C7777">
        <w:t xml:space="preserve">365 days </w:t>
      </w:r>
      <w:r w:rsidR="00C011A8">
        <w:t>per year.</w:t>
      </w:r>
    </w:p>
    <w:p w14:paraId="5B321123" w14:textId="0744550F" w:rsidR="001E620C" w:rsidRDefault="006C7777" w:rsidP="00C94053">
      <w:pPr>
        <w:pStyle w:val="COMTablefooter"/>
      </w:pPr>
      <w:r>
        <w:rPr>
          <w:vertAlign w:val="superscript"/>
        </w:rPr>
        <w:t>b</w:t>
      </w:r>
      <w:r>
        <w:t xml:space="preserve"> </w:t>
      </w:r>
      <w:r w:rsidR="00C011A8">
        <w:t xml:space="preserve">Based on </w:t>
      </w:r>
      <w:r w:rsidR="00AB4933">
        <w:t xml:space="preserve">an </w:t>
      </w:r>
      <w:r w:rsidR="00C011A8">
        <w:t xml:space="preserve">assumption of 52 </w:t>
      </w:r>
      <w:r>
        <w:t xml:space="preserve">weeks </w:t>
      </w:r>
      <w:r w:rsidR="0045110E">
        <w:t xml:space="preserve">(=364 days) </w:t>
      </w:r>
      <w:r w:rsidR="00C011A8">
        <w:t>per year.</w:t>
      </w:r>
      <w:r>
        <w:t xml:space="preserve"> </w:t>
      </w:r>
    </w:p>
    <w:p w14:paraId="19E57808" w14:textId="77777777" w:rsidR="00152ABE" w:rsidRDefault="001E620C" w:rsidP="00C94053">
      <w:pPr>
        <w:pStyle w:val="COMTablefooter"/>
      </w:pPr>
      <w:r>
        <w:rPr>
          <w:vertAlign w:val="superscript"/>
        </w:rPr>
        <w:t>c</w:t>
      </w:r>
      <w:r>
        <w:t xml:space="preserve"> Patients were permitted to increase to </w:t>
      </w:r>
      <w:r w:rsidRPr="001E620C">
        <w:t>1,080 mg every third day if they did not respond sufficiently to treatment.</w:t>
      </w:r>
    </w:p>
    <w:p w14:paraId="453F930F" w14:textId="4F8E165E" w:rsidR="00D15D65" w:rsidRDefault="00152ABE" w:rsidP="00C94053">
      <w:pPr>
        <w:pStyle w:val="COMTablefooter"/>
      </w:pPr>
      <w:r>
        <w:rPr>
          <w:vertAlign w:val="superscript"/>
        </w:rPr>
        <w:t>d</w:t>
      </w:r>
      <w:r>
        <w:t xml:space="preserve"> The </w:t>
      </w:r>
      <w:r w:rsidR="00D15D65">
        <w:t xml:space="preserve">cost per year was lower than the </w:t>
      </w:r>
      <w:r w:rsidR="00EB3EB5">
        <w:t xml:space="preserve">cost per year </w:t>
      </w:r>
      <w:r w:rsidR="004C6B05">
        <w:t xml:space="preserve">included in </w:t>
      </w:r>
      <w:r w:rsidR="00EB3EB5">
        <w:t xml:space="preserve">the </w:t>
      </w:r>
      <w:r w:rsidR="00D15D65">
        <w:t xml:space="preserve">cost-minimisation due to </w:t>
      </w:r>
      <w:r>
        <w:t xml:space="preserve">rounding of the </w:t>
      </w:r>
      <w:r w:rsidR="00991D41">
        <w:t xml:space="preserve">number of vials per 4-week period </w:t>
      </w:r>
      <w:r w:rsidR="00AA51A3">
        <w:t xml:space="preserve">to </w:t>
      </w:r>
      <w:r w:rsidR="006152BE">
        <w:t xml:space="preserve">2 decimal places </w:t>
      </w:r>
      <w:r w:rsidR="006B3796">
        <w:t xml:space="preserve">in an earlier calculation step </w:t>
      </w:r>
      <w:r w:rsidR="006152BE">
        <w:t>(</w:t>
      </w:r>
      <w:r w:rsidR="00991D41">
        <w:t>107.7 ÷ 52 x 4</w:t>
      </w:r>
      <w:r w:rsidR="00C06669">
        <w:t xml:space="preserve"> = 8.28 vials per script</w:t>
      </w:r>
      <w:r w:rsidR="00991D41">
        <w:t>)</w:t>
      </w:r>
      <w:r w:rsidR="00C06669">
        <w:t>.</w:t>
      </w:r>
    </w:p>
    <w:p w14:paraId="24915698" w14:textId="66686D8C" w:rsidR="00F26CCB" w:rsidRDefault="00D15D65" w:rsidP="00C94053">
      <w:pPr>
        <w:pStyle w:val="COMTablefooter"/>
      </w:pPr>
      <w:r>
        <w:rPr>
          <w:vertAlign w:val="superscript"/>
        </w:rPr>
        <w:t>e</w:t>
      </w:r>
      <w:r>
        <w:t xml:space="preserve"> Patients in the PEGASUS trial received eculizumab treatment during the initial 4 weeks.</w:t>
      </w:r>
    </w:p>
    <w:p w14:paraId="3A9CB418" w14:textId="0155D872" w:rsidR="00D2191C" w:rsidRPr="00D2191C" w:rsidRDefault="00D2191C" w:rsidP="00C94053">
      <w:pPr>
        <w:pStyle w:val="COMTablefooter"/>
      </w:pPr>
      <w:r>
        <w:rPr>
          <w:vertAlign w:val="superscript"/>
        </w:rPr>
        <w:t>f</w:t>
      </w:r>
      <w:r>
        <w:t xml:space="preserve"> Based on assumed </w:t>
      </w:r>
      <w:r w:rsidR="00CC34CA">
        <w:t xml:space="preserve">average ravulizumab </w:t>
      </w:r>
      <w:r>
        <w:t xml:space="preserve">dose </w:t>
      </w:r>
      <w:r w:rsidR="00CC34CA">
        <w:t xml:space="preserve">of 3,244 mg every 8 weeks, the dose over </w:t>
      </w:r>
      <w:r w:rsidR="007C2BF1">
        <w:t xml:space="preserve">a </w:t>
      </w:r>
      <w:r w:rsidR="00CC34CA">
        <w:t>4</w:t>
      </w:r>
      <w:r w:rsidR="007C2BF1">
        <w:t>-</w:t>
      </w:r>
      <w:r w:rsidR="00CC34CA">
        <w:t xml:space="preserve">week </w:t>
      </w:r>
      <w:r w:rsidR="007C2BF1">
        <w:t xml:space="preserve">treatment period was assumed to be </w:t>
      </w:r>
      <w:r w:rsidR="00CC34CA">
        <w:t xml:space="preserve">1,622 mg </w:t>
      </w:r>
      <w:r w:rsidR="007C2BF1">
        <w:t>(</w:t>
      </w:r>
      <w:r w:rsidR="00EB3EB5">
        <w:t xml:space="preserve">50% x </w:t>
      </w:r>
      <w:r w:rsidR="007C2BF1">
        <w:t>3,244 m</w:t>
      </w:r>
      <w:r w:rsidR="00EB3EB5">
        <w:t>g</w:t>
      </w:r>
      <w:r w:rsidR="007C2BF1">
        <w:t>).</w:t>
      </w:r>
      <w:r>
        <w:t xml:space="preserve"> </w:t>
      </w:r>
    </w:p>
    <w:p w14:paraId="5FDC38C2" w14:textId="6159C73D" w:rsidR="0036472D" w:rsidRDefault="003410CA" w:rsidP="00C94053">
      <w:pPr>
        <w:pStyle w:val="COMTablefooter"/>
      </w:pPr>
      <w:r>
        <w:rPr>
          <w:vertAlign w:val="superscript"/>
        </w:rPr>
        <w:t>g</w:t>
      </w:r>
      <w:r w:rsidR="00F26CCB">
        <w:t xml:space="preserve"> The difference compared to iptacopan was due to the inclusion of ravulizumab administration costs in the cost-minimisation. </w:t>
      </w:r>
    </w:p>
    <w:p w14:paraId="268768EF" w14:textId="3626F292" w:rsidR="00B60939" w:rsidRDefault="00B60939" w:rsidP="002B05A1">
      <w:pPr>
        <w:pStyle w:val="COMH2-non-numbered"/>
      </w:pPr>
      <w:bookmarkStart w:id="58" w:name="_Toc22897647"/>
      <w:bookmarkStart w:id="59" w:name="_Toc167262992"/>
      <w:r w:rsidRPr="00A473B4">
        <w:t>Estimated PBS usage &amp; financial implications</w:t>
      </w:r>
      <w:bookmarkEnd w:id="58"/>
      <w:bookmarkEnd w:id="59"/>
    </w:p>
    <w:p w14:paraId="35E5B41E" w14:textId="44F46087" w:rsidR="00833323" w:rsidRDefault="00833323" w:rsidP="00833323">
      <w:pPr>
        <w:pStyle w:val="COMexecsumnumberedpara"/>
      </w:pPr>
      <w:bookmarkStart w:id="60" w:name="_Toc22897648"/>
      <w:bookmarkStart w:id="61" w:name="_Toc167262993"/>
      <w:r w:rsidRPr="00A473B4">
        <w:t>This submission w</w:t>
      </w:r>
      <w:r>
        <w:t>as</w:t>
      </w:r>
      <w:r w:rsidRPr="00A473B4">
        <w:t xml:space="preserve"> considered by DUSC.</w:t>
      </w:r>
    </w:p>
    <w:p w14:paraId="483BB17F" w14:textId="77777777" w:rsidR="00833323" w:rsidRDefault="00833323" w:rsidP="00833323">
      <w:pPr>
        <w:pStyle w:val="COMexecsumnumberedpara"/>
      </w:pPr>
      <w:r w:rsidRPr="00E527DB">
        <w:t xml:space="preserve">The submission used a mixed epidemiological/market share approach to estimate the utilisation and financial implications of listing iptacopan for the treatment of adults with PNH who have inadequate clinical response to C5 inhibitor treatment. </w:t>
      </w:r>
    </w:p>
    <w:p w14:paraId="351543BB" w14:textId="53BDDC75" w:rsidR="00833323" w:rsidRDefault="00833323" w:rsidP="00833323">
      <w:pPr>
        <w:pStyle w:val="COMexecsumnumberedpara"/>
      </w:pPr>
      <w:r>
        <w:fldChar w:fldCharType="begin"/>
      </w:r>
      <w:r>
        <w:instrText xml:space="preserve"> REF _Ref166449019 \h </w:instrText>
      </w:r>
      <w:r>
        <w:fldChar w:fldCharType="separate"/>
      </w:r>
      <w:r w:rsidR="002E7F91" w:rsidRPr="00A473B4">
        <w:t xml:space="preserve">Table </w:t>
      </w:r>
      <w:r w:rsidR="002E7F91">
        <w:rPr>
          <w:noProof/>
        </w:rPr>
        <w:t>16</w:t>
      </w:r>
      <w:r>
        <w:fldChar w:fldCharType="end"/>
      </w:r>
      <w:r w:rsidRPr="00A473B4">
        <w:t xml:space="preserve"> </w:t>
      </w:r>
      <w:r>
        <w:t xml:space="preserve">presents the key </w:t>
      </w:r>
      <w:r w:rsidRPr="00E527DB">
        <w:t>data sources and parameter values applied in the utilisation and financial estimates.</w:t>
      </w:r>
    </w:p>
    <w:p w14:paraId="0BD43AAC" w14:textId="4BEC9911" w:rsidR="00833323" w:rsidRPr="00A473B4" w:rsidRDefault="00833323" w:rsidP="007F4886">
      <w:pPr>
        <w:pStyle w:val="COMtablefigcaption"/>
        <w:keepLines/>
        <w:rPr>
          <w:b w:val="0"/>
        </w:rPr>
      </w:pPr>
      <w:bookmarkStart w:id="62" w:name="_Ref166449019"/>
      <w:r w:rsidRPr="00A473B4">
        <w:lastRenderedPageBreak/>
        <w:t xml:space="preserve">Table </w:t>
      </w:r>
      <w:r w:rsidR="00C52DBB">
        <w:fldChar w:fldCharType="begin"/>
      </w:r>
      <w:r w:rsidR="00C52DBB">
        <w:instrText xml:space="preserve"> SEQ Table \* ARABIC </w:instrText>
      </w:r>
      <w:r w:rsidR="00C52DBB">
        <w:fldChar w:fldCharType="separate"/>
      </w:r>
      <w:r w:rsidR="002E7F91">
        <w:rPr>
          <w:noProof/>
        </w:rPr>
        <w:t>16</w:t>
      </w:r>
      <w:r w:rsidR="00C52DBB">
        <w:rPr>
          <w:noProof/>
        </w:rPr>
        <w:fldChar w:fldCharType="end"/>
      </w:r>
      <w:bookmarkEnd w:id="62"/>
      <w:r w:rsidRPr="00A473B4">
        <w:t xml:space="preserve">: </w:t>
      </w:r>
      <w:r>
        <w:t>Key d</w:t>
      </w:r>
      <w:r w:rsidRPr="00A473B4">
        <w:t>ata sources and parameter values applied in the utilisation and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6: Key data sources and parameter values applied in the utilisation and financial estimates"/>
        <w:tblDescription w:val="Table 16: Key data sources and parameter values applied in the utilisation and financial estimates"/>
      </w:tblPr>
      <w:tblGrid>
        <w:gridCol w:w="1151"/>
        <w:gridCol w:w="3522"/>
        <w:gridCol w:w="4507"/>
      </w:tblGrid>
      <w:tr w:rsidR="00833323" w:rsidRPr="00A473B4" w14:paraId="4F0A6F89" w14:textId="77777777" w:rsidTr="000F3C50">
        <w:trPr>
          <w:tblHeader/>
        </w:trPr>
        <w:tc>
          <w:tcPr>
            <w:tcW w:w="1151" w:type="dxa"/>
            <w:vAlign w:val="center"/>
          </w:tcPr>
          <w:p w14:paraId="67DB94E0" w14:textId="77777777" w:rsidR="00833323" w:rsidRPr="00A473B4" w:rsidRDefault="00833323" w:rsidP="007F4886">
            <w:pPr>
              <w:pStyle w:val="COMTableheadingrow"/>
              <w:keepLines/>
            </w:pPr>
            <w:r w:rsidRPr="00A473B4">
              <w:t>Data</w:t>
            </w:r>
          </w:p>
        </w:tc>
        <w:tc>
          <w:tcPr>
            <w:tcW w:w="3522" w:type="dxa"/>
            <w:vAlign w:val="center"/>
          </w:tcPr>
          <w:p w14:paraId="6DEB3EA6" w14:textId="77777777" w:rsidR="00833323" w:rsidRPr="00A473B4" w:rsidRDefault="00833323" w:rsidP="007F4886">
            <w:pPr>
              <w:pStyle w:val="COMTableheadingrow"/>
              <w:keepLines/>
              <w:jc w:val="center"/>
            </w:pPr>
            <w:r w:rsidRPr="007A4D70">
              <w:t>Value applied and source</w:t>
            </w:r>
          </w:p>
        </w:tc>
        <w:tc>
          <w:tcPr>
            <w:tcW w:w="4507" w:type="dxa"/>
            <w:vAlign w:val="center"/>
          </w:tcPr>
          <w:p w14:paraId="74CF4802" w14:textId="77777777" w:rsidR="00833323" w:rsidRPr="00833323" w:rsidRDefault="00833323" w:rsidP="007F4886">
            <w:pPr>
              <w:pStyle w:val="COMTableheadingrow"/>
              <w:keepLines/>
              <w:jc w:val="center"/>
            </w:pPr>
            <w:r w:rsidRPr="00833323">
              <w:t>Comment</w:t>
            </w:r>
          </w:p>
        </w:tc>
      </w:tr>
      <w:tr w:rsidR="00833323" w:rsidRPr="00A473B4" w14:paraId="7D25297B" w14:textId="77777777" w:rsidTr="000F3C50">
        <w:tc>
          <w:tcPr>
            <w:tcW w:w="9180" w:type="dxa"/>
            <w:gridSpan w:val="3"/>
            <w:vAlign w:val="center"/>
          </w:tcPr>
          <w:p w14:paraId="5E65A985" w14:textId="77777777" w:rsidR="00833323" w:rsidRPr="00833323" w:rsidRDefault="00833323" w:rsidP="007F4886">
            <w:pPr>
              <w:pStyle w:val="COMTableheadingrow"/>
              <w:keepLines/>
            </w:pPr>
            <w:r w:rsidRPr="00833323">
              <w:t>Treatment utilisation</w:t>
            </w:r>
          </w:p>
        </w:tc>
      </w:tr>
      <w:tr w:rsidR="00833323" w:rsidRPr="00A473B4" w14:paraId="669500F3" w14:textId="77777777" w:rsidTr="000F3C50">
        <w:tc>
          <w:tcPr>
            <w:tcW w:w="1151" w:type="dxa"/>
            <w:vAlign w:val="center"/>
          </w:tcPr>
          <w:p w14:paraId="15B54F8B" w14:textId="77777777" w:rsidR="00833323" w:rsidRDefault="00833323" w:rsidP="007F4886">
            <w:pPr>
              <w:pStyle w:val="COMTabletext"/>
              <w:keepLines/>
            </w:pPr>
            <w:r>
              <w:t>Prevalence of PNH</w:t>
            </w:r>
          </w:p>
        </w:tc>
        <w:tc>
          <w:tcPr>
            <w:tcW w:w="3522" w:type="dxa"/>
            <w:vAlign w:val="center"/>
          </w:tcPr>
          <w:p w14:paraId="67B944B6" w14:textId="32F3FF3B" w:rsidR="00833323" w:rsidRDefault="00833323" w:rsidP="007F4886">
            <w:pPr>
              <w:pStyle w:val="COMTabletext"/>
              <w:keepLines/>
            </w:pPr>
            <w:r w:rsidRPr="00D07D67">
              <w:t>0.5 per 50,000</w:t>
            </w:r>
            <w:r>
              <w:t xml:space="preserve"> persons; LSDP review of medicines for PNH (r</w:t>
            </w:r>
            <w:r w:rsidRPr="00E06969">
              <w:t xml:space="preserve">eview summary and </w:t>
            </w:r>
            <w:r>
              <w:t>e</w:t>
            </w:r>
            <w:r w:rsidRPr="00E06969">
              <w:t xml:space="preserve">xpert </w:t>
            </w:r>
            <w:r>
              <w:t>p</w:t>
            </w:r>
            <w:r w:rsidRPr="00E06969">
              <w:t>anel recommendations</w:t>
            </w:r>
            <w:r>
              <w:t>; October 2020 expert panel meeting).</w:t>
            </w:r>
            <w:r w:rsidR="00AE722D">
              <w:t xml:space="preserve"> </w:t>
            </w:r>
            <w:r w:rsidR="00AE722D" w:rsidRPr="00DE5CA5">
              <w:rPr>
                <w:szCs w:val="20"/>
              </w:rPr>
              <w:t>The submission assumed the prevalence rate to remain static over the initial 6 years of listing.</w:t>
            </w:r>
          </w:p>
        </w:tc>
        <w:tc>
          <w:tcPr>
            <w:tcW w:w="4507" w:type="dxa"/>
            <w:vAlign w:val="center"/>
          </w:tcPr>
          <w:p w14:paraId="498DE351" w14:textId="77777777" w:rsidR="00833323" w:rsidRPr="00833323" w:rsidRDefault="00833323" w:rsidP="007F4886">
            <w:pPr>
              <w:pStyle w:val="COMTabletext"/>
              <w:keepLines/>
            </w:pPr>
            <w:r w:rsidRPr="00833323">
              <w:t>The full report was not available, and the underlying methodology/source of the estimate was unclear.</w:t>
            </w:r>
          </w:p>
          <w:p w14:paraId="6356752A" w14:textId="77777777" w:rsidR="00833323" w:rsidRPr="00833323" w:rsidRDefault="00833323" w:rsidP="007F4886">
            <w:pPr>
              <w:pStyle w:val="COMTabletext"/>
              <w:keepLines/>
            </w:pPr>
          </w:p>
          <w:p w14:paraId="5404C814" w14:textId="77777777" w:rsidR="00833323" w:rsidRDefault="00833323" w:rsidP="007F4886">
            <w:pPr>
              <w:pStyle w:val="COMTabletext"/>
              <w:keepLines/>
            </w:pPr>
            <w:r w:rsidRPr="00833323">
              <w:t>The submission assumed no growth in the underlying prevalence rate over time. The expert panel noted the number of patients requiring ongoing treatment for PNH is likely to continue to rise at a rate higher than population growth.</w:t>
            </w:r>
          </w:p>
          <w:p w14:paraId="5039FC81" w14:textId="77777777" w:rsidR="00AE722D" w:rsidRDefault="00AE722D" w:rsidP="007F4886">
            <w:pPr>
              <w:pStyle w:val="COMTabletext"/>
              <w:keepLines/>
            </w:pPr>
          </w:p>
          <w:p w14:paraId="06D9A4D4" w14:textId="4ADBE1C5" w:rsidR="00AE722D" w:rsidRPr="00AE722D" w:rsidRDefault="00AE722D" w:rsidP="007F4886">
            <w:pPr>
              <w:pStyle w:val="COMTabletext"/>
              <w:keepLines/>
            </w:pPr>
            <w:r w:rsidRPr="00AE722D">
              <w:rPr>
                <w:szCs w:val="20"/>
              </w:rPr>
              <w:t>DUSC considered that there was some uncertainty in the estimate of</w:t>
            </w:r>
            <w:r w:rsidR="000950F9">
              <w:rPr>
                <w:strike/>
                <w:szCs w:val="20"/>
              </w:rPr>
              <w:t xml:space="preserve"> </w:t>
            </w:r>
            <w:r w:rsidR="007272B0">
              <w:rPr>
                <w:szCs w:val="20"/>
              </w:rPr>
              <w:t xml:space="preserve">PNH </w:t>
            </w:r>
            <w:r w:rsidRPr="00AE722D">
              <w:rPr>
                <w:szCs w:val="20"/>
              </w:rPr>
              <w:t>but considered the prevalence estimate reasonable.</w:t>
            </w:r>
          </w:p>
        </w:tc>
      </w:tr>
      <w:tr w:rsidR="00AE722D" w:rsidRPr="00A473B4" w14:paraId="142F508B" w14:textId="77777777" w:rsidTr="000F3C50">
        <w:tc>
          <w:tcPr>
            <w:tcW w:w="1151" w:type="dxa"/>
            <w:vAlign w:val="center"/>
          </w:tcPr>
          <w:p w14:paraId="2756BDFB" w14:textId="1F041016" w:rsidR="00AE722D" w:rsidRDefault="00AE722D" w:rsidP="000F3C50">
            <w:pPr>
              <w:pStyle w:val="COMTabletext"/>
              <w:keepNext w:val="0"/>
            </w:pPr>
            <w:r w:rsidRPr="00DE5CA5">
              <w:rPr>
                <w:szCs w:val="20"/>
              </w:rPr>
              <w:t>Proportion eligible for eculizumab</w:t>
            </w:r>
          </w:p>
        </w:tc>
        <w:tc>
          <w:tcPr>
            <w:tcW w:w="3522" w:type="dxa"/>
            <w:vAlign w:val="center"/>
          </w:tcPr>
          <w:p w14:paraId="45C306B2" w14:textId="01546E47" w:rsidR="00AE722D" w:rsidRPr="00D07D67" w:rsidRDefault="00AE722D" w:rsidP="000F3C50">
            <w:pPr>
              <w:pStyle w:val="COMTabletext"/>
              <w:keepNext w:val="0"/>
            </w:pPr>
            <w:r>
              <w:t xml:space="preserve">77%; </w:t>
            </w:r>
            <w:r w:rsidRPr="00DE5CA5">
              <w:rPr>
                <w:szCs w:val="20"/>
              </w:rPr>
              <w:t>LSDP review of medicines for PNH (review summary and expert panel recommendations; October 2020 expert panel meeting). Approximately 63-77% of patients with PNH in Australia were estimated to be eligible for access to LSDP-subsidised treatment with eculizumab.</w:t>
            </w:r>
          </w:p>
        </w:tc>
        <w:tc>
          <w:tcPr>
            <w:tcW w:w="4507" w:type="dxa"/>
            <w:vAlign w:val="center"/>
          </w:tcPr>
          <w:p w14:paraId="25BF9463" w14:textId="77777777" w:rsidR="00AE722D" w:rsidRDefault="00850A37" w:rsidP="000F3C50">
            <w:pPr>
              <w:pStyle w:val="COMTabletext"/>
              <w:keepNext w:val="0"/>
              <w:rPr>
                <w:szCs w:val="20"/>
              </w:rPr>
            </w:pPr>
            <w:r w:rsidRPr="00DE5CA5">
              <w:rPr>
                <w:szCs w:val="20"/>
              </w:rPr>
              <w:t>No justification was provided for the assumption of the higher end of the range. However, the estimated proportion may be reasonable given that the PBS restrictions for eculizumab and ravulizumab are slightly broader than the LSDP criteria (which excluded patients with severe aplastic anaemia).</w:t>
            </w:r>
          </w:p>
          <w:p w14:paraId="39AF579A" w14:textId="77777777" w:rsidR="00850A37" w:rsidRDefault="00850A37" w:rsidP="000F3C50">
            <w:pPr>
              <w:pStyle w:val="COMTabletext"/>
              <w:keepNext w:val="0"/>
            </w:pPr>
          </w:p>
          <w:p w14:paraId="65E4C390" w14:textId="2F550D62" w:rsidR="00850A37" w:rsidRPr="00850A37" w:rsidRDefault="00850A37" w:rsidP="000F3C50">
            <w:pPr>
              <w:pStyle w:val="COMTabletext"/>
              <w:keepNext w:val="0"/>
            </w:pPr>
            <w:r w:rsidRPr="00850A37">
              <w:rPr>
                <w:szCs w:val="20"/>
              </w:rPr>
              <w:t>DUSC considered that this figure was uncertain.</w:t>
            </w:r>
          </w:p>
        </w:tc>
      </w:tr>
      <w:tr w:rsidR="00850A37" w:rsidRPr="00A473B4" w14:paraId="51333FA1" w14:textId="77777777" w:rsidTr="000F3C50">
        <w:tc>
          <w:tcPr>
            <w:tcW w:w="1151" w:type="dxa"/>
            <w:vAlign w:val="center"/>
          </w:tcPr>
          <w:p w14:paraId="67DB7EAE" w14:textId="1CB7D8ED" w:rsidR="00850A37" w:rsidRPr="00DE5CA5" w:rsidRDefault="00850A37" w:rsidP="000F3C50">
            <w:pPr>
              <w:pStyle w:val="COMTabletext"/>
              <w:keepNext w:val="0"/>
              <w:rPr>
                <w:szCs w:val="20"/>
              </w:rPr>
            </w:pPr>
            <w:r w:rsidRPr="00DE5CA5">
              <w:rPr>
                <w:szCs w:val="20"/>
              </w:rPr>
              <w:t>Proportion of eligible patients accessing PBS treatment</w:t>
            </w:r>
          </w:p>
        </w:tc>
        <w:tc>
          <w:tcPr>
            <w:tcW w:w="3522" w:type="dxa"/>
            <w:vAlign w:val="center"/>
          </w:tcPr>
          <w:p w14:paraId="6A97D391" w14:textId="31F0827D" w:rsidR="00850A37" w:rsidRDefault="00850A37" w:rsidP="000F3C50">
            <w:pPr>
              <w:pStyle w:val="COMTabletext"/>
              <w:keepNext w:val="0"/>
            </w:pPr>
            <w:r>
              <w:t xml:space="preserve">100%; </w:t>
            </w:r>
            <w:r w:rsidRPr="00DE5CA5">
              <w:rPr>
                <w:szCs w:val="20"/>
              </w:rPr>
              <w:t>The submission assumed that all patients meeting the PBS eligibility criteria for the C5 inhibitors would be currently accessing PBS-subsidised eculizumab, ravulizumab or pegcetacoplan. The submission noted that the LSDP review suggested 53 to 84% of eligible patients with PNH were accessing a C5</w:t>
            </w:r>
            <w:r>
              <w:rPr>
                <w:szCs w:val="20"/>
              </w:rPr>
              <w:t xml:space="preserve"> </w:t>
            </w:r>
            <w:r w:rsidRPr="00DE5CA5">
              <w:rPr>
                <w:szCs w:val="20"/>
              </w:rPr>
              <w:t>inhibitor on the LSDP, but argued that this estimate did not include patients accessing treatment through clinical trials.</w:t>
            </w:r>
          </w:p>
        </w:tc>
        <w:tc>
          <w:tcPr>
            <w:tcW w:w="4507" w:type="dxa"/>
            <w:vAlign w:val="center"/>
          </w:tcPr>
          <w:p w14:paraId="1FB20F21" w14:textId="77777777" w:rsidR="00850A37" w:rsidRDefault="00850A37" w:rsidP="000F3C50">
            <w:pPr>
              <w:pStyle w:val="COMTabletext"/>
              <w:keepNext w:val="0"/>
              <w:rPr>
                <w:szCs w:val="20"/>
              </w:rPr>
            </w:pPr>
            <w:r w:rsidRPr="00DE5CA5">
              <w:rPr>
                <w:szCs w:val="20"/>
              </w:rPr>
              <w:t>This assumption was considered uncertain, and may overestimate the proportion of patients currently on PBS treatment.</w:t>
            </w:r>
            <w:r>
              <w:rPr>
                <w:szCs w:val="20"/>
              </w:rPr>
              <w:t xml:space="preserve"> </w:t>
            </w:r>
          </w:p>
          <w:p w14:paraId="0A733F5B" w14:textId="77777777" w:rsidR="00850A37" w:rsidRDefault="00850A37" w:rsidP="000F3C50">
            <w:pPr>
              <w:pStyle w:val="COMTabletext"/>
              <w:keepNext w:val="0"/>
              <w:rPr>
                <w:szCs w:val="20"/>
              </w:rPr>
            </w:pPr>
          </w:p>
          <w:p w14:paraId="5D9C5344" w14:textId="5EA504B9" w:rsidR="00850A37" w:rsidRPr="00850A37" w:rsidRDefault="00850A37" w:rsidP="000F3C50">
            <w:pPr>
              <w:pStyle w:val="COMTabletext"/>
              <w:keepNext w:val="0"/>
              <w:rPr>
                <w:szCs w:val="20"/>
              </w:rPr>
            </w:pPr>
            <w:r w:rsidRPr="00850A37">
              <w:rPr>
                <w:szCs w:val="20"/>
              </w:rPr>
              <w:t>DUSC considered the assumption an overestimation when compared to current prescriptions of C5 inhibitors</w:t>
            </w:r>
            <w:r>
              <w:rPr>
                <w:szCs w:val="20"/>
              </w:rPr>
              <w:t>.</w:t>
            </w:r>
          </w:p>
        </w:tc>
      </w:tr>
      <w:tr w:rsidR="00833323" w:rsidRPr="00A473B4" w14:paraId="20FF8CB1" w14:textId="77777777" w:rsidTr="000F3C50">
        <w:tc>
          <w:tcPr>
            <w:tcW w:w="1151" w:type="dxa"/>
            <w:vAlign w:val="center"/>
          </w:tcPr>
          <w:p w14:paraId="7D52635C" w14:textId="77777777" w:rsidR="00833323" w:rsidRDefault="00833323" w:rsidP="000F3C50">
            <w:pPr>
              <w:pStyle w:val="COMTabletext"/>
              <w:keepNext w:val="0"/>
            </w:pPr>
            <w:r>
              <w:t>Proportion with inadequate response or intolerant to a C5 inhibitor</w:t>
            </w:r>
          </w:p>
        </w:tc>
        <w:tc>
          <w:tcPr>
            <w:tcW w:w="3522" w:type="dxa"/>
            <w:vAlign w:val="center"/>
          </w:tcPr>
          <w:p w14:paraId="5CBAAEA4" w14:textId="77777777" w:rsidR="00833323" w:rsidRPr="00A473B4" w:rsidRDefault="00833323" w:rsidP="000F3C50">
            <w:pPr>
              <w:pStyle w:val="COMTabletext"/>
              <w:keepNext w:val="0"/>
            </w:pPr>
            <w:r>
              <w:t>43.9%; B</w:t>
            </w:r>
            <w:r w:rsidRPr="00CC05B5">
              <w:t xml:space="preserve">ased on </w:t>
            </w:r>
            <w:r>
              <w:t xml:space="preserve">the proportion of patients considered to be </w:t>
            </w:r>
            <w:r w:rsidRPr="009748F2">
              <w:t>major responders (</w:t>
            </w:r>
            <w:r>
              <w:t xml:space="preserve">defined as </w:t>
            </w:r>
            <w:r w:rsidRPr="009748F2">
              <w:t>transfusion independence and Hb ≥80 g/L and &lt;110 g/L)</w:t>
            </w:r>
            <w:r>
              <w:t xml:space="preserve"> in </w:t>
            </w:r>
            <w:r w:rsidRPr="00CC05B5">
              <w:t xml:space="preserve">an observational study </w:t>
            </w:r>
            <w:r>
              <w:t>conducted by R</w:t>
            </w:r>
            <w:r w:rsidRPr="00CC05B5">
              <w:t>isitano et al. (2009).</w:t>
            </w:r>
          </w:p>
        </w:tc>
        <w:tc>
          <w:tcPr>
            <w:tcW w:w="4507" w:type="dxa"/>
            <w:vAlign w:val="center"/>
          </w:tcPr>
          <w:p w14:paraId="00CAAAEA" w14:textId="77777777" w:rsidR="00833323" w:rsidRPr="00833323" w:rsidRDefault="00833323" w:rsidP="000F3C50">
            <w:pPr>
              <w:pStyle w:val="COMTabletext"/>
              <w:keepNext w:val="0"/>
            </w:pPr>
            <w:r w:rsidRPr="00833323">
              <w:t>The submission’s estimate appeared to underestimate the proportion of patients with an inadequate response to a C5 inhibitor, as patients who were partial responders or minor responders (who would also be eligible for treatment with iptacopan) were not accounted for in the submission’s estimates.</w:t>
            </w:r>
          </w:p>
          <w:p w14:paraId="7A0B849B" w14:textId="77777777" w:rsidR="00833323" w:rsidRPr="00833323" w:rsidRDefault="00833323" w:rsidP="000F3C50">
            <w:pPr>
              <w:pStyle w:val="COMTabletext"/>
              <w:keepNext w:val="0"/>
            </w:pPr>
          </w:p>
          <w:p w14:paraId="26EB37F4" w14:textId="77777777" w:rsidR="00833323" w:rsidRPr="00833323" w:rsidRDefault="00833323" w:rsidP="000F3C50">
            <w:pPr>
              <w:pStyle w:val="COMTabletext"/>
              <w:keepNext w:val="0"/>
            </w:pPr>
            <w:r w:rsidRPr="00833323">
              <w:t xml:space="preserve">The categories included in Risitano et al. did not appear to be applicable to the PBS population given that the proposed restriction does not include criteria relating to transfusion dependence, and is based on a Hb level &lt;10.5 g/dL rather than &lt;11 g/dL. Based on the data presented in Table 1 of Risitano et al., 21/41 (51.2%) had a Hb &lt;10.5 g/dL while on treatment with eculizumab. </w:t>
            </w:r>
          </w:p>
          <w:p w14:paraId="28CE6495" w14:textId="77777777" w:rsidR="00833323" w:rsidRPr="00833323" w:rsidRDefault="00833323" w:rsidP="000F3C50">
            <w:pPr>
              <w:pStyle w:val="COMTabletext"/>
              <w:keepNext w:val="0"/>
            </w:pPr>
          </w:p>
          <w:p w14:paraId="10F572E9" w14:textId="77777777" w:rsidR="00833323" w:rsidRPr="00833323" w:rsidRDefault="00833323" w:rsidP="000F3C50">
            <w:pPr>
              <w:pStyle w:val="COMTabletext"/>
              <w:keepNext w:val="0"/>
            </w:pPr>
            <w:r w:rsidRPr="00833323">
              <w:t xml:space="preserve">The sample size included in the study was relatively small and included a mix of continuing and newly treated patients treated with eculizumab (whereas the majority of patients in the PBS population are expected to be treated with ravulizumab). </w:t>
            </w:r>
          </w:p>
          <w:p w14:paraId="334612C3" w14:textId="77777777" w:rsidR="00833323" w:rsidRPr="00833323" w:rsidRDefault="00833323" w:rsidP="000F3C50">
            <w:pPr>
              <w:pStyle w:val="COMTabletext"/>
              <w:keepNext w:val="0"/>
            </w:pPr>
          </w:p>
          <w:p w14:paraId="7A2B2989" w14:textId="77777777" w:rsidR="00833323" w:rsidRDefault="00833323" w:rsidP="000F3C50">
            <w:pPr>
              <w:pStyle w:val="COMTabletext"/>
              <w:keepNext w:val="0"/>
            </w:pPr>
            <w:r w:rsidRPr="00833323">
              <w:t>The estimated proportion did not appear to account for patients who are intolerant to C5 inhibitor treatment.</w:t>
            </w:r>
          </w:p>
          <w:p w14:paraId="2F8C0C0B" w14:textId="77777777" w:rsidR="00850A37" w:rsidRDefault="00850A37" w:rsidP="000F3C50">
            <w:pPr>
              <w:pStyle w:val="COMTabletext"/>
              <w:keepNext w:val="0"/>
            </w:pPr>
          </w:p>
          <w:p w14:paraId="224A8C92" w14:textId="03242845" w:rsidR="00850A37" w:rsidRPr="007F4886" w:rsidRDefault="00111373" w:rsidP="000F3C50">
            <w:pPr>
              <w:pStyle w:val="COMTabletext"/>
              <w:keepNext w:val="0"/>
              <w:rPr>
                <w:szCs w:val="20"/>
              </w:rPr>
            </w:pPr>
            <w:r w:rsidRPr="00111373">
              <w:rPr>
                <w:color w:val="000000" w:themeColor="text1"/>
              </w:rPr>
              <w:t>DUSC considered that the proportion of patients with an inadequate response was overestimated. DUSC considered that the definition of responders was not clear and considered the proportion intolerant to C5 inhibitors to be around 19.5% as per Risitano et al., 2009. DUSC considered that the responder population should consist of both the optimal (36.6%) and major (43.9%) responders, while the intolerant population should consist of the partial (12.2%) and minor (7.3%) responders.</w:t>
            </w:r>
          </w:p>
        </w:tc>
      </w:tr>
      <w:tr w:rsidR="00833323" w:rsidRPr="00A473B4" w14:paraId="45E09935" w14:textId="77777777" w:rsidTr="000F3C50">
        <w:tc>
          <w:tcPr>
            <w:tcW w:w="1151" w:type="dxa"/>
            <w:vAlign w:val="center"/>
          </w:tcPr>
          <w:p w14:paraId="06C51901" w14:textId="77777777" w:rsidR="00833323" w:rsidRDefault="00833323" w:rsidP="000F3C50">
            <w:pPr>
              <w:pStyle w:val="COMTabletext"/>
              <w:keepNext w:val="0"/>
            </w:pPr>
            <w:r>
              <w:lastRenderedPageBreak/>
              <w:t>Patients on second-line treatment with pegcetacoplan in Year 1 who initiated prior to Year 1</w:t>
            </w:r>
          </w:p>
        </w:tc>
        <w:tc>
          <w:tcPr>
            <w:tcW w:w="3522" w:type="dxa"/>
            <w:vAlign w:val="center"/>
          </w:tcPr>
          <w:p w14:paraId="525CDF67" w14:textId="69ABE95B" w:rsidR="00833323" w:rsidRPr="00A473B4" w:rsidRDefault="007F4886" w:rsidP="000F3C50">
            <w:pPr>
              <w:pStyle w:val="COMTabletext"/>
              <w:keepNext w:val="0"/>
            </w:pPr>
            <w:r w:rsidRPr="007F4886">
              <w:rPr>
                <w:color w:val="000000"/>
                <w:spacing w:val="53"/>
                <w:szCs w:val="20"/>
                <w:shd w:val="solid" w:color="000000" w:fill="000000"/>
                <w:fitText w:val="330" w:id="-894216181"/>
                <w14:textFill>
                  <w14:solidFill>
                    <w14:srgbClr w14:val="000000">
                      <w14:alpha w14:val="100000"/>
                    </w14:srgbClr>
                  </w14:solidFill>
                </w14:textFill>
              </w:rPr>
              <w:t>|||</w:t>
            </w:r>
            <w:r w:rsidRPr="007F4886">
              <w:rPr>
                <w:color w:val="000000"/>
                <w:spacing w:val="1"/>
                <w:szCs w:val="20"/>
                <w:shd w:val="solid" w:color="000000" w:fill="000000"/>
                <w:fitText w:val="330" w:id="-894216181"/>
                <w14:textFill>
                  <w14:solidFill>
                    <w14:srgbClr w14:val="000000">
                      <w14:alpha w14:val="100000"/>
                    </w14:srgbClr>
                  </w14:solidFill>
                </w14:textFill>
              </w:rPr>
              <w:t>|</w:t>
            </w:r>
            <w:r>
              <w:rPr>
                <w:szCs w:val="20"/>
                <w:vertAlign w:val="superscript"/>
              </w:rPr>
              <w:t>1</w:t>
            </w:r>
            <w:r w:rsidR="00833323">
              <w:t xml:space="preserve"> patients. Assumption based on PBS dispensing data for pegcetacoplan to December 2023. The submission estimated that approximately </w:t>
            </w:r>
            <w:r w:rsidRPr="007F4886">
              <w:rPr>
                <w:color w:val="000000"/>
                <w:spacing w:val="53"/>
                <w:szCs w:val="20"/>
                <w:shd w:val="solid" w:color="000000" w:fill="000000"/>
                <w:fitText w:val="330" w:id="-894216181"/>
                <w14:textFill>
                  <w14:solidFill>
                    <w14:srgbClr w14:val="000000">
                      <w14:alpha w14:val="100000"/>
                    </w14:srgbClr>
                  </w14:solidFill>
                </w14:textFill>
              </w:rPr>
              <w:t>|||</w:t>
            </w:r>
            <w:r w:rsidRPr="007F4886">
              <w:rPr>
                <w:color w:val="000000"/>
                <w:spacing w:val="1"/>
                <w:szCs w:val="20"/>
                <w:shd w:val="solid" w:color="000000" w:fill="000000"/>
                <w:fitText w:val="330" w:id="-894216181"/>
                <w14:textFill>
                  <w14:solidFill>
                    <w14:srgbClr w14:val="000000">
                      <w14:alpha w14:val="100000"/>
                    </w14:srgbClr>
                  </w14:solidFill>
                </w14:textFill>
              </w:rPr>
              <w:t>|</w:t>
            </w:r>
            <w:r>
              <w:rPr>
                <w:szCs w:val="20"/>
                <w:vertAlign w:val="superscript"/>
              </w:rPr>
              <w:t>1</w:t>
            </w:r>
            <w:r w:rsidR="00833323">
              <w:t xml:space="preserve"> patients are currently receiving treatment with pegcetacoplan.  </w:t>
            </w:r>
          </w:p>
        </w:tc>
        <w:tc>
          <w:tcPr>
            <w:tcW w:w="4507" w:type="dxa"/>
            <w:vAlign w:val="center"/>
          </w:tcPr>
          <w:p w14:paraId="5C29B5D2" w14:textId="77777777" w:rsidR="00833323" w:rsidRDefault="00833323" w:rsidP="000F3C50">
            <w:pPr>
              <w:pStyle w:val="COMTabletext"/>
              <w:keepNext w:val="0"/>
            </w:pPr>
            <w:r w:rsidRPr="00833323">
              <w:t>This number was considered uncertain due to the immaturity of the PBS dispensing data for pegcetacoplan.</w:t>
            </w:r>
          </w:p>
          <w:p w14:paraId="3DE62799" w14:textId="77777777" w:rsidR="00752642" w:rsidRDefault="00752642" w:rsidP="000F3C50">
            <w:pPr>
              <w:pStyle w:val="COMTabletext"/>
              <w:keepNext w:val="0"/>
            </w:pPr>
          </w:p>
          <w:p w14:paraId="4FF35A6B" w14:textId="471BE174" w:rsidR="00752642" w:rsidRPr="00752642" w:rsidRDefault="00752642" w:rsidP="000F3C50">
            <w:pPr>
              <w:pStyle w:val="COMTabletext"/>
              <w:keepNext w:val="0"/>
            </w:pPr>
            <w:r w:rsidRPr="00752642">
              <w:rPr>
                <w:szCs w:val="20"/>
              </w:rPr>
              <w:t>DUSC considered that the patient numbers were overestimated relative to current C5 inhibitor prescriptions and relative to US estimates based on administrative data.</w:t>
            </w:r>
          </w:p>
        </w:tc>
      </w:tr>
      <w:tr w:rsidR="00833323" w:rsidRPr="00A473B4" w14:paraId="17F56B6D" w14:textId="77777777" w:rsidTr="000F3C50">
        <w:tc>
          <w:tcPr>
            <w:tcW w:w="1151" w:type="dxa"/>
            <w:vAlign w:val="center"/>
          </w:tcPr>
          <w:p w14:paraId="54625407" w14:textId="77777777" w:rsidR="00833323" w:rsidRDefault="00833323" w:rsidP="000F3C50">
            <w:pPr>
              <w:pStyle w:val="COMTabletext"/>
              <w:keepNext w:val="0"/>
            </w:pPr>
            <w:r>
              <w:t>Uptake of second-line treatment</w:t>
            </w:r>
          </w:p>
        </w:tc>
        <w:tc>
          <w:tcPr>
            <w:tcW w:w="3522" w:type="dxa"/>
            <w:vAlign w:val="center"/>
          </w:tcPr>
          <w:p w14:paraId="5B3E7F36" w14:textId="5AB0C223" w:rsidR="00833323" w:rsidRDefault="00833323" w:rsidP="000F3C50">
            <w:pPr>
              <w:pStyle w:val="COMTabletext"/>
            </w:pPr>
            <w:r>
              <w:t>Yr 1:</w:t>
            </w:r>
            <w:r w:rsidR="00C10DFF">
              <w:t xml:space="preserve"> </w:t>
            </w:r>
            <w:r w:rsidR="00C10DFF" w:rsidRPr="00DE1058">
              <w:rPr>
                <w:color w:val="000000"/>
                <w:spacing w:val="53"/>
                <w:shd w:val="solid" w:color="000000" w:fill="000000"/>
                <w:fitText w:val="330" w:id="-894216192"/>
                <w14:textFill>
                  <w14:solidFill>
                    <w14:srgbClr w14:val="000000">
                      <w14:alpha w14:val="100000"/>
                    </w14:srgbClr>
                  </w14:solidFill>
                </w14:textFill>
              </w:rPr>
              <w:t>|||</w:t>
            </w:r>
            <w:r w:rsidR="00C10DFF" w:rsidRPr="00DE1058">
              <w:rPr>
                <w:color w:val="000000"/>
                <w:spacing w:val="1"/>
                <w:shd w:val="solid" w:color="000000" w:fill="000000"/>
                <w:fitText w:val="330" w:id="-894216192"/>
                <w14:textFill>
                  <w14:solidFill>
                    <w14:srgbClr w14:val="000000">
                      <w14:alpha w14:val="100000"/>
                    </w14:srgbClr>
                  </w14:solidFill>
                </w14:textFill>
              </w:rPr>
              <w:t>|</w:t>
            </w:r>
            <w:r>
              <w:t>%, Yr 2:</w:t>
            </w:r>
            <w:r w:rsidR="00C10DFF">
              <w:t xml:space="preserve"> </w:t>
            </w:r>
            <w:r w:rsidR="00C10DFF" w:rsidRPr="00DE1058">
              <w:rPr>
                <w:color w:val="000000"/>
                <w:spacing w:val="53"/>
                <w:shd w:val="solid" w:color="000000" w:fill="000000"/>
                <w:fitText w:val="330" w:id="-894216191"/>
                <w14:textFill>
                  <w14:solidFill>
                    <w14:srgbClr w14:val="000000">
                      <w14:alpha w14:val="100000"/>
                    </w14:srgbClr>
                  </w14:solidFill>
                </w14:textFill>
              </w:rPr>
              <w:t>|||</w:t>
            </w:r>
            <w:r w:rsidR="00C10DFF" w:rsidRPr="00DE1058">
              <w:rPr>
                <w:color w:val="000000"/>
                <w:spacing w:val="1"/>
                <w:shd w:val="solid" w:color="000000" w:fill="000000"/>
                <w:fitText w:val="330" w:id="-894216191"/>
                <w14:textFill>
                  <w14:solidFill>
                    <w14:srgbClr w14:val="000000">
                      <w14:alpha w14:val="100000"/>
                    </w14:srgbClr>
                  </w14:solidFill>
                </w14:textFill>
              </w:rPr>
              <w:t>|</w:t>
            </w:r>
            <w:r>
              <w:t>%, Yr 3:</w:t>
            </w:r>
            <w:r w:rsidR="00C10DFF">
              <w:t xml:space="preserve"> </w:t>
            </w:r>
            <w:r w:rsidR="00C10DFF" w:rsidRPr="00DE1058">
              <w:rPr>
                <w:color w:val="000000"/>
                <w:spacing w:val="53"/>
                <w:shd w:val="solid" w:color="000000" w:fill="000000"/>
                <w:fitText w:val="330" w:id="-894216190"/>
                <w14:textFill>
                  <w14:solidFill>
                    <w14:srgbClr w14:val="000000">
                      <w14:alpha w14:val="100000"/>
                    </w14:srgbClr>
                  </w14:solidFill>
                </w14:textFill>
              </w:rPr>
              <w:t>|||</w:t>
            </w:r>
            <w:r w:rsidR="00C10DFF" w:rsidRPr="00DE1058">
              <w:rPr>
                <w:color w:val="000000"/>
                <w:spacing w:val="1"/>
                <w:shd w:val="solid" w:color="000000" w:fill="000000"/>
                <w:fitText w:val="330" w:id="-894216190"/>
                <w14:textFill>
                  <w14:solidFill>
                    <w14:srgbClr w14:val="000000">
                      <w14:alpha w14:val="100000"/>
                    </w14:srgbClr>
                  </w14:solidFill>
                </w14:textFill>
              </w:rPr>
              <w:t>|</w:t>
            </w:r>
            <w:r>
              <w:t>%, Yr 4:</w:t>
            </w:r>
            <w:r w:rsidR="00C10DFF">
              <w:t xml:space="preserve"> </w:t>
            </w:r>
            <w:r w:rsidR="00C10DFF" w:rsidRPr="00DE1058">
              <w:rPr>
                <w:color w:val="000000"/>
                <w:spacing w:val="53"/>
                <w:shd w:val="solid" w:color="000000" w:fill="000000"/>
                <w:fitText w:val="330" w:id="-894216189"/>
                <w14:textFill>
                  <w14:solidFill>
                    <w14:srgbClr w14:val="000000">
                      <w14:alpha w14:val="100000"/>
                    </w14:srgbClr>
                  </w14:solidFill>
                </w14:textFill>
              </w:rPr>
              <w:t>|||</w:t>
            </w:r>
            <w:r w:rsidR="00C10DFF" w:rsidRPr="00DE1058">
              <w:rPr>
                <w:color w:val="000000"/>
                <w:spacing w:val="1"/>
                <w:shd w:val="solid" w:color="000000" w:fill="000000"/>
                <w:fitText w:val="330" w:id="-894216189"/>
                <w14:textFill>
                  <w14:solidFill>
                    <w14:srgbClr w14:val="000000">
                      <w14:alpha w14:val="100000"/>
                    </w14:srgbClr>
                  </w14:solidFill>
                </w14:textFill>
              </w:rPr>
              <w:t>|</w:t>
            </w:r>
            <w:r>
              <w:t>%, Yr 5:</w:t>
            </w:r>
            <w:r w:rsidR="00C10DFF">
              <w:t> </w:t>
            </w:r>
            <w:r w:rsidR="00C10DFF" w:rsidRPr="00DE1058">
              <w:rPr>
                <w:color w:val="000000"/>
                <w:spacing w:val="53"/>
                <w:shd w:val="solid" w:color="000000" w:fill="000000"/>
                <w:fitText w:val="330" w:id="-894216188"/>
                <w14:textFill>
                  <w14:solidFill>
                    <w14:srgbClr w14:val="000000">
                      <w14:alpha w14:val="100000"/>
                    </w14:srgbClr>
                  </w14:solidFill>
                </w14:textFill>
              </w:rPr>
              <w:t>|||</w:t>
            </w:r>
            <w:r w:rsidR="00C10DFF" w:rsidRPr="00DE1058">
              <w:rPr>
                <w:color w:val="000000"/>
                <w:spacing w:val="1"/>
                <w:shd w:val="solid" w:color="000000" w:fill="000000"/>
                <w:fitText w:val="330" w:id="-894216188"/>
                <w14:textFill>
                  <w14:solidFill>
                    <w14:srgbClr w14:val="000000">
                      <w14:alpha w14:val="100000"/>
                    </w14:srgbClr>
                  </w14:solidFill>
                </w14:textFill>
              </w:rPr>
              <w:t>|</w:t>
            </w:r>
            <w:r>
              <w:t>%, Yr 6:</w:t>
            </w:r>
            <w:r w:rsidR="00C10DFF">
              <w:t xml:space="preserve"> </w:t>
            </w:r>
            <w:r w:rsidR="00C10DFF" w:rsidRPr="00DE1058">
              <w:rPr>
                <w:color w:val="000000"/>
                <w:spacing w:val="53"/>
                <w:shd w:val="solid" w:color="000000" w:fill="000000"/>
                <w:fitText w:val="330" w:id="-894216187"/>
                <w14:textFill>
                  <w14:solidFill>
                    <w14:srgbClr w14:val="000000">
                      <w14:alpha w14:val="100000"/>
                    </w14:srgbClr>
                  </w14:solidFill>
                </w14:textFill>
              </w:rPr>
              <w:t>|||</w:t>
            </w:r>
            <w:r w:rsidR="00C10DFF" w:rsidRPr="00DE1058">
              <w:rPr>
                <w:color w:val="000000"/>
                <w:spacing w:val="1"/>
                <w:shd w:val="solid" w:color="000000" w:fill="000000"/>
                <w:fitText w:val="330" w:id="-894216187"/>
                <w14:textFill>
                  <w14:solidFill>
                    <w14:srgbClr w14:val="000000">
                      <w14:alpha w14:val="100000"/>
                    </w14:srgbClr>
                  </w14:solidFill>
                </w14:textFill>
              </w:rPr>
              <w:t>|</w:t>
            </w:r>
            <w:r>
              <w:t xml:space="preserve">%. </w:t>
            </w:r>
            <w:r w:rsidRPr="00A45EB5">
              <w:t>The submission argued that high uptake is expected for pegcetacoplan due to the unmet clinical need for second-line treatment for patients with suboptimal response to C5 inhibitor treatment, and given that pegcetacoplan allows for self-administration in the home setting. The submission argued that listing of iptacopan is not expected to increase the uptake of the second-line treatment overall.</w:t>
            </w:r>
          </w:p>
        </w:tc>
        <w:tc>
          <w:tcPr>
            <w:tcW w:w="4507" w:type="dxa"/>
            <w:vAlign w:val="center"/>
          </w:tcPr>
          <w:p w14:paraId="607B6F5F" w14:textId="77777777" w:rsidR="00833323" w:rsidRDefault="00833323" w:rsidP="000F3C50">
            <w:pPr>
              <w:pStyle w:val="COMTabletext"/>
              <w:keepNext w:val="0"/>
            </w:pPr>
            <w:r w:rsidRPr="00833323">
              <w:t>The availability of an oral treatment is likely to increase the overall uptake of second-line treatment. However, it is unclear whether the assumed uptake rates will be realised given the relatively limited duration of effectiveness and safety data available for iptacopan and pegcetacoplan, particularly in relation to the occurrence of breakthrough haemolysis and major adverse vascular events (i.e., thrombosis).</w:t>
            </w:r>
          </w:p>
          <w:p w14:paraId="4A93A7BE" w14:textId="77777777" w:rsidR="00752642" w:rsidRDefault="00752642" w:rsidP="000F3C50">
            <w:pPr>
              <w:pStyle w:val="COMTabletext"/>
              <w:keepNext w:val="0"/>
            </w:pPr>
          </w:p>
          <w:p w14:paraId="07A31F53" w14:textId="46A8C000" w:rsidR="00752642" w:rsidRPr="00752642" w:rsidRDefault="00752642" w:rsidP="000F3C50">
            <w:pPr>
              <w:pStyle w:val="COMTabletext"/>
              <w:keepNext w:val="0"/>
            </w:pPr>
            <w:bookmarkStart w:id="63" w:name="_Hlk172293322"/>
            <w:r w:rsidRPr="00752642">
              <w:rPr>
                <w:szCs w:val="20"/>
              </w:rPr>
              <w:t>DUSC considered that uptake estimates are higher than current practice for year 1 and are likely to be an overestimate.</w:t>
            </w:r>
            <w:bookmarkEnd w:id="63"/>
          </w:p>
        </w:tc>
      </w:tr>
      <w:tr w:rsidR="00833323" w:rsidRPr="00A473B4" w14:paraId="50CDB6C1" w14:textId="77777777" w:rsidTr="000F3C50">
        <w:tc>
          <w:tcPr>
            <w:tcW w:w="1151" w:type="dxa"/>
            <w:vAlign w:val="center"/>
          </w:tcPr>
          <w:p w14:paraId="3D26F7E2" w14:textId="77777777" w:rsidR="00833323" w:rsidRPr="00A473B4" w:rsidRDefault="00833323" w:rsidP="000F3C50">
            <w:pPr>
              <w:pStyle w:val="COMTabletext"/>
              <w:keepNext w:val="0"/>
            </w:pPr>
            <w:r>
              <w:t>Proportion of second-line initiators who elect treatment with iptacopan</w:t>
            </w:r>
          </w:p>
        </w:tc>
        <w:tc>
          <w:tcPr>
            <w:tcW w:w="3522" w:type="dxa"/>
            <w:vAlign w:val="center"/>
          </w:tcPr>
          <w:p w14:paraId="1B00774A" w14:textId="6F7EBC0E" w:rsidR="00833323" w:rsidRPr="00A473B4" w:rsidRDefault="00C10DFF" w:rsidP="000F3C50">
            <w:pPr>
              <w:pStyle w:val="COMTabletext"/>
              <w:keepNext w:val="0"/>
            </w:pPr>
            <w:r w:rsidRPr="00DE1058">
              <w:rPr>
                <w:color w:val="000000"/>
                <w:spacing w:val="53"/>
                <w:shd w:val="solid" w:color="000000" w:fill="000000"/>
                <w:fitText w:val="330" w:id="-894215936"/>
                <w14:textFill>
                  <w14:solidFill>
                    <w14:srgbClr w14:val="000000">
                      <w14:alpha w14:val="100000"/>
                    </w14:srgbClr>
                  </w14:solidFill>
                </w14:textFill>
              </w:rPr>
              <w:t>|||</w:t>
            </w:r>
            <w:r w:rsidRPr="00DE1058">
              <w:rPr>
                <w:color w:val="000000"/>
                <w:spacing w:val="1"/>
                <w:shd w:val="solid" w:color="000000" w:fill="000000"/>
                <w:fitText w:val="330" w:id="-894215936"/>
                <w14:textFill>
                  <w14:solidFill>
                    <w14:srgbClr w14:val="000000">
                      <w14:alpha w14:val="100000"/>
                    </w14:srgbClr>
                  </w14:solidFill>
                </w14:textFill>
              </w:rPr>
              <w:t>|</w:t>
            </w:r>
            <w:r w:rsidR="00833323">
              <w:t>%. Assumption; the submission argued that the greater convenience of treatment with iptacopan (oral treatment) compared to pegcetacoplan (subcutaneous infusion) would result in an overall preference for iptacopan.</w:t>
            </w:r>
          </w:p>
        </w:tc>
        <w:tc>
          <w:tcPr>
            <w:tcW w:w="4507" w:type="dxa"/>
            <w:vAlign w:val="center"/>
          </w:tcPr>
          <w:p w14:paraId="44A5B762" w14:textId="66CBABBB" w:rsidR="00833323" w:rsidRDefault="00833323" w:rsidP="000F3C50">
            <w:pPr>
              <w:pStyle w:val="COMTabletext"/>
              <w:keepNext w:val="0"/>
            </w:pPr>
            <w:r w:rsidRPr="00833323">
              <w:t xml:space="preserve">The </w:t>
            </w:r>
            <w:r w:rsidR="00607EC2">
              <w:t xml:space="preserve">evaluation considered the </w:t>
            </w:r>
            <w:r w:rsidRPr="00833323">
              <w:t>uptake rates were uncertain but may be reasonable given the convenience associated with an oral treatment compared to a twice weekly subcutaneous infusion.</w:t>
            </w:r>
          </w:p>
          <w:p w14:paraId="1998D31D" w14:textId="77777777" w:rsidR="00752642" w:rsidRDefault="00752642" w:rsidP="000F3C50">
            <w:pPr>
              <w:pStyle w:val="COMTabletext"/>
              <w:keepNext w:val="0"/>
            </w:pPr>
          </w:p>
          <w:p w14:paraId="7BED11B8" w14:textId="247D28C1" w:rsidR="00752642" w:rsidRPr="00752642" w:rsidRDefault="00752642" w:rsidP="000F3C50">
            <w:pPr>
              <w:pStyle w:val="COMTabletext"/>
              <w:keepNext w:val="0"/>
            </w:pPr>
            <w:r w:rsidRPr="00752642">
              <w:rPr>
                <w:szCs w:val="20"/>
              </w:rPr>
              <w:t>DUSC considered that the uptake rate was reasonable given the mode of administration.</w:t>
            </w:r>
          </w:p>
        </w:tc>
      </w:tr>
      <w:tr w:rsidR="00833323" w:rsidRPr="00A473B4" w14:paraId="557CAAAF" w14:textId="77777777" w:rsidTr="000F3C50">
        <w:tc>
          <w:tcPr>
            <w:tcW w:w="1151" w:type="dxa"/>
            <w:vAlign w:val="center"/>
          </w:tcPr>
          <w:p w14:paraId="7EE8EE24" w14:textId="77777777" w:rsidR="00833323" w:rsidRDefault="00833323" w:rsidP="000F3C50">
            <w:pPr>
              <w:pStyle w:val="COMTabletext"/>
              <w:keepNext w:val="0"/>
            </w:pPr>
            <w:r>
              <w:t>Proportion of second-line pegcetacoplan patients who switch to iptacopan</w:t>
            </w:r>
          </w:p>
        </w:tc>
        <w:tc>
          <w:tcPr>
            <w:tcW w:w="3522" w:type="dxa"/>
            <w:vAlign w:val="center"/>
          </w:tcPr>
          <w:p w14:paraId="4904C7B9" w14:textId="457AA30D" w:rsidR="00833323" w:rsidRDefault="00833323" w:rsidP="000F3C50">
            <w:pPr>
              <w:pStyle w:val="COMTabletext"/>
              <w:keepNext w:val="0"/>
            </w:pPr>
            <w:r>
              <w:t>Y1 to Y3:</w:t>
            </w:r>
            <w:r w:rsidR="00C10DFF">
              <w:t xml:space="preserve"> </w:t>
            </w:r>
            <w:r w:rsidR="00C10DFF" w:rsidRPr="00DE1058">
              <w:rPr>
                <w:color w:val="000000"/>
                <w:spacing w:val="52"/>
                <w:shd w:val="solid" w:color="000000" w:fill="000000"/>
                <w:fitText w:val="330" w:id="-894216186"/>
                <w14:textFill>
                  <w14:solidFill>
                    <w14:srgbClr w14:val="000000">
                      <w14:alpha w14:val="100000"/>
                    </w14:srgbClr>
                  </w14:solidFill>
                </w14:textFill>
              </w:rPr>
              <w:t>|||</w:t>
            </w:r>
            <w:r w:rsidR="00C10DFF" w:rsidRPr="00DE1058">
              <w:rPr>
                <w:color w:val="000000"/>
                <w:spacing w:val="2"/>
                <w:shd w:val="solid" w:color="000000" w:fill="000000"/>
                <w:fitText w:val="330" w:id="-894216186"/>
                <w14:textFill>
                  <w14:solidFill>
                    <w14:srgbClr w14:val="000000">
                      <w14:alpha w14:val="100000"/>
                    </w14:srgbClr>
                  </w14:solidFill>
                </w14:textFill>
              </w:rPr>
              <w:t>|</w:t>
            </w:r>
            <w:r>
              <w:t>%, Y3 to Y6:</w:t>
            </w:r>
            <w:r w:rsidR="00C10DFF">
              <w:t xml:space="preserve"> </w:t>
            </w:r>
            <w:r w:rsidR="00C10DFF" w:rsidRPr="00DE1058">
              <w:rPr>
                <w:color w:val="000000"/>
                <w:spacing w:val="52"/>
                <w:shd w:val="solid" w:color="000000" w:fill="000000"/>
                <w:fitText w:val="330" w:id="-894216185"/>
                <w14:textFill>
                  <w14:solidFill>
                    <w14:srgbClr w14:val="000000">
                      <w14:alpha w14:val="100000"/>
                    </w14:srgbClr>
                  </w14:solidFill>
                </w14:textFill>
              </w:rPr>
              <w:t>|||</w:t>
            </w:r>
            <w:r w:rsidR="00C10DFF" w:rsidRPr="00DE1058">
              <w:rPr>
                <w:color w:val="000000"/>
                <w:spacing w:val="2"/>
                <w:shd w:val="solid" w:color="000000" w:fill="000000"/>
                <w:fitText w:val="330" w:id="-894216185"/>
                <w14:textFill>
                  <w14:solidFill>
                    <w14:srgbClr w14:val="000000">
                      <w14:alpha w14:val="100000"/>
                    </w14:srgbClr>
                  </w14:solidFill>
                </w14:textFill>
              </w:rPr>
              <w:t>|</w:t>
            </w:r>
            <w:r>
              <w:t>%. Assumption; the submission argued that the availability of an oral treatment would lead to the majority of patients switching to iptacopan during the initial 3 years.</w:t>
            </w:r>
          </w:p>
        </w:tc>
        <w:tc>
          <w:tcPr>
            <w:tcW w:w="4507" w:type="dxa"/>
            <w:vAlign w:val="center"/>
          </w:tcPr>
          <w:p w14:paraId="05577523" w14:textId="77777777" w:rsidR="00833323" w:rsidRDefault="00833323" w:rsidP="000F3C50">
            <w:pPr>
              <w:pStyle w:val="COMTabletext"/>
              <w:keepNext w:val="0"/>
            </w:pPr>
            <w:r w:rsidRPr="00833323">
              <w:t>The submission assumed that only 12.5% of patients (0.5 x 0.5 x 0.5) would remain on pegcetacoplan treatment after 3 years. While iptacopan provides a more convenient method of administration, patients may prefer to remain on pegcetacoplan if they are responding to pegcetacoplan therapy. Additionally, patients may be reluctant to switch from pegcetacoplan to iptacopan unless there is a clear path to allow reinitiation of treatment with pegcetacoplan in the case of iptacopan treatment failure/intolerance.</w:t>
            </w:r>
          </w:p>
          <w:p w14:paraId="576EECBB" w14:textId="6E69CD5C" w:rsidR="00752642" w:rsidRPr="00752642" w:rsidRDefault="00752642" w:rsidP="000F3C50">
            <w:pPr>
              <w:pStyle w:val="COMTabletext"/>
              <w:keepNext w:val="0"/>
            </w:pPr>
            <w:r w:rsidRPr="00752642">
              <w:rPr>
                <w:szCs w:val="20"/>
              </w:rPr>
              <w:t>DUSC considered the estimates to be uncertain but reasonable given the mode of administration.</w:t>
            </w:r>
          </w:p>
        </w:tc>
      </w:tr>
      <w:tr w:rsidR="00833323" w:rsidRPr="00A473B4" w14:paraId="20838FC7" w14:textId="77777777" w:rsidTr="000F3C50">
        <w:tc>
          <w:tcPr>
            <w:tcW w:w="1151" w:type="dxa"/>
            <w:vAlign w:val="center"/>
          </w:tcPr>
          <w:p w14:paraId="2AACD2DE" w14:textId="77777777" w:rsidR="00833323" w:rsidRPr="00A473B4" w:rsidRDefault="00833323" w:rsidP="000F3C50">
            <w:pPr>
              <w:pStyle w:val="COMTabletext"/>
              <w:keepNext w:val="0"/>
            </w:pPr>
            <w:r>
              <w:t>Second-line treatment discontinuation rate</w:t>
            </w:r>
          </w:p>
        </w:tc>
        <w:tc>
          <w:tcPr>
            <w:tcW w:w="3522" w:type="dxa"/>
            <w:vAlign w:val="center"/>
          </w:tcPr>
          <w:p w14:paraId="43225994" w14:textId="330BCC88" w:rsidR="00833323" w:rsidRPr="00A473B4" w:rsidRDefault="00C10DFF" w:rsidP="000F3C50">
            <w:pPr>
              <w:pStyle w:val="COMTabletext"/>
              <w:keepNext w:val="0"/>
            </w:pPr>
            <w:r w:rsidRPr="00DE1058">
              <w:rPr>
                <w:color w:val="000000"/>
                <w:spacing w:val="52"/>
                <w:shd w:val="solid" w:color="000000" w:fill="000000"/>
                <w:fitText w:val="330" w:id="-894215935"/>
                <w14:textFill>
                  <w14:solidFill>
                    <w14:srgbClr w14:val="000000">
                      <w14:alpha w14:val="100000"/>
                    </w14:srgbClr>
                  </w14:solidFill>
                </w14:textFill>
              </w:rPr>
              <w:t>|||</w:t>
            </w:r>
            <w:r w:rsidRPr="00DE1058">
              <w:rPr>
                <w:color w:val="000000"/>
                <w:spacing w:val="2"/>
                <w:shd w:val="solid" w:color="000000" w:fill="000000"/>
                <w:fitText w:val="330" w:id="-894215935"/>
                <w14:textFill>
                  <w14:solidFill>
                    <w14:srgbClr w14:val="000000">
                      <w14:alpha w14:val="100000"/>
                    </w14:srgbClr>
                  </w14:solidFill>
                </w14:textFill>
              </w:rPr>
              <w:t>|</w:t>
            </w:r>
            <w:r w:rsidR="00833323" w:rsidRPr="005858C8">
              <w:t>%</w:t>
            </w:r>
            <w:r w:rsidR="00833323">
              <w:t>. Assumption; based on the discontinuation rate of</w:t>
            </w:r>
            <w:r>
              <w:t xml:space="preserve"> </w:t>
            </w:r>
            <w:r w:rsidRPr="00DE1058">
              <w:rPr>
                <w:color w:val="000000"/>
                <w:spacing w:val="52"/>
                <w:shd w:val="solid" w:color="000000" w:fill="000000"/>
                <w:fitText w:val="330" w:id="-894216184"/>
                <w14:textFill>
                  <w14:solidFill>
                    <w14:srgbClr w14:val="000000">
                      <w14:alpha w14:val="100000"/>
                    </w14:srgbClr>
                  </w14:solidFill>
                </w14:textFill>
              </w:rPr>
              <w:t>|||</w:t>
            </w:r>
            <w:r w:rsidRPr="00DE1058">
              <w:rPr>
                <w:color w:val="000000"/>
                <w:spacing w:val="2"/>
                <w:shd w:val="solid" w:color="000000" w:fill="000000"/>
                <w:fitText w:val="330" w:id="-894216184"/>
                <w14:textFill>
                  <w14:solidFill>
                    <w14:srgbClr w14:val="000000">
                      <w14:alpha w14:val="100000"/>
                    </w14:srgbClr>
                  </w14:solidFill>
                </w14:textFill>
              </w:rPr>
              <w:t>|</w:t>
            </w:r>
            <w:r w:rsidR="00833323">
              <w:t xml:space="preserve">% applied in the utilisation and financial implications for pegcetacoplan in the March 2022 submission for pegcetacoplan. </w:t>
            </w:r>
          </w:p>
        </w:tc>
        <w:tc>
          <w:tcPr>
            <w:tcW w:w="4507" w:type="dxa"/>
            <w:vAlign w:val="center"/>
          </w:tcPr>
          <w:p w14:paraId="2FCDFD70" w14:textId="77777777" w:rsidR="00833323" w:rsidRDefault="00833323" w:rsidP="000F3C50">
            <w:pPr>
              <w:pStyle w:val="COMTabletext"/>
              <w:keepNext w:val="0"/>
            </w:pPr>
            <w:r w:rsidRPr="00833323">
              <w:t xml:space="preserve">The underlying source of the discontinuation rate was unclear. Given the potential for complications associated with untreated PNH, patients who discontinue treatment are likely to switch to an alternative PNH treatment. While an annual discontinuation rate was incorporated, the submission’s estimates did not appear to account for patients who </w:t>
            </w:r>
            <w:r w:rsidRPr="00833323">
              <w:lastRenderedPageBreak/>
              <w:t>discontinue treatment due to not achieving a clinical improvement.</w:t>
            </w:r>
          </w:p>
          <w:p w14:paraId="46B0D4C8" w14:textId="77777777" w:rsidR="00094D87" w:rsidRDefault="00094D87" w:rsidP="000F3C50">
            <w:pPr>
              <w:pStyle w:val="COMTabletext"/>
              <w:keepNext w:val="0"/>
            </w:pPr>
          </w:p>
          <w:p w14:paraId="17D34ED2" w14:textId="1DB9DB92" w:rsidR="00094D87" w:rsidRPr="00094D87" w:rsidRDefault="00094D87" w:rsidP="000F3C50">
            <w:pPr>
              <w:pStyle w:val="COMTabletext"/>
              <w:keepNext w:val="0"/>
            </w:pPr>
            <w:r w:rsidRPr="00094D87">
              <w:rPr>
                <w:szCs w:val="20"/>
              </w:rPr>
              <w:t>DUSC considered that applying this assumption was not necessary in a prevalent approach.</w:t>
            </w:r>
          </w:p>
        </w:tc>
      </w:tr>
      <w:tr w:rsidR="00094D87" w:rsidRPr="00A473B4" w14:paraId="2FF5F83C" w14:textId="77777777" w:rsidTr="000F3C50">
        <w:tc>
          <w:tcPr>
            <w:tcW w:w="1151" w:type="dxa"/>
            <w:vAlign w:val="center"/>
          </w:tcPr>
          <w:p w14:paraId="50EF5BAE" w14:textId="29737624" w:rsidR="00094D87" w:rsidRDefault="00094D87" w:rsidP="000F3C50">
            <w:pPr>
              <w:pStyle w:val="COMTabletext"/>
              <w:keepNext w:val="0"/>
            </w:pPr>
            <w:r w:rsidRPr="00DE5CA5">
              <w:rPr>
                <w:szCs w:val="20"/>
              </w:rPr>
              <w:lastRenderedPageBreak/>
              <w:t>Patients initiating second-line treatment</w:t>
            </w:r>
          </w:p>
        </w:tc>
        <w:tc>
          <w:tcPr>
            <w:tcW w:w="3522" w:type="dxa"/>
            <w:vAlign w:val="center"/>
          </w:tcPr>
          <w:p w14:paraId="099D1082" w14:textId="7E3E8919" w:rsidR="00094D87" w:rsidRPr="00094D87" w:rsidRDefault="00094D87" w:rsidP="00094D87">
            <w:pPr>
              <w:pStyle w:val="COMTabletext"/>
              <w:keepNext w:val="0"/>
              <w:rPr>
                <w:szCs w:val="20"/>
              </w:rPr>
            </w:pPr>
            <w:r w:rsidRPr="00DE5CA5">
              <w:rPr>
                <w:szCs w:val="20"/>
              </w:rPr>
              <w:t>Y1:</w:t>
            </w:r>
            <w:r w:rsidR="00C10DFF">
              <w:rPr>
                <w:szCs w:val="20"/>
              </w:rPr>
              <w:t xml:space="preserve"> </w:t>
            </w:r>
            <w:r w:rsidR="00C10DFF" w:rsidRPr="007F4886">
              <w:rPr>
                <w:color w:val="000000"/>
                <w:spacing w:val="53"/>
                <w:szCs w:val="20"/>
                <w:shd w:val="solid" w:color="000000" w:fill="000000"/>
                <w:fitText w:val="330" w:id="-894216183"/>
                <w14:textFill>
                  <w14:solidFill>
                    <w14:srgbClr w14:val="000000">
                      <w14:alpha w14:val="100000"/>
                    </w14:srgbClr>
                  </w14:solidFill>
                </w14:textFill>
              </w:rPr>
              <w:t>|||</w:t>
            </w:r>
            <w:r w:rsidR="00C10DFF" w:rsidRPr="007F4886">
              <w:rPr>
                <w:color w:val="000000"/>
                <w:spacing w:val="1"/>
                <w:szCs w:val="20"/>
                <w:shd w:val="solid" w:color="000000" w:fill="000000"/>
                <w:fitText w:val="330" w:id="-894216183"/>
                <w14:textFill>
                  <w14:solidFill>
                    <w14:srgbClr w14:val="000000">
                      <w14:alpha w14:val="100000"/>
                    </w14:srgbClr>
                  </w14:solidFill>
                </w14:textFill>
              </w:rPr>
              <w:t>|</w:t>
            </w:r>
            <w:r w:rsidR="007F4886">
              <w:rPr>
                <w:szCs w:val="20"/>
                <w:vertAlign w:val="superscript"/>
              </w:rPr>
              <w:t>1</w:t>
            </w:r>
            <w:r>
              <w:rPr>
                <w:szCs w:val="20"/>
              </w:rPr>
              <w:t xml:space="preserve">, </w:t>
            </w:r>
            <w:r w:rsidRPr="00DE5CA5">
              <w:rPr>
                <w:szCs w:val="20"/>
              </w:rPr>
              <w:t>Y2:</w:t>
            </w:r>
            <w:r w:rsidR="00C10DFF">
              <w:rPr>
                <w:szCs w:val="20"/>
              </w:rPr>
              <w:t xml:space="preserve"> </w:t>
            </w:r>
            <w:r w:rsidR="00C10DFF" w:rsidRPr="007F4886">
              <w:rPr>
                <w:color w:val="000000"/>
                <w:spacing w:val="53"/>
                <w:szCs w:val="20"/>
                <w:shd w:val="solid" w:color="000000" w:fill="000000"/>
                <w:fitText w:val="330" w:id="-894216182"/>
                <w14:textFill>
                  <w14:solidFill>
                    <w14:srgbClr w14:val="000000">
                      <w14:alpha w14:val="100000"/>
                    </w14:srgbClr>
                  </w14:solidFill>
                </w14:textFill>
              </w:rPr>
              <w:t>|||</w:t>
            </w:r>
            <w:r w:rsidR="00C10DFF" w:rsidRPr="007F4886">
              <w:rPr>
                <w:color w:val="000000"/>
                <w:spacing w:val="1"/>
                <w:szCs w:val="20"/>
                <w:shd w:val="solid" w:color="000000" w:fill="000000"/>
                <w:fitText w:val="330" w:id="-894216182"/>
                <w14:textFill>
                  <w14:solidFill>
                    <w14:srgbClr w14:val="000000">
                      <w14:alpha w14:val="100000"/>
                    </w14:srgbClr>
                  </w14:solidFill>
                </w14:textFill>
              </w:rPr>
              <w:t>|</w:t>
            </w:r>
            <w:r w:rsidR="007F4886">
              <w:rPr>
                <w:szCs w:val="20"/>
                <w:vertAlign w:val="superscript"/>
              </w:rPr>
              <w:t>1</w:t>
            </w:r>
            <w:r w:rsidR="007F4886">
              <w:rPr>
                <w:szCs w:val="20"/>
              </w:rPr>
              <w:t>,</w:t>
            </w:r>
            <w:r>
              <w:rPr>
                <w:szCs w:val="20"/>
              </w:rPr>
              <w:t xml:space="preserve"> </w:t>
            </w:r>
            <w:r w:rsidRPr="00DE5CA5">
              <w:rPr>
                <w:szCs w:val="20"/>
              </w:rPr>
              <w:t>Y3:</w:t>
            </w:r>
            <w:r w:rsidR="00C10DFF">
              <w:rPr>
                <w:szCs w:val="20"/>
              </w:rPr>
              <w:t xml:space="preserve"> </w:t>
            </w:r>
            <w:r w:rsidR="00C10DFF" w:rsidRPr="007F4886">
              <w:rPr>
                <w:color w:val="000000"/>
                <w:spacing w:val="53"/>
                <w:szCs w:val="20"/>
                <w:shd w:val="solid" w:color="000000" w:fill="000000"/>
                <w:fitText w:val="330" w:id="-894216181"/>
                <w14:textFill>
                  <w14:solidFill>
                    <w14:srgbClr w14:val="000000">
                      <w14:alpha w14:val="100000"/>
                    </w14:srgbClr>
                  </w14:solidFill>
                </w14:textFill>
              </w:rPr>
              <w:t>|||</w:t>
            </w:r>
            <w:r w:rsidR="00C10DFF" w:rsidRPr="007F4886">
              <w:rPr>
                <w:color w:val="000000"/>
                <w:spacing w:val="1"/>
                <w:szCs w:val="20"/>
                <w:shd w:val="solid" w:color="000000" w:fill="000000"/>
                <w:fitText w:val="330" w:id="-894216181"/>
                <w14:textFill>
                  <w14:solidFill>
                    <w14:srgbClr w14:val="000000">
                      <w14:alpha w14:val="100000"/>
                    </w14:srgbClr>
                  </w14:solidFill>
                </w14:textFill>
              </w:rPr>
              <w:t>|</w:t>
            </w:r>
            <w:r w:rsidR="007F4886">
              <w:rPr>
                <w:szCs w:val="20"/>
                <w:vertAlign w:val="superscript"/>
              </w:rPr>
              <w:t>1</w:t>
            </w:r>
            <w:r>
              <w:rPr>
                <w:szCs w:val="20"/>
              </w:rPr>
              <w:t xml:space="preserve">, </w:t>
            </w:r>
            <w:r w:rsidRPr="00DE5CA5">
              <w:rPr>
                <w:szCs w:val="20"/>
              </w:rPr>
              <w:t>Y4:</w:t>
            </w:r>
            <w:r w:rsidR="00C10DFF">
              <w:rPr>
                <w:szCs w:val="20"/>
              </w:rPr>
              <w:t xml:space="preserve"> </w:t>
            </w:r>
            <w:r w:rsidR="00C10DFF" w:rsidRPr="007F4886">
              <w:rPr>
                <w:color w:val="000000"/>
                <w:spacing w:val="49"/>
                <w:szCs w:val="20"/>
                <w:shd w:val="solid" w:color="000000" w:fill="000000"/>
                <w:fitText w:val="320" w:id="-894216180"/>
                <w14:textFill>
                  <w14:solidFill>
                    <w14:srgbClr w14:val="000000">
                      <w14:alpha w14:val="100000"/>
                    </w14:srgbClr>
                  </w14:solidFill>
                </w14:textFill>
              </w:rPr>
              <w:t>|||</w:t>
            </w:r>
            <w:r w:rsidR="00C10DFF" w:rsidRPr="007F4886">
              <w:rPr>
                <w:color w:val="000000"/>
                <w:spacing w:val="3"/>
                <w:szCs w:val="20"/>
                <w:shd w:val="solid" w:color="000000" w:fill="000000"/>
                <w:fitText w:val="320" w:id="-894216180"/>
                <w14:textFill>
                  <w14:solidFill>
                    <w14:srgbClr w14:val="000000">
                      <w14:alpha w14:val="100000"/>
                    </w14:srgbClr>
                  </w14:solidFill>
                </w14:textFill>
              </w:rPr>
              <w:t>|</w:t>
            </w:r>
            <w:r w:rsidR="007F4886">
              <w:rPr>
                <w:szCs w:val="20"/>
                <w:vertAlign w:val="superscript"/>
              </w:rPr>
              <w:t>1</w:t>
            </w:r>
            <w:r>
              <w:rPr>
                <w:szCs w:val="20"/>
              </w:rPr>
              <w:t xml:space="preserve">, </w:t>
            </w:r>
            <w:r w:rsidRPr="00DE5CA5">
              <w:rPr>
                <w:szCs w:val="20"/>
              </w:rPr>
              <w:t>Y5:</w:t>
            </w:r>
            <w:r w:rsidR="00C10DFF">
              <w:rPr>
                <w:szCs w:val="20"/>
              </w:rPr>
              <w:t xml:space="preserve"> </w:t>
            </w:r>
            <w:r w:rsidR="00C10DFF" w:rsidRPr="007F4886">
              <w:rPr>
                <w:color w:val="000000"/>
                <w:spacing w:val="53"/>
                <w:szCs w:val="20"/>
                <w:shd w:val="solid" w:color="000000" w:fill="000000"/>
                <w:fitText w:val="330" w:id="-894216179"/>
                <w14:textFill>
                  <w14:solidFill>
                    <w14:srgbClr w14:val="000000">
                      <w14:alpha w14:val="100000"/>
                    </w14:srgbClr>
                  </w14:solidFill>
                </w14:textFill>
              </w:rPr>
              <w:t>|||</w:t>
            </w:r>
            <w:r w:rsidR="00C10DFF" w:rsidRPr="007F4886">
              <w:rPr>
                <w:color w:val="000000"/>
                <w:spacing w:val="1"/>
                <w:szCs w:val="20"/>
                <w:shd w:val="solid" w:color="000000" w:fill="000000"/>
                <w:fitText w:val="330" w:id="-894216179"/>
                <w14:textFill>
                  <w14:solidFill>
                    <w14:srgbClr w14:val="000000">
                      <w14:alpha w14:val="100000"/>
                    </w14:srgbClr>
                  </w14:solidFill>
                </w14:textFill>
              </w:rPr>
              <w:t>|</w:t>
            </w:r>
            <w:r w:rsidR="007F4886">
              <w:rPr>
                <w:szCs w:val="20"/>
                <w:vertAlign w:val="superscript"/>
              </w:rPr>
              <w:t>1</w:t>
            </w:r>
            <w:r>
              <w:rPr>
                <w:szCs w:val="20"/>
              </w:rPr>
              <w:t xml:space="preserve">, </w:t>
            </w:r>
            <w:r w:rsidRPr="00DE5CA5">
              <w:rPr>
                <w:szCs w:val="20"/>
              </w:rPr>
              <w:t>Y6:</w:t>
            </w:r>
            <w:r w:rsidR="00C10DFF">
              <w:rPr>
                <w:szCs w:val="20"/>
              </w:rPr>
              <w:t xml:space="preserve"> </w:t>
            </w:r>
            <w:r w:rsidR="00C10DFF" w:rsidRPr="007F4886">
              <w:rPr>
                <w:color w:val="000000"/>
                <w:spacing w:val="53"/>
                <w:szCs w:val="20"/>
                <w:shd w:val="solid" w:color="000000" w:fill="000000"/>
                <w:fitText w:val="330" w:id="-894216178"/>
                <w14:textFill>
                  <w14:solidFill>
                    <w14:srgbClr w14:val="000000">
                      <w14:alpha w14:val="100000"/>
                    </w14:srgbClr>
                  </w14:solidFill>
                </w14:textFill>
              </w:rPr>
              <w:t>|||</w:t>
            </w:r>
            <w:r w:rsidR="00C10DFF" w:rsidRPr="007F4886">
              <w:rPr>
                <w:color w:val="000000"/>
                <w:spacing w:val="1"/>
                <w:szCs w:val="20"/>
                <w:shd w:val="solid" w:color="000000" w:fill="000000"/>
                <w:fitText w:val="330" w:id="-894216178"/>
                <w14:textFill>
                  <w14:solidFill>
                    <w14:srgbClr w14:val="000000">
                      <w14:alpha w14:val="100000"/>
                    </w14:srgbClr>
                  </w14:solidFill>
                </w14:textFill>
              </w:rPr>
              <w:t>|</w:t>
            </w:r>
            <w:r w:rsidR="007F4886">
              <w:rPr>
                <w:szCs w:val="20"/>
                <w:vertAlign w:val="superscript"/>
              </w:rPr>
              <w:t>1</w:t>
            </w:r>
            <w:r>
              <w:rPr>
                <w:szCs w:val="20"/>
              </w:rPr>
              <w:t xml:space="preserve">; </w:t>
            </w:r>
            <w:r w:rsidRPr="00DE5CA5">
              <w:rPr>
                <w:szCs w:val="20"/>
              </w:rPr>
              <w:t>Derived as the difference between the estimated total number of patients on second-line treatment in a particular year minus the number of patients continuing from previous years.</w:t>
            </w:r>
          </w:p>
        </w:tc>
        <w:tc>
          <w:tcPr>
            <w:tcW w:w="4507" w:type="dxa"/>
            <w:vAlign w:val="center"/>
          </w:tcPr>
          <w:p w14:paraId="28587089" w14:textId="77777777" w:rsidR="00094D87" w:rsidRDefault="00094D87" w:rsidP="000F3C50">
            <w:pPr>
              <w:pStyle w:val="COMTabletext"/>
              <w:keepNext w:val="0"/>
              <w:rPr>
                <w:szCs w:val="20"/>
              </w:rPr>
            </w:pPr>
            <w:r w:rsidRPr="00DE5CA5">
              <w:rPr>
                <w:szCs w:val="20"/>
              </w:rPr>
              <w:t>The number of patients initiating second-line treatment was dependent on the total number of patients on second-line treatment (based on the uptake rate assumed in the submission) and the rate of treatment discontinuation among patients on second-line treatment.</w:t>
            </w:r>
          </w:p>
          <w:p w14:paraId="3C45BF0A" w14:textId="77777777" w:rsidR="00094D87" w:rsidRDefault="00094D87" w:rsidP="000F3C50">
            <w:pPr>
              <w:pStyle w:val="COMTabletext"/>
              <w:keepNext w:val="0"/>
            </w:pPr>
          </w:p>
          <w:p w14:paraId="698F0D16" w14:textId="1BEE2DBB" w:rsidR="00094D87" w:rsidRPr="00094D87" w:rsidRDefault="00094D87" w:rsidP="000F3C50">
            <w:pPr>
              <w:pStyle w:val="COMTabletext"/>
              <w:keepNext w:val="0"/>
            </w:pPr>
            <w:r w:rsidRPr="00094D87">
              <w:rPr>
                <w:szCs w:val="20"/>
              </w:rPr>
              <w:t>DUSC considered that given the uncertainties in the estimates used to derive this figure that it is itself uncertain and likely to be an overestimate.</w:t>
            </w:r>
          </w:p>
        </w:tc>
      </w:tr>
      <w:tr w:rsidR="00094D87" w:rsidRPr="00A473B4" w14:paraId="69CF2B06" w14:textId="77777777" w:rsidTr="000F3C50">
        <w:tc>
          <w:tcPr>
            <w:tcW w:w="1151" w:type="dxa"/>
            <w:vAlign w:val="center"/>
          </w:tcPr>
          <w:p w14:paraId="35AA9C33" w14:textId="5CDE0A59" w:rsidR="00094D87" w:rsidRDefault="00094D87" w:rsidP="000F3C50">
            <w:pPr>
              <w:pStyle w:val="COMTabletext"/>
              <w:keepNext w:val="0"/>
            </w:pPr>
            <w:r w:rsidRPr="00DE5CA5">
              <w:rPr>
                <w:szCs w:val="20"/>
              </w:rPr>
              <w:t>Iptacopan and pegcetacoplan scripts per patient</w:t>
            </w:r>
          </w:p>
        </w:tc>
        <w:tc>
          <w:tcPr>
            <w:tcW w:w="3522" w:type="dxa"/>
            <w:vAlign w:val="center"/>
          </w:tcPr>
          <w:p w14:paraId="6D372F9C" w14:textId="18EBD7D5" w:rsidR="00094D87" w:rsidRDefault="00094D87" w:rsidP="000F3C50">
            <w:pPr>
              <w:pStyle w:val="COMTabletext"/>
              <w:keepNext w:val="0"/>
            </w:pPr>
            <w:r w:rsidRPr="00DE5CA5">
              <w:rPr>
                <w:szCs w:val="20"/>
              </w:rPr>
              <w:t>13 scripts per patient per year</w:t>
            </w:r>
            <w:r>
              <w:rPr>
                <w:szCs w:val="20"/>
              </w:rPr>
              <w:t xml:space="preserve">; </w:t>
            </w:r>
            <w:r w:rsidRPr="00DE5CA5">
              <w:rPr>
                <w:szCs w:val="20"/>
              </w:rPr>
              <w:t>Based on assumption of 52 weeks per year and one script every 4 weeks.</w:t>
            </w:r>
          </w:p>
        </w:tc>
        <w:tc>
          <w:tcPr>
            <w:tcW w:w="4507" w:type="dxa"/>
            <w:vAlign w:val="center"/>
          </w:tcPr>
          <w:p w14:paraId="7576D313" w14:textId="77777777" w:rsidR="00094D87" w:rsidRDefault="00094D87" w:rsidP="000F3C50">
            <w:pPr>
              <w:pStyle w:val="COMTabletext"/>
              <w:keepNext w:val="0"/>
              <w:rPr>
                <w:szCs w:val="20"/>
              </w:rPr>
            </w:pPr>
            <w:r w:rsidRPr="00DE5CA5">
              <w:rPr>
                <w:szCs w:val="20"/>
              </w:rPr>
              <w:t>The calculation was based on 52 weeks (364 days) per year rather than 365.25 days, which underestimated the number of scripts per year.</w:t>
            </w:r>
          </w:p>
          <w:p w14:paraId="4EF0A06D" w14:textId="77777777" w:rsidR="00094D87" w:rsidRDefault="00094D87" w:rsidP="000F3C50">
            <w:pPr>
              <w:pStyle w:val="COMTabletext"/>
              <w:keepNext w:val="0"/>
            </w:pPr>
          </w:p>
          <w:p w14:paraId="792A60C4" w14:textId="27055479" w:rsidR="00094D87" w:rsidRPr="00094D87" w:rsidRDefault="00094D87" w:rsidP="000F3C50">
            <w:pPr>
              <w:pStyle w:val="COMTabletext"/>
              <w:keepNext w:val="0"/>
            </w:pPr>
            <w:r w:rsidRPr="00094D87">
              <w:rPr>
                <w:szCs w:val="20"/>
              </w:rPr>
              <w:t>DUSC considered that the compliance rate will be high but not necessarily 100%. However, the offset by the discontinuation rates was unnecessarily applied.</w:t>
            </w:r>
          </w:p>
        </w:tc>
      </w:tr>
      <w:tr w:rsidR="00833323" w:rsidRPr="00A473B4" w14:paraId="66E46DB7" w14:textId="77777777" w:rsidTr="000F3C50">
        <w:tc>
          <w:tcPr>
            <w:tcW w:w="1151" w:type="dxa"/>
            <w:vAlign w:val="center"/>
          </w:tcPr>
          <w:p w14:paraId="722F95B0" w14:textId="77777777" w:rsidR="00833323" w:rsidRDefault="00833323" w:rsidP="000F3C50">
            <w:pPr>
              <w:pStyle w:val="COMTabletext"/>
              <w:keepNext w:val="0"/>
            </w:pPr>
            <w:r>
              <w:t>Ravulizumab scripts</w:t>
            </w:r>
          </w:p>
        </w:tc>
        <w:tc>
          <w:tcPr>
            <w:tcW w:w="3522" w:type="dxa"/>
            <w:vAlign w:val="center"/>
          </w:tcPr>
          <w:p w14:paraId="268E7D52" w14:textId="77777777" w:rsidR="00833323" w:rsidRDefault="00833323" w:rsidP="000F3C50">
            <w:pPr>
              <w:pStyle w:val="COMTabletext"/>
              <w:keepNext w:val="0"/>
            </w:pPr>
            <w:r>
              <w:t>1 per initiating patient. The submission a</w:t>
            </w:r>
            <w:r w:rsidRPr="00524E68">
              <w:t>ssumed that patients who move to second-line treatment and elect treatment with iptacopan would otherwise have initiated treatment with pegcetacoplan, which requires coadministration with a C5 inhibitor during the initial 4 weeks.</w:t>
            </w:r>
            <w:r>
              <w:t xml:space="preserve"> </w:t>
            </w:r>
            <w:r w:rsidRPr="0052008A">
              <w:t>Ravulizumab was used as a proxy for PBS listed C5 inhibitors (eculizumab and ravulizumab).</w:t>
            </w:r>
          </w:p>
        </w:tc>
        <w:tc>
          <w:tcPr>
            <w:tcW w:w="4507" w:type="dxa"/>
            <w:vAlign w:val="center"/>
          </w:tcPr>
          <w:p w14:paraId="5B1D5382" w14:textId="77777777" w:rsidR="00833323" w:rsidRDefault="00833323" w:rsidP="000F3C50">
            <w:pPr>
              <w:pStyle w:val="COMTabletext"/>
              <w:keepNext w:val="0"/>
            </w:pPr>
            <w:r w:rsidRPr="00833323">
              <w:t>The submission’s estimates did not account for any rebates provided by the pegcetacoplan sponsor for the initial 4 weeks of treatment in which pegcetacoplan and ravulizumab are used concurrently.</w:t>
            </w:r>
          </w:p>
          <w:p w14:paraId="2EA246DD" w14:textId="77777777" w:rsidR="00094D87" w:rsidRDefault="00094D87" w:rsidP="000F3C50">
            <w:pPr>
              <w:pStyle w:val="COMTabletext"/>
              <w:keepNext w:val="0"/>
            </w:pPr>
          </w:p>
          <w:p w14:paraId="436A7A58" w14:textId="56FCD551" w:rsidR="00094D87" w:rsidRPr="00094D87" w:rsidRDefault="00094D87" w:rsidP="000F3C50">
            <w:pPr>
              <w:pStyle w:val="COMTabletext"/>
              <w:keepNext w:val="0"/>
            </w:pPr>
            <w:r w:rsidRPr="00094D87">
              <w:rPr>
                <w:szCs w:val="20"/>
              </w:rPr>
              <w:t>DUSC considered that the estimated cost offsets due to pegcetacoplan having a four week period of coadministration with ravulizumab is unlikely to be realised due to existing rebates for these four weeks of treatment.</w:t>
            </w:r>
          </w:p>
        </w:tc>
      </w:tr>
    </w:tbl>
    <w:p w14:paraId="6451E6F6" w14:textId="7E47F394" w:rsidR="00833323" w:rsidRDefault="00833323" w:rsidP="00833323">
      <w:pPr>
        <w:pStyle w:val="COMTablefooter"/>
      </w:pPr>
      <w:r w:rsidRPr="00A473B4">
        <w:t xml:space="preserve">Source: </w:t>
      </w:r>
      <w:r>
        <w:t xml:space="preserve">Section 4, of the submission; </w:t>
      </w:r>
      <w:r w:rsidRPr="007B10E3">
        <w:t xml:space="preserve">Section 4 utilisation and financial </w:t>
      </w:r>
      <w:r>
        <w:t>implications</w:t>
      </w:r>
      <w:r w:rsidRPr="007B10E3">
        <w:t xml:space="preserve"> Excel workbook</w:t>
      </w:r>
      <w:r>
        <w:t>, Attachment 11 of the submission.</w:t>
      </w:r>
    </w:p>
    <w:p w14:paraId="35165145" w14:textId="77777777" w:rsidR="00833323" w:rsidRDefault="00833323" w:rsidP="00833323">
      <w:pPr>
        <w:pStyle w:val="COMTablefooter"/>
      </w:pPr>
      <w:r w:rsidRPr="00184D59">
        <w:t>Abbreviations: Hb, ha</w:t>
      </w:r>
      <w:r>
        <w:t>e</w:t>
      </w:r>
      <w:r w:rsidRPr="00184D59">
        <w:t>moglobin</w:t>
      </w:r>
      <w:r>
        <w:t>; LSDP, Life Saving Drugs Program; PNH, paroxysmal nocturnal haemoglobinuria; Y, Year.</w:t>
      </w:r>
    </w:p>
    <w:p w14:paraId="57E6882E" w14:textId="77777777" w:rsidR="007F4886" w:rsidRPr="00CD1203" w:rsidRDefault="007F4886" w:rsidP="007F4886">
      <w:pPr>
        <w:pStyle w:val="COMTablefooter"/>
        <w:rPr>
          <w:i/>
          <w:iCs/>
        </w:rPr>
      </w:pPr>
      <w:r w:rsidRPr="00CD1203">
        <w:rPr>
          <w:i/>
          <w:iCs/>
        </w:rPr>
        <w:t>The redacted values correspond to the following ranges:</w:t>
      </w:r>
    </w:p>
    <w:p w14:paraId="420323A1" w14:textId="77777777" w:rsidR="007F4886" w:rsidRDefault="007F4886" w:rsidP="007F4886">
      <w:pPr>
        <w:pStyle w:val="COMTablefooter"/>
        <w:rPr>
          <w:i/>
          <w:iCs/>
        </w:rPr>
      </w:pPr>
      <w:r w:rsidRPr="008F235C">
        <w:rPr>
          <w:i/>
          <w:iCs/>
          <w:vertAlign w:val="superscript"/>
        </w:rPr>
        <w:t>1</w:t>
      </w:r>
      <w:r w:rsidRPr="00CD1203">
        <w:rPr>
          <w:i/>
          <w:iCs/>
        </w:rPr>
        <w:t xml:space="preserve"> &lt; 50</w:t>
      </w:r>
      <w:r>
        <w:rPr>
          <w:i/>
          <w:iCs/>
        </w:rPr>
        <w:t>0</w:t>
      </w:r>
    </w:p>
    <w:p w14:paraId="34389F1B" w14:textId="03D723A0" w:rsidR="00833323" w:rsidRPr="00833323" w:rsidRDefault="00833323" w:rsidP="00833323">
      <w:pPr>
        <w:pStyle w:val="COMexecsumnumberedpara"/>
      </w:pPr>
      <w:r w:rsidRPr="00833323">
        <w:t xml:space="preserve">The estimated utilisation and financial implications of listing iptacopan (based on the estimated effective DPMQ) are presented in </w:t>
      </w:r>
      <w:r w:rsidRPr="00833323">
        <w:fldChar w:fldCharType="begin"/>
      </w:r>
      <w:r w:rsidRPr="00833323">
        <w:instrText xml:space="preserve"> REF _Ref104805295 \h  \* MERGEFORMAT </w:instrText>
      </w:r>
      <w:r w:rsidRPr="00833323">
        <w:fldChar w:fldCharType="separate"/>
      </w:r>
      <w:r w:rsidR="002E7F91" w:rsidRPr="00A473B4">
        <w:t xml:space="preserve">Table </w:t>
      </w:r>
      <w:r w:rsidR="002E7F91">
        <w:t>17</w:t>
      </w:r>
      <w:r w:rsidRPr="00833323">
        <w:fldChar w:fldCharType="end"/>
      </w:r>
      <w:r w:rsidR="000A30AC">
        <w:t xml:space="preserve"> based on the published prices of pegcetacoplan and ravulizumab</w:t>
      </w:r>
      <w:r w:rsidRPr="00833323">
        <w:t xml:space="preserve">. </w:t>
      </w:r>
    </w:p>
    <w:p w14:paraId="7B3C9CE1" w14:textId="77F1D940" w:rsidR="00833323" w:rsidRPr="00A473B4" w:rsidRDefault="00833323" w:rsidP="00833323">
      <w:pPr>
        <w:pStyle w:val="COMtablefigcaption"/>
      </w:pPr>
      <w:bookmarkStart w:id="64" w:name="_Ref104805295"/>
      <w:r w:rsidRPr="00A473B4">
        <w:lastRenderedPageBreak/>
        <w:t xml:space="preserve">Table </w:t>
      </w:r>
      <w:r w:rsidR="00C52DBB">
        <w:fldChar w:fldCharType="begin"/>
      </w:r>
      <w:r w:rsidR="00C52DBB">
        <w:instrText xml:space="preserve"> SEQ Table \* ARABIC </w:instrText>
      </w:r>
      <w:r w:rsidR="00C52DBB">
        <w:fldChar w:fldCharType="separate"/>
      </w:r>
      <w:r w:rsidR="002E7F91">
        <w:rPr>
          <w:noProof/>
        </w:rPr>
        <w:t>17</w:t>
      </w:r>
      <w:r w:rsidR="00C52DBB">
        <w:rPr>
          <w:noProof/>
        </w:rPr>
        <w:fldChar w:fldCharType="end"/>
      </w:r>
      <w:bookmarkEnd w:id="64"/>
      <w:r w:rsidRPr="00A473B4">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7: Estimated use and financial implications"/>
        <w:tblDescription w:val="Table 17: Estimated use and financial implications"/>
      </w:tblPr>
      <w:tblGrid>
        <w:gridCol w:w="2547"/>
        <w:gridCol w:w="1079"/>
        <w:gridCol w:w="1079"/>
        <w:gridCol w:w="1078"/>
        <w:gridCol w:w="1078"/>
        <w:gridCol w:w="1078"/>
        <w:gridCol w:w="1078"/>
      </w:tblGrid>
      <w:tr w:rsidR="00833323" w:rsidRPr="00A473B4" w14:paraId="3FDB8AA6" w14:textId="77777777" w:rsidTr="000F3C50">
        <w:trPr>
          <w:tblHeader/>
        </w:trPr>
        <w:tc>
          <w:tcPr>
            <w:tcW w:w="1412" w:type="pct"/>
            <w:shd w:val="clear" w:color="auto" w:fill="auto"/>
            <w:vAlign w:val="center"/>
          </w:tcPr>
          <w:p w14:paraId="5F5B6E47" w14:textId="77777777" w:rsidR="00833323" w:rsidRPr="00A473B4" w:rsidRDefault="00833323" w:rsidP="000F3C50">
            <w:pPr>
              <w:pStyle w:val="COMTableheadingrow"/>
              <w:jc w:val="center"/>
            </w:pPr>
          </w:p>
        </w:tc>
        <w:tc>
          <w:tcPr>
            <w:tcW w:w="598" w:type="pct"/>
            <w:shd w:val="clear" w:color="auto" w:fill="auto"/>
            <w:vAlign w:val="center"/>
          </w:tcPr>
          <w:p w14:paraId="51A29473" w14:textId="77777777" w:rsidR="00833323" w:rsidRPr="00A473B4" w:rsidRDefault="00833323" w:rsidP="000F3C50">
            <w:pPr>
              <w:pStyle w:val="COMTableheadingrow"/>
              <w:jc w:val="center"/>
            </w:pPr>
            <w:r w:rsidRPr="00A473B4">
              <w:t>Year 1</w:t>
            </w:r>
          </w:p>
        </w:tc>
        <w:tc>
          <w:tcPr>
            <w:tcW w:w="598" w:type="pct"/>
            <w:shd w:val="clear" w:color="auto" w:fill="auto"/>
            <w:vAlign w:val="center"/>
          </w:tcPr>
          <w:p w14:paraId="6525E6E0" w14:textId="77777777" w:rsidR="00833323" w:rsidRPr="00A473B4" w:rsidRDefault="00833323" w:rsidP="000F3C50">
            <w:pPr>
              <w:pStyle w:val="COMTableheadingrow"/>
              <w:jc w:val="center"/>
            </w:pPr>
            <w:r w:rsidRPr="00A473B4">
              <w:t>Year 2</w:t>
            </w:r>
          </w:p>
        </w:tc>
        <w:tc>
          <w:tcPr>
            <w:tcW w:w="598" w:type="pct"/>
            <w:shd w:val="clear" w:color="auto" w:fill="auto"/>
            <w:vAlign w:val="center"/>
          </w:tcPr>
          <w:p w14:paraId="7A171D2D" w14:textId="77777777" w:rsidR="00833323" w:rsidRPr="00A473B4" w:rsidRDefault="00833323" w:rsidP="000F3C50">
            <w:pPr>
              <w:pStyle w:val="COMTableheadingrow"/>
              <w:jc w:val="center"/>
            </w:pPr>
            <w:r w:rsidRPr="00A473B4">
              <w:t>Year 3</w:t>
            </w:r>
          </w:p>
        </w:tc>
        <w:tc>
          <w:tcPr>
            <w:tcW w:w="598" w:type="pct"/>
            <w:shd w:val="clear" w:color="auto" w:fill="auto"/>
            <w:vAlign w:val="center"/>
          </w:tcPr>
          <w:p w14:paraId="63C74693" w14:textId="77777777" w:rsidR="00833323" w:rsidRPr="00A473B4" w:rsidRDefault="00833323" w:rsidP="000F3C50">
            <w:pPr>
              <w:pStyle w:val="COMTableheadingrow"/>
              <w:jc w:val="center"/>
            </w:pPr>
            <w:r w:rsidRPr="00A473B4">
              <w:t>Year 4</w:t>
            </w:r>
          </w:p>
        </w:tc>
        <w:tc>
          <w:tcPr>
            <w:tcW w:w="598" w:type="pct"/>
            <w:shd w:val="clear" w:color="auto" w:fill="auto"/>
            <w:vAlign w:val="center"/>
          </w:tcPr>
          <w:p w14:paraId="6EEB5FB9" w14:textId="77777777" w:rsidR="00833323" w:rsidRPr="00A473B4" w:rsidRDefault="00833323" w:rsidP="000F3C50">
            <w:pPr>
              <w:pStyle w:val="COMTableheadingrow"/>
              <w:jc w:val="center"/>
            </w:pPr>
            <w:r w:rsidRPr="00A473B4">
              <w:t>Year 5</w:t>
            </w:r>
          </w:p>
        </w:tc>
        <w:tc>
          <w:tcPr>
            <w:tcW w:w="598" w:type="pct"/>
          </w:tcPr>
          <w:p w14:paraId="56C432BE" w14:textId="77777777" w:rsidR="00833323" w:rsidRPr="00A473B4" w:rsidRDefault="00833323" w:rsidP="000F3C50">
            <w:pPr>
              <w:pStyle w:val="COMTableheadingrow"/>
              <w:jc w:val="center"/>
            </w:pPr>
            <w:r w:rsidRPr="00A473B4">
              <w:t>Year 6</w:t>
            </w:r>
          </w:p>
        </w:tc>
      </w:tr>
      <w:tr w:rsidR="00833323" w:rsidRPr="00A473B4" w14:paraId="40D7DB47" w14:textId="77777777" w:rsidTr="000F3C50">
        <w:tc>
          <w:tcPr>
            <w:tcW w:w="5000" w:type="pct"/>
            <w:gridSpan w:val="7"/>
            <w:shd w:val="clear" w:color="auto" w:fill="auto"/>
            <w:vAlign w:val="center"/>
          </w:tcPr>
          <w:p w14:paraId="6462E429" w14:textId="77777777" w:rsidR="00833323" w:rsidRPr="00A473B4" w:rsidRDefault="00833323" w:rsidP="000F3C50">
            <w:pPr>
              <w:pStyle w:val="COMTableheadingrow"/>
              <w:rPr>
                <w:bCs/>
              </w:rPr>
            </w:pPr>
            <w:r w:rsidRPr="00A473B4">
              <w:rPr>
                <w:bCs/>
              </w:rPr>
              <w:t>Estimated extent of use</w:t>
            </w:r>
          </w:p>
        </w:tc>
      </w:tr>
      <w:tr w:rsidR="00833323" w:rsidRPr="00A473B4" w14:paraId="304F41C3" w14:textId="77777777" w:rsidTr="000F3C50">
        <w:tc>
          <w:tcPr>
            <w:tcW w:w="1412" w:type="pct"/>
            <w:shd w:val="clear" w:color="auto" w:fill="auto"/>
            <w:vAlign w:val="center"/>
          </w:tcPr>
          <w:p w14:paraId="3403F93A" w14:textId="77777777" w:rsidR="00833323" w:rsidRPr="00A473B4" w:rsidRDefault="00833323" w:rsidP="000F3C50">
            <w:pPr>
              <w:pStyle w:val="COMTabletext"/>
              <w:rPr>
                <w:rFonts w:ascii="Times" w:hAnsi="Times"/>
              </w:rPr>
            </w:pPr>
            <w:r w:rsidRPr="00A473B4">
              <w:t>Number of patients treated</w:t>
            </w:r>
            <w:r>
              <w:t xml:space="preserve"> with iptacopan</w:t>
            </w:r>
          </w:p>
        </w:tc>
        <w:tc>
          <w:tcPr>
            <w:tcW w:w="598" w:type="pct"/>
            <w:shd w:val="clear" w:color="auto" w:fill="auto"/>
            <w:vAlign w:val="center"/>
          </w:tcPr>
          <w:p w14:paraId="177CF606" w14:textId="62730F30"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34"/>
                <w14:textFill>
                  <w14:solidFill>
                    <w14:srgbClr w14:val="000000">
                      <w14:alpha w14:val="100000"/>
                    </w14:srgbClr>
                  </w14:solidFill>
                </w14:textFill>
              </w:rPr>
              <w:t xml:space="preserve">　</w:t>
            </w:r>
            <w:r w:rsidRPr="00DE1058">
              <w:rPr>
                <w:color w:val="000000"/>
                <w:w w:val="15"/>
                <w:shd w:val="solid" w:color="000000" w:fill="000000"/>
                <w:fitText w:val="70" w:id="-894215934"/>
                <w14:textFill>
                  <w14:solidFill>
                    <w14:srgbClr w14:val="000000">
                      <w14:alpha w14:val="100000"/>
                    </w14:srgbClr>
                  </w14:solidFill>
                </w14:textFill>
              </w:rPr>
              <w:t>|</w:t>
            </w:r>
            <w:r w:rsidRPr="00DE1058">
              <w:rPr>
                <w:rFonts w:hint="eastAsia"/>
                <w:color w:val="000000"/>
                <w:spacing w:val="4"/>
                <w:w w:val="15"/>
                <w:shd w:val="solid" w:color="000000" w:fill="000000"/>
                <w:fitText w:val="70" w:id="-894215934"/>
                <w14:textFill>
                  <w14:solidFill>
                    <w14:srgbClr w14:val="000000">
                      <w14:alpha w14:val="100000"/>
                    </w14:srgbClr>
                  </w14:solidFill>
                </w14:textFill>
              </w:rPr>
              <w:t xml:space="preserve">　</w:t>
            </w:r>
            <w:r w:rsidR="007B3BFE" w:rsidRPr="00CD1203">
              <w:rPr>
                <w:vertAlign w:val="superscript"/>
              </w:rPr>
              <w:t>1</w:t>
            </w:r>
          </w:p>
        </w:tc>
        <w:tc>
          <w:tcPr>
            <w:tcW w:w="598" w:type="pct"/>
            <w:shd w:val="clear" w:color="auto" w:fill="auto"/>
            <w:vAlign w:val="center"/>
          </w:tcPr>
          <w:p w14:paraId="2FF6F064" w14:textId="001DDCFB"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33"/>
                <w14:textFill>
                  <w14:solidFill>
                    <w14:srgbClr w14:val="000000">
                      <w14:alpha w14:val="100000"/>
                    </w14:srgbClr>
                  </w14:solidFill>
                </w14:textFill>
              </w:rPr>
              <w:t xml:space="preserve">　</w:t>
            </w:r>
            <w:r w:rsidRPr="00DE1058">
              <w:rPr>
                <w:color w:val="000000"/>
                <w:w w:val="15"/>
                <w:shd w:val="solid" w:color="000000" w:fill="000000"/>
                <w:fitText w:val="70" w:id="-894215933"/>
                <w14:textFill>
                  <w14:solidFill>
                    <w14:srgbClr w14:val="000000">
                      <w14:alpha w14:val="100000"/>
                    </w14:srgbClr>
                  </w14:solidFill>
                </w14:textFill>
              </w:rPr>
              <w:t>|</w:t>
            </w:r>
            <w:r w:rsidRPr="00DE1058">
              <w:rPr>
                <w:rFonts w:hint="eastAsia"/>
                <w:color w:val="000000"/>
                <w:spacing w:val="4"/>
                <w:w w:val="15"/>
                <w:shd w:val="solid" w:color="000000" w:fill="000000"/>
                <w:fitText w:val="70" w:id="-894215933"/>
                <w14:textFill>
                  <w14:solidFill>
                    <w14:srgbClr w14:val="000000">
                      <w14:alpha w14:val="100000"/>
                    </w14:srgbClr>
                  </w14:solidFill>
                </w14:textFill>
              </w:rPr>
              <w:t xml:space="preserve">　</w:t>
            </w:r>
            <w:r w:rsidR="007B3BFE" w:rsidRPr="007E7DCE">
              <w:rPr>
                <w:vertAlign w:val="superscript"/>
              </w:rPr>
              <w:t>1</w:t>
            </w:r>
          </w:p>
        </w:tc>
        <w:tc>
          <w:tcPr>
            <w:tcW w:w="598" w:type="pct"/>
            <w:shd w:val="clear" w:color="auto" w:fill="auto"/>
            <w:vAlign w:val="center"/>
          </w:tcPr>
          <w:p w14:paraId="2F70E640" w14:textId="010DDF9F"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32"/>
                <w14:textFill>
                  <w14:solidFill>
                    <w14:srgbClr w14:val="000000">
                      <w14:alpha w14:val="100000"/>
                    </w14:srgbClr>
                  </w14:solidFill>
                </w14:textFill>
              </w:rPr>
              <w:t xml:space="preserve">　</w:t>
            </w:r>
            <w:r w:rsidRPr="00DE1058">
              <w:rPr>
                <w:color w:val="000000"/>
                <w:w w:val="15"/>
                <w:shd w:val="solid" w:color="000000" w:fill="000000"/>
                <w:fitText w:val="70" w:id="-894215932"/>
                <w14:textFill>
                  <w14:solidFill>
                    <w14:srgbClr w14:val="000000">
                      <w14:alpha w14:val="100000"/>
                    </w14:srgbClr>
                  </w14:solidFill>
                </w14:textFill>
              </w:rPr>
              <w:t>|</w:t>
            </w:r>
            <w:r w:rsidRPr="00DE1058">
              <w:rPr>
                <w:rFonts w:hint="eastAsia"/>
                <w:color w:val="000000"/>
                <w:spacing w:val="4"/>
                <w:w w:val="15"/>
                <w:shd w:val="solid" w:color="000000" w:fill="000000"/>
                <w:fitText w:val="70" w:id="-894215932"/>
                <w14:textFill>
                  <w14:solidFill>
                    <w14:srgbClr w14:val="000000">
                      <w14:alpha w14:val="100000"/>
                    </w14:srgbClr>
                  </w14:solidFill>
                </w14:textFill>
              </w:rPr>
              <w:t xml:space="preserve">　</w:t>
            </w:r>
            <w:r w:rsidR="007B3BFE" w:rsidRPr="007E7DCE">
              <w:rPr>
                <w:vertAlign w:val="superscript"/>
              </w:rPr>
              <w:t>1</w:t>
            </w:r>
          </w:p>
        </w:tc>
        <w:tc>
          <w:tcPr>
            <w:tcW w:w="598" w:type="pct"/>
            <w:shd w:val="clear" w:color="auto" w:fill="auto"/>
            <w:vAlign w:val="center"/>
          </w:tcPr>
          <w:p w14:paraId="193DE863" w14:textId="62CA2AB4"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31"/>
                <w14:textFill>
                  <w14:solidFill>
                    <w14:srgbClr w14:val="000000">
                      <w14:alpha w14:val="100000"/>
                    </w14:srgbClr>
                  </w14:solidFill>
                </w14:textFill>
              </w:rPr>
              <w:t xml:space="preserve">　</w:t>
            </w:r>
            <w:r w:rsidRPr="00DE1058">
              <w:rPr>
                <w:color w:val="000000"/>
                <w:w w:val="15"/>
                <w:shd w:val="solid" w:color="000000" w:fill="000000"/>
                <w:fitText w:val="70" w:id="-894215931"/>
                <w14:textFill>
                  <w14:solidFill>
                    <w14:srgbClr w14:val="000000">
                      <w14:alpha w14:val="100000"/>
                    </w14:srgbClr>
                  </w14:solidFill>
                </w14:textFill>
              </w:rPr>
              <w:t>|</w:t>
            </w:r>
            <w:r w:rsidRPr="00DE1058">
              <w:rPr>
                <w:rFonts w:hint="eastAsia"/>
                <w:color w:val="000000"/>
                <w:spacing w:val="4"/>
                <w:w w:val="15"/>
                <w:shd w:val="solid" w:color="000000" w:fill="000000"/>
                <w:fitText w:val="70" w:id="-894215931"/>
                <w14:textFill>
                  <w14:solidFill>
                    <w14:srgbClr w14:val="000000">
                      <w14:alpha w14:val="100000"/>
                    </w14:srgbClr>
                  </w14:solidFill>
                </w14:textFill>
              </w:rPr>
              <w:t xml:space="preserve">　</w:t>
            </w:r>
            <w:r w:rsidR="007B3BFE" w:rsidRPr="007E7DCE">
              <w:rPr>
                <w:vertAlign w:val="superscript"/>
              </w:rPr>
              <w:t>1</w:t>
            </w:r>
          </w:p>
        </w:tc>
        <w:tc>
          <w:tcPr>
            <w:tcW w:w="598" w:type="pct"/>
            <w:shd w:val="clear" w:color="auto" w:fill="auto"/>
            <w:vAlign w:val="center"/>
          </w:tcPr>
          <w:p w14:paraId="7708EE36" w14:textId="34600A2E"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30"/>
                <w14:textFill>
                  <w14:solidFill>
                    <w14:srgbClr w14:val="000000">
                      <w14:alpha w14:val="100000"/>
                    </w14:srgbClr>
                  </w14:solidFill>
                </w14:textFill>
              </w:rPr>
              <w:t xml:space="preserve">　</w:t>
            </w:r>
            <w:r w:rsidRPr="00DE1058">
              <w:rPr>
                <w:color w:val="000000"/>
                <w:w w:val="15"/>
                <w:shd w:val="solid" w:color="000000" w:fill="000000"/>
                <w:fitText w:val="70" w:id="-894215930"/>
                <w14:textFill>
                  <w14:solidFill>
                    <w14:srgbClr w14:val="000000">
                      <w14:alpha w14:val="100000"/>
                    </w14:srgbClr>
                  </w14:solidFill>
                </w14:textFill>
              </w:rPr>
              <w:t>|</w:t>
            </w:r>
            <w:r w:rsidRPr="00DE1058">
              <w:rPr>
                <w:rFonts w:hint="eastAsia"/>
                <w:color w:val="000000"/>
                <w:spacing w:val="4"/>
                <w:w w:val="15"/>
                <w:shd w:val="solid" w:color="000000" w:fill="000000"/>
                <w:fitText w:val="70" w:id="-894215930"/>
                <w14:textFill>
                  <w14:solidFill>
                    <w14:srgbClr w14:val="000000">
                      <w14:alpha w14:val="100000"/>
                    </w14:srgbClr>
                  </w14:solidFill>
                </w14:textFill>
              </w:rPr>
              <w:t xml:space="preserve">　</w:t>
            </w:r>
            <w:r w:rsidR="007B3BFE" w:rsidRPr="007E7DCE">
              <w:rPr>
                <w:vertAlign w:val="superscript"/>
              </w:rPr>
              <w:t>1</w:t>
            </w:r>
          </w:p>
        </w:tc>
        <w:tc>
          <w:tcPr>
            <w:tcW w:w="598" w:type="pct"/>
            <w:vAlign w:val="center"/>
          </w:tcPr>
          <w:p w14:paraId="2CA77C10" w14:textId="75039F3E"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29"/>
                <w14:textFill>
                  <w14:solidFill>
                    <w14:srgbClr w14:val="000000">
                      <w14:alpha w14:val="100000"/>
                    </w14:srgbClr>
                  </w14:solidFill>
                </w14:textFill>
              </w:rPr>
              <w:t xml:space="preserve">　</w:t>
            </w:r>
            <w:r w:rsidRPr="00DE1058">
              <w:rPr>
                <w:color w:val="000000"/>
                <w:w w:val="15"/>
                <w:shd w:val="solid" w:color="000000" w:fill="000000"/>
                <w:fitText w:val="70" w:id="-894215929"/>
                <w14:textFill>
                  <w14:solidFill>
                    <w14:srgbClr w14:val="000000">
                      <w14:alpha w14:val="100000"/>
                    </w14:srgbClr>
                  </w14:solidFill>
                </w14:textFill>
              </w:rPr>
              <w:t>|</w:t>
            </w:r>
            <w:r w:rsidRPr="00DE1058">
              <w:rPr>
                <w:rFonts w:hint="eastAsia"/>
                <w:color w:val="000000"/>
                <w:spacing w:val="4"/>
                <w:w w:val="15"/>
                <w:shd w:val="solid" w:color="000000" w:fill="000000"/>
                <w:fitText w:val="70" w:id="-894215929"/>
                <w14:textFill>
                  <w14:solidFill>
                    <w14:srgbClr w14:val="000000">
                      <w14:alpha w14:val="100000"/>
                    </w14:srgbClr>
                  </w14:solidFill>
                </w14:textFill>
              </w:rPr>
              <w:t xml:space="preserve">　</w:t>
            </w:r>
            <w:r w:rsidR="007B3BFE" w:rsidRPr="007E7DCE">
              <w:rPr>
                <w:vertAlign w:val="superscript"/>
              </w:rPr>
              <w:t>1</w:t>
            </w:r>
          </w:p>
        </w:tc>
      </w:tr>
      <w:tr w:rsidR="00833323" w:rsidRPr="00A473B4" w14:paraId="64936FEF" w14:textId="77777777" w:rsidTr="000F3C50">
        <w:tc>
          <w:tcPr>
            <w:tcW w:w="1412" w:type="pct"/>
            <w:shd w:val="clear" w:color="auto" w:fill="auto"/>
            <w:vAlign w:val="center"/>
          </w:tcPr>
          <w:p w14:paraId="6B9AA869" w14:textId="77777777" w:rsidR="00833323" w:rsidRPr="00D15A91" w:rsidRDefault="00833323" w:rsidP="000F3C50">
            <w:pPr>
              <w:pStyle w:val="COMTabletext"/>
              <w:rPr>
                <w:rFonts w:ascii="Times" w:hAnsi="Times"/>
                <w:vertAlign w:val="superscript"/>
              </w:rPr>
            </w:pPr>
            <w:r w:rsidRPr="00A473B4">
              <w:t xml:space="preserve">Number of </w:t>
            </w:r>
            <w:r>
              <w:t xml:space="preserve">iptacopan </w:t>
            </w:r>
            <w:r w:rsidRPr="00A473B4">
              <w:t>scripts dispensed</w:t>
            </w:r>
            <w:r>
              <w:t> </w:t>
            </w:r>
            <w:r>
              <w:rPr>
                <w:vertAlign w:val="superscript"/>
              </w:rPr>
              <w:t>a</w:t>
            </w:r>
          </w:p>
        </w:tc>
        <w:tc>
          <w:tcPr>
            <w:tcW w:w="598" w:type="pct"/>
            <w:shd w:val="clear" w:color="auto" w:fill="auto"/>
            <w:vAlign w:val="center"/>
          </w:tcPr>
          <w:p w14:paraId="273BA46E" w14:textId="03069153"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28"/>
                <w14:textFill>
                  <w14:solidFill>
                    <w14:srgbClr w14:val="000000">
                      <w14:alpha w14:val="100000"/>
                    </w14:srgbClr>
                  </w14:solidFill>
                </w14:textFill>
              </w:rPr>
              <w:t xml:space="preserve">　</w:t>
            </w:r>
            <w:r w:rsidRPr="00DE1058">
              <w:rPr>
                <w:color w:val="000000"/>
                <w:w w:val="15"/>
                <w:shd w:val="solid" w:color="000000" w:fill="000000"/>
                <w:fitText w:val="70" w:id="-894215928"/>
                <w14:textFill>
                  <w14:solidFill>
                    <w14:srgbClr w14:val="000000">
                      <w14:alpha w14:val="100000"/>
                    </w14:srgbClr>
                  </w14:solidFill>
                </w14:textFill>
              </w:rPr>
              <w:t>|</w:t>
            </w:r>
            <w:r w:rsidRPr="00DE1058">
              <w:rPr>
                <w:rFonts w:hint="eastAsia"/>
                <w:color w:val="000000"/>
                <w:spacing w:val="4"/>
                <w:w w:val="15"/>
                <w:shd w:val="solid" w:color="000000" w:fill="000000"/>
                <w:fitText w:val="70" w:id="-894215928"/>
                <w14:textFill>
                  <w14:solidFill>
                    <w14:srgbClr w14:val="000000">
                      <w14:alpha w14:val="100000"/>
                    </w14:srgbClr>
                  </w14:solidFill>
                </w14:textFill>
              </w:rPr>
              <w:t xml:space="preserve">　</w:t>
            </w:r>
            <w:r w:rsidR="007B3BFE" w:rsidRPr="007E7DCE">
              <w:rPr>
                <w:vertAlign w:val="superscript"/>
              </w:rPr>
              <w:t>1</w:t>
            </w:r>
          </w:p>
        </w:tc>
        <w:tc>
          <w:tcPr>
            <w:tcW w:w="598" w:type="pct"/>
            <w:shd w:val="clear" w:color="auto" w:fill="auto"/>
            <w:vAlign w:val="center"/>
          </w:tcPr>
          <w:p w14:paraId="361FD32C" w14:textId="3F12B7BE"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27"/>
                <w14:textFill>
                  <w14:solidFill>
                    <w14:srgbClr w14:val="000000">
                      <w14:alpha w14:val="100000"/>
                    </w14:srgbClr>
                  </w14:solidFill>
                </w14:textFill>
              </w:rPr>
              <w:t xml:space="preserve">　</w:t>
            </w:r>
            <w:r w:rsidRPr="00DE1058">
              <w:rPr>
                <w:color w:val="000000"/>
                <w:w w:val="15"/>
                <w:shd w:val="solid" w:color="000000" w:fill="000000"/>
                <w:fitText w:val="70" w:id="-894215927"/>
                <w14:textFill>
                  <w14:solidFill>
                    <w14:srgbClr w14:val="000000">
                      <w14:alpha w14:val="100000"/>
                    </w14:srgbClr>
                  </w14:solidFill>
                </w14:textFill>
              </w:rPr>
              <w:t>|</w:t>
            </w:r>
            <w:r w:rsidRPr="00DE1058">
              <w:rPr>
                <w:rFonts w:hint="eastAsia"/>
                <w:color w:val="000000"/>
                <w:spacing w:val="4"/>
                <w:w w:val="15"/>
                <w:shd w:val="solid" w:color="000000" w:fill="000000"/>
                <w:fitText w:val="70" w:id="-894215927"/>
                <w14:textFill>
                  <w14:solidFill>
                    <w14:srgbClr w14:val="000000">
                      <w14:alpha w14:val="100000"/>
                    </w14:srgbClr>
                  </w14:solidFill>
                </w14:textFill>
              </w:rPr>
              <w:t xml:space="preserve">　</w:t>
            </w:r>
            <w:r w:rsidR="007B3BFE" w:rsidRPr="007E7DCE">
              <w:rPr>
                <w:vertAlign w:val="superscript"/>
              </w:rPr>
              <w:t>1</w:t>
            </w:r>
          </w:p>
        </w:tc>
        <w:tc>
          <w:tcPr>
            <w:tcW w:w="598" w:type="pct"/>
            <w:shd w:val="clear" w:color="auto" w:fill="auto"/>
            <w:vAlign w:val="center"/>
          </w:tcPr>
          <w:p w14:paraId="7DF51633" w14:textId="286D3870"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26"/>
                <w14:textFill>
                  <w14:solidFill>
                    <w14:srgbClr w14:val="000000">
                      <w14:alpha w14:val="100000"/>
                    </w14:srgbClr>
                  </w14:solidFill>
                </w14:textFill>
              </w:rPr>
              <w:t xml:space="preserve">　</w:t>
            </w:r>
            <w:r w:rsidRPr="00DE1058">
              <w:rPr>
                <w:color w:val="000000"/>
                <w:w w:val="15"/>
                <w:shd w:val="solid" w:color="000000" w:fill="000000"/>
                <w:fitText w:val="70" w:id="-894215926"/>
                <w14:textFill>
                  <w14:solidFill>
                    <w14:srgbClr w14:val="000000">
                      <w14:alpha w14:val="100000"/>
                    </w14:srgbClr>
                  </w14:solidFill>
                </w14:textFill>
              </w:rPr>
              <w:t>|</w:t>
            </w:r>
            <w:r w:rsidRPr="00DE1058">
              <w:rPr>
                <w:rFonts w:hint="eastAsia"/>
                <w:color w:val="000000"/>
                <w:spacing w:val="4"/>
                <w:w w:val="15"/>
                <w:shd w:val="solid" w:color="000000" w:fill="000000"/>
                <w:fitText w:val="70" w:id="-894215926"/>
                <w14:textFill>
                  <w14:solidFill>
                    <w14:srgbClr w14:val="000000">
                      <w14:alpha w14:val="100000"/>
                    </w14:srgbClr>
                  </w14:solidFill>
                </w14:textFill>
              </w:rPr>
              <w:t xml:space="preserve">　</w:t>
            </w:r>
            <w:r w:rsidR="007B3BFE" w:rsidRPr="00CD1203">
              <w:rPr>
                <w:vertAlign w:val="superscript"/>
              </w:rPr>
              <w:t>2</w:t>
            </w:r>
          </w:p>
        </w:tc>
        <w:tc>
          <w:tcPr>
            <w:tcW w:w="598" w:type="pct"/>
            <w:shd w:val="clear" w:color="auto" w:fill="auto"/>
            <w:vAlign w:val="center"/>
          </w:tcPr>
          <w:p w14:paraId="3E618CDA" w14:textId="64D7E116"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25"/>
                <w14:textFill>
                  <w14:solidFill>
                    <w14:srgbClr w14:val="000000">
                      <w14:alpha w14:val="100000"/>
                    </w14:srgbClr>
                  </w14:solidFill>
                </w14:textFill>
              </w:rPr>
              <w:t xml:space="preserve">　</w:t>
            </w:r>
            <w:r w:rsidRPr="00DE1058">
              <w:rPr>
                <w:color w:val="000000"/>
                <w:w w:val="15"/>
                <w:shd w:val="solid" w:color="000000" w:fill="000000"/>
                <w:fitText w:val="70" w:id="-894215925"/>
                <w14:textFill>
                  <w14:solidFill>
                    <w14:srgbClr w14:val="000000">
                      <w14:alpha w14:val="100000"/>
                    </w14:srgbClr>
                  </w14:solidFill>
                </w14:textFill>
              </w:rPr>
              <w:t>|</w:t>
            </w:r>
            <w:r w:rsidRPr="00DE1058">
              <w:rPr>
                <w:rFonts w:hint="eastAsia"/>
                <w:color w:val="000000"/>
                <w:spacing w:val="4"/>
                <w:w w:val="15"/>
                <w:shd w:val="solid" w:color="000000" w:fill="000000"/>
                <w:fitText w:val="70" w:id="-894215925"/>
                <w14:textFill>
                  <w14:solidFill>
                    <w14:srgbClr w14:val="000000">
                      <w14:alpha w14:val="100000"/>
                    </w14:srgbClr>
                  </w14:solidFill>
                </w14:textFill>
              </w:rPr>
              <w:t xml:space="preserve">　</w:t>
            </w:r>
            <w:r w:rsidR="007B3BFE" w:rsidRPr="007E7DCE">
              <w:rPr>
                <w:vertAlign w:val="superscript"/>
              </w:rPr>
              <w:t>2</w:t>
            </w:r>
          </w:p>
        </w:tc>
        <w:tc>
          <w:tcPr>
            <w:tcW w:w="598" w:type="pct"/>
            <w:shd w:val="clear" w:color="auto" w:fill="auto"/>
            <w:vAlign w:val="center"/>
          </w:tcPr>
          <w:p w14:paraId="3F655772" w14:textId="4E802032"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24"/>
                <w14:textFill>
                  <w14:solidFill>
                    <w14:srgbClr w14:val="000000">
                      <w14:alpha w14:val="100000"/>
                    </w14:srgbClr>
                  </w14:solidFill>
                </w14:textFill>
              </w:rPr>
              <w:t xml:space="preserve">　</w:t>
            </w:r>
            <w:r w:rsidRPr="00DE1058">
              <w:rPr>
                <w:color w:val="000000"/>
                <w:w w:val="15"/>
                <w:shd w:val="solid" w:color="000000" w:fill="000000"/>
                <w:fitText w:val="70" w:id="-894215924"/>
                <w14:textFill>
                  <w14:solidFill>
                    <w14:srgbClr w14:val="000000">
                      <w14:alpha w14:val="100000"/>
                    </w14:srgbClr>
                  </w14:solidFill>
                </w14:textFill>
              </w:rPr>
              <w:t>|</w:t>
            </w:r>
            <w:r w:rsidRPr="00DE1058">
              <w:rPr>
                <w:rFonts w:hint="eastAsia"/>
                <w:color w:val="000000"/>
                <w:spacing w:val="4"/>
                <w:w w:val="15"/>
                <w:shd w:val="solid" w:color="000000" w:fill="000000"/>
                <w:fitText w:val="70" w:id="-894215924"/>
                <w14:textFill>
                  <w14:solidFill>
                    <w14:srgbClr w14:val="000000">
                      <w14:alpha w14:val="100000"/>
                    </w14:srgbClr>
                  </w14:solidFill>
                </w14:textFill>
              </w:rPr>
              <w:t xml:space="preserve">　</w:t>
            </w:r>
            <w:r w:rsidR="007B3BFE" w:rsidRPr="007E7DCE">
              <w:rPr>
                <w:vertAlign w:val="superscript"/>
              </w:rPr>
              <w:t>2</w:t>
            </w:r>
          </w:p>
        </w:tc>
        <w:tc>
          <w:tcPr>
            <w:tcW w:w="598" w:type="pct"/>
            <w:vAlign w:val="center"/>
          </w:tcPr>
          <w:p w14:paraId="2DD8787F" w14:textId="3A8EBF8E"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23"/>
                <w14:textFill>
                  <w14:solidFill>
                    <w14:srgbClr w14:val="000000">
                      <w14:alpha w14:val="100000"/>
                    </w14:srgbClr>
                  </w14:solidFill>
                </w14:textFill>
              </w:rPr>
              <w:t xml:space="preserve">　</w:t>
            </w:r>
            <w:r w:rsidRPr="00DE1058">
              <w:rPr>
                <w:color w:val="000000"/>
                <w:w w:val="15"/>
                <w:shd w:val="solid" w:color="000000" w:fill="000000"/>
                <w:fitText w:val="70" w:id="-894215923"/>
                <w14:textFill>
                  <w14:solidFill>
                    <w14:srgbClr w14:val="000000">
                      <w14:alpha w14:val="100000"/>
                    </w14:srgbClr>
                  </w14:solidFill>
                </w14:textFill>
              </w:rPr>
              <w:t>|</w:t>
            </w:r>
            <w:r w:rsidRPr="00DE1058">
              <w:rPr>
                <w:rFonts w:hint="eastAsia"/>
                <w:color w:val="000000"/>
                <w:spacing w:val="4"/>
                <w:w w:val="15"/>
                <w:shd w:val="solid" w:color="000000" w:fill="000000"/>
                <w:fitText w:val="70" w:id="-894215923"/>
                <w14:textFill>
                  <w14:solidFill>
                    <w14:srgbClr w14:val="000000">
                      <w14:alpha w14:val="100000"/>
                    </w14:srgbClr>
                  </w14:solidFill>
                </w14:textFill>
              </w:rPr>
              <w:t xml:space="preserve">　</w:t>
            </w:r>
            <w:r w:rsidR="007B3BFE" w:rsidRPr="007E7DCE">
              <w:rPr>
                <w:vertAlign w:val="superscript"/>
              </w:rPr>
              <w:t>2</w:t>
            </w:r>
          </w:p>
        </w:tc>
      </w:tr>
      <w:tr w:rsidR="00833323" w:rsidRPr="00A473B4" w14:paraId="595776D0" w14:textId="77777777" w:rsidTr="000F3C50">
        <w:tc>
          <w:tcPr>
            <w:tcW w:w="5000" w:type="pct"/>
            <w:gridSpan w:val="7"/>
            <w:shd w:val="clear" w:color="auto" w:fill="auto"/>
            <w:vAlign w:val="center"/>
          </w:tcPr>
          <w:p w14:paraId="073A0ED3" w14:textId="77777777" w:rsidR="00833323" w:rsidRPr="00A473B4" w:rsidRDefault="00833323" w:rsidP="000F3C50">
            <w:pPr>
              <w:pStyle w:val="COMTableheadingrow"/>
            </w:pPr>
            <w:r>
              <w:t>Cost to the PBS/RPBS (less copayments)</w:t>
            </w:r>
          </w:p>
        </w:tc>
      </w:tr>
      <w:tr w:rsidR="00833323" w:rsidRPr="00A473B4" w14:paraId="1404DD56" w14:textId="77777777" w:rsidTr="000F3C50">
        <w:tc>
          <w:tcPr>
            <w:tcW w:w="1412" w:type="pct"/>
            <w:shd w:val="clear" w:color="auto" w:fill="auto"/>
            <w:vAlign w:val="center"/>
          </w:tcPr>
          <w:p w14:paraId="0B75F251" w14:textId="4E724C3F" w:rsidR="00833323" w:rsidRPr="00A473B4" w:rsidRDefault="00833323" w:rsidP="000F3C50">
            <w:pPr>
              <w:pStyle w:val="COMTabletext"/>
              <w:rPr>
                <w:sz w:val="19"/>
                <w:szCs w:val="19"/>
              </w:rPr>
            </w:pPr>
            <w:r w:rsidRPr="00A473B4">
              <w:rPr>
                <w:sz w:val="19"/>
                <w:szCs w:val="19"/>
              </w:rPr>
              <w:t xml:space="preserve">Cost </w:t>
            </w:r>
            <w:r>
              <w:rPr>
                <w:sz w:val="19"/>
                <w:szCs w:val="19"/>
              </w:rPr>
              <w:t xml:space="preserve">of iptacopan to the </w:t>
            </w:r>
            <w:r w:rsidRPr="00A473B4">
              <w:rPr>
                <w:sz w:val="19"/>
                <w:szCs w:val="19"/>
              </w:rPr>
              <w:t>PBS/RPBS</w:t>
            </w:r>
            <w:r w:rsidR="00F67EF5">
              <w:rPr>
                <w:sz w:val="19"/>
                <w:szCs w:val="19"/>
              </w:rPr>
              <w:t xml:space="preserve"> </w:t>
            </w:r>
          </w:p>
        </w:tc>
        <w:tc>
          <w:tcPr>
            <w:tcW w:w="598" w:type="pct"/>
            <w:shd w:val="clear" w:color="auto" w:fill="auto"/>
            <w:vAlign w:val="center"/>
          </w:tcPr>
          <w:p w14:paraId="46DDBE5B" w14:textId="0F324B80"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22"/>
                <w14:textFill>
                  <w14:solidFill>
                    <w14:srgbClr w14:val="000000">
                      <w14:alpha w14:val="100000"/>
                    </w14:srgbClr>
                  </w14:solidFill>
                </w14:textFill>
              </w:rPr>
              <w:t xml:space="preserve">　</w:t>
            </w:r>
            <w:r w:rsidRPr="00DE1058">
              <w:rPr>
                <w:color w:val="000000"/>
                <w:w w:val="15"/>
                <w:shd w:val="solid" w:color="000000" w:fill="000000"/>
                <w:fitText w:val="70" w:id="-894215922"/>
                <w14:textFill>
                  <w14:solidFill>
                    <w14:srgbClr w14:val="000000">
                      <w14:alpha w14:val="100000"/>
                    </w14:srgbClr>
                  </w14:solidFill>
                </w14:textFill>
              </w:rPr>
              <w:t>|</w:t>
            </w:r>
            <w:r w:rsidRPr="00DE1058">
              <w:rPr>
                <w:rFonts w:hint="eastAsia"/>
                <w:color w:val="000000"/>
                <w:spacing w:val="4"/>
                <w:w w:val="15"/>
                <w:shd w:val="solid" w:color="000000" w:fill="000000"/>
                <w:fitText w:val="70" w:id="-894215922"/>
                <w14:textFill>
                  <w14:solidFill>
                    <w14:srgbClr w14:val="000000">
                      <w14:alpha w14:val="100000"/>
                    </w14:srgbClr>
                  </w14:solidFill>
                </w14:textFill>
              </w:rPr>
              <w:t xml:space="preserve">　</w:t>
            </w:r>
            <w:r w:rsidR="007B3BFE" w:rsidRPr="00CD1203">
              <w:rPr>
                <w:vertAlign w:val="superscript"/>
              </w:rPr>
              <w:t>3</w:t>
            </w:r>
          </w:p>
        </w:tc>
        <w:tc>
          <w:tcPr>
            <w:tcW w:w="598" w:type="pct"/>
            <w:shd w:val="clear" w:color="auto" w:fill="auto"/>
            <w:vAlign w:val="center"/>
          </w:tcPr>
          <w:p w14:paraId="43DC73FD" w14:textId="77047F4D"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21"/>
                <w14:textFill>
                  <w14:solidFill>
                    <w14:srgbClr w14:val="000000">
                      <w14:alpha w14:val="100000"/>
                    </w14:srgbClr>
                  </w14:solidFill>
                </w14:textFill>
              </w:rPr>
              <w:t xml:space="preserve">　</w:t>
            </w:r>
            <w:r w:rsidRPr="00DE1058">
              <w:rPr>
                <w:color w:val="000000"/>
                <w:w w:val="15"/>
                <w:shd w:val="solid" w:color="000000" w:fill="000000"/>
                <w:fitText w:val="70" w:id="-894215921"/>
                <w14:textFill>
                  <w14:solidFill>
                    <w14:srgbClr w14:val="000000">
                      <w14:alpha w14:val="100000"/>
                    </w14:srgbClr>
                  </w14:solidFill>
                </w14:textFill>
              </w:rPr>
              <w:t>|</w:t>
            </w:r>
            <w:r w:rsidRPr="00DE1058">
              <w:rPr>
                <w:rFonts w:hint="eastAsia"/>
                <w:color w:val="000000"/>
                <w:spacing w:val="4"/>
                <w:w w:val="15"/>
                <w:shd w:val="solid" w:color="000000" w:fill="000000"/>
                <w:fitText w:val="70" w:id="-894215921"/>
                <w14:textFill>
                  <w14:solidFill>
                    <w14:srgbClr w14:val="000000">
                      <w14:alpha w14:val="100000"/>
                    </w14:srgbClr>
                  </w14:solidFill>
                </w14:textFill>
              </w:rPr>
              <w:t xml:space="preserve">　</w:t>
            </w:r>
            <w:r w:rsidR="007B3BFE" w:rsidRPr="007E7DCE">
              <w:rPr>
                <w:vertAlign w:val="superscript"/>
              </w:rPr>
              <w:t>3</w:t>
            </w:r>
          </w:p>
        </w:tc>
        <w:tc>
          <w:tcPr>
            <w:tcW w:w="598" w:type="pct"/>
            <w:shd w:val="clear" w:color="auto" w:fill="auto"/>
            <w:vAlign w:val="center"/>
          </w:tcPr>
          <w:p w14:paraId="7B5A7CF6" w14:textId="7ED15794"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20"/>
                <w14:textFill>
                  <w14:solidFill>
                    <w14:srgbClr w14:val="000000">
                      <w14:alpha w14:val="100000"/>
                    </w14:srgbClr>
                  </w14:solidFill>
                </w14:textFill>
              </w:rPr>
              <w:t xml:space="preserve">　</w:t>
            </w:r>
            <w:r w:rsidRPr="00DE1058">
              <w:rPr>
                <w:color w:val="000000"/>
                <w:w w:val="15"/>
                <w:shd w:val="solid" w:color="000000" w:fill="000000"/>
                <w:fitText w:val="70" w:id="-894215920"/>
                <w14:textFill>
                  <w14:solidFill>
                    <w14:srgbClr w14:val="000000">
                      <w14:alpha w14:val="100000"/>
                    </w14:srgbClr>
                  </w14:solidFill>
                </w14:textFill>
              </w:rPr>
              <w:t>|</w:t>
            </w:r>
            <w:r w:rsidRPr="00DE1058">
              <w:rPr>
                <w:rFonts w:hint="eastAsia"/>
                <w:color w:val="000000"/>
                <w:spacing w:val="4"/>
                <w:w w:val="15"/>
                <w:shd w:val="solid" w:color="000000" w:fill="000000"/>
                <w:fitText w:val="70" w:id="-894215920"/>
                <w14:textFill>
                  <w14:solidFill>
                    <w14:srgbClr w14:val="000000">
                      <w14:alpha w14:val="100000"/>
                    </w14:srgbClr>
                  </w14:solidFill>
                </w14:textFill>
              </w:rPr>
              <w:t xml:space="preserve">　</w:t>
            </w:r>
            <w:r w:rsidR="00A2210E" w:rsidRPr="007E7DCE">
              <w:rPr>
                <w:vertAlign w:val="superscript"/>
              </w:rPr>
              <w:t>4</w:t>
            </w:r>
          </w:p>
        </w:tc>
        <w:tc>
          <w:tcPr>
            <w:tcW w:w="598" w:type="pct"/>
            <w:shd w:val="clear" w:color="auto" w:fill="auto"/>
            <w:vAlign w:val="center"/>
          </w:tcPr>
          <w:p w14:paraId="5978D137" w14:textId="383BE94A"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36"/>
                <w14:textFill>
                  <w14:solidFill>
                    <w14:srgbClr w14:val="000000">
                      <w14:alpha w14:val="100000"/>
                    </w14:srgbClr>
                  </w14:solidFill>
                </w14:textFill>
              </w:rPr>
              <w:t xml:space="preserve">　</w:t>
            </w:r>
            <w:r w:rsidRPr="00DE1058">
              <w:rPr>
                <w:color w:val="000000"/>
                <w:w w:val="15"/>
                <w:shd w:val="solid" w:color="000000" w:fill="000000"/>
                <w:fitText w:val="70" w:id="-894215936"/>
                <w14:textFill>
                  <w14:solidFill>
                    <w14:srgbClr w14:val="000000">
                      <w14:alpha w14:val="100000"/>
                    </w14:srgbClr>
                  </w14:solidFill>
                </w14:textFill>
              </w:rPr>
              <w:t>|</w:t>
            </w:r>
            <w:r w:rsidRPr="00DE1058">
              <w:rPr>
                <w:rFonts w:hint="eastAsia"/>
                <w:color w:val="000000"/>
                <w:spacing w:val="4"/>
                <w:w w:val="15"/>
                <w:shd w:val="solid" w:color="000000" w:fill="000000"/>
                <w:fitText w:val="70" w:id="-894215936"/>
                <w14:textFill>
                  <w14:solidFill>
                    <w14:srgbClr w14:val="000000">
                      <w14:alpha w14:val="100000"/>
                    </w14:srgbClr>
                  </w14:solidFill>
                </w14:textFill>
              </w:rPr>
              <w:t xml:space="preserve">　</w:t>
            </w:r>
            <w:r w:rsidR="00A2210E" w:rsidRPr="007E7DCE">
              <w:rPr>
                <w:vertAlign w:val="superscript"/>
              </w:rPr>
              <w:t>4</w:t>
            </w:r>
          </w:p>
        </w:tc>
        <w:tc>
          <w:tcPr>
            <w:tcW w:w="598" w:type="pct"/>
            <w:shd w:val="clear" w:color="auto" w:fill="auto"/>
            <w:vAlign w:val="center"/>
          </w:tcPr>
          <w:p w14:paraId="0AFF21E5" w14:textId="20375DA5"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35"/>
                <w14:textFill>
                  <w14:solidFill>
                    <w14:srgbClr w14:val="000000">
                      <w14:alpha w14:val="100000"/>
                    </w14:srgbClr>
                  </w14:solidFill>
                </w14:textFill>
              </w:rPr>
              <w:t xml:space="preserve">　</w:t>
            </w:r>
            <w:r w:rsidRPr="00DE1058">
              <w:rPr>
                <w:color w:val="000000"/>
                <w:w w:val="15"/>
                <w:shd w:val="solid" w:color="000000" w:fill="000000"/>
                <w:fitText w:val="70" w:id="-894215935"/>
                <w14:textFill>
                  <w14:solidFill>
                    <w14:srgbClr w14:val="000000">
                      <w14:alpha w14:val="100000"/>
                    </w14:srgbClr>
                  </w14:solidFill>
                </w14:textFill>
              </w:rPr>
              <w:t>|</w:t>
            </w:r>
            <w:r w:rsidRPr="00DE1058">
              <w:rPr>
                <w:rFonts w:hint="eastAsia"/>
                <w:color w:val="000000"/>
                <w:spacing w:val="4"/>
                <w:w w:val="15"/>
                <w:shd w:val="solid" w:color="000000" w:fill="000000"/>
                <w:fitText w:val="70" w:id="-894215935"/>
                <w14:textFill>
                  <w14:solidFill>
                    <w14:srgbClr w14:val="000000">
                      <w14:alpha w14:val="100000"/>
                    </w14:srgbClr>
                  </w14:solidFill>
                </w14:textFill>
              </w:rPr>
              <w:t xml:space="preserve">　</w:t>
            </w:r>
            <w:r w:rsidR="00A2210E" w:rsidRPr="007E7DCE">
              <w:rPr>
                <w:vertAlign w:val="superscript"/>
              </w:rPr>
              <w:t>4</w:t>
            </w:r>
          </w:p>
        </w:tc>
        <w:tc>
          <w:tcPr>
            <w:tcW w:w="598" w:type="pct"/>
            <w:vAlign w:val="center"/>
          </w:tcPr>
          <w:p w14:paraId="78C40BC8" w14:textId="4D59758C"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34"/>
                <w14:textFill>
                  <w14:solidFill>
                    <w14:srgbClr w14:val="000000">
                      <w14:alpha w14:val="100000"/>
                    </w14:srgbClr>
                  </w14:solidFill>
                </w14:textFill>
              </w:rPr>
              <w:t xml:space="preserve">　</w:t>
            </w:r>
            <w:r w:rsidRPr="00DE1058">
              <w:rPr>
                <w:color w:val="000000"/>
                <w:w w:val="15"/>
                <w:shd w:val="solid" w:color="000000" w:fill="000000"/>
                <w:fitText w:val="70" w:id="-894215934"/>
                <w14:textFill>
                  <w14:solidFill>
                    <w14:srgbClr w14:val="000000">
                      <w14:alpha w14:val="100000"/>
                    </w14:srgbClr>
                  </w14:solidFill>
                </w14:textFill>
              </w:rPr>
              <w:t>|</w:t>
            </w:r>
            <w:r w:rsidRPr="00DE1058">
              <w:rPr>
                <w:rFonts w:hint="eastAsia"/>
                <w:color w:val="000000"/>
                <w:spacing w:val="4"/>
                <w:w w:val="15"/>
                <w:shd w:val="solid" w:color="000000" w:fill="000000"/>
                <w:fitText w:val="70" w:id="-894215934"/>
                <w14:textFill>
                  <w14:solidFill>
                    <w14:srgbClr w14:val="000000">
                      <w14:alpha w14:val="100000"/>
                    </w14:srgbClr>
                  </w14:solidFill>
                </w14:textFill>
              </w:rPr>
              <w:t xml:space="preserve">　</w:t>
            </w:r>
            <w:r w:rsidR="00A2210E" w:rsidRPr="007E7DCE">
              <w:rPr>
                <w:vertAlign w:val="superscript"/>
              </w:rPr>
              <w:t>4</w:t>
            </w:r>
          </w:p>
        </w:tc>
      </w:tr>
      <w:tr w:rsidR="00833323" w:rsidRPr="00A473B4" w14:paraId="270305A5" w14:textId="77777777" w:rsidTr="000F3C50">
        <w:tc>
          <w:tcPr>
            <w:tcW w:w="1412" w:type="pct"/>
            <w:shd w:val="clear" w:color="auto" w:fill="auto"/>
            <w:vAlign w:val="center"/>
          </w:tcPr>
          <w:p w14:paraId="19ABF274" w14:textId="77777777" w:rsidR="00833323" w:rsidRPr="00A473B4" w:rsidRDefault="00833323" w:rsidP="000F3C50">
            <w:pPr>
              <w:pStyle w:val="COMTabletext"/>
              <w:rPr>
                <w:sz w:val="19"/>
                <w:szCs w:val="19"/>
              </w:rPr>
            </w:pPr>
            <w:r>
              <w:rPr>
                <w:sz w:val="19"/>
                <w:szCs w:val="19"/>
              </w:rPr>
              <w:t>Cost offsets for reduced use of pegcetacoplan</w:t>
            </w:r>
          </w:p>
        </w:tc>
        <w:tc>
          <w:tcPr>
            <w:tcW w:w="598" w:type="pct"/>
            <w:shd w:val="clear" w:color="auto" w:fill="auto"/>
            <w:vAlign w:val="center"/>
          </w:tcPr>
          <w:p w14:paraId="7481072E" w14:textId="108B35A7" w:rsidR="00833323" w:rsidRPr="00145C3C" w:rsidRDefault="00C10DFF" w:rsidP="000F3C50">
            <w:pPr>
              <w:pStyle w:val="COMTabletext"/>
              <w:jc w:val="center"/>
              <w:rPr>
                <w:highlight w:val="lightGray"/>
              </w:rPr>
            </w:pPr>
            <w:r w:rsidRPr="00DE1058">
              <w:rPr>
                <w:rFonts w:hint="eastAsia"/>
                <w:color w:val="000000"/>
                <w:w w:val="15"/>
                <w:shd w:val="solid" w:color="000000" w:fill="000000"/>
                <w:fitText w:val="70" w:id="-894215933"/>
                <w14:textFill>
                  <w14:solidFill>
                    <w14:srgbClr w14:val="000000">
                      <w14:alpha w14:val="100000"/>
                    </w14:srgbClr>
                  </w14:solidFill>
                </w14:textFill>
              </w:rPr>
              <w:t xml:space="preserve">　</w:t>
            </w:r>
            <w:r w:rsidRPr="00DE1058">
              <w:rPr>
                <w:color w:val="000000"/>
                <w:w w:val="15"/>
                <w:shd w:val="solid" w:color="000000" w:fill="000000"/>
                <w:fitText w:val="70" w:id="-894215933"/>
                <w14:textFill>
                  <w14:solidFill>
                    <w14:srgbClr w14:val="000000">
                      <w14:alpha w14:val="100000"/>
                    </w14:srgbClr>
                  </w14:solidFill>
                </w14:textFill>
              </w:rPr>
              <w:t>|</w:t>
            </w:r>
            <w:r w:rsidRPr="00DE1058">
              <w:rPr>
                <w:rFonts w:hint="eastAsia"/>
                <w:color w:val="000000"/>
                <w:spacing w:val="4"/>
                <w:w w:val="15"/>
                <w:shd w:val="solid" w:color="000000" w:fill="000000"/>
                <w:fitText w:val="70" w:id="-894215933"/>
                <w14:textFill>
                  <w14:solidFill>
                    <w14:srgbClr w14:val="000000">
                      <w14:alpha w14:val="100000"/>
                    </w14:srgbClr>
                  </w14:solidFill>
                </w14:textFill>
              </w:rPr>
              <w:t xml:space="preserve">　</w:t>
            </w:r>
            <w:r w:rsidR="00A2210E" w:rsidRPr="00CD1203">
              <w:rPr>
                <w:vertAlign w:val="superscript"/>
              </w:rPr>
              <w:t>5</w:t>
            </w:r>
          </w:p>
        </w:tc>
        <w:tc>
          <w:tcPr>
            <w:tcW w:w="598" w:type="pct"/>
            <w:shd w:val="clear" w:color="auto" w:fill="auto"/>
            <w:vAlign w:val="center"/>
          </w:tcPr>
          <w:p w14:paraId="14FD7503" w14:textId="6A72A7AB" w:rsidR="00833323" w:rsidRPr="00145C3C" w:rsidRDefault="00C10DFF" w:rsidP="000F3C50">
            <w:pPr>
              <w:pStyle w:val="COMTabletext"/>
              <w:jc w:val="center"/>
              <w:rPr>
                <w:highlight w:val="lightGray"/>
              </w:rPr>
            </w:pPr>
            <w:r w:rsidRPr="00DE1058">
              <w:rPr>
                <w:rFonts w:hint="eastAsia"/>
                <w:color w:val="000000"/>
                <w:w w:val="15"/>
                <w:shd w:val="solid" w:color="000000" w:fill="000000"/>
                <w:fitText w:val="70" w:id="-894215932"/>
                <w14:textFill>
                  <w14:solidFill>
                    <w14:srgbClr w14:val="000000">
                      <w14:alpha w14:val="100000"/>
                    </w14:srgbClr>
                  </w14:solidFill>
                </w14:textFill>
              </w:rPr>
              <w:t xml:space="preserve">　</w:t>
            </w:r>
            <w:r w:rsidRPr="00DE1058">
              <w:rPr>
                <w:color w:val="000000"/>
                <w:w w:val="15"/>
                <w:shd w:val="solid" w:color="000000" w:fill="000000"/>
                <w:fitText w:val="70" w:id="-894215932"/>
                <w14:textFill>
                  <w14:solidFill>
                    <w14:srgbClr w14:val="000000">
                      <w14:alpha w14:val="100000"/>
                    </w14:srgbClr>
                  </w14:solidFill>
                </w14:textFill>
              </w:rPr>
              <w:t>|</w:t>
            </w:r>
            <w:r w:rsidRPr="00DE1058">
              <w:rPr>
                <w:rFonts w:hint="eastAsia"/>
                <w:color w:val="000000"/>
                <w:spacing w:val="4"/>
                <w:w w:val="15"/>
                <w:shd w:val="solid" w:color="000000" w:fill="000000"/>
                <w:fitText w:val="70" w:id="-894215932"/>
                <w14:textFill>
                  <w14:solidFill>
                    <w14:srgbClr w14:val="000000">
                      <w14:alpha w14:val="100000"/>
                    </w14:srgbClr>
                  </w14:solidFill>
                </w14:textFill>
              </w:rPr>
              <w:t xml:space="preserve">　</w:t>
            </w:r>
            <w:r w:rsidR="00A2210E" w:rsidRPr="007E7DCE">
              <w:rPr>
                <w:vertAlign w:val="superscript"/>
              </w:rPr>
              <w:t>5</w:t>
            </w:r>
          </w:p>
        </w:tc>
        <w:tc>
          <w:tcPr>
            <w:tcW w:w="598" w:type="pct"/>
            <w:shd w:val="clear" w:color="auto" w:fill="auto"/>
            <w:vAlign w:val="center"/>
          </w:tcPr>
          <w:p w14:paraId="5A7EACF6" w14:textId="7AE87348" w:rsidR="00833323" w:rsidRPr="00145C3C" w:rsidRDefault="00C10DFF" w:rsidP="000F3C50">
            <w:pPr>
              <w:pStyle w:val="COMTabletext"/>
              <w:jc w:val="center"/>
              <w:rPr>
                <w:highlight w:val="lightGray"/>
              </w:rPr>
            </w:pPr>
            <w:r w:rsidRPr="00DE1058">
              <w:rPr>
                <w:rFonts w:hint="eastAsia"/>
                <w:color w:val="000000"/>
                <w:w w:val="15"/>
                <w:shd w:val="solid" w:color="000000" w:fill="000000"/>
                <w:fitText w:val="70" w:id="-894215931"/>
                <w14:textFill>
                  <w14:solidFill>
                    <w14:srgbClr w14:val="000000">
                      <w14:alpha w14:val="100000"/>
                    </w14:srgbClr>
                  </w14:solidFill>
                </w14:textFill>
              </w:rPr>
              <w:t xml:space="preserve">　</w:t>
            </w:r>
            <w:r w:rsidRPr="00DE1058">
              <w:rPr>
                <w:color w:val="000000"/>
                <w:w w:val="15"/>
                <w:shd w:val="solid" w:color="000000" w:fill="000000"/>
                <w:fitText w:val="70" w:id="-894215931"/>
                <w14:textFill>
                  <w14:solidFill>
                    <w14:srgbClr w14:val="000000">
                      <w14:alpha w14:val="100000"/>
                    </w14:srgbClr>
                  </w14:solidFill>
                </w14:textFill>
              </w:rPr>
              <w:t>|</w:t>
            </w:r>
            <w:r w:rsidRPr="00DE1058">
              <w:rPr>
                <w:rFonts w:hint="eastAsia"/>
                <w:color w:val="000000"/>
                <w:spacing w:val="4"/>
                <w:w w:val="15"/>
                <w:shd w:val="solid" w:color="000000" w:fill="000000"/>
                <w:fitText w:val="70" w:id="-894215931"/>
                <w14:textFill>
                  <w14:solidFill>
                    <w14:srgbClr w14:val="000000">
                      <w14:alpha w14:val="100000"/>
                    </w14:srgbClr>
                  </w14:solidFill>
                </w14:textFill>
              </w:rPr>
              <w:t xml:space="preserve">　</w:t>
            </w:r>
            <w:r w:rsidR="00A2210E" w:rsidRPr="007E7DCE">
              <w:rPr>
                <w:vertAlign w:val="superscript"/>
              </w:rPr>
              <w:t>5</w:t>
            </w:r>
          </w:p>
        </w:tc>
        <w:tc>
          <w:tcPr>
            <w:tcW w:w="598" w:type="pct"/>
            <w:shd w:val="clear" w:color="auto" w:fill="auto"/>
            <w:vAlign w:val="center"/>
          </w:tcPr>
          <w:p w14:paraId="48BE2E09" w14:textId="24B2D1CD" w:rsidR="00833323" w:rsidRPr="00145C3C" w:rsidRDefault="00C10DFF" w:rsidP="000F3C50">
            <w:pPr>
              <w:pStyle w:val="COMTabletext"/>
              <w:jc w:val="center"/>
              <w:rPr>
                <w:highlight w:val="lightGray"/>
              </w:rPr>
            </w:pPr>
            <w:r w:rsidRPr="00DE1058">
              <w:rPr>
                <w:rFonts w:hint="eastAsia"/>
                <w:color w:val="000000"/>
                <w:w w:val="15"/>
                <w:shd w:val="solid" w:color="000000" w:fill="000000"/>
                <w:fitText w:val="70" w:id="-894215930"/>
                <w14:textFill>
                  <w14:solidFill>
                    <w14:srgbClr w14:val="000000">
                      <w14:alpha w14:val="100000"/>
                    </w14:srgbClr>
                  </w14:solidFill>
                </w14:textFill>
              </w:rPr>
              <w:t xml:space="preserve">　</w:t>
            </w:r>
            <w:r w:rsidRPr="00DE1058">
              <w:rPr>
                <w:color w:val="000000"/>
                <w:w w:val="15"/>
                <w:shd w:val="solid" w:color="000000" w:fill="000000"/>
                <w:fitText w:val="70" w:id="-894215930"/>
                <w14:textFill>
                  <w14:solidFill>
                    <w14:srgbClr w14:val="000000">
                      <w14:alpha w14:val="100000"/>
                    </w14:srgbClr>
                  </w14:solidFill>
                </w14:textFill>
              </w:rPr>
              <w:t>|</w:t>
            </w:r>
            <w:r w:rsidRPr="00DE1058">
              <w:rPr>
                <w:rFonts w:hint="eastAsia"/>
                <w:color w:val="000000"/>
                <w:spacing w:val="4"/>
                <w:w w:val="15"/>
                <w:shd w:val="solid" w:color="000000" w:fill="000000"/>
                <w:fitText w:val="70" w:id="-894215930"/>
                <w14:textFill>
                  <w14:solidFill>
                    <w14:srgbClr w14:val="000000">
                      <w14:alpha w14:val="100000"/>
                    </w14:srgbClr>
                  </w14:solidFill>
                </w14:textFill>
              </w:rPr>
              <w:t xml:space="preserve">　</w:t>
            </w:r>
            <w:r w:rsidR="00A2210E" w:rsidRPr="007E7DCE">
              <w:rPr>
                <w:vertAlign w:val="superscript"/>
              </w:rPr>
              <w:t>5</w:t>
            </w:r>
          </w:p>
        </w:tc>
        <w:tc>
          <w:tcPr>
            <w:tcW w:w="598" w:type="pct"/>
            <w:shd w:val="clear" w:color="auto" w:fill="auto"/>
            <w:vAlign w:val="center"/>
          </w:tcPr>
          <w:p w14:paraId="42F8F2D9" w14:textId="7F1B94F0" w:rsidR="00833323" w:rsidRPr="00145C3C" w:rsidRDefault="00C10DFF" w:rsidP="000F3C50">
            <w:pPr>
              <w:pStyle w:val="COMTabletext"/>
              <w:jc w:val="center"/>
              <w:rPr>
                <w:highlight w:val="lightGray"/>
              </w:rPr>
            </w:pPr>
            <w:r w:rsidRPr="00DE1058">
              <w:rPr>
                <w:rFonts w:hint="eastAsia"/>
                <w:color w:val="000000"/>
                <w:w w:val="15"/>
                <w:shd w:val="solid" w:color="000000" w:fill="000000"/>
                <w:fitText w:val="70" w:id="-894215929"/>
                <w14:textFill>
                  <w14:solidFill>
                    <w14:srgbClr w14:val="000000">
                      <w14:alpha w14:val="100000"/>
                    </w14:srgbClr>
                  </w14:solidFill>
                </w14:textFill>
              </w:rPr>
              <w:t xml:space="preserve">　</w:t>
            </w:r>
            <w:r w:rsidRPr="00DE1058">
              <w:rPr>
                <w:color w:val="000000"/>
                <w:w w:val="15"/>
                <w:shd w:val="solid" w:color="000000" w:fill="000000"/>
                <w:fitText w:val="70" w:id="-894215929"/>
                <w14:textFill>
                  <w14:solidFill>
                    <w14:srgbClr w14:val="000000">
                      <w14:alpha w14:val="100000"/>
                    </w14:srgbClr>
                  </w14:solidFill>
                </w14:textFill>
              </w:rPr>
              <w:t>|</w:t>
            </w:r>
            <w:r w:rsidRPr="00DE1058">
              <w:rPr>
                <w:rFonts w:hint="eastAsia"/>
                <w:color w:val="000000"/>
                <w:spacing w:val="4"/>
                <w:w w:val="15"/>
                <w:shd w:val="solid" w:color="000000" w:fill="000000"/>
                <w:fitText w:val="70" w:id="-894215929"/>
                <w14:textFill>
                  <w14:solidFill>
                    <w14:srgbClr w14:val="000000">
                      <w14:alpha w14:val="100000"/>
                    </w14:srgbClr>
                  </w14:solidFill>
                </w14:textFill>
              </w:rPr>
              <w:t xml:space="preserve">　</w:t>
            </w:r>
            <w:r w:rsidR="00145C3C" w:rsidRPr="007E7DCE">
              <w:rPr>
                <w:vertAlign w:val="superscript"/>
              </w:rPr>
              <w:t>5</w:t>
            </w:r>
          </w:p>
        </w:tc>
        <w:tc>
          <w:tcPr>
            <w:tcW w:w="598" w:type="pct"/>
            <w:vAlign w:val="center"/>
          </w:tcPr>
          <w:p w14:paraId="63895808" w14:textId="1040B163" w:rsidR="00833323" w:rsidRPr="00145C3C" w:rsidRDefault="00C10DFF" w:rsidP="000F3C50">
            <w:pPr>
              <w:pStyle w:val="COMTabletext"/>
              <w:jc w:val="center"/>
              <w:rPr>
                <w:highlight w:val="lightGray"/>
              </w:rPr>
            </w:pPr>
            <w:r w:rsidRPr="00DE1058">
              <w:rPr>
                <w:rFonts w:hint="eastAsia"/>
                <w:color w:val="000000"/>
                <w:w w:val="15"/>
                <w:shd w:val="solid" w:color="000000" w:fill="000000"/>
                <w:fitText w:val="70" w:id="-894215928"/>
                <w14:textFill>
                  <w14:solidFill>
                    <w14:srgbClr w14:val="000000">
                      <w14:alpha w14:val="100000"/>
                    </w14:srgbClr>
                  </w14:solidFill>
                </w14:textFill>
              </w:rPr>
              <w:t xml:space="preserve">　</w:t>
            </w:r>
            <w:r w:rsidRPr="00DE1058">
              <w:rPr>
                <w:color w:val="000000"/>
                <w:w w:val="15"/>
                <w:shd w:val="solid" w:color="000000" w:fill="000000"/>
                <w:fitText w:val="70" w:id="-894215928"/>
                <w14:textFill>
                  <w14:solidFill>
                    <w14:srgbClr w14:val="000000">
                      <w14:alpha w14:val="100000"/>
                    </w14:srgbClr>
                  </w14:solidFill>
                </w14:textFill>
              </w:rPr>
              <w:t>|</w:t>
            </w:r>
            <w:r w:rsidRPr="00DE1058">
              <w:rPr>
                <w:rFonts w:hint="eastAsia"/>
                <w:color w:val="000000"/>
                <w:spacing w:val="4"/>
                <w:w w:val="15"/>
                <w:shd w:val="solid" w:color="000000" w:fill="000000"/>
                <w:fitText w:val="70" w:id="-894215928"/>
                <w14:textFill>
                  <w14:solidFill>
                    <w14:srgbClr w14:val="000000">
                      <w14:alpha w14:val="100000"/>
                    </w14:srgbClr>
                  </w14:solidFill>
                </w14:textFill>
              </w:rPr>
              <w:t xml:space="preserve">　</w:t>
            </w:r>
            <w:r w:rsidR="00A2210E" w:rsidRPr="007E7DCE">
              <w:rPr>
                <w:vertAlign w:val="superscript"/>
              </w:rPr>
              <w:t>5</w:t>
            </w:r>
          </w:p>
        </w:tc>
      </w:tr>
      <w:tr w:rsidR="00833323" w:rsidRPr="00A473B4" w14:paraId="71FFFE52" w14:textId="77777777" w:rsidTr="000F3C50">
        <w:tc>
          <w:tcPr>
            <w:tcW w:w="1412" w:type="pct"/>
            <w:shd w:val="clear" w:color="auto" w:fill="auto"/>
            <w:vAlign w:val="center"/>
          </w:tcPr>
          <w:p w14:paraId="39FC6382" w14:textId="153B0BA0" w:rsidR="00833323" w:rsidRDefault="00833323" w:rsidP="000F3C50">
            <w:pPr>
              <w:pStyle w:val="COMTabletext"/>
              <w:rPr>
                <w:sz w:val="19"/>
                <w:szCs w:val="19"/>
              </w:rPr>
            </w:pPr>
            <w:r>
              <w:rPr>
                <w:sz w:val="19"/>
                <w:szCs w:val="19"/>
              </w:rPr>
              <w:t>Cost offsets for reduced use of ravulizumab</w:t>
            </w:r>
            <w:r w:rsidR="007B3BFE">
              <w:rPr>
                <w:sz w:val="19"/>
                <w:szCs w:val="19"/>
              </w:rPr>
              <w:t xml:space="preserve"> </w:t>
            </w:r>
          </w:p>
        </w:tc>
        <w:tc>
          <w:tcPr>
            <w:tcW w:w="598" w:type="pct"/>
            <w:shd w:val="clear" w:color="auto" w:fill="auto"/>
            <w:vAlign w:val="center"/>
          </w:tcPr>
          <w:p w14:paraId="22824087" w14:textId="38BB4CE9"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27"/>
                <w14:textFill>
                  <w14:solidFill>
                    <w14:srgbClr w14:val="000000">
                      <w14:alpha w14:val="100000"/>
                    </w14:srgbClr>
                  </w14:solidFill>
                </w14:textFill>
              </w:rPr>
              <w:t xml:space="preserve">　</w:t>
            </w:r>
            <w:r w:rsidRPr="00DE1058">
              <w:rPr>
                <w:color w:val="000000"/>
                <w:w w:val="15"/>
                <w:shd w:val="solid" w:color="000000" w:fill="000000"/>
                <w:fitText w:val="70" w:id="-894215927"/>
                <w14:textFill>
                  <w14:solidFill>
                    <w14:srgbClr w14:val="000000">
                      <w14:alpha w14:val="100000"/>
                    </w14:srgbClr>
                  </w14:solidFill>
                </w14:textFill>
              </w:rPr>
              <w:t>|</w:t>
            </w:r>
            <w:r w:rsidRPr="00DE1058">
              <w:rPr>
                <w:rFonts w:hint="eastAsia"/>
                <w:color w:val="000000"/>
                <w:spacing w:val="4"/>
                <w:w w:val="15"/>
                <w:shd w:val="solid" w:color="000000" w:fill="000000"/>
                <w:fitText w:val="70" w:id="-894215927"/>
                <w14:textFill>
                  <w14:solidFill>
                    <w14:srgbClr w14:val="000000">
                      <w14:alpha w14:val="100000"/>
                    </w14:srgbClr>
                  </w14:solidFill>
                </w14:textFill>
              </w:rPr>
              <w:t xml:space="preserve">　</w:t>
            </w:r>
            <w:r w:rsidR="00A2210E" w:rsidRPr="007E7DCE">
              <w:rPr>
                <w:vertAlign w:val="superscript"/>
              </w:rPr>
              <w:t>5</w:t>
            </w:r>
          </w:p>
        </w:tc>
        <w:tc>
          <w:tcPr>
            <w:tcW w:w="598" w:type="pct"/>
            <w:shd w:val="clear" w:color="auto" w:fill="auto"/>
            <w:vAlign w:val="center"/>
          </w:tcPr>
          <w:p w14:paraId="79F24DC3" w14:textId="79FF542F"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26"/>
                <w14:textFill>
                  <w14:solidFill>
                    <w14:srgbClr w14:val="000000">
                      <w14:alpha w14:val="100000"/>
                    </w14:srgbClr>
                  </w14:solidFill>
                </w14:textFill>
              </w:rPr>
              <w:t xml:space="preserve">　</w:t>
            </w:r>
            <w:r w:rsidRPr="00DE1058">
              <w:rPr>
                <w:color w:val="000000"/>
                <w:w w:val="15"/>
                <w:shd w:val="solid" w:color="000000" w:fill="000000"/>
                <w:fitText w:val="70" w:id="-894215926"/>
                <w14:textFill>
                  <w14:solidFill>
                    <w14:srgbClr w14:val="000000">
                      <w14:alpha w14:val="100000"/>
                    </w14:srgbClr>
                  </w14:solidFill>
                </w14:textFill>
              </w:rPr>
              <w:t>|</w:t>
            </w:r>
            <w:r w:rsidRPr="00DE1058">
              <w:rPr>
                <w:rFonts w:hint="eastAsia"/>
                <w:color w:val="000000"/>
                <w:spacing w:val="4"/>
                <w:w w:val="15"/>
                <w:shd w:val="solid" w:color="000000" w:fill="000000"/>
                <w:fitText w:val="70" w:id="-894215926"/>
                <w14:textFill>
                  <w14:solidFill>
                    <w14:srgbClr w14:val="000000">
                      <w14:alpha w14:val="100000"/>
                    </w14:srgbClr>
                  </w14:solidFill>
                </w14:textFill>
              </w:rPr>
              <w:t xml:space="preserve">　</w:t>
            </w:r>
            <w:r w:rsidR="00A2210E" w:rsidRPr="007E7DCE">
              <w:rPr>
                <w:vertAlign w:val="superscript"/>
              </w:rPr>
              <w:t>5</w:t>
            </w:r>
          </w:p>
        </w:tc>
        <w:tc>
          <w:tcPr>
            <w:tcW w:w="598" w:type="pct"/>
            <w:shd w:val="clear" w:color="auto" w:fill="auto"/>
            <w:vAlign w:val="center"/>
          </w:tcPr>
          <w:p w14:paraId="5F9E200F" w14:textId="241B1267"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25"/>
                <w14:textFill>
                  <w14:solidFill>
                    <w14:srgbClr w14:val="000000">
                      <w14:alpha w14:val="100000"/>
                    </w14:srgbClr>
                  </w14:solidFill>
                </w14:textFill>
              </w:rPr>
              <w:t xml:space="preserve">　</w:t>
            </w:r>
            <w:r w:rsidRPr="00DE1058">
              <w:rPr>
                <w:color w:val="000000"/>
                <w:w w:val="15"/>
                <w:shd w:val="solid" w:color="000000" w:fill="000000"/>
                <w:fitText w:val="70" w:id="-894215925"/>
                <w14:textFill>
                  <w14:solidFill>
                    <w14:srgbClr w14:val="000000">
                      <w14:alpha w14:val="100000"/>
                    </w14:srgbClr>
                  </w14:solidFill>
                </w14:textFill>
              </w:rPr>
              <w:t>|</w:t>
            </w:r>
            <w:r w:rsidRPr="00DE1058">
              <w:rPr>
                <w:rFonts w:hint="eastAsia"/>
                <w:color w:val="000000"/>
                <w:spacing w:val="4"/>
                <w:w w:val="15"/>
                <w:shd w:val="solid" w:color="000000" w:fill="000000"/>
                <w:fitText w:val="70" w:id="-894215925"/>
                <w14:textFill>
                  <w14:solidFill>
                    <w14:srgbClr w14:val="000000">
                      <w14:alpha w14:val="100000"/>
                    </w14:srgbClr>
                  </w14:solidFill>
                </w14:textFill>
              </w:rPr>
              <w:t xml:space="preserve">　</w:t>
            </w:r>
            <w:r w:rsidR="00A2210E" w:rsidRPr="007E7DCE">
              <w:rPr>
                <w:vertAlign w:val="superscript"/>
              </w:rPr>
              <w:t>5</w:t>
            </w:r>
          </w:p>
        </w:tc>
        <w:tc>
          <w:tcPr>
            <w:tcW w:w="598" w:type="pct"/>
            <w:shd w:val="clear" w:color="auto" w:fill="auto"/>
            <w:vAlign w:val="center"/>
          </w:tcPr>
          <w:p w14:paraId="5040C0C8" w14:textId="401BD7B0"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24"/>
                <w14:textFill>
                  <w14:solidFill>
                    <w14:srgbClr w14:val="000000">
                      <w14:alpha w14:val="100000"/>
                    </w14:srgbClr>
                  </w14:solidFill>
                </w14:textFill>
              </w:rPr>
              <w:t xml:space="preserve">　</w:t>
            </w:r>
            <w:r w:rsidRPr="00DE1058">
              <w:rPr>
                <w:color w:val="000000"/>
                <w:w w:val="15"/>
                <w:shd w:val="solid" w:color="000000" w:fill="000000"/>
                <w:fitText w:val="70" w:id="-894215924"/>
                <w14:textFill>
                  <w14:solidFill>
                    <w14:srgbClr w14:val="000000">
                      <w14:alpha w14:val="100000"/>
                    </w14:srgbClr>
                  </w14:solidFill>
                </w14:textFill>
              </w:rPr>
              <w:t>|</w:t>
            </w:r>
            <w:r w:rsidRPr="00DE1058">
              <w:rPr>
                <w:rFonts w:hint="eastAsia"/>
                <w:color w:val="000000"/>
                <w:spacing w:val="4"/>
                <w:w w:val="15"/>
                <w:shd w:val="solid" w:color="000000" w:fill="000000"/>
                <w:fitText w:val="70" w:id="-894215924"/>
                <w14:textFill>
                  <w14:solidFill>
                    <w14:srgbClr w14:val="000000">
                      <w14:alpha w14:val="100000"/>
                    </w14:srgbClr>
                  </w14:solidFill>
                </w14:textFill>
              </w:rPr>
              <w:t xml:space="preserve">　</w:t>
            </w:r>
            <w:r w:rsidR="00A2210E" w:rsidRPr="007E7DCE">
              <w:rPr>
                <w:vertAlign w:val="superscript"/>
              </w:rPr>
              <w:t>5</w:t>
            </w:r>
          </w:p>
        </w:tc>
        <w:tc>
          <w:tcPr>
            <w:tcW w:w="598" w:type="pct"/>
            <w:shd w:val="clear" w:color="auto" w:fill="auto"/>
            <w:vAlign w:val="center"/>
          </w:tcPr>
          <w:p w14:paraId="5F30909F" w14:textId="1A2D6D46"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23"/>
                <w14:textFill>
                  <w14:solidFill>
                    <w14:srgbClr w14:val="000000">
                      <w14:alpha w14:val="100000"/>
                    </w14:srgbClr>
                  </w14:solidFill>
                </w14:textFill>
              </w:rPr>
              <w:t xml:space="preserve">　</w:t>
            </w:r>
            <w:r w:rsidRPr="00DE1058">
              <w:rPr>
                <w:color w:val="000000"/>
                <w:w w:val="15"/>
                <w:shd w:val="solid" w:color="000000" w:fill="000000"/>
                <w:fitText w:val="70" w:id="-894215923"/>
                <w14:textFill>
                  <w14:solidFill>
                    <w14:srgbClr w14:val="000000">
                      <w14:alpha w14:val="100000"/>
                    </w14:srgbClr>
                  </w14:solidFill>
                </w14:textFill>
              </w:rPr>
              <w:t>|</w:t>
            </w:r>
            <w:r w:rsidRPr="00DE1058">
              <w:rPr>
                <w:rFonts w:hint="eastAsia"/>
                <w:color w:val="000000"/>
                <w:spacing w:val="4"/>
                <w:w w:val="15"/>
                <w:shd w:val="solid" w:color="000000" w:fill="000000"/>
                <w:fitText w:val="70" w:id="-894215923"/>
                <w14:textFill>
                  <w14:solidFill>
                    <w14:srgbClr w14:val="000000">
                      <w14:alpha w14:val="100000"/>
                    </w14:srgbClr>
                  </w14:solidFill>
                </w14:textFill>
              </w:rPr>
              <w:t xml:space="preserve">　</w:t>
            </w:r>
            <w:r w:rsidR="00A2210E" w:rsidRPr="007E7DCE">
              <w:rPr>
                <w:vertAlign w:val="superscript"/>
              </w:rPr>
              <w:t>5</w:t>
            </w:r>
          </w:p>
        </w:tc>
        <w:tc>
          <w:tcPr>
            <w:tcW w:w="598" w:type="pct"/>
            <w:vAlign w:val="center"/>
          </w:tcPr>
          <w:p w14:paraId="6529070A" w14:textId="7A833634"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22"/>
                <w14:textFill>
                  <w14:solidFill>
                    <w14:srgbClr w14:val="000000">
                      <w14:alpha w14:val="100000"/>
                    </w14:srgbClr>
                  </w14:solidFill>
                </w14:textFill>
              </w:rPr>
              <w:t xml:space="preserve">　</w:t>
            </w:r>
            <w:r w:rsidRPr="00DE1058">
              <w:rPr>
                <w:color w:val="000000"/>
                <w:w w:val="15"/>
                <w:shd w:val="solid" w:color="000000" w:fill="000000"/>
                <w:fitText w:val="70" w:id="-894215922"/>
                <w14:textFill>
                  <w14:solidFill>
                    <w14:srgbClr w14:val="000000">
                      <w14:alpha w14:val="100000"/>
                    </w14:srgbClr>
                  </w14:solidFill>
                </w14:textFill>
              </w:rPr>
              <w:t>|</w:t>
            </w:r>
            <w:r w:rsidRPr="00DE1058">
              <w:rPr>
                <w:rFonts w:hint="eastAsia"/>
                <w:color w:val="000000"/>
                <w:spacing w:val="4"/>
                <w:w w:val="15"/>
                <w:shd w:val="solid" w:color="000000" w:fill="000000"/>
                <w:fitText w:val="70" w:id="-894215922"/>
                <w14:textFill>
                  <w14:solidFill>
                    <w14:srgbClr w14:val="000000">
                      <w14:alpha w14:val="100000"/>
                    </w14:srgbClr>
                  </w14:solidFill>
                </w14:textFill>
              </w:rPr>
              <w:t xml:space="preserve">　</w:t>
            </w:r>
            <w:r w:rsidR="00A2210E" w:rsidRPr="007E7DCE">
              <w:rPr>
                <w:vertAlign w:val="superscript"/>
              </w:rPr>
              <w:t>5</w:t>
            </w:r>
          </w:p>
        </w:tc>
      </w:tr>
      <w:tr w:rsidR="00833323" w:rsidRPr="00A473B4" w14:paraId="6E19DCCC" w14:textId="77777777" w:rsidTr="000F3C50">
        <w:tc>
          <w:tcPr>
            <w:tcW w:w="1412" w:type="pct"/>
            <w:shd w:val="clear" w:color="auto" w:fill="auto"/>
            <w:vAlign w:val="center"/>
          </w:tcPr>
          <w:p w14:paraId="04CC7B04" w14:textId="2A0ADABB" w:rsidR="00833323" w:rsidRDefault="00833323" w:rsidP="000F3C50">
            <w:pPr>
              <w:pStyle w:val="COMTabletext"/>
              <w:rPr>
                <w:sz w:val="19"/>
                <w:szCs w:val="19"/>
              </w:rPr>
            </w:pPr>
            <w:r>
              <w:rPr>
                <w:sz w:val="19"/>
                <w:szCs w:val="19"/>
              </w:rPr>
              <w:t>Net cost to PBS/RPBS</w:t>
            </w:r>
            <w:r w:rsidR="007B3BFE">
              <w:rPr>
                <w:sz w:val="19"/>
                <w:szCs w:val="19"/>
              </w:rPr>
              <w:t xml:space="preserve"> </w:t>
            </w:r>
          </w:p>
        </w:tc>
        <w:tc>
          <w:tcPr>
            <w:tcW w:w="598" w:type="pct"/>
            <w:shd w:val="clear" w:color="auto" w:fill="auto"/>
          </w:tcPr>
          <w:p w14:paraId="3397F93C" w14:textId="43D91688"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21"/>
                <w14:textFill>
                  <w14:solidFill>
                    <w14:srgbClr w14:val="000000">
                      <w14:alpha w14:val="100000"/>
                    </w14:srgbClr>
                  </w14:solidFill>
                </w14:textFill>
              </w:rPr>
              <w:t xml:space="preserve">　</w:t>
            </w:r>
            <w:r w:rsidRPr="00DE1058">
              <w:rPr>
                <w:color w:val="000000"/>
                <w:w w:val="15"/>
                <w:shd w:val="solid" w:color="000000" w:fill="000000"/>
                <w:fitText w:val="70" w:id="-894215921"/>
                <w14:textFill>
                  <w14:solidFill>
                    <w14:srgbClr w14:val="000000">
                      <w14:alpha w14:val="100000"/>
                    </w14:srgbClr>
                  </w14:solidFill>
                </w14:textFill>
              </w:rPr>
              <w:t>|</w:t>
            </w:r>
            <w:r w:rsidRPr="00DE1058">
              <w:rPr>
                <w:rFonts w:hint="eastAsia"/>
                <w:color w:val="000000"/>
                <w:spacing w:val="4"/>
                <w:w w:val="15"/>
                <w:shd w:val="solid" w:color="000000" w:fill="000000"/>
                <w:fitText w:val="70" w:id="-894215921"/>
                <w14:textFill>
                  <w14:solidFill>
                    <w14:srgbClr w14:val="000000">
                      <w14:alpha w14:val="100000"/>
                    </w14:srgbClr>
                  </w14:solidFill>
                </w14:textFill>
              </w:rPr>
              <w:t xml:space="preserve">　</w:t>
            </w:r>
            <w:r w:rsidR="002E62BE" w:rsidRPr="007C6F1B">
              <w:rPr>
                <w:vertAlign w:val="superscript"/>
              </w:rPr>
              <w:t>6</w:t>
            </w:r>
          </w:p>
        </w:tc>
        <w:tc>
          <w:tcPr>
            <w:tcW w:w="598" w:type="pct"/>
            <w:shd w:val="clear" w:color="auto" w:fill="auto"/>
          </w:tcPr>
          <w:p w14:paraId="68412FC9" w14:textId="3F3E5919"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20"/>
                <w14:textFill>
                  <w14:solidFill>
                    <w14:srgbClr w14:val="000000">
                      <w14:alpha w14:val="100000"/>
                    </w14:srgbClr>
                  </w14:solidFill>
                </w14:textFill>
              </w:rPr>
              <w:t xml:space="preserve">　</w:t>
            </w:r>
            <w:r w:rsidRPr="00DE1058">
              <w:rPr>
                <w:color w:val="000000"/>
                <w:w w:val="15"/>
                <w:shd w:val="solid" w:color="000000" w:fill="000000"/>
                <w:fitText w:val="70" w:id="-894215920"/>
                <w14:textFill>
                  <w14:solidFill>
                    <w14:srgbClr w14:val="000000">
                      <w14:alpha w14:val="100000"/>
                    </w14:srgbClr>
                  </w14:solidFill>
                </w14:textFill>
              </w:rPr>
              <w:t>|</w:t>
            </w:r>
            <w:r w:rsidRPr="00DE1058">
              <w:rPr>
                <w:rFonts w:hint="eastAsia"/>
                <w:color w:val="000000"/>
                <w:spacing w:val="4"/>
                <w:w w:val="15"/>
                <w:shd w:val="solid" w:color="000000" w:fill="000000"/>
                <w:fitText w:val="70" w:id="-894215920"/>
                <w14:textFill>
                  <w14:solidFill>
                    <w14:srgbClr w14:val="000000">
                      <w14:alpha w14:val="100000"/>
                    </w14:srgbClr>
                  </w14:solidFill>
                </w14:textFill>
              </w:rPr>
              <w:t xml:space="preserve">　</w:t>
            </w:r>
            <w:r w:rsidR="002E62BE" w:rsidRPr="007C6F1B">
              <w:rPr>
                <w:vertAlign w:val="superscript"/>
              </w:rPr>
              <w:t>6</w:t>
            </w:r>
          </w:p>
        </w:tc>
        <w:tc>
          <w:tcPr>
            <w:tcW w:w="598" w:type="pct"/>
            <w:shd w:val="clear" w:color="auto" w:fill="auto"/>
          </w:tcPr>
          <w:p w14:paraId="27D32CAE" w14:textId="199227B5"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36"/>
                <w14:textFill>
                  <w14:solidFill>
                    <w14:srgbClr w14:val="000000">
                      <w14:alpha w14:val="100000"/>
                    </w14:srgbClr>
                  </w14:solidFill>
                </w14:textFill>
              </w:rPr>
              <w:t xml:space="preserve">　</w:t>
            </w:r>
            <w:r w:rsidRPr="00DE1058">
              <w:rPr>
                <w:color w:val="000000"/>
                <w:w w:val="15"/>
                <w:shd w:val="solid" w:color="000000" w:fill="000000"/>
                <w:fitText w:val="70" w:id="-894215936"/>
                <w14:textFill>
                  <w14:solidFill>
                    <w14:srgbClr w14:val="000000">
                      <w14:alpha w14:val="100000"/>
                    </w14:srgbClr>
                  </w14:solidFill>
                </w14:textFill>
              </w:rPr>
              <w:t>|</w:t>
            </w:r>
            <w:r w:rsidRPr="00DE1058">
              <w:rPr>
                <w:rFonts w:hint="eastAsia"/>
                <w:color w:val="000000"/>
                <w:spacing w:val="4"/>
                <w:w w:val="15"/>
                <w:shd w:val="solid" w:color="000000" w:fill="000000"/>
                <w:fitText w:val="70" w:id="-894215936"/>
                <w14:textFill>
                  <w14:solidFill>
                    <w14:srgbClr w14:val="000000">
                      <w14:alpha w14:val="100000"/>
                    </w14:srgbClr>
                  </w14:solidFill>
                </w14:textFill>
              </w:rPr>
              <w:t xml:space="preserve">　</w:t>
            </w:r>
            <w:r w:rsidR="002E62BE" w:rsidRPr="007C6F1B">
              <w:rPr>
                <w:vertAlign w:val="superscript"/>
              </w:rPr>
              <w:t>6</w:t>
            </w:r>
          </w:p>
        </w:tc>
        <w:tc>
          <w:tcPr>
            <w:tcW w:w="598" w:type="pct"/>
            <w:shd w:val="clear" w:color="auto" w:fill="auto"/>
          </w:tcPr>
          <w:p w14:paraId="6B65CFF2" w14:textId="11418E22"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35"/>
                <w14:textFill>
                  <w14:solidFill>
                    <w14:srgbClr w14:val="000000">
                      <w14:alpha w14:val="100000"/>
                    </w14:srgbClr>
                  </w14:solidFill>
                </w14:textFill>
              </w:rPr>
              <w:t xml:space="preserve">　</w:t>
            </w:r>
            <w:r w:rsidRPr="00DE1058">
              <w:rPr>
                <w:color w:val="000000"/>
                <w:w w:val="15"/>
                <w:shd w:val="solid" w:color="000000" w:fill="000000"/>
                <w:fitText w:val="70" w:id="-894215935"/>
                <w14:textFill>
                  <w14:solidFill>
                    <w14:srgbClr w14:val="000000">
                      <w14:alpha w14:val="100000"/>
                    </w14:srgbClr>
                  </w14:solidFill>
                </w14:textFill>
              </w:rPr>
              <w:t>|</w:t>
            </w:r>
            <w:r w:rsidRPr="00DE1058">
              <w:rPr>
                <w:rFonts w:hint="eastAsia"/>
                <w:color w:val="000000"/>
                <w:spacing w:val="4"/>
                <w:w w:val="15"/>
                <w:shd w:val="solid" w:color="000000" w:fill="000000"/>
                <w:fitText w:val="70" w:id="-894215935"/>
                <w14:textFill>
                  <w14:solidFill>
                    <w14:srgbClr w14:val="000000">
                      <w14:alpha w14:val="100000"/>
                    </w14:srgbClr>
                  </w14:solidFill>
                </w14:textFill>
              </w:rPr>
              <w:t xml:space="preserve">　</w:t>
            </w:r>
            <w:r w:rsidR="002E62BE" w:rsidRPr="007C6F1B">
              <w:rPr>
                <w:vertAlign w:val="superscript"/>
              </w:rPr>
              <w:t>6</w:t>
            </w:r>
          </w:p>
        </w:tc>
        <w:tc>
          <w:tcPr>
            <w:tcW w:w="598" w:type="pct"/>
            <w:shd w:val="clear" w:color="auto" w:fill="auto"/>
          </w:tcPr>
          <w:p w14:paraId="3BE774B8" w14:textId="2219EE85"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34"/>
                <w14:textFill>
                  <w14:solidFill>
                    <w14:srgbClr w14:val="000000">
                      <w14:alpha w14:val="100000"/>
                    </w14:srgbClr>
                  </w14:solidFill>
                </w14:textFill>
              </w:rPr>
              <w:t xml:space="preserve">　</w:t>
            </w:r>
            <w:r w:rsidRPr="00DE1058">
              <w:rPr>
                <w:color w:val="000000"/>
                <w:w w:val="15"/>
                <w:shd w:val="solid" w:color="000000" w:fill="000000"/>
                <w:fitText w:val="70" w:id="-894215934"/>
                <w14:textFill>
                  <w14:solidFill>
                    <w14:srgbClr w14:val="000000">
                      <w14:alpha w14:val="100000"/>
                    </w14:srgbClr>
                  </w14:solidFill>
                </w14:textFill>
              </w:rPr>
              <w:t>|</w:t>
            </w:r>
            <w:r w:rsidRPr="00DE1058">
              <w:rPr>
                <w:rFonts w:hint="eastAsia"/>
                <w:color w:val="000000"/>
                <w:spacing w:val="4"/>
                <w:w w:val="15"/>
                <w:shd w:val="solid" w:color="000000" w:fill="000000"/>
                <w:fitText w:val="70" w:id="-894215934"/>
                <w14:textFill>
                  <w14:solidFill>
                    <w14:srgbClr w14:val="000000">
                      <w14:alpha w14:val="100000"/>
                    </w14:srgbClr>
                  </w14:solidFill>
                </w14:textFill>
              </w:rPr>
              <w:t xml:space="preserve">　</w:t>
            </w:r>
            <w:r w:rsidR="002E62BE" w:rsidRPr="007C6F1B">
              <w:rPr>
                <w:vertAlign w:val="superscript"/>
              </w:rPr>
              <w:t>6</w:t>
            </w:r>
          </w:p>
        </w:tc>
        <w:tc>
          <w:tcPr>
            <w:tcW w:w="598" w:type="pct"/>
          </w:tcPr>
          <w:p w14:paraId="39758FC9" w14:textId="62BEA9CB"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33"/>
                <w14:textFill>
                  <w14:solidFill>
                    <w14:srgbClr w14:val="000000">
                      <w14:alpha w14:val="100000"/>
                    </w14:srgbClr>
                  </w14:solidFill>
                </w14:textFill>
              </w:rPr>
              <w:t xml:space="preserve">　</w:t>
            </w:r>
            <w:r w:rsidRPr="00DE1058">
              <w:rPr>
                <w:color w:val="000000"/>
                <w:w w:val="15"/>
                <w:shd w:val="solid" w:color="000000" w:fill="000000"/>
                <w:fitText w:val="70" w:id="-894215933"/>
                <w14:textFill>
                  <w14:solidFill>
                    <w14:srgbClr w14:val="000000">
                      <w14:alpha w14:val="100000"/>
                    </w14:srgbClr>
                  </w14:solidFill>
                </w14:textFill>
              </w:rPr>
              <w:t>|</w:t>
            </w:r>
            <w:r w:rsidRPr="00DE1058">
              <w:rPr>
                <w:rFonts w:hint="eastAsia"/>
                <w:color w:val="000000"/>
                <w:spacing w:val="4"/>
                <w:w w:val="15"/>
                <w:shd w:val="solid" w:color="000000" w:fill="000000"/>
                <w:fitText w:val="70" w:id="-894215933"/>
                <w14:textFill>
                  <w14:solidFill>
                    <w14:srgbClr w14:val="000000">
                      <w14:alpha w14:val="100000"/>
                    </w14:srgbClr>
                  </w14:solidFill>
                </w14:textFill>
              </w:rPr>
              <w:t xml:space="preserve">　</w:t>
            </w:r>
            <w:r w:rsidR="002E62BE" w:rsidRPr="007C6F1B">
              <w:rPr>
                <w:vertAlign w:val="superscript"/>
              </w:rPr>
              <w:t>6</w:t>
            </w:r>
          </w:p>
        </w:tc>
      </w:tr>
      <w:tr w:rsidR="00833323" w:rsidRPr="00A473B4" w14:paraId="1B2B04AA" w14:textId="77777777" w:rsidTr="000F3C50">
        <w:tc>
          <w:tcPr>
            <w:tcW w:w="5000" w:type="pct"/>
            <w:gridSpan w:val="7"/>
            <w:shd w:val="clear" w:color="auto" w:fill="auto"/>
            <w:vAlign w:val="center"/>
          </w:tcPr>
          <w:p w14:paraId="71386296" w14:textId="77777777" w:rsidR="00833323" w:rsidRPr="00A473B4" w:rsidRDefault="00833323" w:rsidP="000F3C50">
            <w:pPr>
              <w:pStyle w:val="COMTableheadingrow"/>
            </w:pPr>
            <w:r>
              <w:t>Cost to the MBS</w:t>
            </w:r>
          </w:p>
        </w:tc>
      </w:tr>
      <w:tr w:rsidR="00833323" w:rsidRPr="00A473B4" w14:paraId="0AE28C90" w14:textId="77777777" w:rsidTr="000F3C50">
        <w:tc>
          <w:tcPr>
            <w:tcW w:w="1412" w:type="pct"/>
            <w:shd w:val="clear" w:color="auto" w:fill="auto"/>
            <w:vAlign w:val="center"/>
          </w:tcPr>
          <w:p w14:paraId="5C5E9E16" w14:textId="77777777" w:rsidR="00833323" w:rsidRPr="00A473B4" w:rsidRDefault="00833323" w:rsidP="000F3C50">
            <w:pPr>
              <w:pStyle w:val="COMTabletext"/>
              <w:rPr>
                <w:sz w:val="19"/>
                <w:szCs w:val="19"/>
              </w:rPr>
            </w:pPr>
            <w:r>
              <w:rPr>
                <w:sz w:val="19"/>
                <w:szCs w:val="19"/>
              </w:rPr>
              <w:t xml:space="preserve">Cost of ravulizumab administration </w:t>
            </w:r>
          </w:p>
        </w:tc>
        <w:tc>
          <w:tcPr>
            <w:tcW w:w="598" w:type="pct"/>
            <w:shd w:val="clear" w:color="auto" w:fill="auto"/>
            <w:vAlign w:val="center"/>
          </w:tcPr>
          <w:p w14:paraId="34E391E7" w14:textId="0123C6F5" w:rsidR="00833323" w:rsidRPr="00A473B4" w:rsidRDefault="00C10DFF" w:rsidP="000F3C50">
            <w:pPr>
              <w:pStyle w:val="COMTabletext"/>
              <w:jc w:val="center"/>
            </w:pPr>
            <w:r w:rsidRPr="00DE1058">
              <w:rPr>
                <w:rFonts w:hint="eastAsia"/>
                <w:color w:val="000000"/>
                <w:w w:val="15"/>
                <w:shd w:val="solid" w:color="000000" w:fill="000000"/>
                <w:fitText w:val="70" w:id="-894215932"/>
                <w14:textFill>
                  <w14:solidFill>
                    <w14:srgbClr w14:val="000000">
                      <w14:alpha w14:val="100000"/>
                    </w14:srgbClr>
                  </w14:solidFill>
                </w14:textFill>
              </w:rPr>
              <w:t xml:space="preserve">　</w:t>
            </w:r>
            <w:r w:rsidRPr="00DE1058">
              <w:rPr>
                <w:color w:val="000000"/>
                <w:w w:val="15"/>
                <w:shd w:val="solid" w:color="000000" w:fill="000000"/>
                <w:fitText w:val="70" w:id="-894215932"/>
                <w14:textFill>
                  <w14:solidFill>
                    <w14:srgbClr w14:val="000000">
                      <w14:alpha w14:val="100000"/>
                    </w14:srgbClr>
                  </w14:solidFill>
                </w14:textFill>
              </w:rPr>
              <w:t>|</w:t>
            </w:r>
            <w:r w:rsidRPr="00DE1058">
              <w:rPr>
                <w:rFonts w:hint="eastAsia"/>
                <w:color w:val="000000"/>
                <w:spacing w:val="4"/>
                <w:w w:val="15"/>
                <w:shd w:val="solid" w:color="000000" w:fill="000000"/>
                <w:fitText w:val="70" w:id="-894215932"/>
                <w14:textFill>
                  <w14:solidFill>
                    <w14:srgbClr w14:val="000000">
                      <w14:alpha w14:val="100000"/>
                    </w14:srgbClr>
                  </w14:solidFill>
                </w14:textFill>
              </w:rPr>
              <w:t xml:space="preserve">　</w:t>
            </w:r>
            <w:r w:rsidR="00A2210E" w:rsidRPr="00A2210E">
              <w:rPr>
                <w:vertAlign w:val="superscript"/>
              </w:rPr>
              <w:t>5</w:t>
            </w:r>
          </w:p>
        </w:tc>
        <w:tc>
          <w:tcPr>
            <w:tcW w:w="598" w:type="pct"/>
            <w:shd w:val="clear" w:color="auto" w:fill="auto"/>
            <w:vAlign w:val="center"/>
          </w:tcPr>
          <w:p w14:paraId="19611194" w14:textId="4BC37C42" w:rsidR="00833323" w:rsidRPr="00A473B4" w:rsidRDefault="00C10DFF" w:rsidP="000F3C50">
            <w:pPr>
              <w:pStyle w:val="COMTabletext"/>
              <w:jc w:val="center"/>
            </w:pPr>
            <w:r w:rsidRPr="00DE1058">
              <w:rPr>
                <w:rFonts w:hint="eastAsia"/>
                <w:color w:val="000000"/>
                <w:w w:val="15"/>
                <w:shd w:val="solid" w:color="000000" w:fill="000000"/>
                <w:fitText w:val="70" w:id="-894215931"/>
                <w14:textFill>
                  <w14:solidFill>
                    <w14:srgbClr w14:val="000000">
                      <w14:alpha w14:val="100000"/>
                    </w14:srgbClr>
                  </w14:solidFill>
                </w14:textFill>
              </w:rPr>
              <w:t xml:space="preserve">　</w:t>
            </w:r>
            <w:r w:rsidRPr="00DE1058">
              <w:rPr>
                <w:color w:val="000000"/>
                <w:w w:val="15"/>
                <w:shd w:val="solid" w:color="000000" w:fill="000000"/>
                <w:fitText w:val="70" w:id="-894215931"/>
                <w14:textFill>
                  <w14:solidFill>
                    <w14:srgbClr w14:val="000000">
                      <w14:alpha w14:val="100000"/>
                    </w14:srgbClr>
                  </w14:solidFill>
                </w14:textFill>
              </w:rPr>
              <w:t>|</w:t>
            </w:r>
            <w:r w:rsidRPr="00DE1058">
              <w:rPr>
                <w:rFonts w:hint="eastAsia"/>
                <w:color w:val="000000"/>
                <w:spacing w:val="4"/>
                <w:w w:val="15"/>
                <w:shd w:val="solid" w:color="000000" w:fill="000000"/>
                <w:fitText w:val="70" w:id="-894215931"/>
                <w14:textFill>
                  <w14:solidFill>
                    <w14:srgbClr w14:val="000000">
                      <w14:alpha w14:val="100000"/>
                    </w14:srgbClr>
                  </w14:solidFill>
                </w14:textFill>
              </w:rPr>
              <w:t xml:space="preserve">　</w:t>
            </w:r>
            <w:r w:rsidR="00A2210E" w:rsidRPr="007E7DCE">
              <w:rPr>
                <w:vertAlign w:val="superscript"/>
              </w:rPr>
              <w:t>5</w:t>
            </w:r>
          </w:p>
        </w:tc>
        <w:tc>
          <w:tcPr>
            <w:tcW w:w="598" w:type="pct"/>
            <w:shd w:val="clear" w:color="auto" w:fill="auto"/>
            <w:vAlign w:val="center"/>
          </w:tcPr>
          <w:p w14:paraId="3BEC1942" w14:textId="66ABD63E" w:rsidR="00833323" w:rsidRPr="00A473B4" w:rsidRDefault="00C10DFF" w:rsidP="000F3C50">
            <w:pPr>
              <w:pStyle w:val="COMTabletext"/>
              <w:jc w:val="center"/>
            </w:pPr>
            <w:r w:rsidRPr="00DE1058">
              <w:rPr>
                <w:rFonts w:hint="eastAsia"/>
                <w:color w:val="000000"/>
                <w:w w:val="15"/>
                <w:shd w:val="solid" w:color="000000" w:fill="000000"/>
                <w:fitText w:val="70" w:id="-894215930"/>
                <w14:textFill>
                  <w14:solidFill>
                    <w14:srgbClr w14:val="000000">
                      <w14:alpha w14:val="100000"/>
                    </w14:srgbClr>
                  </w14:solidFill>
                </w14:textFill>
              </w:rPr>
              <w:t xml:space="preserve">　</w:t>
            </w:r>
            <w:r w:rsidRPr="00DE1058">
              <w:rPr>
                <w:color w:val="000000"/>
                <w:w w:val="15"/>
                <w:shd w:val="solid" w:color="000000" w:fill="000000"/>
                <w:fitText w:val="70" w:id="-894215930"/>
                <w14:textFill>
                  <w14:solidFill>
                    <w14:srgbClr w14:val="000000">
                      <w14:alpha w14:val="100000"/>
                    </w14:srgbClr>
                  </w14:solidFill>
                </w14:textFill>
              </w:rPr>
              <w:t>|</w:t>
            </w:r>
            <w:r w:rsidRPr="00DE1058">
              <w:rPr>
                <w:rFonts w:hint="eastAsia"/>
                <w:color w:val="000000"/>
                <w:spacing w:val="4"/>
                <w:w w:val="15"/>
                <w:shd w:val="solid" w:color="000000" w:fill="000000"/>
                <w:fitText w:val="70" w:id="-894215930"/>
                <w14:textFill>
                  <w14:solidFill>
                    <w14:srgbClr w14:val="000000">
                      <w14:alpha w14:val="100000"/>
                    </w14:srgbClr>
                  </w14:solidFill>
                </w14:textFill>
              </w:rPr>
              <w:t xml:space="preserve">　</w:t>
            </w:r>
            <w:r w:rsidR="00A2210E" w:rsidRPr="007E7DCE">
              <w:rPr>
                <w:vertAlign w:val="superscript"/>
              </w:rPr>
              <w:t>5</w:t>
            </w:r>
          </w:p>
        </w:tc>
        <w:tc>
          <w:tcPr>
            <w:tcW w:w="598" w:type="pct"/>
            <w:shd w:val="clear" w:color="auto" w:fill="auto"/>
            <w:vAlign w:val="center"/>
          </w:tcPr>
          <w:p w14:paraId="6B91BF2F" w14:textId="3189C40A" w:rsidR="00833323" w:rsidRPr="00A473B4" w:rsidRDefault="00C10DFF" w:rsidP="000F3C50">
            <w:pPr>
              <w:pStyle w:val="COMTabletext"/>
              <w:jc w:val="center"/>
            </w:pPr>
            <w:r w:rsidRPr="00DE1058">
              <w:rPr>
                <w:rFonts w:hint="eastAsia"/>
                <w:color w:val="000000"/>
                <w:w w:val="15"/>
                <w:shd w:val="solid" w:color="000000" w:fill="000000"/>
                <w:fitText w:val="70" w:id="-894215929"/>
                <w14:textFill>
                  <w14:solidFill>
                    <w14:srgbClr w14:val="000000">
                      <w14:alpha w14:val="100000"/>
                    </w14:srgbClr>
                  </w14:solidFill>
                </w14:textFill>
              </w:rPr>
              <w:t xml:space="preserve">　</w:t>
            </w:r>
            <w:r w:rsidRPr="00DE1058">
              <w:rPr>
                <w:color w:val="000000"/>
                <w:w w:val="15"/>
                <w:shd w:val="solid" w:color="000000" w:fill="000000"/>
                <w:fitText w:val="70" w:id="-894215929"/>
                <w14:textFill>
                  <w14:solidFill>
                    <w14:srgbClr w14:val="000000">
                      <w14:alpha w14:val="100000"/>
                    </w14:srgbClr>
                  </w14:solidFill>
                </w14:textFill>
              </w:rPr>
              <w:t>|</w:t>
            </w:r>
            <w:r w:rsidRPr="00DE1058">
              <w:rPr>
                <w:rFonts w:hint="eastAsia"/>
                <w:color w:val="000000"/>
                <w:spacing w:val="4"/>
                <w:w w:val="15"/>
                <w:shd w:val="solid" w:color="000000" w:fill="000000"/>
                <w:fitText w:val="70" w:id="-894215929"/>
                <w14:textFill>
                  <w14:solidFill>
                    <w14:srgbClr w14:val="000000">
                      <w14:alpha w14:val="100000"/>
                    </w14:srgbClr>
                  </w14:solidFill>
                </w14:textFill>
              </w:rPr>
              <w:t xml:space="preserve">　</w:t>
            </w:r>
            <w:r w:rsidR="00A2210E" w:rsidRPr="007E7DCE">
              <w:rPr>
                <w:vertAlign w:val="superscript"/>
              </w:rPr>
              <w:t>5</w:t>
            </w:r>
          </w:p>
        </w:tc>
        <w:tc>
          <w:tcPr>
            <w:tcW w:w="598" w:type="pct"/>
            <w:shd w:val="clear" w:color="auto" w:fill="auto"/>
            <w:vAlign w:val="center"/>
          </w:tcPr>
          <w:p w14:paraId="51604F7B" w14:textId="134DB307" w:rsidR="00833323" w:rsidRPr="00A473B4" w:rsidRDefault="00C10DFF" w:rsidP="000F3C50">
            <w:pPr>
              <w:pStyle w:val="COMTabletext"/>
              <w:jc w:val="center"/>
            </w:pPr>
            <w:r w:rsidRPr="00DE1058">
              <w:rPr>
                <w:rFonts w:hint="eastAsia"/>
                <w:color w:val="000000"/>
                <w:w w:val="15"/>
                <w:shd w:val="solid" w:color="000000" w:fill="000000"/>
                <w:fitText w:val="70" w:id="-894215928"/>
                <w14:textFill>
                  <w14:solidFill>
                    <w14:srgbClr w14:val="000000">
                      <w14:alpha w14:val="100000"/>
                    </w14:srgbClr>
                  </w14:solidFill>
                </w14:textFill>
              </w:rPr>
              <w:t xml:space="preserve">　</w:t>
            </w:r>
            <w:r w:rsidRPr="00DE1058">
              <w:rPr>
                <w:color w:val="000000"/>
                <w:w w:val="15"/>
                <w:shd w:val="solid" w:color="000000" w:fill="000000"/>
                <w:fitText w:val="70" w:id="-894215928"/>
                <w14:textFill>
                  <w14:solidFill>
                    <w14:srgbClr w14:val="000000">
                      <w14:alpha w14:val="100000"/>
                    </w14:srgbClr>
                  </w14:solidFill>
                </w14:textFill>
              </w:rPr>
              <w:t>|</w:t>
            </w:r>
            <w:r w:rsidRPr="00DE1058">
              <w:rPr>
                <w:rFonts w:hint="eastAsia"/>
                <w:color w:val="000000"/>
                <w:spacing w:val="4"/>
                <w:w w:val="15"/>
                <w:shd w:val="solid" w:color="000000" w:fill="000000"/>
                <w:fitText w:val="70" w:id="-894215928"/>
                <w14:textFill>
                  <w14:solidFill>
                    <w14:srgbClr w14:val="000000">
                      <w14:alpha w14:val="100000"/>
                    </w14:srgbClr>
                  </w14:solidFill>
                </w14:textFill>
              </w:rPr>
              <w:t xml:space="preserve">　</w:t>
            </w:r>
            <w:r w:rsidR="00A2210E" w:rsidRPr="007E7DCE">
              <w:rPr>
                <w:vertAlign w:val="superscript"/>
              </w:rPr>
              <w:t>5</w:t>
            </w:r>
          </w:p>
        </w:tc>
        <w:tc>
          <w:tcPr>
            <w:tcW w:w="598" w:type="pct"/>
            <w:vAlign w:val="center"/>
          </w:tcPr>
          <w:p w14:paraId="76D6009D" w14:textId="13262B36" w:rsidR="00833323" w:rsidRPr="00A473B4" w:rsidRDefault="00C10DFF" w:rsidP="000F3C50">
            <w:pPr>
              <w:pStyle w:val="COMTabletext"/>
              <w:jc w:val="center"/>
            </w:pPr>
            <w:r w:rsidRPr="00DE1058">
              <w:rPr>
                <w:rFonts w:hint="eastAsia"/>
                <w:color w:val="000000"/>
                <w:w w:val="15"/>
                <w:shd w:val="solid" w:color="000000" w:fill="000000"/>
                <w:fitText w:val="70" w:id="-894215927"/>
                <w14:textFill>
                  <w14:solidFill>
                    <w14:srgbClr w14:val="000000">
                      <w14:alpha w14:val="100000"/>
                    </w14:srgbClr>
                  </w14:solidFill>
                </w14:textFill>
              </w:rPr>
              <w:t xml:space="preserve">　</w:t>
            </w:r>
            <w:r w:rsidRPr="00DE1058">
              <w:rPr>
                <w:color w:val="000000"/>
                <w:w w:val="15"/>
                <w:shd w:val="solid" w:color="000000" w:fill="000000"/>
                <w:fitText w:val="70" w:id="-894215927"/>
                <w14:textFill>
                  <w14:solidFill>
                    <w14:srgbClr w14:val="000000">
                      <w14:alpha w14:val="100000"/>
                    </w14:srgbClr>
                  </w14:solidFill>
                </w14:textFill>
              </w:rPr>
              <w:t>|</w:t>
            </w:r>
            <w:r w:rsidRPr="00DE1058">
              <w:rPr>
                <w:rFonts w:hint="eastAsia"/>
                <w:color w:val="000000"/>
                <w:spacing w:val="4"/>
                <w:w w:val="15"/>
                <w:shd w:val="solid" w:color="000000" w:fill="000000"/>
                <w:fitText w:val="70" w:id="-894215927"/>
                <w14:textFill>
                  <w14:solidFill>
                    <w14:srgbClr w14:val="000000">
                      <w14:alpha w14:val="100000"/>
                    </w14:srgbClr>
                  </w14:solidFill>
                </w14:textFill>
              </w:rPr>
              <w:t xml:space="preserve">　</w:t>
            </w:r>
            <w:r w:rsidR="00A2210E" w:rsidRPr="007E7DCE">
              <w:rPr>
                <w:vertAlign w:val="superscript"/>
              </w:rPr>
              <w:t>5</w:t>
            </w:r>
          </w:p>
        </w:tc>
      </w:tr>
      <w:tr w:rsidR="00833323" w:rsidRPr="00A473B4" w14:paraId="4C98E2BF" w14:textId="77777777" w:rsidTr="000F3C50">
        <w:tc>
          <w:tcPr>
            <w:tcW w:w="5000" w:type="pct"/>
            <w:gridSpan w:val="7"/>
            <w:shd w:val="clear" w:color="auto" w:fill="auto"/>
            <w:vAlign w:val="center"/>
          </w:tcPr>
          <w:p w14:paraId="303717CD" w14:textId="77777777" w:rsidR="00833323" w:rsidRPr="00AD1705" w:rsidRDefault="00833323" w:rsidP="000F3C50">
            <w:pPr>
              <w:pStyle w:val="COMTabletext"/>
              <w:rPr>
                <w:b/>
                <w:bCs w:val="0"/>
              </w:rPr>
            </w:pPr>
            <w:r>
              <w:rPr>
                <w:b/>
                <w:bCs w:val="0"/>
                <w:sz w:val="19"/>
                <w:szCs w:val="19"/>
              </w:rPr>
              <w:t>Net financial implications</w:t>
            </w:r>
          </w:p>
        </w:tc>
      </w:tr>
      <w:tr w:rsidR="00833323" w:rsidRPr="00A473B4" w14:paraId="6818F23E" w14:textId="77777777" w:rsidTr="000F3C50">
        <w:tc>
          <w:tcPr>
            <w:tcW w:w="1412" w:type="pct"/>
            <w:shd w:val="clear" w:color="auto" w:fill="auto"/>
            <w:vAlign w:val="center"/>
          </w:tcPr>
          <w:p w14:paraId="203F99F9" w14:textId="0D47D7AF" w:rsidR="00833323" w:rsidRPr="00A473B4" w:rsidRDefault="00833323" w:rsidP="000F3C50">
            <w:pPr>
              <w:pStyle w:val="COMTabletext"/>
              <w:rPr>
                <w:sz w:val="19"/>
                <w:szCs w:val="19"/>
              </w:rPr>
            </w:pPr>
            <w:r w:rsidRPr="00A473B4">
              <w:rPr>
                <w:sz w:val="19"/>
                <w:szCs w:val="19"/>
              </w:rPr>
              <w:t xml:space="preserve">Net cost to </w:t>
            </w:r>
            <w:r>
              <w:rPr>
                <w:sz w:val="19"/>
                <w:szCs w:val="19"/>
              </w:rPr>
              <w:t>the PBS/RPBS/MBS</w:t>
            </w:r>
            <w:r w:rsidR="00F67EF5">
              <w:rPr>
                <w:sz w:val="19"/>
                <w:szCs w:val="19"/>
              </w:rPr>
              <w:t xml:space="preserve"> </w:t>
            </w:r>
          </w:p>
        </w:tc>
        <w:tc>
          <w:tcPr>
            <w:tcW w:w="598" w:type="pct"/>
            <w:shd w:val="clear" w:color="auto" w:fill="auto"/>
          </w:tcPr>
          <w:p w14:paraId="43029E1A" w14:textId="3BF80B38"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26"/>
                <w14:textFill>
                  <w14:solidFill>
                    <w14:srgbClr w14:val="000000">
                      <w14:alpha w14:val="100000"/>
                    </w14:srgbClr>
                  </w14:solidFill>
                </w14:textFill>
              </w:rPr>
              <w:t xml:space="preserve">　</w:t>
            </w:r>
            <w:r w:rsidRPr="00DE1058">
              <w:rPr>
                <w:color w:val="000000"/>
                <w:w w:val="15"/>
                <w:shd w:val="solid" w:color="000000" w:fill="000000"/>
                <w:fitText w:val="70" w:id="-894215926"/>
                <w14:textFill>
                  <w14:solidFill>
                    <w14:srgbClr w14:val="000000">
                      <w14:alpha w14:val="100000"/>
                    </w14:srgbClr>
                  </w14:solidFill>
                </w14:textFill>
              </w:rPr>
              <w:t>|</w:t>
            </w:r>
            <w:r w:rsidRPr="00DE1058">
              <w:rPr>
                <w:rFonts w:hint="eastAsia"/>
                <w:color w:val="000000"/>
                <w:spacing w:val="4"/>
                <w:w w:val="15"/>
                <w:shd w:val="solid" w:color="000000" w:fill="000000"/>
                <w:fitText w:val="70" w:id="-894215926"/>
                <w14:textFill>
                  <w14:solidFill>
                    <w14:srgbClr w14:val="000000">
                      <w14:alpha w14:val="100000"/>
                    </w14:srgbClr>
                  </w14:solidFill>
                </w14:textFill>
              </w:rPr>
              <w:t xml:space="preserve">　</w:t>
            </w:r>
            <w:r w:rsidR="00A2210E" w:rsidRPr="00CD1203">
              <w:rPr>
                <w:vertAlign w:val="superscript"/>
              </w:rPr>
              <w:t>6</w:t>
            </w:r>
          </w:p>
        </w:tc>
        <w:tc>
          <w:tcPr>
            <w:tcW w:w="598" w:type="pct"/>
            <w:shd w:val="clear" w:color="auto" w:fill="auto"/>
          </w:tcPr>
          <w:p w14:paraId="56783192" w14:textId="6CD4934C"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25"/>
                <w14:textFill>
                  <w14:solidFill>
                    <w14:srgbClr w14:val="000000">
                      <w14:alpha w14:val="100000"/>
                    </w14:srgbClr>
                  </w14:solidFill>
                </w14:textFill>
              </w:rPr>
              <w:t xml:space="preserve">　</w:t>
            </w:r>
            <w:r w:rsidRPr="00DE1058">
              <w:rPr>
                <w:color w:val="000000"/>
                <w:w w:val="15"/>
                <w:shd w:val="solid" w:color="000000" w:fill="000000"/>
                <w:fitText w:val="70" w:id="-894215925"/>
                <w14:textFill>
                  <w14:solidFill>
                    <w14:srgbClr w14:val="000000">
                      <w14:alpha w14:val="100000"/>
                    </w14:srgbClr>
                  </w14:solidFill>
                </w14:textFill>
              </w:rPr>
              <w:t>|</w:t>
            </w:r>
            <w:r w:rsidRPr="00DE1058">
              <w:rPr>
                <w:rFonts w:hint="eastAsia"/>
                <w:color w:val="000000"/>
                <w:spacing w:val="4"/>
                <w:w w:val="15"/>
                <w:shd w:val="solid" w:color="000000" w:fill="000000"/>
                <w:fitText w:val="70" w:id="-894215925"/>
                <w14:textFill>
                  <w14:solidFill>
                    <w14:srgbClr w14:val="000000">
                      <w14:alpha w14:val="100000"/>
                    </w14:srgbClr>
                  </w14:solidFill>
                </w14:textFill>
              </w:rPr>
              <w:t xml:space="preserve">　</w:t>
            </w:r>
            <w:r w:rsidR="00A2210E" w:rsidRPr="007E7DCE">
              <w:rPr>
                <w:vertAlign w:val="superscript"/>
              </w:rPr>
              <w:t>6</w:t>
            </w:r>
          </w:p>
        </w:tc>
        <w:tc>
          <w:tcPr>
            <w:tcW w:w="598" w:type="pct"/>
            <w:shd w:val="clear" w:color="auto" w:fill="auto"/>
          </w:tcPr>
          <w:p w14:paraId="5C129DFB" w14:textId="1AC3DE4F"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24"/>
                <w14:textFill>
                  <w14:solidFill>
                    <w14:srgbClr w14:val="000000">
                      <w14:alpha w14:val="100000"/>
                    </w14:srgbClr>
                  </w14:solidFill>
                </w14:textFill>
              </w:rPr>
              <w:t xml:space="preserve">　</w:t>
            </w:r>
            <w:r w:rsidRPr="00DE1058">
              <w:rPr>
                <w:color w:val="000000"/>
                <w:w w:val="15"/>
                <w:shd w:val="solid" w:color="000000" w:fill="000000"/>
                <w:fitText w:val="70" w:id="-894215924"/>
                <w14:textFill>
                  <w14:solidFill>
                    <w14:srgbClr w14:val="000000">
                      <w14:alpha w14:val="100000"/>
                    </w14:srgbClr>
                  </w14:solidFill>
                </w14:textFill>
              </w:rPr>
              <w:t>|</w:t>
            </w:r>
            <w:r w:rsidRPr="00DE1058">
              <w:rPr>
                <w:rFonts w:hint="eastAsia"/>
                <w:color w:val="000000"/>
                <w:spacing w:val="4"/>
                <w:w w:val="15"/>
                <w:shd w:val="solid" w:color="000000" w:fill="000000"/>
                <w:fitText w:val="70" w:id="-894215924"/>
                <w14:textFill>
                  <w14:solidFill>
                    <w14:srgbClr w14:val="000000">
                      <w14:alpha w14:val="100000"/>
                    </w14:srgbClr>
                  </w14:solidFill>
                </w14:textFill>
              </w:rPr>
              <w:t xml:space="preserve">　</w:t>
            </w:r>
            <w:r w:rsidR="00A2210E" w:rsidRPr="007E7DCE">
              <w:rPr>
                <w:vertAlign w:val="superscript"/>
              </w:rPr>
              <w:t>6</w:t>
            </w:r>
          </w:p>
        </w:tc>
        <w:tc>
          <w:tcPr>
            <w:tcW w:w="598" w:type="pct"/>
            <w:shd w:val="clear" w:color="auto" w:fill="auto"/>
          </w:tcPr>
          <w:p w14:paraId="51438E42" w14:textId="2C112426"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23"/>
                <w14:textFill>
                  <w14:solidFill>
                    <w14:srgbClr w14:val="000000">
                      <w14:alpha w14:val="100000"/>
                    </w14:srgbClr>
                  </w14:solidFill>
                </w14:textFill>
              </w:rPr>
              <w:t xml:space="preserve">　</w:t>
            </w:r>
            <w:r w:rsidRPr="00DE1058">
              <w:rPr>
                <w:color w:val="000000"/>
                <w:w w:val="15"/>
                <w:shd w:val="solid" w:color="000000" w:fill="000000"/>
                <w:fitText w:val="70" w:id="-894215923"/>
                <w14:textFill>
                  <w14:solidFill>
                    <w14:srgbClr w14:val="000000">
                      <w14:alpha w14:val="100000"/>
                    </w14:srgbClr>
                  </w14:solidFill>
                </w14:textFill>
              </w:rPr>
              <w:t>|</w:t>
            </w:r>
            <w:r w:rsidRPr="00DE1058">
              <w:rPr>
                <w:rFonts w:hint="eastAsia"/>
                <w:color w:val="000000"/>
                <w:spacing w:val="4"/>
                <w:w w:val="15"/>
                <w:shd w:val="solid" w:color="000000" w:fill="000000"/>
                <w:fitText w:val="70" w:id="-894215923"/>
                <w14:textFill>
                  <w14:solidFill>
                    <w14:srgbClr w14:val="000000">
                      <w14:alpha w14:val="100000"/>
                    </w14:srgbClr>
                  </w14:solidFill>
                </w14:textFill>
              </w:rPr>
              <w:t xml:space="preserve">　</w:t>
            </w:r>
            <w:r w:rsidR="00A2210E" w:rsidRPr="007E7DCE">
              <w:rPr>
                <w:vertAlign w:val="superscript"/>
              </w:rPr>
              <w:t>6</w:t>
            </w:r>
          </w:p>
        </w:tc>
        <w:tc>
          <w:tcPr>
            <w:tcW w:w="598" w:type="pct"/>
            <w:shd w:val="clear" w:color="auto" w:fill="auto"/>
          </w:tcPr>
          <w:p w14:paraId="27B55F48" w14:textId="3E9D87B5"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22"/>
                <w14:textFill>
                  <w14:solidFill>
                    <w14:srgbClr w14:val="000000">
                      <w14:alpha w14:val="100000"/>
                    </w14:srgbClr>
                  </w14:solidFill>
                </w14:textFill>
              </w:rPr>
              <w:t xml:space="preserve">　</w:t>
            </w:r>
            <w:r w:rsidRPr="00DE1058">
              <w:rPr>
                <w:color w:val="000000"/>
                <w:w w:val="15"/>
                <w:shd w:val="solid" w:color="000000" w:fill="000000"/>
                <w:fitText w:val="70" w:id="-894215922"/>
                <w14:textFill>
                  <w14:solidFill>
                    <w14:srgbClr w14:val="000000">
                      <w14:alpha w14:val="100000"/>
                    </w14:srgbClr>
                  </w14:solidFill>
                </w14:textFill>
              </w:rPr>
              <w:t>|</w:t>
            </w:r>
            <w:r w:rsidRPr="00DE1058">
              <w:rPr>
                <w:rFonts w:hint="eastAsia"/>
                <w:color w:val="000000"/>
                <w:spacing w:val="4"/>
                <w:w w:val="15"/>
                <w:shd w:val="solid" w:color="000000" w:fill="000000"/>
                <w:fitText w:val="70" w:id="-894215922"/>
                <w14:textFill>
                  <w14:solidFill>
                    <w14:srgbClr w14:val="000000">
                      <w14:alpha w14:val="100000"/>
                    </w14:srgbClr>
                  </w14:solidFill>
                </w14:textFill>
              </w:rPr>
              <w:t xml:space="preserve">　</w:t>
            </w:r>
            <w:r w:rsidR="00A2210E" w:rsidRPr="007E7DCE">
              <w:rPr>
                <w:vertAlign w:val="superscript"/>
              </w:rPr>
              <w:t>6</w:t>
            </w:r>
          </w:p>
        </w:tc>
        <w:tc>
          <w:tcPr>
            <w:tcW w:w="598" w:type="pct"/>
          </w:tcPr>
          <w:p w14:paraId="741516CF" w14:textId="50D482CD" w:rsidR="00833323" w:rsidRPr="00CD1203" w:rsidRDefault="00C10DFF" w:rsidP="000F3C50">
            <w:pPr>
              <w:pStyle w:val="COMTabletext"/>
              <w:jc w:val="center"/>
              <w:rPr>
                <w:highlight w:val="lightGray"/>
              </w:rPr>
            </w:pPr>
            <w:r w:rsidRPr="00DE1058">
              <w:rPr>
                <w:rFonts w:hint="eastAsia"/>
                <w:color w:val="000000"/>
                <w:w w:val="15"/>
                <w:shd w:val="solid" w:color="000000" w:fill="000000"/>
                <w:fitText w:val="70" w:id="-894215921"/>
                <w14:textFill>
                  <w14:solidFill>
                    <w14:srgbClr w14:val="000000">
                      <w14:alpha w14:val="100000"/>
                    </w14:srgbClr>
                  </w14:solidFill>
                </w14:textFill>
              </w:rPr>
              <w:t xml:space="preserve">　</w:t>
            </w:r>
            <w:r w:rsidRPr="00DE1058">
              <w:rPr>
                <w:color w:val="000000"/>
                <w:w w:val="15"/>
                <w:shd w:val="solid" w:color="000000" w:fill="000000"/>
                <w:fitText w:val="70" w:id="-894215921"/>
                <w14:textFill>
                  <w14:solidFill>
                    <w14:srgbClr w14:val="000000">
                      <w14:alpha w14:val="100000"/>
                    </w14:srgbClr>
                  </w14:solidFill>
                </w14:textFill>
              </w:rPr>
              <w:t>|</w:t>
            </w:r>
            <w:r w:rsidRPr="00DE1058">
              <w:rPr>
                <w:rFonts w:hint="eastAsia"/>
                <w:color w:val="000000"/>
                <w:spacing w:val="4"/>
                <w:w w:val="15"/>
                <w:shd w:val="solid" w:color="000000" w:fill="000000"/>
                <w:fitText w:val="70" w:id="-894215921"/>
                <w14:textFill>
                  <w14:solidFill>
                    <w14:srgbClr w14:val="000000">
                      <w14:alpha w14:val="100000"/>
                    </w14:srgbClr>
                  </w14:solidFill>
                </w14:textFill>
              </w:rPr>
              <w:t xml:space="preserve">　</w:t>
            </w:r>
            <w:r w:rsidR="00A2210E" w:rsidRPr="007E7DCE">
              <w:rPr>
                <w:vertAlign w:val="superscript"/>
              </w:rPr>
              <w:t>6</w:t>
            </w:r>
          </w:p>
        </w:tc>
      </w:tr>
    </w:tbl>
    <w:p w14:paraId="201215DC" w14:textId="3EA0C177" w:rsidR="00833323" w:rsidRDefault="00833323" w:rsidP="00833323">
      <w:pPr>
        <w:pStyle w:val="COMTablefooter"/>
      </w:pPr>
      <w:r w:rsidRPr="00A473B4">
        <w:t xml:space="preserve">Source: </w:t>
      </w:r>
      <w:r>
        <w:t>Table 4-20,; Table 4-24 of the submission.</w:t>
      </w:r>
    </w:p>
    <w:p w14:paraId="70DD4A86" w14:textId="77777777" w:rsidR="00833323" w:rsidRDefault="00833323" w:rsidP="00833323">
      <w:pPr>
        <w:pStyle w:val="COMTablefooter"/>
      </w:pPr>
      <w:r>
        <w:t>Abbreviations: MBS, Medicare Benefits Schedule.</w:t>
      </w:r>
    </w:p>
    <w:p w14:paraId="6B81F3CD" w14:textId="77777777" w:rsidR="007B3BFE" w:rsidRDefault="00833323" w:rsidP="00833323">
      <w:pPr>
        <w:pStyle w:val="COMTablefooter"/>
      </w:pPr>
      <w:r>
        <w:rPr>
          <w:vertAlign w:val="superscript"/>
        </w:rPr>
        <w:t>a</w:t>
      </w:r>
      <w:r>
        <w:t xml:space="preserve"> Derived based on 13 scripts per patient per year</w:t>
      </w:r>
    </w:p>
    <w:p w14:paraId="6B723382" w14:textId="48029D36" w:rsidR="007B3BFE" w:rsidRPr="00CD1203" w:rsidRDefault="007B3BFE" w:rsidP="007B3BFE">
      <w:pPr>
        <w:pStyle w:val="COMTablefooter"/>
        <w:rPr>
          <w:i/>
          <w:iCs/>
        </w:rPr>
      </w:pPr>
      <w:r w:rsidRPr="00CD1203">
        <w:rPr>
          <w:i/>
          <w:iCs/>
        </w:rPr>
        <w:t>The redacted values correspond to the following ranges:</w:t>
      </w:r>
    </w:p>
    <w:p w14:paraId="3827103C" w14:textId="4EF6411F" w:rsidR="007B3BFE" w:rsidRDefault="007B3BFE" w:rsidP="007B3BFE">
      <w:pPr>
        <w:pStyle w:val="COMTablefooter"/>
        <w:rPr>
          <w:i/>
          <w:iCs/>
        </w:rPr>
      </w:pPr>
      <w:r w:rsidRPr="008F235C">
        <w:rPr>
          <w:i/>
          <w:iCs/>
          <w:vertAlign w:val="superscript"/>
        </w:rPr>
        <w:t>1</w:t>
      </w:r>
      <w:r w:rsidRPr="00CD1203">
        <w:rPr>
          <w:i/>
          <w:iCs/>
        </w:rPr>
        <w:t xml:space="preserve"> &lt; 50</w:t>
      </w:r>
      <w:r w:rsidR="004701C9">
        <w:rPr>
          <w:i/>
          <w:iCs/>
        </w:rPr>
        <w:t>0</w:t>
      </w:r>
    </w:p>
    <w:p w14:paraId="7480D9F5" w14:textId="63F65F19" w:rsidR="00833323" w:rsidRDefault="007B3BFE" w:rsidP="007B3BFE">
      <w:pPr>
        <w:pStyle w:val="COMTablefooter"/>
        <w:rPr>
          <w:i/>
          <w:iCs/>
        </w:rPr>
      </w:pPr>
      <w:r w:rsidRPr="008F235C">
        <w:rPr>
          <w:i/>
          <w:iCs/>
          <w:vertAlign w:val="superscript"/>
        </w:rPr>
        <w:t>2</w:t>
      </w:r>
      <w:r w:rsidRPr="007B3BFE">
        <w:rPr>
          <w:i/>
          <w:iCs/>
        </w:rPr>
        <w:t xml:space="preserve"> 500 to &lt; 5,000</w:t>
      </w:r>
      <w:r w:rsidRPr="00CD1203">
        <w:rPr>
          <w:i/>
          <w:iCs/>
        </w:rPr>
        <w:t>0</w:t>
      </w:r>
      <w:r>
        <w:rPr>
          <w:i/>
          <w:iCs/>
        </w:rPr>
        <w:t xml:space="preserve"> </w:t>
      </w:r>
    </w:p>
    <w:p w14:paraId="13BD2FC4" w14:textId="77777777" w:rsidR="00A96B39" w:rsidRPr="00A96B39" w:rsidRDefault="00A2210E" w:rsidP="00A96B39">
      <w:pPr>
        <w:pStyle w:val="COMTablefooter"/>
        <w:rPr>
          <w:i/>
          <w:iCs/>
        </w:rPr>
      </w:pPr>
      <w:r w:rsidRPr="008F235C">
        <w:rPr>
          <w:i/>
          <w:iCs/>
          <w:vertAlign w:val="superscript"/>
        </w:rPr>
        <w:t>3</w:t>
      </w:r>
      <w:r>
        <w:rPr>
          <w:i/>
          <w:iCs/>
        </w:rPr>
        <w:t xml:space="preserve"> </w:t>
      </w:r>
      <w:r w:rsidR="00A96B39" w:rsidRPr="00A96B39">
        <w:rPr>
          <w:i/>
          <w:iCs/>
        </w:rPr>
        <w:t>$10 million to &lt; $20 million</w:t>
      </w:r>
    </w:p>
    <w:p w14:paraId="7166FF3B" w14:textId="50CFC23F" w:rsidR="00A2210E" w:rsidRPr="00CD1203" w:rsidRDefault="00A2210E" w:rsidP="00CD1203">
      <w:pPr>
        <w:pStyle w:val="COMTablefooter"/>
        <w:rPr>
          <w:i/>
          <w:iCs/>
        </w:rPr>
      </w:pPr>
      <w:r w:rsidRPr="008F235C">
        <w:rPr>
          <w:i/>
          <w:iCs/>
          <w:vertAlign w:val="superscript"/>
        </w:rPr>
        <w:t>4</w:t>
      </w:r>
      <w:r w:rsidRPr="00CD1203">
        <w:rPr>
          <w:i/>
          <w:iCs/>
        </w:rPr>
        <w:t xml:space="preserve"> $20 million to &lt; $30 million</w:t>
      </w:r>
    </w:p>
    <w:p w14:paraId="21C627CA" w14:textId="3893162D" w:rsidR="00A2210E" w:rsidRPr="00CD1203" w:rsidRDefault="00A2210E" w:rsidP="00CD1203">
      <w:pPr>
        <w:pStyle w:val="COMTablefooter"/>
        <w:rPr>
          <w:i/>
          <w:iCs/>
        </w:rPr>
      </w:pPr>
      <w:r w:rsidRPr="008F235C">
        <w:rPr>
          <w:i/>
          <w:iCs/>
          <w:vertAlign w:val="superscript"/>
        </w:rPr>
        <w:t>5</w:t>
      </w:r>
      <w:r w:rsidRPr="00CD1203">
        <w:rPr>
          <w:i/>
          <w:iCs/>
        </w:rPr>
        <w:t xml:space="preserve"> net cost saving</w:t>
      </w:r>
    </w:p>
    <w:p w14:paraId="059BF7FA" w14:textId="5CF90739" w:rsidR="00A2210E" w:rsidRPr="00A2210E" w:rsidRDefault="00A2210E" w:rsidP="00A2210E">
      <w:pPr>
        <w:pStyle w:val="COMTablefooter"/>
        <w:rPr>
          <w:i/>
          <w:iCs/>
        </w:rPr>
      </w:pPr>
      <w:r w:rsidRPr="008F235C">
        <w:rPr>
          <w:i/>
          <w:iCs/>
          <w:vertAlign w:val="superscript"/>
        </w:rPr>
        <w:t>6</w:t>
      </w:r>
      <w:r w:rsidRPr="00CD1203">
        <w:rPr>
          <w:i/>
          <w:iCs/>
        </w:rPr>
        <w:t xml:space="preserve"> $0 to &lt; $10 million</w:t>
      </w:r>
    </w:p>
    <w:p w14:paraId="0E367FC6" w14:textId="469E548B" w:rsidR="00833323" w:rsidRPr="0097430E" w:rsidRDefault="00833323" w:rsidP="0097430E">
      <w:pPr>
        <w:pStyle w:val="COMexecsumnumberedpara"/>
      </w:pPr>
      <w:r w:rsidRPr="0097430E">
        <w:t>The estimated net cost to the PBS/RPBS was $</w:t>
      </w:r>
      <w:r w:rsidR="00A2210E" w:rsidRPr="0097430E">
        <w:t>0 to &lt; $10 million</w:t>
      </w:r>
      <w:r w:rsidR="002B3961" w:rsidRPr="0097430E">
        <w:t xml:space="preserve"> </w:t>
      </w:r>
      <w:r w:rsidRPr="0097430E">
        <w:t xml:space="preserve">in Year 1, increasing to </w:t>
      </w:r>
      <w:r w:rsidR="00A2210E" w:rsidRPr="0097430E">
        <w:t>$0 to &lt; $10 million</w:t>
      </w:r>
      <w:r w:rsidR="002B3961" w:rsidRPr="0097430E">
        <w:t xml:space="preserve"> </w:t>
      </w:r>
      <w:r w:rsidRPr="0097430E">
        <w:t>in Year 6, a total cost of $</w:t>
      </w:r>
      <w:r w:rsidR="00A2210E" w:rsidRPr="0097430E">
        <w:t>0 to &lt; $10 million</w:t>
      </w:r>
      <w:r w:rsidR="002B3961" w:rsidRPr="0097430E">
        <w:t xml:space="preserve"> </w:t>
      </w:r>
      <w:r w:rsidRPr="0097430E">
        <w:t>over the first 6 years of listing. The net cost was due to the higher drug cost for iptacopan compared to pegcetacoplan, resulting from the inclusion of cost offsets for 4 weeks of ravulizumab treatment in the cost-minimisation (despite ravulizumab treatment only being required in the first year of treatment with pegcetacoplan).</w:t>
      </w:r>
    </w:p>
    <w:p w14:paraId="609B9209" w14:textId="078A9836" w:rsidR="00F92017" w:rsidRPr="00457ABF" w:rsidRDefault="00F92017" w:rsidP="00F92017">
      <w:pPr>
        <w:pStyle w:val="COMexecsumnumberedpara"/>
      </w:pPr>
      <w:r w:rsidRPr="0008321F">
        <w:t>DUSC consider</w:t>
      </w:r>
      <w:r>
        <w:t>ed</w:t>
      </w:r>
      <w:r w:rsidRPr="0008321F">
        <w:t xml:space="preserve"> the estimates presented in the submission to be </w:t>
      </w:r>
      <w:r>
        <w:t>high but uncertain.</w:t>
      </w:r>
      <w:r w:rsidRPr="0008321F">
        <w:t xml:space="preserve"> The main issues </w:t>
      </w:r>
      <w:r>
        <w:t>we</w:t>
      </w:r>
      <w:r w:rsidRPr="0008321F">
        <w:t>re:</w:t>
      </w:r>
    </w:p>
    <w:p w14:paraId="4B3E4892" w14:textId="0BB83435" w:rsidR="00F92017" w:rsidRPr="00F92017" w:rsidRDefault="00F92017" w:rsidP="00F92017">
      <w:pPr>
        <w:pStyle w:val="COMexecsummbulletlist"/>
        <w:ind w:left="1134"/>
      </w:pPr>
      <w:r w:rsidRPr="00F92017">
        <w:t xml:space="preserve">DUSC noted that the epidemiology of </w:t>
      </w:r>
      <w:r w:rsidR="00D54150">
        <w:t xml:space="preserve">PNH </w:t>
      </w:r>
      <w:r w:rsidRPr="00F92017">
        <w:t xml:space="preserve">is not well characterised resulting in the estimates being uncertain. </w:t>
      </w:r>
    </w:p>
    <w:p w14:paraId="2F72F90F" w14:textId="2527CBE0" w:rsidR="00F92017" w:rsidRPr="00F92017" w:rsidRDefault="00F92017" w:rsidP="00F92017">
      <w:pPr>
        <w:pStyle w:val="COMexecsummbulletlist"/>
        <w:ind w:left="1134"/>
      </w:pPr>
      <w:r w:rsidRPr="00F92017">
        <w:t xml:space="preserve">DUSC considered that the estimates of C5 </w:t>
      </w:r>
      <w:r>
        <w:t xml:space="preserve">inhibitor </w:t>
      </w:r>
      <w:r w:rsidRPr="00F92017">
        <w:t xml:space="preserve">failure based </w:t>
      </w:r>
      <w:r w:rsidR="000A30AC">
        <w:t>on</w:t>
      </w:r>
      <w:r w:rsidRPr="00F92017">
        <w:t xml:space="preserve"> major responders </w:t>
      </w:r>
      <w:r w:rsidR="000A30AC">
        <w:t>were an overestimate</w:t>
      </w:r>
      <w:r w:rsidRPr="00F92017">
        <w:t>.</w:t>
      </w:r>
      <w:r w:rsidR="000A30AC">
        <w:t xml:space="preserve"> </w:t>
      </w:r>
      <w:r w:rsidR="000A30AC" w:rsidRPr="00111373">
        <w:rPr>
          <w:color w:val="000000" w:themeColor="text1"/>
        </w:rPr>
        <w:t>DUSC considered that the intolerant population should consist of the partial and minor responders</w:t>
      </w:r>
      <w:r w:rsidR="0073322A">
        <w:rPr>
          <w:color w:val="000000" w:themeColor="text1"/>
        </w:rPr>
        <w:t>.</w:t>
      </w:r>
    </w:p>
    <w:p w14:paraId="68C97D21" w14:textId="77777777" w:rsidR="00F92017" w:rsidRPr="00F92017" w:rsidRDefault="00F92017" w:rsidP="00F92017">
      <w:pPr>
        <w:pStyle w:val="COMexecsummbulletlist"/>
        <w:ind w:left="1134"/>
      </w:pPr>
      <w:r w:rsidRPr="00F92017">
        <w:t>DUSC considers that patient numbers are overestimated relative to current C5 inhibitor prescriptions.</w:t>
      </w:r>
    </w:p>
    <w:p w14:paraId="41C69A32" w14:textId="51342D43" w:rsidR="00F92017" w:rsidRPr="00833323" w:rsidRDefault="00F92017" w:rsidP="0097430E">
      <w:pPr>
        <w:pStyle w:val="COMexecsummbulletlist"/>
        <w:ind w:left="1134"/>
      </w:pPr>
      <w:r w:rsidRPr="00F92017">
        <w:t>DUSC considers that the uptake rate is overestimated initially relative to pegcetacoplan uptake in year one.</w:t>
      </w:r>
    </w:p>
    <w:p w14:paraId="2238DEE9" w14:textId="3E6A228B" w:rsidR="00576972" w:rsidRPr="00A473B4" w:rsidRDefault="00576972" w:rsidP="00606FBA">
      <w:pPr>
        <w:pStyle w:val="COMH2-non-numbered"/>
      </w:pPr>
      <w:r w:rsidRPr="00A473B4">
        <w:lastRenderedPageBreak/>
        <w:t>Quality Use of Medicines</w:t>
      </w:r>
      <w:bookmarkEnd w:id="60"/>
      <w:bookmarkEnd w:id="61"/>
    </w:p>
    <w:p w14:paraId="38BD0AEF" w14:textId="30425176" w:rsidR="00576972" w:rsidRPr="006A523F" w:rsidRDefault="008E7BB4" w:rsidP="008E7BB4">
      <w:pPr>
        <w:pStyle w:val="COMexecsumnumberedpara"/>
      </w:pPr>
      <w:r w:rsidRPr="005F42A1">
        <w:t>No quality use of medicines issues were raised in the submission, and no activities to support the quality use of medicines were proposed.</w:t>
      </w:r>
      <w:r>
        <w:t xml:space="preserve"> </w:t>
      </w:r>
      <w:r w:rsidR="00745362" w:rsidRPr="006A523F">
        <w:t>Due to its relatively short half-life of 25 hours, patients treated with iptacopan may have a higher risk of breakthrough haemolysis compared to other available treatments if treatment is interrupted (i.e., due to treatment non-adherence).</w:t>
      </w:r>
      <w:r w:rsidR="000A30AC">
        <w:t xml:space="preserve"> The pre-PBAC </w:t>
      </w:r>
      <w:r w:rsidR="002B3961">
        <w:t>response stated</w:t>
      </w:r>
      <w:r w:rsidR="000A30AC">
        <w:t xml:space="preserve"> that the sponsor </w:t>
      </w:r>
      <w:r w:rsidR="00231D5F">
        <w:t xml:space="preserve">plans to have educational material for doctors and nurses and a comprehensive patient support program to support </w:t>
      </w:r>
      <w:r w:rsidR="00CA15D1">
        <w:t xml:space="preserve">the </w:t>
      </w:r>
      <w:r w:rsidR="00231D5F">
        <w:t xml:space="preserve">quality use of iptacopan. </w:t>
      </w:r>
    </w:p>
    <w:p w14:paraId="6015A395" w14:textId="2EDB6A4E" w:rsidR="00576972" w:rsidRPr="00A473B4" w:rsidRDefault="00576972" w:rsidP="00606FBA">
      <w:pPr>
        <w:pStyle w:val="COMH2-non-numbered"/>
      </w:pPr>
      <w:bookmarkStart w:id="65" w:name="_Toc22897649"/>
      <w:bookmarkStart w:id="66" w:name="_Toc167262994"/>
      <w:r w:rsidRPr="00A473B4">
        <w:t>Financial Management – Risk Sharing Arrangements</w:t>
      </w:r>
      <w:bookmarkEnd w:id="65"/>
      <w:bookmarkEnd w:id="66"/>
    </w:p>
    <w:p w14:paraId="25BA2464" w14:textId="318B89CC" w:rsidR="00894CD6" w:rsidRDefault="008E7BB4" w:rsidP="004C2AC2">
      <w:pPr>
        <w:pStyle w:val="COMexecsumnumberedpara"/>
      </w:pPr>
      <w:r w:rsidRPr="008E7BB4">
        <w:t>The submission noted that a cap-based risk</w:t>
      </w:r>
      <w:r w:rsidR="006F5DD0">
        <w:t xml:space="preserve"> </w:t>
      </w:r>
      <w:r w:rsidRPr="008E7BB4">
        <w:t>sharing arrangement exists for pegcetacoplan and that the sponsor expects that iptacopan will be required to enter the same risk</w:t>
      </w:r>
      <w:r w:rsidR="006F5DD0">
        <w:t xml:space="preserve"> </w:t>
      </w:r>
      <w:r w:rsidRPr="008E7BB4">
        <w:t>sharing arrangement.</w:t>
      </w:r>
    </w:p>
    <w:p w14:paraId="53B563A3" w14:textId="46B592CB" w:rsidR="00B14AE8" w:rsidRPr="00231D5F" w:rsidRDefault="00B14AE8" w:rsidP="00231D5F">
      <w:pPr>
        <w:pStyle w:val="COMexecsumnumberedpara"/>
        <w:numPr>
          <w:ilvl w:val="0"/>
          <w:numId w:val="0"/>
        </w:numPr>
        <w:ind w:left="720"/>
        <w:rPr>
          <w:i/>
          <w:iCs/>
        </w:rPr>
      </w:pPr>
      <w:r w:rsidRPr="00B14AE8">
        <w:rPr>
          <w:i/>
          <w:iCs/>
        </w:rPr>
        <w:t>For more detail on PBAC’s view, see section 7 PBAC outcome.</w:t>
      </w:r>
    </w:p>
    <w:p w14:paraId="76457317" w14:textId="77777777" w:rsidR="00833323" w:rsidRPr="00231D5F" w:rsidRDefault="00833323" w:rsidP="00231D5F">
      <w:pPr>
        <w:pStyle w:val="COMH1numbered"/>
        <w:numPr>
          <w:ilvl w:val="0"/>
          <w:numId w:val="1"/>
        </w:numPr>
      </w:pPr>
      <w:bookmarkStart w:id="67" w:name="_Hlk76381249"/>
      <w:bookmarkStart w:id="68" w:name="_Hlk76377955"/>
      <w:r w:rsidRPr="00D13EC8">
        <w:t>PBAC Outcome</w:t>
      </w:r>
    </w:p>
    <w:p w14:paraId="3701EB12" w14:textId="269DCC81" w:rsidR="00A85C94" w:rsidRDefault="00231D5F" w:rsidP="00A85C94">
      <w:pPr>
        <w:pStyle w:val="COMexecsumnumberedpara"/>
      </w:pPr>
      <w:r>
        <w:t>The PBAC recommended the listing of iptacopan for the treatment of adults with paroxysmal nocturnal haemoglobinuria (PNH) who have inadequate clinical response to Complement 5 (C5) inhibitor treatment. The recommendation for listing was based on, among other matters, its assessment that the cost-effectiveness of iptacopan would be acceptable if it were cost-minimised against pegcetacoplan</w:t>
      </w:r>
      <w:r w:rsidR="00A85C94">
        <w:t xml:space="preserve">, and included in the current Risk Sharing Arrangement for PNH. </w:t>
      </w:r>
    </w:p>
    <w:p w14:paraId="244C1330" w14:textId="4C08DD45" w:rsidR="00994128" w:rsidRDefault="00994128" w:rsidP="00A85C94">
      <w:pPr>
        <w:pStyle w:val="COMexecsumnumberedpara"/>
      </w:pPr>
      <w:r>
        <w:t xml:space="preserve">The PBAC noted the </w:t>
      </w:r>
      <w:r w:rsidR="00445BC3">
        <w:t xml:space="preserve">consumer </w:t>
      </w:r>
      <w:r>
        <w:t xml:space="preserve">comments from health care professionals </w:t>
      </w:r>
      <w:proofErr w:type="gramStart"/>
      <w:r>
        <w:t xml:space="preserve">and </w:t>
      </w:r>
      <w:r w:rsidR="00445BC3">
        <w:t>also</w:t>
      </w:r>
      <w:proofErr w:type="gramEnd"/>
      <w:r w:rsidR="00445BC3">
        <w:t xml:space="preserve"> </w:t>
      </w:r>
      <w:r>
        <w:t xml:space="preserve">during the sponsor hearing that described the benefits of iptacopan therapy targeting </w:t>
      </w:r>
      <w:r w:rsidR="000950F9">
        <w:t>the</w:t>
      </w:r>
      <w:r w:rsidR="00CA15D1">
        <w:t xml:space="preserve"> </w:t>
      </w:r>
      <w:r w:rsidR="00CA15D1" w:rsidRPr="00A82456">
        <w:t>alternative complement pathway</w:t>
      </w:r>
      <w:r w:rsidR="00CA15D1">
        <w:t xml:space="preserve"> (see paragraph </w:t>
      </w:r>
      <w:r w:rsidR="00CA15D1">
        <w:fldChar w:fldCharType="begin"/>
      </w:r>
      <w:r w:rsidR="00CA15D1">
        <w:instrText xml:space="preserve"> REF _Ref172212488 \r \h </w:instrText>
      </w:r>
      <w:r w:rsidR="00CA15D1">
        <w:fldChar w:fldCharType="separate"/>
      </w:r>
      <w:r w:rsidR="002E7F91">
        <w:t>4.5</w:t>
      </w:r>
      <w:r w:rsidR="00CA15D1">
        <w:fldChar w:fldCharType="end"/>
      </w:r>
      <w:r w:rsidR="00CA15D1">
        <w:t xml:space="preserve">) along with it being an oral therapy. The PBAC also acknowledged concerns raised by health care professionals regarding the potential for breakthrough haemolysis due to non-adherence with oral therapy and noted the sponsors plans for a comprehensive patient support program. </w:t>
      </w:r>
    </w:p>
    <w:p w14:paraId="5C9D4A23" w14:textId="74F26B57" w:rsidR="00A85C94" w:rsidRDefault="00A85C94" w:rsidP="00A85C94">
      <w:pPr>
        <w:pStyle w:val="COMexecsumnumberedpara"/>
      </w:pPr>
      <w:r>
        <w:t>With regard to the requested listing and restriction, the PBAC advised that:</w:t>
      </w:r>
    </w:p>
    <w:p w14:paraId="6FAE3191" w14:textId="61E71C35" w:rsidR="00A85C94" w:rsidRDefault="001F78C3" w:rsidP="00A85C94">
      <w:pPr>
        <w:pStyle w:val="COMexecsummbulletlist"/>
        <w:ind w:left="1134"/>
      </w:pPr>
      <w:r>
        <w:t xml:space="preserve">Iptacopan can be administered outside of a hospital environment given it is an oral therapy with no additional monitoring requirements post administration stipulated in the TGA draft Product Information. As such, </w:t>
      </w:r>
      <w:r w:rsidR="006115F0">
        <w:t xml:space="preserve">a </w:t>
      </w:r>
      <w:r>
        <w:t xml:space="preserve">general schedule </w:t>
      </w:r>
      <w:r w:rsidR="006115F0">
        <w:t xml:space="preserve">listing rather than the requested Section 100 listing was appropriate. </w:t>
      </w:r>
    </w:p>
    <w:p w14:paraId="66374188" w14:textId="473600AB" w:rsidR="006115F0" w:rsidRDefault="006115F0" w:rsidP="00A85C94">
      <w:pPr>
        <w:pStyle w:val="COMexecsummbulletlist"/>
        <w:ind w:left="1134"/>
      </w:pPr>
      <w:r>
        <w:t xml:space="preserve">An Authority Required (Written) listing was appropriate and noted that this was consistent with other PBS listing complement inhibitors for PNH. </w:t>
      </w:r>
    </w:p>
    <w:p w14:paraId="763709C9" w14:textId="045930C7" w:rsidR="006115F0" w:rsidRDefault="00A073BB" w:rsidP="00A85C94">
      <w:pPr>
        <w:pStyle w:val="COMexecsummbulletlist"/>
        <w:ind w:left="1134"/>
      </w:pPr>
      <w:r>
        <w:t xml:space="preserve">The cautions outlined in paragraph </w:t>
      </w:r>
      <w:r>
        <w:fldChar w:fldCharType="begin"/>
      </w:r>
      <w:r>
        <w:instrText xml:space="preserve"> REF _Ref172200914 \r \h </w:instrText>
      </w:r>
      <w:r>
        <w:fldChar w:fldCharType="separate"/>
      </w:r>
      <w:r w:rsidR="002E7F91">
        <w:t>3.5</w:t>
      </w:r>
      <w:r>
        <w:fldChar w:fldCharType="end"/>
      </w:r>
      <w:r>
        <w:t xml:space="preserve"> be included in the iptacopan restriction.</w:t>
      </w:r>
    </w:p>
    <w:p w14:paraId="342423BF" w14:textId="5F5D4BE1" w:rsidR="00A073BB" w:rsidRDefault="00AB5C88" w:rsidP="00A85C94">
      <w:pPr>
        <w:pStyle w:val="COMexecsummbulletlist"/>
        <w:ind w:left="1134"/>
      </w:pPr>
      <w:r>
        <w:t xml:space="preserve">Unlike pegcetacoplan, combination treatment with a C5 inhibitor during the initial 4 weeks of iptacopan treatment is not required. As a result, the </w:t>
      </w:r>
      <w:r w:rsidR="00A8538A">
        <w:t xml:space="preserve">duration of the </w:t>
      </w:r>
      <w:r>
        <w:t>initial</w:t>
      </w:r>
      <w:r w:rsidR="00A8538A">
        <w:t xml:space="preserve"> treatment phase </w:t>
      </w:r>
      <w:r w:rsidR="004B478B">
        <w:t xml:space="preserve">of iptacopan </w:t>
      </w:r>
      <w:r w:rsidR="00F05661">
        <w:t>should</w:t>
      </w:r>
      <w:r w:rsidR="00A8538A">
        <w:t xml:space="preserve"> be increased to 6 months (i.e. 5 </w:t>
      </w:r>
      <w:r w:rsidR="00A8538A">
        <w:lastRenderedPageBreak/>
        <w:t xml:space="preserve">repeats) </w:t>
      </w:r>
      <w:r>
        <w:t>and the</w:t>
      </w:r>
      <w:r w:rsidR="00A8538A">
        <w:t xml:space="preserve"> </w:t>
      </w:r>
      <w:r>
        <w:t xml:space="preserve">first and subsequent continuing treatment phases </w:t>
      </w:r>
      <w:r w:rsidR="004B478B">
        <w:t xml:space="preserve">should be </w:t>
      </w:r>
      <w:r w:rsidR="005E799F">
        <w:t>combined</w:t>
      </w:r>
      <w:r w:rsidR="004B478B">
        <w:t xml:space="preserve"> in one continuing treatment phase where the monitoring requirements only provided in the first continuing authority application similar to other PBS listings for PNH</w:t>
      </w:r>
      <w:r w:rsidR="005E799F">
        <w:t xml:space="preserve">. </w:t>
      </w:r>
      <w:r w:rsidR="005D7106">
        <w:t xml:space="preserve">In addition, the ‘initial treatment’ and the ‘return from PBS-subsidised eculizumab post pregnancy or from PBS-subsidised C5 inhibitor for reasons other than post pregnancy’ restrictions should </w:t>
      </w:r>
      <w:r w:rsidR="00F05661">
        <w:t xml:space="preserve">include </w:t>
      </w:r>
      <w:r w:rsidR="005D7106">
        <w:t>a clinical criterion specifying iptacopan must be the sole PBS subsidised treatment for this condition</w:t>
      </w:r>
      <w:r w:rsidR="00460ED9">
        <w:t xml:space="preserve"> as iptacopan dosing doesn’t specify co-administration with a C5 inhibitor</w:t>
      </w:r>
      <w:r w:rsidR="005D7106">
        <w:t xml:space="preserve">. </w:t>
      </w:r>
    </w:p>
    <w:p w14:paraId="14596566" w14:textId="5ACBC401" w:rsidR="005E799F" w:rsidRDefault="005E799F" w:rsidP="00A85C94">
      <w:pPr>
        <w:pStyle w:val="COMexecsummbulletlist"/>
        <w:ind w:left="1134"/>
      </w:pPr>
      <w:r>
        <w:t xml:space="preserve">The proposed clinical criteria relating to inadequate response to a C5 inhibitor should be consistent with that of pegcetacoplan and specify a haemoglobin level of 105g/L (see paragraph </w:t>
      </w:r>
      <w:r>
        <w:fldChar w:fldCharType="begin"/>
      </w:r>
      <w:r>
        <w:instrText xml:space="preserve"> REF _Ref172203138 \r \h </w:instrText>
      </w:r>
      <w:r>
        <w:fldChar w:fldCharType="separate"/>
      </w:r>
      <w:r w:rsidR="002E7F91">
        <w:t>3.6</w:t>
      </w:r>
      <w:r>
        <w:fldChar w:fldCharType="end"/>
      </w:r>
      <w:r>
        <w:t xml:space="preserve">). </w:t>
      </w:r>
    </w:p>
    <w:p w14:paraId="11AE4772" w14:textId="5F705EED" w:rsidR="005E799F" w:rsidRDefault="005D7106" w:rsidP="00A85C94">
      <w:pPr>
        <w:pStyle w:val="COMexecsummbulletlist"/>
        <w:ind w:left="1134"/>
      </w:pPr>
      <w:r>
        <w:t xml:space="preserve">Monitoring requirements along with the </w:t>
      </w:r>
      <w:r w:rsidR="00CF4211">
        <w:t>‘</w:t>
      </w:r>
      <w:r>
        <w:t xml:space="preserve">return from </w:t>
      </w:r>
      <w:r w:rsidR="00CF4211">
        <w:t xml:space="preserve">PBS-subsidised </w:t>
      </w:r>
      <w:r>
        <w:t xml:space="preserve">eculizumab post-pregnancy or </w:t>
      </w:r>
      <w:r w:rsidR="00CF4211">
        <w:t xml:space="preserve">from PBS-subsidised C5 inhibitors </w:t>
      </w:r>
      <w:r w:rsidR="00B55D57">
        <w:t>for reasons other than post-pregnancy’</w:t>
      </w:r>
      <w:r w:rsidR="00F05661">
        <w:t xml:space="preserve"> restriction</w:t>
      </w:r>
      <w:r w:rsidR="00B55D57">
        <w:t xml:space="preserve"> </w:t>
      </w:r>
      <w:r>
        <w:t xml:space="preserve">should be consistent with pegcetacoplan. </w:t>
      </w:r>
      <w:r w:rsidR="004B478B">
        <w:t xml:space="preserve">This will provide a path for patients who cease iptacopan temporarily </w:t>
      </w:r>
      <w:r w:rsidR="00B16224">
        <w:t>in situations where</w:t>
      </w:r>
      <w:r w:rsidR="004B478B">
        <w:t xml:space="preserve"> they can’t take oral medications, e.g. for surgery reasons and wishes to come back to iptacopan.</w:t>
      </w:r>
    </w:p>
    <w:p w14:paraId="31717F34" w14:textId="56E54DDE" w:rsidR="005D7106" w:rsidRDefault="00B55D57" w:rsidP="00B16224">
      <w:pPr>
        <w:pStyle w:val="COMexecsummbulletlist"/>
        <w:ind w:left="1134"/>
      </w:pPr>
      <w:r>
        <w:t xml:space="preserve">Flow on changes to allow patients who develop resistance or intolerance to iptacopan to reinitiate treatment with eculizumab or ravulizumab were appropriate. Such </w:t>
      </w:r>
      <w:r w:rsidR="00485203">
        <w:t xml:space="preserve">flow </w:t>
      </w:r>
      <w:r>
        <w:t xml:space="preserve">on changes would also provide a path for patients who develop resistance or intolerance to iptacopan to switch from iptacopan to pegcetacoplan (see paragraph </w:t>
      </w:r>
      <w:r>
        <w:fldChar w:fldCharType="begin"/>
      </w:r>
      <w:r>
        <w:instrText xml:space="preserve"> REF _Ref172206280 \r \h </w:instrText>
      </w:r>
      <w:r>
        <w:fldChar w:fldCharType="separate"/>
      </w:r>
      <w:r w:rsidR="002E7F91">
        <w:t>3.7</w:t>
      </w:r>
      <w:r>
        <w:fldChar w:fldCharType="end"/>
      </w:r>
      <w:r>
        <w:t>).</w:t>
      </w:r>
      <w:r w:rsidR="00B16224" w:rsidRPr="00B16224">
        <w:t xml:space="preserve"> </w:t>
      </w:r>
    </w:p>
    <w:p w14:paraId="2FDF0FD3" w14:textId="0E677498" w:rsidR="00231D5F" w:rsidRDefault="00994128" w:rsidP="00994128">
      <w:pPr>
        <w:pStyle w:val="COMexecsumnumberedpara"/>
      </w:pPr>
      <w:r>
        <w:t xml:space="preserve">The PBAC </w:t>
      </w:r>
      <w:r w:rsidR="00F41F02">
        <w:t xml:space="preserve">considered that pegcetacoplan was appropriate as the main comparator. </w:t>
      </w:r>
    </w:p>
    <w:p w14:paraId="5F5AFABF" w14:textId="58B6E5DA" w:rsidR="00F41F02" w:rsidRDefault="004A592E" w:rsidP="00994128">
      <w:pPr>
        <w:pStyle w:val="COMexecsumnumberedpara"/>
      </w:pPr>
      <w:r w:rsidRPr="0092296D">
        <w:t>The PBAC</w:t>
      </w:r>
      <w:r>
        <w:t xml:space="preserve"> noted the APPLY-</w:t>
      </w:r>
      <w:r w:rsidR="000950F9">
        <w:t xml:space="preserve">PNH </w:t>
      </w:r>
      <w:r>
        <w:t>trial provided the key evidence for iptacopan</w:t>
      </w:r>
      <w:r w:rsidR="00906082">
        <w:t xml:space="preserve">. The PBAC </w:t>
      </w:r>
      <w:r w:rsidR="000D339A">
        <w:t xml:space="preserve">agreed with the ESC </w:t>
      </w:r>
      <w:r w:rsidR="00906082">
        <w:t xml:space="preserve">that while the </w:t>
      </w:r>
      <w:r w:rsidR="000D339A">
        <w:t xml:space="preserve">iptacopan </w:t>
      </w:r>
      <w:r w:rsidR="00906082">
        <w:t xml:space="preserve">trial </w:t>
      </w:r>
      <w:r w:rsidR="000D339A">
        <w:t>(APPLY-</w:t>
      </w:r>
      <w:r w:rsidR="000950F9">
        <w:t>PNH</w:t>
      </w:r>
      <w:r w:rsidR="000D339A">
        <w:t xml:space="preserve">) </w:t>
      </w:r>
      <w:r w:rsidR="00906082">
        <w:t>had a high risk of bias</w:t>
      </w:r>
      <w:r w:rsidR="003B34A4">
        <w:t>,</w:t>
      </w:r>
      <w:r w:rsidR="00906082">
        <w:t xml:space="preserve"> the majority of outcomes were objective and standard in PNH and advised that this was also the case for the pegcetacoplan trial (PEGASUS). The PBAC </w:t>
      </w:r>
      <w:r w:rsidR="000D339A">
        <w:t>noted</w:t>
      </w:r>
      <w:r w:rsidR="00906082">
        <w:t xml:space="preserve"> that the APPLY-</w:t>
      </w:r>
      <w:r w:rsidR="000950F9">
        <w:t xml:space="preserve">PNH </w:t>
      </w:r>
      <w:r w:rsidR="00906082">
        <w:t xml:space="preserve">trial demonstrated </w:t>
      </w:r>
      <w:r w:rsidR="001E25EA">
        <w:t xml:space="preserve">statistically </w:t>
      </w:r>
      <w:r w:rsidR="00906082">
        <w:t xml:space="preserve">significant improvements in </w:t>
      </w:r>
      <w:r w:rsidR="001E25EA">
        <w:t xml:space="preserve">the primary </w:t>
      </w:r>
      <w:r w:rsidR="00906082">
        <w:t xml:space="preserve">outcomes </w:t>
      </w:r>
      <w:r w:rsidR="001E25EA">
        <w:t>(i</w:t>
      </w:r>
      <w:r w:rsidR="001E25EA" w:rsidRPr="00100A97">
        <w:t xml:space="preserve">ncrease in </w:t>
      </w:r>
      <w:r w:rsidR="001E25EA">
        <w:t>haemoglobin</w:t>
      </w:r>
      <w:r w:rsidR="001E25EA" w:rsidRPr="00100A97">
        <w:t xml:space="preserve"> level ≥2 g/dL</w:t>
      </w:r>
      <w:r w:rsidR="001E25EA">
        <w:t xml:space="preserve"> and achievement of a haemoglobin level of </w:t>
      </w:r>
      <w:r w:rsidR="001E25EA" w:rsidRPr="00100A97">
        <w:t>≥</w:t>
      </w:r>
      <w:r w:rsidR="001E25EA">
        <w:t>1</w:t>
      </w:r>
      <w:r w:rsidR="001E25EA" w:rsidRPr="00100A97">
        <w:t>2 g/d</w:t>
      </w:r>
      <w:r w:rsidR="001E25EA">
        <w:t xml:space="preserve">) </w:t>
      </w:r>
      <w:r w:rsidR="00906082">
        <w:t>with iptacopan compared to treatment with a C5 inhibitor, for patients non-responsive to a C5 inhibitor.</w:t>
      </w:r>
      <w:r w:rsidR="001E25EA">
        <w:t xml:space="preserve"> The PBAC noted that the improvements in the primary outcomes evident over the 24-week randomised treatment period were generally maintained over the extended follow-up to 48 weeks (in which patients in the iptacopan arm continued to receive iptacopan, and patients in the C5 inhibitor arm switched to iptacopan). The PBAC also noted that treatment with iptacopan was associated with a statistically significant improvement in FACIT-Fatigue score compared to treatment with a C5 inhibitor (mean difference: 8.29; 95% CI:</w:t>
      </w:r>
      <w:r w:rsidR="001E25EA" w:rsidRPr="006A0501">
        <w:t xml:space="preserve"> 5.28, 11.29</w:t>
      </w:r>
      <w:r w:rsidR="001E25EA">
        <w:t>) and advised that the result represented a clinically important improvement</w:t>
      </w:r>
      <w:r w:rsidR="000D339A">
        <w:t xml:space="preserve"> (a difference of 5 points is considered clinically meaningful)</w:t>
      </w:r>
      <w:r w:rsidR="001E25EA">
        <w:t xml:space="preserve">. </w:t>
      </w:r>
    </w:p>
    <w:p w14:paraId="388779FD" w14:textId="4984B01A" w:rsidR="001C560F" w:rsidRPr="001C560F" w:rsidRDefault="00F9286E" w:rsidP="00C059C4">
      <w:pPr>
        <w:pStyle w:val="COMexecsumnumberedpara"/>
      </w:pPr>
      <w:r>
        <w:t xml:space="preserve">The PBAC noted that no head-to-head trials comparing iptacopan and pegcetacoplan were identified and hence the clinical claim was based on a series of indirect </w:t>
      </w:r>
      <w:r>
        <w:lastRenderedPageBreak/>
        <w:t xml:space="preserve">comparisons. </w:t>
      </w:r>
      <w:r w:rsidR="004E2DA0" w:rsidRPr="0025780C">
        <w:t xml:space="preserve">The </w:t>
      </w:r>
      <w:r w:rsidR="004E2DA0">
        <w:t xml:space="preserve">PBAC considered the </w:t>
      </w:r>
      <w:r w:rsidR="004E2DA0" w:rsidRPr="0025780C">
        <w:t xml:space="preserve">results of the Bucher method indirect comparisons </w:t>
      </w:r>
      <w:r w:rsidR="004E2DA0">
        <w:t xml:space="preserve">and the matching adjusted indirect comparisons (MAIC) </w:t>
      </w:r>
      <w:r w:rsidR="004E2DA0" w:rsidRPr="0025780C">
        <w:t>were highly uncertain as there were major differences between the iptacopan APPLY-PNH and pegcetacoplan PEGASUS trial (</w:t>
      </w:r>
      <w:r w:rsidR="004E2DA0">
        <w:t xml:space="preserve">see paragraph </w:t>
      </w:r>
      <w:r w:rsidR="004E2DA0">
        <w:fldChar w:fldCharType="begin"/>
      </w:r>
      <w:r w:rsidR="004E2DA0">
        <w:instrText xml:space="preserve"> REF _Ref172280719 \r \h </w:instrText>
      </w:r>
      <w:r w:rsidR="004E2DA0">
        <w:fldChar w:fldCharType="separate"/>
      </w:r>
      <w:r w:rsidR="002E7F91">
        <w:t>6.63</w:t>
      </w:r>
      <w:r w:rsidR="004E2DA0">
        <w:fldChar w:fldCharType="end"/>
      </w:r>
      <w:r w:rsidR="004E2DA0" w:rsidRPr="0025780C">
        <w:t>)</w:t>
      </w:r>
      <w:r w:rsidR="004E2DA0">
        <w:t xml:space="preserve">. </w:t>
      </w:r>
      <w:r w:rsidR="00625748">
        <w:t xml:space="preserve">The PBAC </w:t>
      </w:r>
      <w:r w:rsidR="0012545D">
        <w:t>not</w:t>
      </w:r>
      <w:r w:rsidR="00625748">
        <w:t xml:space="preserve">ed </w:t>
      </w:r>
      <w:r w:rsidR="00625748" w:rsidRPr="00625748">
        <w:t xml:space="preserve">similar uncertainty in trial data </w:t>
      </w:r>
      <w:r w:rsidR="00625748">
        <w:t xml:space="preserve">had previously been </w:t>
      </w:r>
      <w:r w:rsidR="00625748" w:rsidRPr="00625748">
        <w:t xml:space="preserve">accepted for </w:t>
      </w:r>
      <w:r w:rsidR="00625748">
        <w:t xml:space="preserve">the </w:t>
      </w:r>
      <w:r w:rsidR="00625748" w:rsidRPr="00625748">
        <w:t>pegcetacoplan submission</w:t>
      </w:r>
      <w:r w:rsidR="00625748">
        <w:t>. Acknowledging the t</w:t>
      </w:r>
      <w:r w:rsidR="00625748" w:rsidRPr="00625748">
        <w:t>ransitivity concerns between the clinical trials the</w:t>
      </w:r>
      <w:r w:rsidR="00625748">
        <w:t xml:space="preserve"> PBAC were satisfied that the</w:t>
      </w:r>
      <w:r w:rsidR="00625748" w:rsidRPr="00625748">
        <w:t xml:space="preserve"> clinically relevant outcomes </w:t>
      </w:r>
      <w:r w:rsidR="00625748">
        <w:t>we</w:t>
      </w:r>
      <w:r w:rsidR="00625748" w:rsidRPr="00625748">
        <w:t>re objective and demonstrate</w:t>
      </w:r>
      <w:r w:rsidR="00625748">
        <w:t>d</w:t>
      </w:r>
      <w:r w:rsidR="00625748" w:rsidRPr="00625748">
        <w:t xml:space="preserve"> no significant difference</w:t>
      </w:r>
      <w:r w:rsidR="00445BC3">
        <w:t>s</w:t>
      </w:r>
      <w:r w:rsidR="00625748" w:rsidRPr="00625748">
        <w:t xml:space="preserve"> </w:t>
      </w:r>
      <w:r w:rsidR="00445BC3">
        <w:t>using</w:t>
      </w:r>
      <w:r w:rsidR="00625748" w:rsidRPr="00625748">
        <w:t xml:space="preserve"> the Bucher</w:t>
      </w:r>
      <w:r w:rsidR="00625748">
        <w:t xml:space="preserve"> method indirect comparison</w:t>
      </w:r>
      <w:r w:rsidR="00625748" w:rsidRPr="00625748">
        <w:t>, anchored and unanchored MAIC</w:t>
      </w:r>
      <w:r w:rsidR="00625748">
        <w:t xml:space="preserve">s. </w:t>
      </w:r>
      <w:r w:rsidR="0012545D">
        <w:t xml:space="preserve">Overall, the PBAC agreed with the ESC that, in the context of this rare disease, it was reasonable to accept the </w:t>
      </w:r>
      <w:r w:rsidR="0012545D" w:rsidRPr="001C560F">
        <w:t>claim of non-inferior effectiveness.</w:t>
      </w:r>
    </w:p>
    <w:p w14:paraId="515D9519" w14:textId="699FEC78" w:rsidR="00854159" w:rsidRPr="00854159" w:rsidRDefault="001C4DA0" w:rsidP="00364421">
      <w:pPr>
        <w:pStyle w:val="COMexecsumnumberedpara"/>
      </w:pPr>
      <w:r>
        <w:t>The PBAC noted that in the APPLY-</w:t>
      </w:r>
      <w:r w:rsidR="000950F9">
        <w:t xml:space="preserve">PNH </w:t>
      </w:r>
      <w:r>
        <w:t xml:space="preserve">trial over the 24-week randomised treatment period breakthrough haemolysis occurred in 3.2% of patients in the iptacopan arm compared to 17.1% of patients receiving a C5 inhibitor. </w:t>
      </w:r>
      <w:r w:rsidRPr="001C4DA0">
        <w:t>Based on extended follow-up to 48 weeks</w:t>
      </w:r>
      <w:r>
        <w:t xml:space="preserve"> </w:t>
      </w:r>
      <w:r w:rsidRPr="00B7318C">
        <w:t xml:space="preserve">there were </w:t>
      </w:r>
      <w:r>
        <w:t>8</w:t>
      </w:r>
      <w:r w:rsidRPr="00B7318C">
        <w:t xml:space="preserve"> clinical </w:t>
      </w:r>
      <w:r>
        <w:t>breakthrough haemolysis</w:t>
      </w:r>
      <w:r w:rsidRPr="00B7318C">
        <w:t xml:space="preserve"> events in </w:t>
      </w:r>
      <w:r>
        <w:t>7</w:t>
      </w:r>
      <w:r w:rsidRPr="00B7318C">
        <w:t xml:space="preserve"> patients during iptacopan treatment</w:t>
      </w:r>
      <w:r>
        <w:t>,</w:t>
      </w:r>
      <w:r w:rsidRPr="00B7318C">
        <w:t xml:space="preserve"> with an adjusted annualised clinical </w:t>
      </w:r>
      <w:r>
        <w:t xml:space="preserve">breakthrough haemolysis </w:t>
      </w:r>
      <w:r w:rsidRPr="00B7318C">
        <w:t>rate of 0.11 (95% CI: 0.05, 0.23)</w:t>
      </w:r>
      <w:r>
        <w:t xml:space="preserve">. </w:t>
      </w:r>
      <w:r w:rsidR="00364421">
        <w:t xml:space="preserve">Acknowledging the methodological limitations of the comparison the PBAC noted that the </w:t>
      </w:r>
      <w:r>
        <w:t>matched and adjusted results</w:t>
      </w:r>
      <w:r w:rsidRPr="008C0420">
        <w:t xml:space="preserve"> </w:t>
      </w:r>
      <w:r>
        <w:t>for the unanchored MAIC</w:t>
      </w:r>
      <w:r w:rsidR="00364421">
        <w:t xml:space="preserve"> found </w:t>
      </w:r>
      <w:r>
        <w:t>treatment with iptacopan was associated with a lower rate of serious adverse events compared to pegcetacoplan</w:t>
      </w:r>
      <w:r w:rsidR="00364421">
        <w:t xml:space="preserve"> (see paragraph </w:t>
      </w:r>
      <w:r w:rsidR="00364421">
        <w:fldChar w:fldCharType="begin"/>
      </w:r>
      <w:r w:rsidR="00364421">
        <w:instrText xml:space="preserve"> REF _Ref172287974 \r \h </w:instrText>
      </w:r>
      <w:r w:rsidR="00364421">
        <w:fldChar w:fldCharType="separate"/>
      </w:r>
      <w:r w:rsidR="002E7F91">
        <w:t>6.60</w:t>
      </w:r>
      <w:r w:rsidR="00364421">
        <w:fldChar w:fldCharType="end"/>
      </w:r>
      <w:r w:rsidR="00364421">
        <w:t>)</w:t>
      </w:r>
      <w:r>
        <w:t>.</w:t>
      </w:r>
      <w:r w:rsidR="00364421">
        <w:t xml:space="preserve"> </w:t>
      </w:r>
      <w:r w:rsidR="00854159" w:rsidRPr="00854159">
        <w:t xml:space="preserve">The PBAC considered that the claim of non-inferior comparative safety was uncertain due to the relatively short duration of follow-up </w:t>
      </w:r>
      <w:bookmarkStart w:id="69" w:name="_Hlk172288073"/>
      <w:r w:rsidR="00364421">
        <w:t xml:space="preserve">and the methodological limitations of the comparison </w:t>
      </w:r>
      <w:bookmarkEnd w:id="69"/>
      <w:r w:rsidR="00854159" w:rsidRPr="00854159">
        <w:t xml:space="preserve">but </w:t>
      </w:r>
      <w:r w:rsidR="00364421">
        <w:t xml:space="preserve">was </w:t>
      </w:r>
      <w:r w:rsidR="00854159" w:rsidRPr="00854159">
        <w:t>reasonable</w:t>
      </w:r>
      <w:r w:rsidR="0012545D">
        <w:t xml:space="preserve"> in the context of this rare disease</w:t>
      </w:r>
      <w:r w:rsidR="00854159" w:rsidRPr="00854159">
        <w:t>.</w:t>
      </w:r>
    </w:p>
    <w:p w14:paraId="3F239868" w14:textId="1E986289" w:rsidR="00546648" w:rsidRDefault="00546648" w:rsidP="00546648">
      <w:pPr>
        <w:pStyle w:val="COMexecsumnumberedpara"/>
      </w:pPr>
      <w:r>
        <w:t xml:space="preserve">The submission presented a cost-minimisation approach versus pegcetacoplan. </w:t>
      </w:r>
      <w:r w:rsidR="00567544">
        <w:t>The PBAC noted that the costs associated with the use of a C5 inhibitor during the initial 4</w:t>
      </w:r>
      <w:r w:rsidR="007F4886">
        <w:t> </w:t>
      </w:r>
      <w:r w:rsidR="00567544">
        <w:t>weeks of pegcetacoplan treatment were included in the cost-minimisation</w:t>
      </w:r>
      <w:r w:rsidR="00562969">
        <w:t>.</w:t>
      </w:r>
      <w:r w:rsidR="00324FF8">
        <w:t xml:space="preserve"> The PBAC noted that iptacopan and pegcetacoplan are both chronic therapies and advised that a steady state dose comparison was therefore most relevant. As such, the PBAC considered that the costs associated with the use of a C5 inhibitor during the initial 4</w:t>
      </w:r>
      <w:r w:rsidR="007F4886">
        <w:t> </w:t>
      </w:r>
      <w:r w:rsidR="00324FF8">
        <w:t>weeks of pegcetacoplan treatment should not be included in the cost-minimisation.</w:t>
      </w:r>
      <w:r w:rsidR="00562969">
        <w:t xml:space="preserve"> The PBAC noted that pegcetacoplan has a Section 100 listing whereas the Committee has proposed a Section 85 listing for iptacopan</w:t>
      </w:r>
      <w:r w:rsidR="00F839FC">
        <w:t xml:space="preserve"> and that there are differences in supply chain costs between these two programs</w:t>
      </w:r>
      <w:r w:rsidR="00562969">
        <w:t>. The PBAC advised that the</w:t>
      </w:r>
      <w:r w:rsidR="00F839FC">
        <w:t xml:space="preserve"> cost-minimisation </w:t>
      </w:r>
      <w:r w:rsidR="00C56CF9">
        <w:t>account for</w:t>
      </w:r>
      <w:r w:rsidR="00562969">
        <w:t xml:space="preserve"> any differences in </w:t>
      </w:r>
      <w:r w:rsidR="00F839FC">
        <w:t xml:space="preserve">supply chain costs such that the iptacopan ex-manufacturer price </w:t>
      </w:r>
      <w:r w:rsidR="00C953C9">
        <w:t>does not result in any additional cost</w:t>
      </w:r>
      <w:r w:rsidR="00F839FC">
        <w:t xml:space="preserve"> to the PBS. </w:t>
      </w:r>
      <w:r w:rsidR="006420A8">
        <w:t>I</w:t>
      </w:r>
      <w:r w:rsidR="006420A8" w:rsidRPr="008A24BB">
        <w:t>n the absence of data on the proportion of patients who do not self-administer pegcetacoplan</w:t>
      </w:r>
      <w:r w:rsidR="006420A8">
        <w:t>, t</w:t>
      </w:r>
      <w:r w:rsidR="00817083">
        <w:t xml:space="preserve">he PBAC </w:t>
      </w:r>
      <w:r w:rsidR="00445BC3">
        <w:t>agre</w:t>
      </w:r>
      <w:r w:rsidR="006420A8">
        <w:t>ed</w:t>
      </w:r>
      <w:r w:rsidR="00817083">
        <w:t xml:space="preserve"> </w:t>
      </w:r>
      <w:r w:rsidR="00445BC3">
        <w:t xml:space="preserve">with </w:t>
      </w:r>
      <w:r w:rsidR="00817083">
        <w:t>the exclusion of administration costs for pegcetacoplan</w:t>
      </w:r>
      <w:r w:rsidR="00445BC3">
        <w:t xml:space="preserve"> in the CMA calculation</w:t>
      </w:r>
      <w:r w:rsidR="00817083">
        <w:t xml:space="preserve"> (see paragraph </w:t>
      </w:r>
      <w:r w:rsidR="00817083">
        <w:fldChar w:fldCharType="begin"/>
      </w:r>
      <w:r w:rsidR="00817083">
        <w:instrText xml:space="preserve"> REF _Ref172632010 \r \h </w:instrText>
      </w:r>
      <w:r w:rsidR="00817083">
        <w:fldChar w:fldCharType="separate"/>
      </w:r>
      <w:r w:rsidR="002E7F91">
        <w:t>6.77</w:t>
      </w:r>
      <w:r w:rsidR="00817083">
        <w:fldChar w:fldCharType="end"/>
      </w:r>
      <w:r w:rsidR="00817083">
        <w:t xml:space="preserve">). </w:t>
      </w:r>
      <w:r>
        <w:t>The PBAC considered the following equi-effective doses appropriate</w:t>
      </w:r>
      <w:r w:rsidR="00410F4C">
        <w:t xml:space="preserve"> (based on 365 days)</w:t>
      </w:r>
      <w:r>
        <w:t xml:space="preserve">: </w:t>
      </w:r>
    </w:p>
    <w:p w14:paraId="539A957D" w14:textId="35327CDA" w:rsidR="00546648" w:rsidRDefault="00546648" w:rsidP="00546648">
      <w:pPr>
        <w:pStyle w:val="COMexecsummbulletlist"/>
        <w:ind w:left="1134"/>
      </w:pPr>
      <w:r>
        <w:t xml:space="preserve">Iptacopan </w:t>
      </w:r>
      <w:r w:rsidR="006420A8">
        <w:t>146,048</w:t>
      </w:r>
      <w:r>
        <w:t xml:space="preserve"> mg (200 mg/capsule × 56 capsules/pack × 13</w:t>
      </w:r>
      <w:r w:rsidR="00410F4C">
        <w:t>.0</w:t>
      </w:r>
      <w:r w:rsidR="00817083">
        <w:t>4</w:t>
      </w:r>
      <w:r>
        <w:t xml:space="preserve"> packs) is equivalent to pegcetacoplan 116,365 mg (1,080 mg/vial × 107.7 injections).</w:t>
      </w:r>
    </w:p>
    <w:p w14:paraId="46C28B15" w14:textId="5BF44200" w:rsidR="00906082" w:rsidRDefault="003E0567" w:rsidP="00994128">
      <w:pPr>
        <w:pStyle w:val="COMexecsumnumberedpara"/>
      </w:pPr>
      <w:r>
        <w:lastRenderedPageBreak/>
        <w:t xml:space="preserve">The PBAC agreed with the DUSC that the financial estimates </w:t>
      </w:r>
      <w:r w:rsidR="00EA2DF4">
        <w:t xml:space="preserve">based on the epidemiological approach </w:t>
      </w:r>
      <w:r>
        <w:t xml:space="preserve">were high and uncertain. The PBAC considered that while there was some uncertainty in the estimates of PNH the prevalence estimate used in the financial estimates was reasonable. </w:t>
      </w:r>
      <w:r w:rsidR="0081208F">
        <w:t xml:space="preserve">The PBAC agreed with the DUSC that the proportion of patients with an inadequate response or intolerant to a C5 inhibitor was overestimated and considered it should be reduced from 43.9% to 19.5% (see </w:t>
      </w:r>
      <w:r w:rsidR="00586198">
        <w:fldChar w:fldCharType="begin"/>
      </w:r>
      <w:r w:rsidR="00586198">
        <w:instrText xml:space="preserve"> REF _Ref166449019 \h </w:instrText>
      </w:r>
      <w:r w:rsidR="00586198">
        <w:fldChar w:fldCharType="separate"/>
      </w:r>
      <w:r w:rsidR="002E7F91" w:rsidRPr="00A473B4">
        <w:t xml:space="preserve">Table </w:t>
      </w:r>
      <w:r w:rsidR="002E7F91">
        <w:rPr>
          <w:noProof/>
        </w:rPr>
        <w:t>16</w:t>
      </w:r>
      <w:r w:rsidR="00586198">
        <w:fldChar w:fldCharType="end"/>
      </w:r>
      <w:r w:rsidR="00586198">
        <w:t xml:space="preserve">). The PBAC agreed with the </w:t>
      </w:r>
      <w:r w:rsidR="00586198" w:rsidRPr="00586198">
        <w:t xml:space="preserve">DUSC that </w:t>
      </w:r>
      <w:r w:rsidR="00586198">
        <w:t xml:space="preserve">the </w:t>
      </w:r>
      <w:r w:rsidR="00586198" w:rsidRPr="00586198">
        <w:t xml:space="preserve">uptake </w:t>
      </w:r>
      <w:r w:rsidR="00586198">
        <w:t xml:space="preserve">of second-line treatment </w:t>
      </w:r>
      <w:r w:rsidR="00586198" w:rsidRPr="00586198">
        <w:t xml:space="preserve">estimates </w:t>
      </w:r>
      <w:r w:rsidR="005D6227">
        <w:t>we</w:t>
      </w:r>
      <w:r w:rsidR="00586198" w:rsidRPr="00586198">
        <w:t>re higher than current practice for year 1 and are likely to be an overestimate</w:t>
      </w:r>
      <w:r w:rsidR="00586198">
        <w:t xml:space="preserve"> and </w:t>
      </w:r>
      <w:r w:rsidR="005D6227">
        <w:t xml:space="preserve">advised a reduction based on current pegcetacoplan prescription numbers. </w:t>
      </w:r>
      <w:r w:rsidR="00972888">
        <w:t xml:space="preserve">It was noted there were 18 continuing prescriptions dispensed for pegcetacoplan in January 2024. </w:t>
      </w:r>
      <w:r w:rsidR="001C6962">
        <w:t xml:space="preserve">The PBAC </w:t>
      </w:r>
      <w:r w:rsidR="002C6140">
        <w:t>considered</w:t>
      </w:r>
      <w:r w:rsidR="001C6962">
        <w:t xml:space="preserve"> that the estimated cost offsets due to pegcetacoplan having a four week period of coadministration with ravulizumab are unlikely to be realised due to existing rebates for this period. The PBAC </w:t>
      </w:r>
      <w:r w:rsidR="002C6140">
        <w:t>advised</w:t>
      </w:r>
      <w:r w:rsidR="001C6962">
        <w:t xml:space="preserve"> that the financial estimates </w:t>
      </w:r>
      <w:r w:rsidR="001C3B4A">
        <w:t xml:space="preserve">would need to </w:t>
      </w:r>
      <w:r w:rsidR="001C6962">
        <w:t xml:space="preserve">be revised to account for existing rebates when establishing cost offsets, use an input of 19.5% for the proportion of patients with an inadequate response or intolerant to a C5 inhibitor and amend year 1 uptake rates for second-line treatment estimates. The PBAC </w:t>
      </w:r>
      <w:r w:rsidR="006F5DD0">
        <w:t xml:space="preserve">considered it was appropriate for iptacopan to be cost neutral to the PBS. </w:t>
      </w:r>
    </w:p>
    <w:p w14:paraId="1FDC52F6" w14:textId="567D22CA" w:rsidR="006F5DD0" w:rsidRDefault="006F5DD0" w:rsidP="00994128">
      <w:pPr>
        <w:pStyle w:val="COMexecsumnumberedpara"/>
      </w:pPr>
      <w:r>
        <w:t xml:space="preserve">The PBAC noted that a </w:t>
      </w:r>
      <w:r w:rsidRPr="008E7BB4">
        <w:t>risk</w:t>
      </w:r>
      <w:r>
        <w:t xml:space="preserve"> </w:t>
      </w:r>
      <w:r w:rsidRPr="008E7BB4">
        <w:t xml:space="preserve">sharing arrangement exists for pegcetacoplan and </w:t>
      </w:r>
      <w:r>
        <w:t xml:space="preserve">considered it appropriate that </w:t>
      </w:r>
      <w:r w:rsidRPr="008E7BB4">
        <w:t>that iptacopan</w:t>
      </w:r>
      <w:r>
        <w:t xml:space="preserve"> </w:t>
      </w:r>
      <w:r w:rsidRPr="008E7BB4">
        <w:t>enter the same risk</w:t>
      </w:r>
      <w:r>
        <w:t xml:space="preserve"> </w:t>
      </w:r>
      <w:r w:rsidRPr="008E7BB4">
        <w:t>sharing arrangement</w:t>
      </w:r>
      <w:r>
        <w:t xml:space="preserve"> with no increase to the caps</w:t>
      </w:r>
      <w:r w:rsidRPr="008E7BB4">
        <w:t>.</w:t>
      </w:r>
    </w:p>
    <w:p w14:paraId="25CECC29" w14:textId="50832AB7" w:rsidR="00833323" w:rsidRPr="00F656F4" w:rsidRDefault="00F656F4" w:rsidP="00F656F4">
      <w:pPr>
        <w:pStyle w:val="COMexecsumnumberedpara"/>
      </w:pPr>
      <w:r>
        <w:t xml:space="preserve">The PBAC recommended that iptacopan should not be treated as interchangeable with any drugs. </w:t>
      </w:r>
    </w:p>
    <w:p w14:paraId="31AAA5B8" w14:textId="71F1B6D1" w:rsidR="00833323" w:rsidRPr="00D13EC8" w:rsidRDefault="00833323" w:rsidP="00821545">
      <w:pPr>
        <w:widowControl w:val="0"/>
        <w:numPr>
          <w:ilvl w:val="1"/>
          <w:numId w:val="1"/>
        </w:numPr>
        <w:spacing w:after="120"/>
        <w:ind w:left="720" w:hanging="720"/>
        <w:rPr>
          <w:rFonts w:asciiTheme="minorHAnsi" w:hAnsiTheme="minorHAnsi"/>
          <w:bCs/>
          <w:snapToGrid w:val="0"/>
          <w:lang w:val="en-GB" w:eastAsia="en-US"/>
        </w:rPr>
      </w:pPr>
      <w:r w:rsidRPr="00D13EC8">
        <w:rPr>
          <w:rFonts w:asciiTheme="minorHAnsi" w:hAnsiTheme="minorHAnsi"/>
          <w:bCs/>
          <w:snapToGrid w:val="0"/>
          <w:lang w:val="en-GB" w:eastAsia="en-US"/>
        </w:rPr>
        <w:t xml:space="preserve">The PBAC advised that </w:t>
      </w:r>
      <w:r w:rsidR="009369B1">
        <w:rPr>
          <w:rFonts w:asciiTheme="minorHAnsi" w:hAnsiTheme="minorHAnsi"/>
          <w:bCs/>
          <w:snapToGrid w:val="0"/>
          <w:lang w:val="en-GB" w:eastAsia="en-US"/>
        </w:rPr>
        <w:t>iptacopan</w:t>
      </w:r>
      <w:r w:rsidRPr="00D13EC8">
        <w:rPr>
          <w:rFonts w:asciiTheme="minorHAnsi" w:hAnsiTheme="minorHAnsi"/>
          <w:bCs/>
          <w:snapToGrid w:val="0"/>
          <w:lang w:val="en-GB" w:eastAsia="en-US"/>
        </w:rPr>
        <w:t xml:space="preserve"> is not suitable for prescribing by nurse practitioners.</w:t>
      </w:r>
    </w:p>
    <w:p w14:paraId="7AA449AC" w14:textId="4B5E9DF9" w:rsidR="00833323" w:rsidRPr="00D13EC8" w:rsidRDefault="00833323" w:rsidP="00821545">
      <w:pPr>
        <w:widowControl w:val="0"/>
        <w:numPr>
          <w:ilvl w:val="1"/>
          <w:numId w:val="1"/>
        </w:numPr>
        <w:spacing w:after="120"/>
        <w:ind w:left="720" w:hanging="720"/>
        <w:rPr>
          <w:rFonts w:asciiTheme="minorHAnsi" w:hAnsiTheme="minorHAnsi"/>
          <w:bCs/>
          <w:snapToGrid w:val="0"/>
          <w:lang w:val="en-GB" w:eastAsia="en-US"/>
        </w:rPr>
      </w:pPr>
      <w:r w:rsidRPr="00D13EC8">
        <w:rPr>
          <w:rFonts w:asciiTheme="minorHAnsi" w:hAnsiTheme="minorHAnsi"/>
          <w:bCs/>
          <w:snapToGrid w:val="0"/>
          <w:lang w:val="en-GB" w:eastAsia="en-US"/>
        </w:rPr>
        <w:t>The PBAC recommended that the Early Supply Rule should not apply.</w:t>
      </w:r>
    </w:p>
    <w:p w14:paraId="14587CF1" w14:textId="7B8C3B55" w:rsidR="005D3EEB" w:rsidRDefault="005D3EEB" w:rsidP="00821545">
      <w:pPr>
        <w:widowControl w:val="0"/>
        <w:numPr>
          <w:ilvl w:val="1"/>
          <w:numId w:val="1"/>
        </w:numPr>
        <w:spacing w:after="120"/>
        <w:ind w:left="720" w:hanging="720"/>
        <w:rPr>
          <w:rFonts w:asciiTheme="minorHAnsi" w:hAnsiTheme="minorHAnsi"/>
          <w:bCs/>
          <w:snapToGrid w:val="0"/>
        </w:rPr>
      </w:pPr>
      <w:r>
        <w:rPr>
          <w:rFonts w:asciiTheme="minorHAnsi" w:hAnsiTheme="minorHAnsi"/>
          <w:bCs/>
          <w:snapToGrid w:val="0"/>
          <w:lang w:eastAsia="en-US"/>
        </w:rPr>
        <w:t xml:space="preserve">The PBAC noted that flow on changes to the restriction criteria for </w:t>
      </w:r>
      <w:r w:rsidRPr="007D1C22">
        <w:rPr>
          <w:rFonts w:asciiTheme="minorHAnsi" w:hAnsiTheme="minorHAnsi"/>
          <w:bCs/>
          <w:snapToGrid w:val="0"/>
          <w:lang w:eastAsia="en-US"/>
        </w:rPr>
        <w:t>eculizumab</w:t>
      </w:r>
      <w:r>
        <w:rPr>
          <w:rFonts w:asciiTheme="minorHAnsi" w:hAnsiTheme="minorHAnsi"/>
          <w:bCs/>
          <w:snapToGrid w:val="0"/>
          <w:lang w:eastAsia="en-US"/>
        </w:rPr>
        <w:t xml:space="preserve">, </w:t>
      </w:r>
      <w:r w:rsidRPr="007D1C22">
        <w:rPr>
          <w:rFonts w:asciiTheme="minorHAnsi" w:hAnsiTheme="minorHAnsi"/>
          <w:bCs/>
          <w:snapToGrid w:val="0"/>
          <w:lang w:eastAsia="en-US"/>
        </w:rPr>
        <w:t>ravulizumab</w:t>
      </w:r>
      <w:r>
        <w:rPr>
          <w:rFonts w:asciiTheme="minorHAnsi" w:hAnsiTheme="minorHAnsi"/>
          <w:bCs/>
          <w:snapToGrid w:val="0"/>
          <w:lang w:eastAsia="en-US"/>
        </w:rPr>
        <w:t xml:space="preserve"> and pegcetacoplan would be required</w:t>
      </w:r>
      <w:r w:rsidRPr="00A65087">
        <w:rPr>
          <w:rFonts w:asciiTheme="minorHAnsi" w:hAnsiTheme="minorHAnsi"/>
          <w:bCs/>
          <w:snapToGrid w:val="0"/>
        </w:rPr>
        <w:t xml:space="preserve"> </w:t>
      </w:r>
      <w:r>
        <w:rPr>
          <w:rFonts w:asciiTheme="minorHAnsi" w:hAnsiTheme="minorHAnsi"/>
          <w:bCs/>
          <w:snapToGrid w:val="0"/>
        </w:rPr>
        <w:t xml:space="preserve">as per paragraphs </w:t>
      </w:r>
      <w:r>
        <w:rPr>
          <w:rFonts w:asciiTheme="minorHAnsi" w:hAnsiTheme="minorHAnsi"/>
          <w:bCs/>
          <w:snapToGrid w:val="0"/>
        </w:rPr>
        <w:fldChar w:fldCharType="begin"/>
      </w:r>
      <w:r>
        <w:rPr>
          <w:rFonts w:asciiTheme="minorHAnsi" w:hAnsiTheme="minorHAnsi"/>
          <w:bCs/>
          <w:snapToGrid w:val="0"/>
        </w:rPr>
        <w:instrText xml:space="preserve"> REF _Ref172540679 \r \h </w:instrText>
      </w:r>
      <w:r w:rsidR="00821545">
        <w:rPr>
          <w:rFonts w:asciiTheme="minorHAnsi" w:hAnsiTheme="minorHAnsi"/>
          <w:bCs/>
          <w:snapToGrid w:val="0"/>
        </w:rPr>
        <w:instrText xml:space="preserve"> \* MERGEFORMAT </w:instrText>
      </w:r>
      <w:r>
        <w:rPr>
          <w:rFonts w:asciiTheme="minorHAnsi" w:hAnsiTheme="minorHAnsi"/>
          <w:bCs/>
          <w:snapToGrid w:val="0"/>
        </w:rPr>
      </w:r>
      <w:r>
        <w:rPr>
          <w:rFonts w:asciiTheme="minorHAnsi" w:hAnsiTheme="minorHAnsi"/>
          <w:bCs/>
          <w:snapToGrid w:val="0"/>
        </w:rPr>
        <w:fldChar w:fldCharType="separate"/>
      </w:r>
      <w:r w:rsidR="002E7F91">
        <w:rPr>
          <w:rFonts w:asciiTheme="minorHAnsi" w:hAnsiTheme="minorHAnsi"/>
          <w:bCs/>
          <w:snapToGrid w:val="0"/>
        </w:rPr>
        <w:t>8.2</w:t>
      </w:r>
      <w:r>
        <w:rPr>
          <w:rFonts w:asciiTheme="minorHAnsi" w:hAnsiTheme="minorHAnsi"/>
          <w:bCs/>
          <w:snapToGrid w:val="0"/>
        </w:rPr>
        <w:fldChar w:fldCharType="end"/>
      </w:r>
      <w:r>
        <w:rPr>
          <w:rFonts w:asciiTheme="minorHAnsi" w:hAnsiTheme="minorHAnsi"/>
          <w:bCs/>
          <w:snapToGrid w:val="0"/>
        </w:rPr>
        <w:t xml:space="preserve"> to </w:t>
      </w:r>
      <w:r w:rsidR="00243C12">
        <w:rPr>
          <w:rFonts w:asciiTheme="minorHAnsi" w:hAnsiTheme="minorHAnsi"/>
          <w:bCs/>
          <w:snapToGrid w:val="0"/>
        </w:rPr>
        <w:fldChar w:fldCharType="begin"/>
      </w:r>
      <w:r w:rsidR="00243C12">
        <w:rPr>
          <w:rFonts w:asciiTheme="minorHAnsi" w:hAnsiTheme="minorHAnsi"/>
          <w:bCs/>
          <w:snapToGrid w:val="0"/>
        </w:rPr>
        <w:instrText xml:space="preserve"> REF _Ref172540721 \r \h </w:instrText>
      </w:r>
      <w:r w:rsidR="00821545">
        <w:rPr>
          <w:rFonts w:asciiTheme="minorHAnsi" w:hAnsiTheme="minorHAnsi"/>
          <w:bCs/>
          <w:snapToGrid w:val="0"/>
        </w:rPr>
        <w:instrText xml:space="preserve"> \* MERGEFORMAT </w:instrText>
      </w:r>
      <w:r w:rsidR="00243C12">
        <w:rPr>
          <w:rFonts w:asciiTheme="minorHAnsi" w:hAnsiTheme="minorHAnsi"/>
          <w:bCs/>
          <w:snapToGrid w:val="0"/>
        </w:rPr>
      </w:r>
      <w:r w:rsidR="00243C12">
        <w:rPr>
          <w:rFonts w:asciiTheme="minorHAnsi" w:hAnsiTheme="minorHAnsi"/>
          <w:bCs/>
          <w:snapToGrid w:val="0"/>
        </w:rPr>
        <w:fldChar w:fldCharType="separate"/>
      </w:r>
      <w:r w:rsidR="002E7F91">
        <w:rPr>
          <w:rFonts w:asciiTheme="minorHAnsi" w:hAnsiTheme="minorHAnsi"/>
          <w:bCs/>
          <w:snapToGrid w:val="0"/>
        </w:rPr>
        <w:t>8.5</w:t>
      </w:r>
      <w:r w:rsidR="00243C12">
        <w:rPr>
          <w:rFonts w:asciiTheme="minorHAnsi" w:hAnsiTheme="minorHAnsi"/>
          <w:bCs/>
          <w:snapToGrid w:val="0"/>
        </w:rPr>
        <w:fldChar w:fldCharType="end"/>
      </w:r>
      <w:r>
        <w:rPr>
          <w:rFonts w:asciiTheme="minorHAnsi" w:hAnsiTheme="minorHAnsi"/>
          <w:bCs/>
          <w:snapToGrid w:val="0"/>
        </w:rPr>
        <w:t xml:space="preserve">. </w:t>
      </w:r>
    </w:p>
    <w:p w14:paraId="2CC291F5" w14:textId="332B0480" w:rsidR="009369B1" w:rsidRPr="00A65087" w:rsidRDefault="009369B1" w:rsidP="00821545">
      <w:pPr>
        <w:widowControl w:val="0"/>
        <w:numPr>
          <w:ilvl w:val="1"/>
          <w:numId w:val="1"/>
        </w:numPr>
        <w:spacing w:after="120"/>
        <w:ind w:left="720" w:hanging="720"/>
        <w:rPr>
          <w:rFonts w:asciiTheme="minorHAnsi" w:hAnsiTheme="minorHAnsi"/>
          <w:bCs/>
          <w:snapToGrid w:val="0"/>
        </w:rPr>
      </w:pPr>
      <w:r w:rsidRPr="00A65087">
        <w:rPr>
          <w:rFonts w:asciiTheme="minorHAnsi" w:hAnsiTheme="minorHAnsi"/>
          <w:bCs/>
          <w:snapToGrid w:val="0"/>
        </w:rPr>
        <w:t xml:space="preserve">The PBAC noted that its recommendation was on a cost-minimisation basis and advised that, because </w:t>
      </w:r>
      <w:r>
        <w:rPr>
          <w:rFonts w:asciiTheme="minorHAnsi" w:hAnsiTheme="minorHAnsi"/>
          <w:bCs/>
          <w:snapToGrid w:val="0"/>
        </w:rPr>
        <w:t>iptacopan</w:t>
      </w:r>
      <w:r w:rsidRPr="00A65087">
        <w:rPr>
          <w:rFonts w:asciiTheme="minorHAnsi" w:hAnsiTheme="minorHAnsi"/>
          <w:bCs/>
          <w:snapToGrid w:val="0"/>
        </w:rPr>
        <w:t xml:space="preserve"> is not expected to provide a substantial and clinically relevant improvement in efficacy, or reduction of toxicity, over </w:t>
      </w:r>
      <w:r>
        <w:rPr>
          <w:rFonts w:asciiTheme="minorHAnsi" w:hAnsiTheme="minorHAnsi"/>
          <w:bCs/>
          <w:snapToGrid w:val="0"/>
        </w:rPr>
        <w:t>pegcetacoplan</w:t>
      </w:r>
      <w:r w:rsidRPr="00A65087">
        <w:rPr>
          <w:rFonts w:asciiTheme="minorHAnsi" w:hAnsiTheme="minorHAnsi"/>
          <w:bCs/>
          <w:snapToGrid w:val="0"/>
        </w:rPr>
        <w:t xml:space="preserve">, or not expected to address a high and urgent unmet clinical need given the presence of an alternative therapy, the criteria prescribed by the </w:t>
      </w:r>
      <w:r w:rsidRPr="00A65087">
        <w:rPr>
          <w:rFonts w:asciiTheme="minorHAnsi" w:hAnsiTheme="minorHAnsi"/>
          <w:bCs/>
          <w:i/>
          <w:iCs/>
          <w:snapToGrid w:val="0"/>
        </w:rPr>
        <w:t>National Health (Pharmaceuticals and Vaccines – Cost Recovery) Regulations 2022</w:t>
      </w:r>
      <w:r w:rsidRPr="00A65087">
        <w:rPr>
          <w:rFonts w:asciiTheme="minorHAnsi" w:hAnsiTheme="minorHAnsi"/>
          <w:bCs/>
          <w:snapToGrid w:val="0"/>
        </w:rPr>
        <w:t xml:space="preserve"> for Pricing Pathway A were not met.</w:t>
      </w:r>
    </w:p>
    <w:p w14:paraId="38AFE508" w14:textId="42EDC5BE" w:rsidR="00833323" w:rsidRPr="009369B1" w:rsidRDefault="009369B1" w:rsidP="00833323">
      <w:pPr>
        <w:widowControl w:val="0"/>
        <w:numPr>
          <w:ilvl w:val="1"/>
          <w:numId w:val="1"/>
        </w:numPr>
        <w:spacing w:after="120"/>
        <w:ind w:left="720" w:hanging="720"/>
        <w:rPr>
          <w:rFonts w:asciiTheme="minorHAnsi" w:hAnsiTheme="minorHAnsi"/>
          <w:bCs/>
          <w:snapToGrid w:val="0"/>
        </w:rPr>
      </w:pPr>
      <w:r w:rsidRPr="00A65087">
        <w:rPr>
          <w:rFonts w:asciiTheme="minorHAnsi" w:hAnsiTheme="minorHAnsi"/>
          <w:bCs/>
          <w:snapToGrid w:val="0"/>
        </w:rPr>
        <w:t xml:space="preserve">The PBAC noted that this submission is not eligible for an Independent Review as it received a positive recommendation. </w:t>
      </w:r>
    </w:p>
    <w:p w14:paraId="4EF243BD" w14:textId="77777777" w:rsidR="00833323" w:rsidRPr="00D13EC8" w:rsidRDefault="00833323" w:rsidP="00833323">
      <w:pPr>
        <w:spacing w:before="240"/>
        <w:rPr>
          <w:rFonts w:asciiTheme="minorHAnsi" w:hAnsiTheme="minorHAnsi"/>
          <w:b/>
          <w:bCs/>
          <w:snapToGrid w:val="0"/>
          <w:lang w:val="en-GB" w:eastAsia="en-US"/>
        </w:rPr>
      </w:pPr>
      <w:r w:rsidRPr="00D13EC8">
        <w:rPr>
          <w:rFonts w:asciiTheme="minorHAnsi" w:hAnsiTheme="minorHAnsi"/>
          <w:b/>
          <w:bCs/>
          <w:snapToGrid w:val="0"/>
          <w:lang w:val="en-GB" w:eastAsia="en-US"/>
        </w:rPr>
        <w:t>Outcome:</w:t>
      </w:r>
    </w:p>
    <w:p w14:paraId="6C1F2217" w14:textId="5EBF8BE3" w:rsidR="00833323" w:rsidRPr="009369B1" w:rsidRDefault="00833323" w:rsidP="009369B1">
      <w:pPr>
        <w:spacing w:after="120"/>
        <w:rPr>
          <w:rFonts w:asciiTheme="minorHAnsi" w:hAnsiTheme="minorHAnsi"/>
          <w:bCs/>
          <w:snapToGrid w:val="0"/>
          <w:lang w:val="en-GB" w:eastAsia="en-US"/>
        </w:rPr>
      </w:pPr>
      <w:r w:rsidRPr="00D13EC8">
        <w:rPr>
          <w:rFonts w:asciiTheme="minorHAnsi" w:hAnsiTheme="minorHAnsi"/>
          <w:bCs/>
          <w:snapToGrid w:val="0"/>
          <w:lang w:val="en-GB" w:eastAsia="en-US"/>
        </w:rPr>
        <w:t>Recommended</w:t>
      </w:r>
    </w:p>
    <w:bookmarkEnd w:id="67"/>
    <w:p w14:paraId="3CF8C179" w14:textId="77777777" w:rsidR="00833323" w:rsidRPr="00B430EA" w:rsidRDefault="00833323" w:rsidP="00B430EA">
      <w:pPr>
        <w:pStyle w:val="COMH1numbered"/>
        <w:numPr>
          <w:ilvl w:val="0"/>
          <w:numId w:val="1"/>
        </w:numPr>
      </w:pPr>
      <w:r w:rsidRPr="00B430EA">
        <w:lastRenderedPageBreak/>
        <w:t>Recommended listing</w:t>
      </w:r>
    </w:p>
    <w:p w14:paraId="2E232203" w14:textId="0691DB62" w:rsidR="00833323" w:rsidRPr="002C6140" w:rsidRDefault="006F5DD0" w:rsidP="00833323">
      <w:pPr>
        <w:widowControl w:val="0"/>
        <w:numPr>
          <w:ilvl w:val="1"/>
          <w:numId w:val="1"/>
        </w:numPr>
        <w:spacing w:after="120"/>
        <w:ind w:left="720" w:hanging="720"/>
        <w:contextualSpacing/>
        <w:jc w:val="left"/>
        <w:rPr>
          <w:rFonts w:asciiTheme="minorHAnsi" w:hAnsiTheme="minorHAnsi"/>
          <w:b/>
          <w:bCs/>
          <w:snapToGrid w:val="0"/>
          <w:lang w:eastAsia="en-US"/>
        </w:rPr>
      </w:pPr>
      <w:r>
        <w:rPr>
          <w:rFonts w:asciiTheme="minorHAnsi" w:hAnsiTheme="minorHAnsi"/>
          <w:bCs/>
          <w:snapToGrid w:val="0"/>
          <w:lang w:eastAsia="en-US"/>
        </w:rPr>
        <w:t>Add new item</w:t>
      </w:r>
      <w:r w:rsidR="00833323" w:rsidRPr="00D13EC8">
        <w:rPr>
          <w:rFonts w:asciiTheme="minorHAnsi" w:hAnsiTheme="minorHAnsi"/>
          <w:bCs/>
          <w:snapToGrid w:val="0"/>
          <w:lang w:eastAsia="en-US"/>
        </w:rPr>
        <w:t>:</w:t>
      </w:r>
    </w:p>
    <w:tbl>
      <w:tblPr>
        <w:tblW w:w="512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784"/>
        <w:gridCol w:w="985"/>
        <w:gridCol w:w="2409"/>
        <w:gridCol w:w="850"/>
        <w:gridCol w:w="851"/>
        <w:gridCol w:w="850"/>
        <w:gridCol w:w="1726"/>
      </w:tblGrid>
      <w:tr w:rsidR="002C6140" w:rsidRPr="00A473B4" w14:paraId="30D714FF" w14:textId="77777777" w:rsidTr="00BF35A5">
        <w:trPr>
          <w:cantSplit/>
          <w:trHeight w:val="20"/>
        </w:trPr>
        <w:tc>
          <w:tcPr>
            <w:tcW w:w="2548" w:type="dxa"/>
            <w:gridSpan w:val="3"/>
            <w:tcBorders>
              <w:top w:val="single" w:sz="4" w:space="0" w:color="auto"/>
              <w:left w:val="single" w:sz="4" w:space="0" w:color="auto"/>
              <w:bottom w:val="single" w:sz="4" w:space="0" w:color="auto"/>
              <w:right w:val="single" w:sz="4" w:space="0" w:color="auto"/>
            </w:tcBorders>
            <w:vAlign w:val="center"/>
          </w:tcPr>
          <w:p w14:paraId="268C6C78" w14:textId="77777777" w:rsidR="002C6140" w:rsidRPr="00A473B4" w:rsidRDefault="002C6140" w:rsidP="00B430EA">
            <w:pPr>
              <w:rPr>
                <w:rFonts w:ascii="Arial Narrow" w:hAnsi="Arial Narrow"/>
                <w:b/>
                <w:bCs/>
                <w:sz w:val="20"/>
                <w:szCs w:val="20"/>
              </w:rPr>
            </w:pPr>
            <w:r w:rsidRPr="00A473B4">
              <w:rPr>
                <w:rFonts w:ascii="Arial Narrow" w:hAnsi="Arial Narrow"/>
                <w:b/>
                <w:bCs/>
                <w:sz w:val="20"/>
                <w:szCs w:val="20"/>
              </w:rPr>
              <w:t>MEDICINAL PRODUCT</w:t>
            </w:r>
          </w:p>
          <w:p w14:paraId="742A0511" w14:textId="77777777" w:rsidR="002C6140" w:rsidRPr="00E02CCC" w:rsidRDefault="002C6140" w:rsidP="00B430EA">
            <w:pPr>
              <w:rPr>
                <w:rFonts w:ascii="Arial Narrow" w:hAnsi="Arial Narrow"/>
                <w:b/>
                <w:bCs/>
                <w:sz w:val="20"/>
                <w:szCs w:val="20"/>
              </w:rPr>
            </w:pPr>
            <w:r w:rsidRPr="00A473B4">
              <w:rPr>
                <w:rFonts w:ascii="Arial Narrow" w:hAnsi="Arial Narrow"/>
                <w:b/>
                <w:bCs/>
                <w:sz w:val="20"/>
                <w:szCs w:val="20"/>
              </w:rPr>
              <w:t>medicinal product pack</w:t>
            </w:r>
          </w:p>
        </w:tc>
        <w:tc>
          <w:tcPr>
            <w:tcW w:w="2409" w:type="dxa"/>
            <w:tcBorders>
              <w:top w:val="single" w:sz="4" w:space="0" w:color="auto"/>
              <w:left w:val="single" w:sz="4" w:space="0" w:color="auto"/>
              <w:bottom w:val="single" w:sz="4" w:space="0" w:color="auto"/>
              <w:right w:val="single" w:sz="4" w:space="0" w:color="auto"/>
            </w:tcBorders>
            <w:vAlign w:val="center"/>
          </w:tcPr>
          <w:p w14:paraId="0B115657" w14:textId="77777777" w:rsidR="002C6140" w:rsidRPr="00E02CCC" w:rsidRDefault="002C6140" w:rsidP="00B430EA">
            <w:pPr>
              <w:pStyle w:val="COMTabletext"/>
              <w:keepNext w:val="0"/>
              <w:jc w:val="center"/>
              <w:rPr>
                <w:b/>
                <w:bCs w:val="0"/>
                <w:snapToGrid w:val="0"/>
              </w:rPr>
            </w:pPr>
            <w:r>
              <w:rPr>
                <w:b/>
                <w:bCs w:val="0"/>
                <w:snapToGrid w:val="0"/>
              </w:rPr>
              <w:t>PBS item code</w:t>
            </w:r>
          </w:p>
        </w:tc>
        <w:tc>
          <w:tcPr>
            <w:tcW w:w="850" w:type="dxa"/>
            <w:tcBorders>
              <w:top w:val="single" w:sz="4" w:space="0" w:color="auto"/>
              <w:left w:val="single" w:sz="4" w:space="0" w:color="auto"/>
              <w:bottom w:val="single" w:sz="4" w:space="0" w:color="auto"/>
              <w:right w:val="single" w:sz="4" w:space="0" w:color="auto"/>
            </w:tcBorders>
            <w:vAlign w:val="center"/>
          </w:tcPr>
          <w:p w14:paraId="3329F025" w14:textId="77777777" w:rsidR="002C6140" w:rsidRPr="00A473B4" w:rsidRDefault="002C6140" w:rsidP="00B430EA">
            <w:pPr>
              <w:jc w:val="center"/>
              <w:rPr>
                <w:rFonts w:ascii="Arial Narrow" w:hAnsi="Arial Narrow"/>
                <w:b/>
                <w:sz w:val="20"/>
                <w:szCs w:val="20"/>
              </w:rPr>
            </w:pPr>
            <w:r w:rsidRPr="00A473B4">
              <w:rPr>
                <w:rFonts w:ascii="Arial Narrow" w:hAnsi="Arial Narrow"/>
                <w:b/>
                <w:sz w:val="20"/>
                <w:szCs w:val="20"/>
              </w:rPr>
              <w:t>Max. qty packs</w:t>
            </w:r>
          </w:p>
        </w:tc>
        <w:tc>
          <w:tcPr>
            <w:tcW w:w="851" w:type="dxa"/>
            <w:tcBorders>
              <w:top w:val="single" w:sz="4" w:space="0" w:color="auto"/>
              <w:left w:val="single" w:sz="4" w:space="0" w:color="auto"/>
              <w:bottom w:val="single" w:sz="4" w:space="0" w:color="auto"/>
              <w:right w:val="single" w:sz="4" w:space="0" w:color="auto"/>
            </w:tcBorders>
            <w:vAlign w:val="center"/>
          </w:tcPr>
          <w:p w14:paraId="6AEE792E" w14:textId="77777777" w:rsidR="002C6140" w:rsidRPr="00A473B4" w:rsidRDefault="002C6140" w:rsidP="00B430EA">
            <w:pPr>
              <w:jc w:val="center"/>
              <w:rPr>
                <w:rFonts w:ascii="Arial Narrow" w:hAnsi="Arial Narrow"/>
                <w:b/>
                <w:sz w:val="20"/>
                <w:szCs w:val="20"/>
              </w:rPr>
            </w:pPr>
            <w:r w:rsidRPr="00A473B4">
              <w:rPr>
                <w:rFonts w:ascii="Arial Narrow" w:hAnsi="Arial Narrow"/>
                <w:b/>
                <w:sz w:val="20"/>
                <w:szCs w:val="20"/>
              </w:rPr>
              <w:t>Max. qty units</w:t>
            </w:r>
          </w:p>
        </w:tc>
        <w:tc>
          <w:tcPr>
            <w:tcW w:w="850" w:type="dxa"/>
            <w:tcBorders>
              <w:top w:val="single" w:sz="4" w:space="0" w:color="auto"/>
              <w:left w:val="single" w:sz="4" w:space="0" w:color="auto"/>
              <w:bottom w:val="single" w:sz="4" w:space="0" w:color="auto"/>
              <w:right w:val="single" w:sz="4" w:space="0" w:color="auto"/>
            </w:tcBorders>
            <w:vAlign w:val="center"/>
          </w:tcPr>
          <w:p w14:paraId="59ABCD53" w14:textId="77777777" w:rsidR="002C6140" w:rsidRPr="00A473B4" w:rsidRDefault="002C6140" w:rsidP="00B430EA">
            <w:pPr>
              <w:jc w:val="center"/>
              <w:rPr>
                <w:rFonts w:ascii="Arial Narrow" w:hAnsi="Arial Narrow"/>
                <w:b/>
                <w:sz w:val="20"/>
                <w:szCs w:val="20"/>
              </w:rPr>
            </w:pPr>
            <w:r w:rsidRPr="00A473B4">
              <w:rPr>
                <w:rFonts w:ascii="Arial Narrow" w:hAnsi="Arial Narrow"/>
                <w:b/>
                <w:sz w:val="20"/>
                <w:szCs w:val="20"/>
              </w:rPr>
              <w:t>№.of</w:t>
            </w:r>
          </w:p>
          <w:p w14:paraId="2EF0CD7C" w14:textId="77777777" w:rsidR="002C6140" w:rsidRPr="00A473B4" w:rsidRDefault="002C6140" w:rsidP="00B430EA">
            <w:pPr>
              <w:jc w:val="center"/>
              <w:rPr>
                <w:rFonts w:ascii="Arial Narrow" w:hAnsi="Arial Narrow"/>
                <w:b/>
                <w:sz w:val="20"/>
                <w:szCs w:val="20"/>
              </w:rPr>
            </w:pPr>
            <w:r w:rsidRPr="00A473B4">
              <w:rPr>
                <w:rFonts w:ascii="Arial Narrow" w:hAnsi="Arial Narrow"/>
                <w:b/>
                <w:sz w:val="20"/>
                <w:szCs w:val="20"/>
              </w:rPr>
              <w:t>Rpts</w:t>
            </w:r>
          </w:p>
        </w:tc>
        <w:tc>
          <w:tcPr>
            <w:tcW w:w="1726" w:type="dxa"/>
            <w:tcBorders>
              <w:top w:val="single" w:sz="4" w:space="0" w:color="auto"/>
              <w:left w:val="single" w:sz="4" w:space="0" w:color="auto"/>
              <w:bottom w:val="single" w:sz="4" w:space="0" w:color="auto"/>
              <w:right w:val="single" w:sz="4" w:space="0" w:color="auto"/>
            </w:tcBorders>
            <w:vAlign w:val="center"/>
          </w:tcPr>
          <w:p w14:paraId="6707C9D6" w14:textId="77777777" w:rsidR="002C6140" w:rsidRPr="00E02CCC" w:rsidRDefault="002C6140" w:rsidP="00B430EA">
            <w:pPr>
              <w:jc w:val="center"/>
              <w:rPr>
                <w:rFonts w:ascii="Arial Narrow" w:hAnsi="Arial Narrow"/>
                <w:b/>
                <w:sz w:val="20"/>
                <w:szCs w:val="20"/>
              </w:rPr>
            </w:pPr>
            <w:r w:rsidRPr="00A473B4">
              <w:rPr>
                <w:rFonts w:ascii="Arial Narrow" w:hAnsi="Arial Narrow"/>
                <w:b/>
                <w:sz w:val="20"/>
                <w:szCs w:val="20"/>
              </w:rPr>
              <w:t>Available brands</w:t>
            </w:r>
          </w:p>
        </w:tc>
      </w:tr>
      <w:tr w:rsidR="002C6140" w:rsidRPr="001E4A10" w14:paraId="200D79BA" w14:textId="77777777" w:rsidTr="00BF35A5">
        <w:trPr>
          <w:cantSplit/>
          <w:trHeight w:val="20"/>
        </w:trPr>
        <w:tc>
          <w:tcPr>
            <w:tcW w:w="9234" w:type="dxa"/>
            <w:gridSpan w:val="8"/>
            <w:vAlign w:val="center"/>
          </w:tcPr>
          <w:p w14:paraId="464D56F3" w14:textId="77777777" w:rsidR="002C6140" w:rsidRPr="001E4A10" w:rsidRDefault="002C6140" w:rsidP="00B430EA">
            <w:pPr>
              <w:pStyle w:val="COMTabletext"/>
              <w:keepNext w:val="0"/>
              <w:rPr>
                <w:rFonts w:cs="Arial"/>
                <w:b/>
                <w:bCs w:val="0"/>
                <w:szCs w:val="20"/>
              </w:rPr>
            </w:pPr>
            <w:r w:rsidRPr="001E4A10">
              <w:rPr>
                <w:b/>
                <w:bCs w:val="0"/>
                <w:smallCaps/>
              </w:rPr>
              <w:t>Iptacopan</w:t>
            </w:r>
            <w:r w:rsidRPr="001E4A10">
              <w:rPr>
                <w:rFonts w:cs="Arial"/>
                <w:b/>
                <w:bCs w:val="0"/>
                <w:szCs w:val="20"/>
              </w:rPr>
              <w:t xml:space="preserve"> </w:t>
            </w:r>
          </w:p>
        </w:tc>
      </w:tr>
      <w:tr w:rsidR="002C6140" w:rsidRPr="00A473B4" w14:paraId="2C5D3439" w14:textId="77777777" w:rsidTr="00BF35A5">
        <w:trPr>
          <w:cantSplit/>
          <w:trHeight w:val="20"/>
        </w:trPr>
        <w:tc>
          <w:tcPr>
            <w:tcW w:w="2548" w:type="dxa"/>
            <w:gridSpan w:val="3"/>
            <w:vAlign w:val="center"/>
          </w:tcPr>
          <w:p w14:paraId="4003990E" w14:textId="77777777" w:rsidR="002C6140" w:rsidRPr="00A473B4" w:rsidRDefault="002C6140" w:rsidP="00B430EA">
            <w:pPr>
              <w:pStyle w:val="COMTabletext"/>
              <w:keepNext w:val="0"/>
              <w:rPr>
                <w:szCs w:val="20"/>
              </w:rPr>
            </w:pPr>
            <w:r>
              <w:t>iptacopan 200 mg capsule, 56</w:t>
            </w:r>
          </w:p>
        </w:tc>
        <w:tc>
          <w:tcPr>
            <w:tcW w:w="2409" w:type="dxa"/>
          </w:tcPr>
          <w:p w14:paraId="651388AC" w14:textId="77777777" w:rsidR="002C6140" w:rsidRPr="00A473B4" w:rsidRDefault="002C6140" w:rsidP="00B430EA">
            <w:pPr>
              <w:pStyle w:val="COMTabletext"/>
              <w:keepNext w:val="0"/>
              <w:jc w:val="center"/>
              <w:rPr>
                <w:szCs w:val="20"/>
              </w:rPr>
            </w:pPr>
            <w:r>
              <w:t>NEW</w:t>
            </w:r>
          </w:p>
        </w:tc>
        <w:tc>
          <w:tcPr>
            <w:tcW w:w="850" w:type="dxa"/>
            <w:vAlign w:val="center"/>
          </w:tcPr>
          <w:p w14:paraId="396F1F7A" w14:textId="77777777" w:rsidR="002C6140" w:rsidRPr="00A473B4" w:rsidRDefault="002C6140" w:rsidP="00B430EA">
            <w:pPr>
              <w:jc w:val="center"/>
              <w:rPr>
                <w:rFonts w:ascii="Arial Narrow" w:hAnsi="Arial Narrow"/>
                <w:sz w:val="20"/>
                <w:szCs w:val="20"/>
              </w:rPr>
            </w:pPr>
            <w:r>
              <w:rPr>
                <w:rFonts w:ascii="Arial Narrow" w:hAnsi="Arial Narrow"/>
                <w:sz w:val="20"/>
              </w:rPr>
              <w:t>1</w:t>
            </w:r>
          </w:p>
        </w:tc>
        <w:tc>
          <w:tcPr>
            <w:tcW w:w="851" w:type="dxa"/>
            <w:vAlign w:val="center"/>
          </w:tcPr>
          <w:p w14:paraId="771761DC" w14:textId="77777777" w:rsidR="002C6140" w:rsidRPr="00A473B4" w:rsidRDefault="002C6140" w:rsidP="00B430EA">
            <w:pPr>
              <w:jc w:val="center"/>
              <w:rPr>
                <w:rFonts w:ascii="Arial Narrow" w:hAnsi="Arial Narrow"/>
                <w:sz w:val="20"/>
                <w:szCs w:val="20"/>
              </w:rPr>
            </w:pPr>
            <w:r>
              <w:rPr>
                <w:rFonts w:ascii="Arial Narrow" w:hAnsi="Arial Narrow"/>
                <w:sz w:val="20"/>
              </w:rPr>
              <w:t>56</w:t>
            </w:r>
          </w:p>
        </w:tc>
        <w:tc>
          <w:tcPr>
            <w:tcW w:w="850" w:type="dxa"/>
            <w:vAlign w:val="center"/>
          </w:tcPr>
          <w:p w14:paraId="57122D41" w14:textId="77777777" w:rsidR="002C6140" w:rsidRPr="00977932" w:rsidRDefault="002C6140" w:rsidP="00B430EA">
            <w:pPr>
              <w:jc w:val="center"/>
              <w:rPr>
                <w:rFonts w:ascii="Arial Narrow" w:hAnsi="Arial Narrow"/>
                <w:strike/>
                <w:sz w:val="20"/>
                <w:szCs w:val="20"/>
              </w:rPr>
            </w:pPr>
            <w:r w:rsidRPr="00977932">
              <w:rPr>
                <w:rFonts w:ascii="Arial Narrow" w:hAnsi="Arial Narrow"/>
                <w:sz w:val="20"/>
              </w:rPr>
              <w:t>5</w:t>
            </w:r>
          </w:p>
        </w:tc>
        <w:tc>
          <w:tcPr>
            <w:tcW w:w="1726" w:type="dxa"/>
            <w:vAlign w:val="center"/>
          </w:tcPr>
          <w:p w14:paraId="6F5F0C06" w14:textId="77777777" w:rsidR="002C6140" w:rsidRPr="00A473B4" w:rsidRDefault="002C6140" w:rsidP="00B430EA">
            <w:pPr>
              <w:jc w:val="center"/>
              <w:rPr>
                <w:rFonts w:ascii="Arial Narrow" w:hAnsi="Arial Narrow"/>
                <w:sz w:val="20"/>
                <w:szCs w:val="20"/>
              </w:rPr>
            </w:pPr>
            <w:r>
              <w:rPr>
                <w:rFonts w:ascii="Arial Narrow" w:hAnsi="Arial Narrow"/>
                <w:sz w:val="20"/>
                <w:szCs w:val="20"/>
              </w:rPr>
              <w:t>Fabhalta</w:t>
            </w:r>
          </w:p>
        </w:tc>
      </w:tr>
      <w:tr w:rsidR="002C6140" w:rsidRPr="00A473B4" w14:paraId="0C37983B" w14:textId="77777777" w:rsidTr="00BF35A5">
        <w:trPr>
          <w:cantSplit/>
          <w:trHeight w:val="20"/>
        </w:trPr>
        <w:tc>
          <w:tcPr>
            <w:tcW w:w="9234" w:type="dxa"/>
            <w:gridSpan w:val="8"/>
            <w:vAlign w:val="center"/>
          </w:tcPr>
          <w:p w14:paraId="0EA933DF" w14:textId="77777777" w:rsidR="002C6140" w:rsidRDefault="002C6140" w:rsidP="00B430EA">
            <w:pPr>
              <w:jc w:val="center"/>
              <w:rPr>
                <w:rFonts w:ascii="Arial Narrow" w:hAnsi="Arial Narrow"/>
                <w:sz w:val="20"/>
                <w:szCs w:val="20"/>
              </w:rPr>
            </w:pPr>
          </w:p>
        </w:tc>
      </w:tr>
      <w:tr w:rsidR="002C6140" w:rsidRPr="00A473B4" w14:paraId="2D468E5F" w14:textId="77777777" w:rsidTr="00BF35A5">
        <w:trPr>
          <w:cantSplit/>
          <w:trHeight w:val="20"/>
        </w:trPr>
        <w:tc>
          <w:tcPr>
            <w:tcW w:w="9234" w:type="dxa"/>
            <w:gridSpan w:val="8"/>
            <w:vAlign w:val="center"/>
          </w:tcPr>
          <w:p w14:paraId="4BD7B4F9" w14:textId="77777777" w:rsidR="002C6140" w:rsidRPr="00B27C8C" w:rsidRDefault="002C6140" w:rsidP="00B430EA">
            <w:pPr>
              <w:rPr>
                <w:rFonts w:ascii="Arial Narrow" w:hAnsi="Arial Narrow"/>
                <w:b/>
                <w:bCs/>
                <w:sz w:val="20"/>
                <w:szCs w:val="20"/>
              </w:rPr>
            </w:pPr>
            <w:r w:rsidRPr="00B27C8C">
              <w:rPr>
                <w:rFonts w:ascii="Arial Narrow" w:hAnsi="Arial Narrow"/>
                <w:b/>
                <w:bCs/>
                <w:sz w:val="20"/>
                <w:szCs w:val="20"/>
              </w:rPr>
              <w:t>Restriction Summary [new</w:t>
            </w:r>
            <w:r>
              <w:rPr>
                <w:rFonts w:ascii="Arial Narrow" w:hAnsi="Arial Narrow"/>
                <w:b/>
                <w:bCs/>
                <w:sz w:val="20"/>
                <w:szCs w:val="20"/>
              </w:rPr>
              <w:t xml:space="preserve"> 1</w:t>
            </w:r>
            <w:r w:rsidRPr="00B27C8C">
              <w:rPr>
                <w:rFonts w:ascii="Arial Narrow" w:hAnsi="Arial Narrow"/>
                <w:b/>
                <w:bCs/>
                <w:sz w:val="20"/>
                <w:szCs w:val="20"/>
              </w:rPr>
              <w:t>] / Treatment of Concept: [new</w:t>
            </w:r>
            <w:r>
              <w:rPr>
                <w:rFonts w:ascii="Arial Narrow" w:hAnsi="Arial Narrow"/>
                <w:b/>
                <w:bCs/>
                <w:sz w:val="20"/>
                <w:szCs w:val="20"/>
              </w:rPr>
              <w:t xml:space="preserve"> 2</w:t>
            </w:r>
            <w:r w:rsidRPr="00B27C8C">
              <w:rPr>
                <w:rFonts w:ascii="Arial Narrow" w:hAnsi="Arial Narrow"/>
                <w:b/>
                <w:bCs/>
                <w:sz w:val="20"/>
                <w:szCs w:val="20"/>
              </w:rPr>
              <w:t>]</w:t>
            </w:r>
          </w:p>
        </w:tc>
      </w:tr>
      <w:tr w:rsidR="002C6140" w:rsidRPr="00A473B4" w14:paraId="33A9B34A" w14:textId="77777777" w:rsidTr="00BF35A5">
        <w:trPr>
          <w:cantSplit/>
          <w:trHeight w:val="20"/>
        </w:trPr>
        <w:tc>
          <w:tcPr>
            <w:tcW w:w="1563" w:type="dxa"/>
            <w:gridSpan w:val="2"/>
            <w:vMerge w:val="restart"/>
            <w:vAlign w:val="center"/>
          </w:tcPr>
          <w:p w14:paraId="06D0AB28" w14:textId="4D07D6D3" w:rsidR="002C6140" w:rsidRDefault="002C6140" w:rsidP="00B430EA">
            <w:pPr>
              <w:jc w:val="center"/>
              <w:rPr>
                <w:rFonts w:ascii="Arial Narrow" w:hAnsi="Arial Narrow"/>
                <w:sz w:val="20"/>
                <w:szCs w:val="20"/>
              </w:rPr>
            </w:pPr>
          </w:p>
        </w:tc>
        <w:tc>
          <w:tcPr>
            <w:tcW w:w="7671" w:type="dxa"/>
            <w:gridSpan w:val="6"/>
          </w:tcPr>
          <w:p w14:paraId="0E42CC71" w14:textId="77777777" w:rsidR="002C6140" w:rsidRPr="009E7795" w:rsidRDefault="002C6140" w:rsidP="00B430EA">
            <w:pPr>
              <w:rPr>
                <w:rFonts w:ascii="Arial Narrow" w:hAnsi="Arial Narrow"/>
                <w:sz w:val="20"/>
                <w:szCs w:val="20"/>
              </w:rPr>
            </w:pPr>
            <w:r w:rsidRPr="009E7795">
              <w:rPr>
                <w:rFonts w:ascii="Arial Narrow" w:hAnsi="Arial Narrow"/>
                <w:b/>
                <w:sz w:val="20"/>
                <w:szCs w:val="20"/>
              </w:rPr>
              <w:t xml:space="preserve">Category / Program: </w:t>
            </w:r>
            <w:r>
              <w:rPr>
                <w:rFonts w:ascii="Arial Narrow" w:hAnsi="Arial Narrow"/>
                <w:sz w:val="20"/>
                <w:szCs w:val="20"/>
              </w:rPr>
              <w:t xml:space="preserve">S85 </w:t>
            </w:r>
            <w:r w:rsidRPr="009E7795">
              <w:rPr>
                <w:rFonts w:ascii="Arial Narrow" w:hAnsi="Arial Narrow"/>
                <w:sz w:val="20"/>
                <w:szCs w:val="20"/>
              </w:rPr>
              <w:t>General schedule</w:t>
            </w:r>
            <w:r>
              <w:rPr>
                <w:rFonts w:ascii="Arial Narrow" w:hAnsi="Arial Narrow"/>
                <w:sz w:val="20"/>
                <w:szCs w:val="20"/>
              </w:rPr>
              <w:t xml:space="preserve"> </w:t>
            </w:r>
            <w:r w:rsidRPr="009E7795">
              <w:rPr>
                <w:rFonts w:ascii="Arial Narrow" w:hAnsi="Arial Narrow"/>
                <w:sz w:val="20"/>
                <w:szCs w:val="20"/>
              </w:rPr>
              <w:t>(code:</w:t>
            </w:r>
            <w:r>
              <w:rPr>
                <w:rFonts w:ascii="Arial Narrow" w:hAnsi="Arial Narrow"/>
                <w:sz w:val="20"/>
                <w:szCs w:val="20"/>
              </w:rPr>
              <w:t xml:space="preserve"> </w:t>
            </w:r>
            <w:r w:rsidRPr="009E7795">
              <w:rPr>
                <w:rFonts w:ascii="Arial Narrow" w:hAnsi="Arial Narrow"/>
                <w:sz w:val="20"/>
                <w:szCs w:val="20"/>
              </w:rPr>
              <w:t>GE)</w:t>
            </w:r>
          </w:p>
        </w:tc>
      </w:tr>
      <w:tr w:rsidR="002C6140" w:rsidRPr="00A473B4" w14:paraId="63E56DD2" w14:textId="77777777" w:rsidTr="00BF35A5">
        <w:trPr>
          <w:cantSplit/>
          <w:trHeight w:val="20"/>
        </w:trPr>
        <w:tc>
          <w:tcPr>
            <w:tcW w:w="1563" w:type="dxa"/>
            <w:gridSpan w:val="2"/>
            <w:vMerge/>
            <w:vAlign w:val="center"/>
          </w:tcPr>
          <w:p w14:paraId="104FE61E" w14:textId="77777777" w:rsidR="002C6140" w:rsidRDefault="002C6140" w:rsidP="00B430EA">
            <w:pPr>
              <w:jc w:val="center"/>
              <w:rPr>
                <w:rFonts w:ascii="Arial Narrow" w:hAnsi="Arial Narrow"/>
                <w:sz w:val="20"/>
                <w:szCs w:val="20"/>
              </w:rPr>
            </w:pPr>
          </w:p>
        </w:tc>
        <w:tc>
          <w:tcPr>
            <w:tcW w:w="7671" w:type="dxa"/>
            <w:gridSpan w:val="6"/>
          </w:tcPr>
          <w:p w14:paraId="643BC445" w14:textId="77777777" w:rsidR="002C6140" w:rsidRPr="00B27C8C" w:rsidRDefault="002C6140" w:rsidP="00B430EA">
            <w:pPr>
              <w:rPr>
                <w:rFonts w:ascii="Arial Narrow" w:hAnsi="Arial Narrow"/>
                <w:sz w:val="20"/>
                <w:szCs w:val="20"/>
              </w:rPr>
            </w:pPr>
            <w:r w:rsidRPr="00B27C8C">
              <w:rPr>
                <w:rFonts w:ascii="Arial Narrow" w:hAnsi="Arial Narrow"/>
                <w:b/>
                <w:sz w:val="20"/>
                <w:szCs w:val="20"/>
              </w:rPr>
              <w:t xml:space="preserve">Prescriber type: </w:t>
            </w:r>
            <w:r w:rsidRPr="00B27C8C">
              <w:rPr>
                <w:rFonts w:ascii="Arial Narrow" w:hAnsi="Arial Narrow"/>
                <w:sz w:val="20"/>
                <w:szCs w:val="20"/>
              </w:rPr>
              <w:fldChar w:fldCharType="begin">
                <w:ffData>
                  <w:name w:val=""/>
                  <w:enabled/>
                  <w:calcOnExit w:val="0"/>
                  <w:checkBox>
                    <w:sizeAuto/>
                    <w:default w:val="1"/>
                  </w:checkBox>
                </w:ffData>
              </w:fldChar>
            </w:r>
            <w:r w:rsidRPr="00B27C8C">
              <w:rPr>
                <w:rFonts w:ascii="Arial Narrow" w:hAnsi="Arial Narrow"/>
                <w:sz w:val="20"/>
                <w:szCs w:val="20"/>
              </w:rPr>
              <w:instrText xml:space="preserve"> FORMCHECKBOX </w:instrText>
            </w:r>
            <w:r w:rsidR="002E7F91">
              <w:rPr>
                <w:rFonts w:ascii="Arial Narrow" w:hAnsi="Arial Narrow"/>
                <w:sz w:val="20"/>
                <w:szCs w:val="20"/>
              </w:rPr>
            </w:r>
            <w:r w:rsidR="002E7F91">
              <w:rPr>
                <w:rFonts w:ascii="Arial Narrow" w:hAnsi="Arial Narrow"/>
                <w:sz w:val="20"/>
                <w:szCs w:val="20"/>
              </w:rPr>
              <w:fldChar w:fldCharType="separate"/>
            </w:r>
            <w:r w:rsidRPr="00B27C8C">
              <w:rPr>
                <w:rFonts w:ascii="Arial Narrow" w:hAnsi="Arial Narrow"/>
                <w:sz w:val="20"/>
                <w:szCs w:val="20"/>
              </w:rPr>
              <w:fldChar w:fldCharType="end"/>
            </w:r>
            <w:r w:rsidRPr="00B27C8C">
              <w:rPr>
                <w:rFonts w:ascii="Arial Narrow" w:hAnsi="Arial Narrow"/>
                <w:sz w:val="20"/>
                <w:szCs w:val="20"/>
              </w:rPr>
              <w:t xml:space="preserve">Medical Practitioners </w:t>
            </w:r>
          </w:p>
        </w:tc>
      </w:tr>
      <w:tr w:rsidR="002C6140" w:rsidRPr="00A473B4" w14:paraId="142EBC43" w14:textId="77777777" w:rsidTr="00BF35A5">
        <w:trPr>
          <w:cantSplit/>
          <w:trHeight w:val="20"/>
        </w:trPr>
        <w:tc>
          <w:tcPr>
            <w:tcW w:w="1563" w:type="dxa"/>
            <w:gridSpan w:val="2"/>
            <w:vMerge/>
            <w:vAlign w:val="center"/>
          </w:tcPr>
          <w:p w14:paraId="73B2FA8F" w14:textId="77777777" w:rsidR="002C6140" w:rsidRDefault="002C6140" w:rsidP="00B430EA">
            <w:pPr>
              <w:jc w:val="center"/>
              <w:rPr>
                <w:rFonts w:ascii="Arial Narrow" w:hAnsi="Arial Narrow"/>
                <w:sz w:val="20"/>
                <w:szCs w:val="20"/>
              </w:rPr>
            </w:pPr>
          </w:p>
        </w:tc>
        <w:tc>
          <w:tcPr>
            <w:tcW w:w="7671" w:type="dxa"/>
            <w:gridSpan w:val="6"/>
          </w:tcPr>
          <w:p w14:paraId="34434805" w14:textId="77777777" w:rsidR="002C6140" w:rsidRPr="00B27C8C" w:rsidRDefault="002C6140" w:rsidP="00B430EA">
            <w:pPr>
              <w:rPr>
                <w:rFonts w:ascii="Arial Narrow" w:hAnsi="Arial Narrow"/>
                <w:sz w:val="20"/>
                <w:szCs w:val="20"/>
              </w:rPr>
            </w:pPr>
            <w:r w:rsidRPr="00B27C8C">
              <w:rPr>
                <w:rFonts w:ascii="Arial Narrow" w:hAnsi="Arial Narrow"/>
                <w:b/>
                <w:sz w:val="20"/>
                <w:szCs w:val="20"/>
              </w:rPr>
              <w:t xml:space="preserve">Restriction type: </w:t>
            </w:r>
            <w:r w:rsidRPr="00B27C8C">
              <w:rPr>
                <w:rFonts w:ascii="Arial Narrow" w:hAnsi="Arial Narrow"/>
                <w:sz w:val="20"/>
                <w:szCs w:val="20"/>
              </w:rPr>
              <w:fldChar w:fldCharType="begin">
                <w:ffData>
                  <w:name w:val=""/>
                  <w:enabled/>
                  <w:calcOnExit w:val="0"/>
                  <w:checkBox>
                    <w:sizeAuto/>
                    <w:default w:val="1"/>
                  </w:checkBox>
                </w:ffData>
              </w:fldChar>
            </w:r>
            <w:r w:rsidRPr="00B27C8C">
              <w:rPr>
                <w:rFonts w:ascii="Arial Narrow" w:hAnsi="Arial Narrow"/>
                <w:sz w:val="20"/>
                <w:szCs w:val="20"/>
              </w:rPr>
              <w:instrText xml:space="preserve"> FORMCHECKBOX </w:instrText>
            </w:r>
            <w:r w:rsidR="002E7F91">
              <w:rPr>
                <w:rFonts w:ascii="Arial Narrow" w:hAnsi="Arial Narrow"/>
                <w:sz w:val="20"/>
                <w:szCs w:val="20"/>
              </w:rPr>
            </w:r>
            <w:r w:rsidR="002E7F91">
              <w:rPr>
                <w:rFonts w:ascii="Arial Narrow" w:hAnsi="Arial Narrow"/>
                <w:sz w:val="20"/>
                <w:szCs w:val="20"/>
              </w:rPr>
              <w:fldChar w:fldCharType="separate"/>
            </w:r>
            <w:r w:rsidRPr="00B27C8C">
              <w:rPr>
                <w:rFonts w:ascii="Arial Narrow" w:hAnsi="Arial Narrow"/>
                <w:sz w:val="20"/>
                <w:szCs w:val="20"/>
              </w:rPr>
              <w:fldChar w:fldCharType="end"/>
            </w:r>
            <w:r w:rsidRPr="00B27C8C">
              <w:rPr>
                <w:rFonts w:ascii="Arial Narrow" w:hAnsi="Arial Narrow"/>
                <w:sz w:val="20"/>
                <w:szCs w:val="20"/>
              </w:rPr>
              <w:t xml:space="preserve">Authority Required – In Writing/HPOS  </w:t>
            </w:r>
          </w:p>
        </w:tc>
      </w:tr>
      <w:tr w:rsidR="002C6140" w:rsidRPr="00A473B4" w14:paraId="002E6689" w14:textId="77777777" w:rsidTr="00BF35A5">
        <w:trPr>
          <w:cantSplit/>
          <w:trHeight w:val="20"/>
        </w:trPr>
        <w:tc>
          <w:tcPr>
            <w:tcW w:w="779" w:type="dxa"/>
            <w:vMerge w:val="restart"/>
            <w:vAlign w:val="center"/>
          </w:tcPr>
          <w:p w14:paraId="5FF92503" w14:textId="77777777" w:rsidR="002C6140" w:rsidRPr="00121DEC" w:rsidRDefault="002C6140" w:rsidP="00B430EA">
            <w:pPr>
              <w:jc w:val="center"/>
              <w:rPr>
                <w:rFonts w:ascii="Arial Narrow" w:hAnsi="Arial Narrow"/>
                <w:sz w:val="20"/>
                <w:szCs w:val="20"/>
              </w:rPr>
            </w:pPr>
            <w:r w:rsidRPr="00121DEC">
              <w:rPr>
                <w:rFonts w:ascii="Arial Narrow" w:eastAsia="Calibri" w:hAnsi="Arial Narrow"/>
                <w:sz w:val="20"/>
                <w:szCs w:val="20"/>
              </w:rPr>
              <w:t>Prescribing rule level</w:t>
            </w:r>
          </w:p>
        </w:tc>
        <w:tc>
          <w:tcPr>
            <w:tcW w:w="784" w:type="dxa"/>
            <w:vAlign w:val="center"/>
          </w:tcPr>
          <w:p w14:paraId="740DD9A6" w14:textId="504BDDE1" w:rsidR="002C6140" w:rsidRPr="00121DEC" w:rsidRDefault="002C6140" w:rsidP="00B430EA">
            <w:pPr>
              <w:jc w:val="center"/>
              <w:rPr>
                <w:rFonts w:ascii="Arial Narrow" w:hAnsi="Arial Narrow"/>
                <w:sz w:val="20"/>
                <w:szCs w:val="20"/>
              </w:rPr>
            </w:pPr>
          </w:p>
        </w:tc>
        <w:tc>
          <w:tcPr>
            <w:tcW w:w="7671" w:type="dxa"/>
            <w:gridSpan w:val="6"/>
          </w:tcPr>
          <w:p w14:paraId="5263B548" w14:textId="77777777" w:rsidR="002C6140" w:rsidRPr="00121DEC" w:rsidRDefault="002C6140" w:rsidP="00B430EA">
            <w:pPr>
              <w:rPr>
                <w:rFonts w:ascii="Arial Narrow" w:hAnsi="Arial Narrow"/>
                <w:b/>
                <w:bCs/>
                <w:sz w:val="20"/>
                <w:szCs w:val="20"/>
              </w:rPr>
            </w:pPr>
            <w:r w:rsidRPr="00121DEC">
              <w:rPr>
                <w:rFonts w:ascii="Arial Narrow" w:hAnsi="Arial Narrow"/>
                <w:b/>
                <w:bCs/>
                <w:sz w:val="20"/>
                <w:szCs w:val="20"/>
              </w:rPr>
              <w:t xml:space="preserve">Caution: </w:t>
            </w:r>
          </w:p>
          <w:p w14:paraId="562E6E49" w14:textId="77777777" w:rsidR="002C6140" w:rsidRPr="00121DEC" w:rsidRDefault="002C6140" w:rsidP="00B430EA">
            <w:pPr>
              <w:pStyle w:val="NormalWeb"/>
              <w:shd w:val="clear" w:color="auto" w:fill="FFFFFF"/>
              <w:spacing w:before="0" w:beforeAutospacing="0" w:after="0" w:afterAutospacing="0"/>
              <w:textAlignment w:val="baseline"/>
              <w:rPr>
                <w:rFonts w:ascii="Arial Narrow" w:eastAsia="SimSun" w:hAnsi="Arial Narrow" w:cs="Arial"/>
                <w:sz w:val="20"/>
                <w:szCs w:val="20"/>
              </w:rPr>
            </w:pPr>
            <w:r w:rsidRPr="00121DEC">
              <w:rPr>
                <w:rFonts w:ascii="Arial Narrow" w:eastAsia="SimSun" w:hAnsi="Arial Narrow" w:cs="Arial"/>
                <w:sz w:val="20"/>
                <w:szCs w:val="20"/>
              </w:rPr>
              <w:t>This drug increases the risk of encapsulated bacterial infections.</w:t>
            </w:r>
          </w:p>
          <w:p w14:paraId="4E49CC46" w14:textId="77777777" w:rsidR="002C6140" w:rsidRPr="00121DEC" w:rsidRDefault="002C6140" w:rsidP="00B430EA">
            <w:pPr>
              <w:rPr>
                <w:rFonts w:ascii="Arial Narrow" w:hAnsi="Arial Narrow"/>
                <w:b/>
                <w:sz w:val="20"/>
                <w:szCs w:val="20"/>
              </w:rPr>
            </w:pPr>
            <w:r w:rsidRPr="00121DEC">
              <w:rPr>
                <w:rFonts w:ascii="Arial Narrow" w:hAnsi="Arial Narrow"/>
                <w:sz w:val="20"/>
                <w:szCs w:val="20"/>
              </w:rPr>
              <w:t>Consult the approved Product Information for information about vaccination against meningococcal, pneumococcal and Haemophilus influenzae type B (Hib) infection.</w:t>
            </w:r>
          </w:p>
        </w:tc>
      </w:tr>
      <w:tr w:rsidR="002C6140" w:rsidRPr="00A473B4" w14:paraId="083F724B" w14:textId="77777777" w:rsidTr="00BF35A5">
        <w:trPr>
          <w:cantSplit/>
          <w:trHeight w:val="20"/>
        </w:trPr>
        <w:tc>
          <w:tcPr>
            <w:tcW w:w="779" w:type="dxa"/>
            <w:vMerge/>
            <w:vAlign w:val="center"/>
          </w:tcPr>
          <w:p w14:paraId="0F2045BA" w14:textId="77777777" w:rsidR="002C6140" w:rsidRPr="00121DEC" w:rsidRDefault="002C6140" w:rsidP="00B430EA">
            <w:pPr>
              <w:jc w:val="center"/>
              <w:rPr>
                <w:rFonts w:ascii="Arial Narrow" w:eastAsia="Calibri" w:hAnsi="Arial Narrow"/>
                <w:sz w:val="20"/>
                <w:szCs w:val="20"/>
              </w:rPr>
            </w:pPr>
          </w:p>
        </w:tc>
        <w:tc>
          <w:tcPr>
            <w:tcW w:w="784" w:type="dxa"/>
            <w:vAlign w:val="center"/>
          </w:tcPr>
          <w:p w14:paraId="641FADA3" w14:textId="098BEBF7" w:rsidR="002C6140" w:rsidRPr="00121DEC" w:rsidRDefault="002C6140" w:rsidP="00B430EA">
            <w:pPr>
              <w:jc w:val="center"/>
              <w:rPr>
                <w:rFonts w:ascii="Arial Narrow" w:hAnsi="Arial Narrow"/>
                <w:sz w:val="20"/>
                <w:szCs w:val="20"/>
              </w:rPr>
            </w:pPr>
          </w:p>
        </w:tc>
        <w:tc>
          <w:tcPr>
            <w:tcW w:w="7671" w:type="dxa"/>
            <w:gridSpan w:val="6"/>
          </w:tcPr>
          <w:p w14:paraId="2E552FD9" w14:textId="77777777" w:rsidR="002C6140" w:rsidRPr="00121DEC" w:rsidRDefault="002C6140" w:rsidP="00B430EA">
            <w:pPr>
              <w:rPr>
                <w:rFonts w:ascii="Arial Narrow" w:hAnsi="Arial Narrow"/>
                <w:b/>
                <w:sz w:val="20"/>
                <w:szCs w:val="20"/>
              </w:rPr>
            </w:pPr>
            <w:r w:rsidRPr="00121DEC">
              <w:rPr>
                <w:rFonts w:ascii="Arial Narrow" w:hAnsi="Arial Narrow"/>
                <w:b/>
                <w:sz w:val="20"/>
                <w:szCs w:val="20"/>
              </w:rPr>
              <w:t xml:space="preserve">Administrative Advice: </w:t>
            </w:r>
          </w:p>
          <w:p w14:paraId="15195786" w14:textId="77777777" w:rsidR="002C6140" w:rsidRPr="00121DEC" w:rsidRDefault="002C6140" w:rsidP="00B430EA">
            <w:pPr>
              <w:rPr>
                <w:rFonts w:ascii="Arial Narrow" w:hAnsi="Arial Narrow"/>
                <w:b/>
                <w:bCs/>
                <w:sz w:val="20"/>
                <w:szCs w:val="20"/>
              </w:rPr>
            </w:pPr>
            <w:r w:rsidRPr="00121DEC">
              <w:rPr>
                <w:rFonts w:ascii="Arial Narrow" w:hAnsi="Arial Narrow"/>
                <w:bCs/>
                <w:sz w:val="20"/>
                <w:szCs w:val="20"/>
              </w:rPr>
              <w:t>Complement 5 (C5) inhibitors are defined as eculizumab or ravulizumab</w:t>
            </w:r>
          </w:p>
        </w:tc>
      </w:tr>
      <w:tr w:rsidR="002C6140" w:rsidRPr="00A473B4" w14:paraId="23D7DC8F" w14:textId="77777777" w:rsidTr="00BF35A5">
        <w:trPr>
          <w:cantSplit/>
          <w:trHeight w:val="20"/>
        </w:trPr>
        <w:tc>
          <w:tcPr>
            <w:tcW w:w="779" w:type="dxa"/>
            <w:vMerge/>
            <w:vAlign w:val="center"/>
          </w:tcPr>
          <w:p w14:paraId="05106D15" w14:textId="77777777" w:rsidR="002C6140" w:rsidRPr="00121DEC" w:rsidRDefault="002C6140" w:rsidP="00B430EA">
            <w:pPr>
              <w:jc w:val="center"/>
              <w:rPr>
                <w:rFonts w:ascii="Arial Narrow" w:hAnsi="Arial Narrow"/>
                <w:sz w:val="20"/>
                <w:szCs w:val="20"/>
              </w:rPr>
            </w:pPr>
          </w:p>
        </w:tc>
        <w:tc>
          <w:tcPr>
            <w:tcW w:w="784" w:type="dxa"/>
            <w:vAlign w:val="center"/>
          </w:tcPr>
          <w:p w14:paraId="62357D31" w14:textId="57E8136F" w:rsidR="002C6140" w:rsidRPr="00121DEC" w:rsidRDefault="002C6140" w:rsidP="00B430EA">
            <w:pPr>
              <w:jc w:val="center"/>
              <w:rPr>
                <w:rFonts w:ascii="Arial Narrow" w:hAnsi="Arial Narrow"/>
                <w:sz w:val="20"/>
                <w:szCs w:val="20"/>
              </w:rPr>
            </w:pPr>
          </w:p>
        </w:tc>
        <w:tc>
          <w:tcPr>
            <w:tcW w:w="7671" w:type="dxa"/>
            <w:gridSpan w:val="6"/>
          </w:tcPr>
          <w:p w14:paraId="3910B457" w14:textId="77777777" w:rsidR="002C6140" w:rsidRPr="00121DEC" w:rsidRDefault="002C6140" w:rsidP="00B430EA">
            <w:pPr>
              <w:rPr>
                <w:rFonts w:ascii="Arial Narrow" w:hAnsi="Arial Narrow"/>
                <w:b/>
                <w:sz w:val="20"/>
                <w:szCs w:val="20"/>
              </w:rPr>
            </w:pPr>
            <w:r w:rsidRPr="00121DEC">
              <w:rPr>
                <w:rFonts w:ascii="Arial Narrow" w:hAnsi="Arial Narrow"/>
                <w:b/>
                <w:sz w:val="20"/>
                <w:szCs w:val="20"/>
              </w:rPr>
              <w:t>Administrative Advice:</w:t>
            </w:r>
          </w:p>
          <w:p w14:paraId="50E34AE4" w14:textId="77777777" w:rsidR="002C6140" w:rsidRPr="00121DEC" w:rsidRDefault="002C6140" w:rsidP="00B430EA">
            <w:pPr>
              <w:rPr>
                <w:rFonts w:ascii="Arial Narrow" w:hAnsi="Arial Narrow"/>
                <w:bCs/>
                <w:sz w:val="20"/>
                <w:szCs w:val="20"/>
              </w:rPr>
            </w:pPr>
            <w:r w:rsidRPr="00121DEC">
              <w:rPr>
                <w:rFonts w:ascii="Arial Narrow" w:hAnsi="Arial Narrow"/>
                <w:bCs/>
                <w:sz w:val="20"/>
                <w:szCs w:val="20"/>
              </w:rPr>
              <w:t>Any queries concerning the arrangements to prescribe may be directed to Services Australia on 1800 700 270 (hours of operation 8 a.m. to 5 p.m. Monday to Friday).</w:t>
            </w:r>
          </w:p>
          <w:p w14:paraId="3ABCEC23" w14:textId="77777777" w:rsidR="002C6140" w:rsidRPr="00121DEC" w:rsidRDefault="002C6140" w:rsidP="00B430EA">
            <w:pPr>
              <w:rPr>
                <w:rFonts w:ascii="Arial Narrow" w:hAnsi="Arial Narrow"/>
                <w:bCs/>
                <w:sz w:val="20"/>
                <w:szCs w:val="20"/>
              </w:rPr>
            </w:pPr>
            <w:r w:rsidRPr="00121DEC">
              <w:rPr>
                <w:rFonts w:ascii="Arial Narrow" w:hAnsi="Arial Narrow"/>
                <w:bCs/>
                <w:sz w:val="20"/>
                <w:szCs w:val="20"/>
              </w:rPr>
              <w:t>Prescribing information (including Authority Application forms and other relevant documentation as applicable) is available on the Services Australia website at www.servicesaustralia.gov.au</w:t>
            </w:r>
          </w:p>
          <w:p w14:paraId="7CBBD659" w14:textId="77777777" w:rsidR="002C6140" w:rsidRPr="00121DEC" w:rsidRDefault="002C6140" w:rsidP="00B430EA">
            <w:pPr>
              <w:rPr>
                <w:rFonts w:ascii="Arial Narrow" w:hAnsi="Arial Narrow"/>
                <w:bCs/>
                <w:sz w:val="20"/>
                <w:szCs w:val="20"/>
              </w:rPr>
            </w:pPr>
            <w:r w:rsidRPr="00121DEC">
              <w:rPr>
                <w:rFonts w:ascii="Arial Narrow" w:hAnsi="Arial Narrow"/>
                <w:bCs/>
                <w:sz w:val="20"/>
                <w:szCs w:val="20"/>
              </w:rPr>
              <w:t>Applications for authority to prescribe should be submitted online using the form upload facility in Health Professional Online Services (HPOS) at www.servicesaustralia.gov.au/hpos</w:t>
            </w:r>
          </w:p>
          <w:p w14:paraId="4D1B1A27" w14:textId="77777777" w:rsidR="002C6140" w:rsidRPr="00121DEC" w:rsidRDefault="002C6140" w:rsidP="00B430EA">
            <w:pPr>
              <w:rPr>
                <w:rFonts w:ascii="Arial Narrow" w:hAnsi="Arial Narrow"/>
                <w:bCs/>
                <w:sz w:val="20"/>
                <w:szCs w:val="20"/>
              </w:rPr>
            </w:pPr>
            <w:r w:rsidRPr="00121DEC">
              <w:rPr>
                <w:rFonts w:ascii="Arial Narrow" w:hAnsi="Arial Narrow"/>
                <w:bCs/>
                <w:sz w:val="20"/>
                <w:szCs w:val="20"/>
              </w:rPr>
              <w:t>Or mailed to:</w:t>
            </w:r>
          </w:p>
          <w:p w14:paraId="23C733E5" w14:textId="77777777" w:rsidR="002C6140" w:rsidRPr="00121DEC" w:rsidRDefault="002C6140" w:rsidP="00B430EA">
            <w:pPr>
              <w:rPr>
                <w:rFonts w:ascii="Arial Narrow" w:hAnsi="Arial Narrow"/>
                <w:bCs/>
                <w:sz w:val="20"/>
                <w:szCs w:val="20"/>
              </w:rPr>
            </w:pPr>
            <w:r w:rsidRPr="00121DEC">
              <w:rPr>
                <w:rFonts w:ascii="Arial Narrow" w:hAnsi="Arial Narrow"/>
                <w:bCs/>
                <w:sz w:val="20"/>
                <w:szCs w:val="20"/>
              </w:rPr>
              <w:t>Services Australia</w:t>
            </w:r>
          </w:p>
          <w:p w14:paraId="2C1E96FC" w14:textId="77777777" w:rsidR="002C6140" w:rsidRPr="00121DEC" w:rsidRDefault="002C6140" w:rsidP="00B430EA">
            <w:pPr>
              <w:rPr>
                <w:rFonts w:ascii="Arial Narrow" w:hAnsi="Arial Narrow"/>
                <w:bCs/>
                <w:sz w:val="20"/>
                <w:szCs w:val="20"/>
              </w:rPr>
            </w:pPr>
            <w:r w:rsidRPr="00121DEC">
              <w:rPr>
                <w:rFonts w:ascii="Arial Narrow" w:hAnsi="Arial Narrow"/>
                <w:bCs/>
                <w:sz w:val="20"/>
                <w:szCs w:val="20"/>
              </w:rPr>
              <w:t>Complex Drugs</w:t>
            </w:r>
          </w:p>
          <w:p w14:paraId="2C92FD44" w14:textId="77777777" w:rsidR="002C6140" w:rsidRPr="00121DEC" w:rsidRDefault="002C6140" w:rsidP="00B430EA">
            <w:pPr>
              <w:rPr>
                <w:rFonts w:ascii="Arial Narrow" w:hAnsi="Arial Narrow"/>
                <w:bCs/>
                <w:sz w:val="20"/>
                <w:szCs w:val="20"/>
              </w:rPr>
            </w:pPr>
            <w:r w:rsidRPr="00121DEC">
              <w:rPr>
                <w:rFonts w:ascii="Arial Narrow" w:hAnsi="Arial Narrow"/>
                <w:bCs/>
                <w:sz w:val="20"/>
                <w:szCs w:val="20"/>
              </w:rPr>
              <w:t>Reply Paid 9826</w:t>
            </w:r>
          </w:p>
          <w:p w14:paraId="1E0AEAA1" w14:textId="77777777" w:rsidR="002C6140" w:rsidRPr="00121DEC" w:rsidRDefault="002C6140" w:rsidP="00B430EA">
            <w:pPr>
              <w:rPr>
                <w:rFonts w:ascii="Arial Narrow" w:hAnsi="Arial Narrow"/>
                <w:b/>
                <w:sz w:val="20"/>
                <w:szCs w:val="20"/>
              </w:rPr>
            </w:pPr>
            <w:r w:rsidRPr="00121DEC">
              <w:rPr>
                <w:rFonts w:ascii="Arial Narrow" w:hAnsi="Arial Narrow"/>
                <w:bCs/>
                <w:sz w:val="20"/>
                <w:szCs w:val="20"/>
              </w:rPr>
              <w:t>HOBART TAS 7001</w:t>
            </w:r>
          </w:p>
        </w:tc>
      </w:tr>
      <w:tr w:rsidR="002C6140" w:rsidRPr="00A473B4" w14:paraId="15576E71" w14:textId="77777777" w:rsidTr="00BF35A5">
        <w:trPr>
          <w:cantSplit/>
          <w:trHeight w:val="20"/>
        </w:trPr>
        <w:tc>
          <w:tcPr>
            <w:tcW w:w="779" w:type="dxa"/>
            <w:vMerge/>
            <w:vAlign w:val="center"/>
          </w:tcPr>
          <w:p w14:paraId="2B352B06" w14:textId="77777777" w:rsidR="002C6140" w:rsidRDefault="002C6140" w:rsidP="00B430EA">
            <w:pPr>
              <w:jc w:val="center"/>
              <w:rPr>
                <w:rFonts w:ascii="Arial Narrow" w:hAnsi="Arial Narrow"/>
                <w:sz w:val="20"/>
                <w:szCs w:val="20"/>
              </w:rPr>
            </w:pPr>
          </w:p>
        </w:tc>
        <w:tc>
          <w:tcPr>
            <w:tcW w:w="784" w:type="dxa"/>
            <w:vAlign w:val="center"/>
          </w:tcPr>
          <w:p w14:paraId="31C04D30" w14:textId="7D3E65B5" w:rsidR="002C6140" w:rsidRPr="00121DEC" w:rsidRDefault="002C6140" w:rsidP="00B430EA">
            <w:pPr>
              <w:jc w:val="center"/>
              <w:rPr>
                <w:rFonts w:ascii="Arial Narrow" w:hAnsi="Arial Narrow"/>
                <w:i/>
                <w:iCs/>
                <w:sz w:val="20"/>
                <w:szCs w:val="20"/>
              </w:rPr>
            </w:pPr>
          </w:p>
        </w:tc>
        <w:tc>
          <w:tcPr>
            <w:tcW w:w="7671" w:type="dxa"/>
            <w:gridSpan w:val="6"/>
          </w:tcPr>
          <w:p w14:paraId="395DF345" w14:textId="77777777" w:rsidR="002C6140" w:rsidRPr="001470A7" w:rsidRDefault="002C6140" w:rsidP="00B430EA">
            <w:pPr>
              <w:rPr>
                <w:rFonts w:ascii="Arial Narrow" w:hAnsi="Arial Narrow"/>
                <w:b/>
                <w:sz w:val="20"/>
                <w:szCs w:val="20"/>
              </w:rPr>
            </w:pPr>
            <w:r w:rsidRPr="001470A7">
              <w:rPr>
                <w:rFonts w:ascii="Arial Narrow" w:hAnsi="Arial Narrow"/>
                <w:b/>
                <w:sz w:val="20"/>
                <w:szCs w:val="20"/>
              </w:rPr>
              <w:t>Administrative Advice:</w:t>
            </w:r>
          </w:p>
          <w:p w14:paraId="644A66D2" w14:textId="77777777" w:rsidR="002C6140" w:rsidRPr="00121DEC" w:rsidRDefault="002C6140" w:rsidP="00B430EA">
            <w:pPr>
              <w:rPr>
                <w:rFonts w:ascii="Arial Narrow" w:hAnsi="Arial Narrow"/>
                <w:bCs/>
                <w:i/>
                <w:iCs/>
                <w:sz w:val="20"/>
                <w:szCs w:val="20"/>
              </w:rPr>
            </w:pPr>
            <w:r w:rsidRPr="001470A7">
              <w:rPr>
                <w:rFonts w:ascii="Arial Narrow" w:hAnsi="Arial Narrow"/>
                <w:bCs/>
                <w:sz w:val="20"/>
                <w:szCs w:val="20"/>
              </w:rPr>
              <w:t>No increase in the maximum quantity or number of units may be authorised.</w:t>
            </w:r>
          </w:p>
        </w:tc>
      </w:tr>
      <w:tr w:rsidR="002C6140" w:rsidRPr="00A473B4" w14:paraId="05921AB1" w14:textId="77777777" w:rsidTr="00BF35A5">
        <w:trPr>
          <w:cantSplit/>
          <w:trHeight w:val="20"/>
        </w:trPr>
        <w:tc>
          <w:tcPr>
            <w:tcW w:w="779" w:type="dxa"/>
            <w:vMerge/>
            <w:vAlign w:val="center"/>
          </w:tcPr>
          <w:p w14:paraId="5634AAF5" w14:textId="77777777" w:rsidR="002C6140" w:rsidRDefault="002C6140" w:rsidP="00B430EA">
            <w:pPr>
              <w:jc w:val="center"/>
              <w:rPr>
                <w:rFonts w:ascii="Arial Narrow" w:hAnsi="Arial Narrow"/>
                <w:sz w:val="20"/>
                <w:szCs w:val="20"/>
              </w:rPr>
            </w:pPr>
          </w:p>
        </w:tc>
        <w:tc>
          <w:tcPr>
            <w:tcW w:w="784" w:type="dxa"/>
            <w:vAlign w:val="center"/>
          </w:tcPr>
          <w:p w14:paraId="3D8F64E7" w14:textId="5DD0CF88" w:rsidR="002C6140" w:rsidRPr="00121DEC" w:rsidRDefault="002C6140" w:rsidP="00B430EA">
            <w:pPr>
              <w:jc w:val="center"/>
              <w:rPr>
                <w:rFonts w:ascii="Arial Narrow" w:hAnsi="Arial Narrow"/>
                <w:sz w:val="20"/>
                <w:szCs w:val="20"/>
              </w:rPr>
            </w:pPr>
          </w:p>
        </w:tc>
        <w:tc>
          <w:tcPr>
            <w:tcW w:w="7671" w:type="dxa"/>
            <w:gridSpan w:val="6"/>
          </w:tcPr>
          <w:p w14:paraId="411EBAF9" w14:textId="77777777" w:rsidR="002C6140" w:rsidRPr="00121DEC" w:rsidRDefault="002C6140" w:rsidP="00B430EA">
            <w:pPr>
              <w:rPr>
                <w:rFonts w:ascii="Arial Narrow" w:hAnsi="Arial Narrow"/>
                <w:b/>
                <w:sz w:val="20"/>
                <w:szCs w:val="20"/>
              </w:rPr>
            </w:pPr>
            <w:r w:rsidRPr="00121DEC">
              <w:rPr>
                <w:rFonts w:ascii="Arial Narrow" w:hAnsi="Arial Narrow"/>
                <w:b/>
                <w:sz w:val="20"/>
                <w:szCs w:val="20"/>
              </w:rPr>
              <w:t>Administrative Advice:</w:t>
            </w:r>
          </w:p>
          <w:p w14:paraId="52F7C01E" w14:textId="77777777" w:rsidR="002C6140" w:rsidRPr="00121DEC" w:rsidRDefault="002C6140" w:rsidP="00B430EA">
            <w:pPr>
              <w:rPr>
                <w:rFonts w:ascii="Arial Narrow" w:hAnsi="Arial Narrow"/>
                <w:bCs/>
                <w:sz w:val="20"/>
                <w:szCs w:val="20"/>
              </w:rPr>
            </w:pPr>
            <w:r w:rsidRPr="00121DEC">
              <w:rPr>
                <w:rFonts w:ascii="Arial Narrow" w:hAnsi="Arial Narrow"/>
                <w:bCs/>
                <w:sz w:val="20"/>
                <w:szCs w:val="20"/>
              </w:rPr>
              <w:t>No increase in the maximum number of repeats may be authorised.</w:t>
            </w:r>
          </w:p>
        </w:tc>
      </w:tr>
      <w:tr w:rsidR="002C6140" w:rsidRPr="00A473B4" w14:paraId="2AE28491" w14:textId="77777777" w:rsidTr="00BF35A5">
        <w:trPr>
          <w:cantSplit/>
          <w:trHeight w:val="20"/>
        </w:trPr>
        <w:tc>
          <w:tcPr>
            <w:tcW w:w="1563" w:type="dxa"/>
            <w:gridSpan w:val="2"/>
            <w:vAlign w:val="center"/>
          </w:tcPr>
          <w:p w14:paraId="511698F8" w14:textId="2EB67B22" w:rsidR="002C6140" w:rsidRDefault="002C6140" w:rsidP="00B430EA">
            <w:pPr>
              <w:jc w:val="center"/>
              <w:rPr>
                <w:rFonts w:ascii="Arial Narrow" w:hAnsi="Arial Narrow"/>
                <w:sz w:val="20"/>
                <w:szCs w:val="20"/>
              </w:rPr>
            </w:pPr>
          </w:p>
        </w:tc>
        <w:tc>
          <w:tcPr>
            <w:tcW w:w="7671" w:type="dxa"/>
            <w:gridSpan w:val="6"/>
            <w:vAlign w:val="center"/>
          </w:tcPr>
          <w:p w14:paraId="6AF7436C" w14:textId="77777777" w:rsidR="002C6140" w:rsidRPr="00B27C8C" w:rsidRDefault="002C6140" w:rsidP="00B430EA">
            <w:pPr>
              <w:rPr>
                <w:rFonts w:ascii="Arial Narrow" w:hAnsi="Arial Narrow"/>
                <w:sz w:val="20"/>
                <w:szCs w:val="20"/>
              </w:rPr>
            </w:pPr>
            <w:r w:rsidRPr="00B27C8C">
              <w:rPr>
                <w:rFonts w:ascii="Arial Narrow" w:hAnsi="Arial Narrow"/>
                <w:b/>
                <w:sz w:val="20"/>
                <w:szCs w:val="20"/>
              </w:rPr>
              <w:t>Indication:</w:t>
            </w:r>
            <w:r w:rsidRPr="00B27C8C">
              <w:rPr>
                <w:rFonts w:ascii="Arial Narrow" w:hAnsi="Arial Narrow"/>
                <w:sz w:val="20"/>
                <w:szCs w:val="20"/>
              </w:rPr>
              <w:t xml:space="preserve"> Paroxysmal nocturnal haemoglobinuria (PNH)</w:t>
            </w:r>
          </w:p>
        </w:tc>
      </w:tr>
      <w:tr w:rsidR="002C6140" w:rsidRPr="00A473B4" w14:paraId="3E0A5A80" w14:textId="77777777" w:rsidTr="00BF35A5">
        <w:trPr>
          <w:cantSplit/>
          <w:trHeight w:val="20"/>
        </w:trPr>
        <w:tc>
          <w:tcPr>
            <w:tcW w:w="1563" w:type="dxa"/>
            <w:gridSpan w:val="2"/>
            <w:vAlign w:val="center"/>
          </w:tcPr>
          <w:p w14:paraId="4F046BBE" w14:textId="77777777" w:rsidR="002C6140" w:rsidRDefault="002C6140" w:rsidP="00B430EA">
            <w:pPr>
              <w:jc w:val="center"/>
              <w:rPr>
                <w:rFonts w:ascii="Arial Narrow" w:hAnsi="Arial Narrow"/>
                <w:sz w:val="20"/>
                <w:szCs w:val="20"/>
              </w:rPr>
            </w:pPr>
          </w:p>
        </w:tc>
        <w:tc>
          <w:tcPr>
            <w:tcW w:w="7671" w:type="dxa"/>
            <w:gridSpan w:val="6"/>
            <w:vAlign w:val="center"/>
          </w:tcPr>
          <w:p w14:paraId="77A63348" w14:textId="77777777" w:rsidR="002C6140" w:rsidRPr="00B27C8C" w:rsidRDefault="002C6140" w:rsidP="00B430EA">
            <w:pPr>
              <w:rPr>
                <w:rFonts w:ascii="Arial Narrow" w:hAnsi="Arial Narrow"/>
                <w:sz w:val="20"/>
                <w:szCs w:val="20"/>
              </w:rPr>
            </w:pPr>
            <w:r w:rsidRPr="00B27C8C">
              <w:rPr>
                <w:rFonts w:ascii="Arial Narrow" w:hAnsi="Arial Narrow"/>
                <w:b/>
                <w:sz w:val="20"/>
                <w:szCs w:val="20"/>
              </w:rPr>
              <w:t>Treatment Phase:</w:t>
            </w:r>
            <w:r w:rsidRPr="00B27C8C">
              <w:rPr>
                <w:rFonts w:ascii="Arial Narrow" w:hAnsi="Arial Narrow"/>
                <w:sz w:val="20"/>
                <w:szCs w:val="20"/>
              </w:rPr>
              <w:t xml:space="preserve"> Initial treatment (new patient)</w:t>
            </w:r>
          </w:p>
        </w:tc>
      </w:tr>
      <w:tr w:rsidR="002C6140" w:rsidRPr="00A473B4" w14:paraId="7B695506" w14:textId="77777777" w:rsidTr="00BF35A5">
        <w:trPr>
          <w:cantSplit/>
          <w:trHeight w:val="20"/>
        </w:trPr>
        <w:tc>
          <w:tcPr>
            <w:tcW w:w="1563" w:type="dxa"/>
            <w:gridSpan w:val="2"/>
            <w:vAlign w:val="center"/>
          </w:tcPr>
          <w:p w14:paraId="2E3EB864" w14:textId="299EA251" w:rsidR="002C6140" w:rsidRDefault="002C6140" w:rsidP="00B430EA">
            <w:pPr>
              <w:jc w:val="center"/>
              <w:rPr>
                <w:rFonts w:ascii="Arial Narrow" w:hAnsi="Arial Narrow"/>
                <w:sz w:val="20"/>
                <w:szCs w:val="20"/>
              </w:rPr>
            </w:pPr>
          </w:p>
        </w:tc>
        <w:tc>
          <w:tcPr>
            <w:tcW w:w="7671" w:type="dxa"/>
            <w:gridSpan w:val="6"/>
            <w:vAlign w:val="center"/>
          </w:tcPr>
          <w:p w14:paraId="3734B0A4" w14:textId="77777777" w:rsidR="002C6140" w:rsidRPr="00B27C8C" w:rsidRDefault="002C6140" w:rsidP="00B430EA">
            <w:pPr>
              <w:rPr>
                <w:rFonts w:ascii="Arial Narrow" w:hAnsi="Arial Narrow"/>
                <w:sz w:val="20"/>
                <w:szCs w:val="20"/>
              </w:rPr>
            </w:pPr>
            <w:r w:rsidRPr="00B27C8C">
              <w:rPr>
                <w:rFonts w:ascii="Arial Narrow" w:hAnsi="Arial Narrow"/>
                <w:b/>
                <w:sz w:val="20"/>
                <w:szCs w:val="20"/>
              </w:rPr>
              <w:t>Clinical criteria:</w:t>
            </w:r>
          </w:p>
        </w:tc>
      </w:tr>
      <w:tr w:rsidR="002C6140" w:rsidRPr="00A473B4" w14:paraId="220B4FB9" w14:textId="77777777" w:rsidTr="00BF35A5">
        <w:trPr>
          <w:cantSplit/>
          <w:trHeight w:val="20"/>
        </w:trPr>
        <w:tc>
          <w:tcPr>
            <w:tcW w:w="1563" w:type="dxa"/>
            <w:gridSpan w:val="2"/>
            <w:vAlign w:val="center"/>
          </w:tcPr>
          <w:p w14:paraId="12EFB208" w14:textId="45C5C488" w:rsidR="002C6140" w:rsidRDefault="002C6140" w:rsidP="00B430EA">
            <w:pPr>
              <w:jc w:val="center"/>
              <w:rPr>
                <w:rFonts w:ascii="Arial Narrow" w:hAnsi="Arial Narrow"/>
                <w:sz w:val="20"/>
                <w:szCs w:val="20"/>
              </w:rPr>
            </w:pPr>
          </w:p>
        </w:tc>
        <w:tc>
          <w:tcPr>
            <w:tcW w:w="7671" w:type="dxa"/>
            <w:gridSpan w:val="6"/>
            <w:vAlign w:val="center"/>
          </w:tcPr>
          <w:p w14:paraId="108D9149" w14:textId="77777777" w:rsidR="002C6140" w:rsidRPr="00B27C8C" w:rsidRDefault="002C6140" w:rsidP="00B430EA">
            <w:pPr>
              <w:rPr>
                <w:rFonts w:ascii="Arial Narrow" w:hAnsi="Arial Narrow"/>
                <w:sz w:val="20"/>
                <w:szCs w:val="20"/>
              </w:rPr>
            </w:pPr>
            <w:r w:rsidRPr="00B27C8C">
              <w:rPr>
                <w:rFonts w:ascii="Arial Narrow" w:hAnsi="Arial Narrow"/>
                <w:sz w:val="20"/>
                <w:szCs w:val="20"/>
              </w:rPr>
              <w:t>Patient must not have received prior treatment with this drug for this condition,</w:t>
            </w:r>
          </w:p>
        </w:tc>
      </w:tr>
      <w:tr w:rsidR="002C6140" w:rsidRPr="00A473B4" w14:paraId="55C8B522" w14:textId="77777777" w:rsidTr="00BF35A5">
        <w:trPr>
          <w:cantSplit/>
          <w:trHeight w:val="20"/>
        </w:trPr>
        <w:tc>
          <w:tcPr>
            <w:tcW w:w="1563" w:type="dxa"/>
            <w:gridSpan w:val="2"/>
            <w:vAlign w:val="center"/>
          </w:tcPr>
          <w:p w14:paraId="26FE3A82" w14:textId="77777777" w:rsidR="002C6140" w:rsidRDefault="002C6140" w:rsidP="00B430EA">
            <w:pPr>
              <w:jc w:val="center"/>
              <w:rPr>
                <w:rFonts w:ascii="Arial Narrow" w:hAnsi="Arial Narrow"/>
                <w:sz w:val="20"/>
                <w:szCs w:val="20"/>
              </w:rPr>
            </w:pPr>
          </w:p>
        </w:tc>
        <w:tc>
          <w:tcPr>
            <w:tcW w:w="7671" w:type="dxa"/>
            <w:gridSpan w:val="6"/>
            <w:vAlign w:val="center"/>
          </w:tcPr>
          <w:p w14:paraId="02175FF4" w14:textId="77777777" w:rsidR="002C6140" w:rsidRPr="00B27C8C" w:rsidRDefault="002C6140" w:rsidP="00B430EA">
            <w:pPr>
              <w:rPr>
                <w:rFonts w:ascii="Arial Narrow" w:hAnsi="Arial Narrow"/>
                <w:sz w:val="20"/>
                <w:szCs w:val="20"/>
              </w:rPr>
            </w:pPr>
            <w:r w:rsidRPr="00B27C8C">
              <w:rPr>
                <w:rFonts w:ascii="Arial Narrow" w:hAnsi="Arial Narrow"/>
                <w:b/>
                <w:sz w:val="20"/>
                <w:szCs w:val="20"/>
              </w:rPr>
              <w:t>AND</w:t>
            </w:r>
          </w:p>
        </w:tc>
      </w:tr>
      <w:tr w:rsidR="002C6140" w:rsidRPr="00A473B4" w14:paraId="5049D6D2" w14:textId="77777777" w:rsidTr="00BF35A5">
        <w:trPr>
          <w:cantSplit/>
          <w:trHeight w:val="20"/>
        </w:trPr>
        <w:tc>
          <w:tcPr>
            <w:tcW w:w="1563" w:type="dxa"/>
            <w:gridSpan w:val="2"/>
            <w:vAlign w:val="center"/>
          </w:tcPr>
          <w:p w14:paraId="0FD9BA9D" w14:textId="4F117DB5" w:rsidR="002C6140" w:rsidRDefault="002C6140" w:rsidP="00B430EA">
            <w:pPr>
              <w:jc w:val="center"/>
              <w:rPr>
                <w:rFonts w:ascii="Arial Narrow" w:hAnsi="Arial Narrow"/>
                <w:sz w:val="20"/>
                <w:szCs w:val="20"/>
              </w:rPr>
            </w:pPr>
          </w:p>
        </w:tc>
        <w:tc>
          <w:tcPr>
            <w:tcW w:w="7671" w:type="dxa"/>
            <w:gridSpan w:val="6"/>
            <w:vAlign w:val="center"/>
          </w:tcPr>
          <w:p w14:paraId="2ED8DAAC" w14:textId="77777777" w:rsidR="002C6140" w:rsidRPr="00B27C8C" w:rsidRDefault="002C6140" w:rsidP="00B430EA">
            <w:pPr>
              <w:rPr>
                <w:rFonts w:ascii="Arial Narrow" w:hAnsi="Arial Narrow"/>
                <w:sz w:val="20"/>
                <w:szCs w:val="20"/>
              </w:rPr>
            </w:pPr>
            <w:r w:rsidRPr="00B27C8C">
              <w:rPr>
                <w:rFonts w:ascii="Arial Narrow" w:hAnsi="Arial Narrow"/>
                <w:b/>
                <w:sz w:val="20"/>
                <w:szCs w:val="20"/>
              </w:rPr>
              <w:t>Clinical criteria:</w:t>
            </w:r>
          </w:p>
        </w:tc>
      </w:tr>
      <w:tr w:rsidR="002C6140" w:rsidRPr="00A473B4" w14:paraId="183AFB64" w14:textId="77777777" w:rsidTr="00BF35A5">
        <w:trPr>
          <w:cantSplit/>
          <w:trHeight w:val="20"/>
        </w:trPr>
        <w:tc>
          <w:tcPr>
            <w:tcW w:w="1563" w:type="dxa"/>
            <w:gridSpan w:val="2"/>
            <w:vAlign w:val="center"/>
          </w:tcPr>
          <w:p w14:paraId="3BC30411" w14:textId="6D105C99" w:rsidR="002C6140" w:rsidRDefault="002C6140" w:rsidP="00B430EA">
            <w:pPr>
              <w:jc w:val="center"/>
              <w:rPr>
                <w:rFonts w:ascii="Arial Narrow" w:hAnsi="Arial Narrow"/>
                <w:sz w:val="20"/>
                <w:szCs w:val="20"/>
              </w:rPr>
            </w:pPr>
          </w:p>
        </w:tc>
        <w:tc>
          <w:tcPr>
            <w:tcW w:w="7671" w:type="dxa"/>
            <w:gridSpan w:val="6"/>
            <w:vAlign w:val="center"/>
          </w:tcPr>
          <w:p w14:paraId="437FC87B" w14:textId="77777777" w:rsidR="002C6140" w:rsidRPr="00B27C8C" w:rsidRDefault="002C6140" w:rsidP="00B430EA">
            <w:pPr>
              <w:rPr>
                <w:rFonts w:ascii="Arial Narrow" w:hAnsi="Arial Narrow"/>
                <w:sz w:val="20"/>
                <w:szCs w:val="20"/>
              </w:rPr>
            </w:pPr>
            <w:r w:rsidRPr="00B27C8C">
              <w:rPr>
                <w:rFonts w:ascii="Arial Narrow" w:hAnsi="Arial Narrow"/>
                <w:sz w:val="20"/>
                <w:szCs w:val="20"/>
              </w:rPr>
              <w:t>Patient must have PNH granulocyte clone size equal to or greater than 10% within the last 3 months,</w:t>
            </w:r>
          </w:p>
        </w:tc>
      </w:tr>
      <w:tr w:rsidR="002C6140" w:rsidRPr="00A473B4" w14:paraId="3FE80B9E" w14:textId="77777777" w:rsidTr="00BF35A5">
        <w:trPr>
          <w:cantSplit/>
          <w:trHeight w:val="20"/>
        </w:trPr>
        <w:tc>
          <w:tcPr>
            <w:tcW w:w="1563" w:type="dxa"/>
            <w:gridSpan w:val="2"/>
            <w:vAlign w:val="center"/>
          </w:tcPr>
          <w:p w14:paraId="29CAE39A" w14:textId="77777777" w:rsidR="002C6140" w:rsidRDefault="002C6140" w:rsidP="00B430EA">
            <w:pPr>
              <w:jc w:val="center"/>
              <w:rPr>
                <w:rFonts w:ascii="Arial Narrow" w:hAnsi="Arial Narrow"/>
                <w:sz w:val="20"/>
                <w:szCs w:val="20"/>
              </w:rPr>
            </w:pPr>
          </w:p>
        </w:tc>
        <w:tc>
          <w:tcPr>
            <w:tcW w:w="7671" w:type="dxa"/>
            <w:gridSpan w:val="6"/>
            <w:vAlign w:val="center"/>
          </w:tcPr>
          <w:p w14:paraId="678A4E3B" w14:textId="77777777" w:rsidR="002C6140" w:rsidRPr="00B27C8C" w:rsidRDefault="002C6140" w:rsidP="00B430EA">
            <w:pPr>
              <w:rPr>
                <w:rFonts w:ascii="Arial Narrow" w:hAnsi="Arial Narrow"/>
                <w:sz w:val="20"/>
                <w:szCs w:val="20"/>
              </w:rPr>
            </w:pPr>
            <w:r w:rsidRPr="00B27C8C">
              <w:rPr>
                <w:rFonts w:ascii="Arial Narrow" w:hAnsi="Arial Narrow"/>
                <w:b/>
                <w:sz w:val="20"/>
                <w:szCs w:val="20"/>
              </w:rPr>
              <w:t>AND</w:t>
            </w:r>
          </w:p>
        </w:tc>
      </w:tr>
      <w:tr w:rsidR="002C6140" w:rsidRPr="00A473B4" w14:paraId="61603BBA" w14:textId="77777777" w:rsidTr="00BF35A5">
        <w:trPr>
          <w:cantSplit/>
          <w:trHeight w:val="20"/>
        </w:trPr>
        <w:tc>
          <w:tcPr>
            <w:tcW w:w="1563" w:type="dxa"/>
            <w:gridSpan w:val="2"/>
            <w:vAlign w:val="center"/>
          </w:tcPr>
          <w:p w14:paraId="4412929A" w14:textId="27BD3D3D" w:rsidR="002C6140" w:rsidRDefault="002C6140" w:rsidP="00B430EA">
            <w:pPr>
              <w:jc w:val="center"/>
              <w:rPr>
                <w:rFonts w:ascii="Arial Narrow" w:hAnsi="Arial Narrow"/>
                <w:sz w:val="20"/>
                <w:szCs w:val="20"/>
              </w:rPr>
            </w:pPr>
          </w:p>
        </w:tc>
        <w:tc>
          <w:tcPr>
            <w:tcW w:w="7671" w:type="dxa"/>
            <w:gridSpan w:val="6"/>
            <w:vAlign w:val="center"/>
          </w:tcPr>
          <w:p w14:paraId="178EEE7F" w14:textId="77777777" w:rsidR="002C6140" w:rsidRPr="00B27C8C" w:rsidRDefault="002C6140" w:rsidP="00B430EA">
            <w:pPr>
              <w:rPr>
                <w:rFonts w:ascii="Arial Narrow" w:hAnsi="Arial Narrow"/>
                <w:sz w:val="20"/>
                <w:szCs w:val="20"/>
              </w:rPr>
            </w:pPr>
            <w:r w:rsidRPr="00B27C8C">
              <w:rPr>
                <w:rFonts w:ascii="Arial Narrow" w:hAnsi="Arial Narrow"/>
                <w:b/>
                <w:sz w:val="20"/>
                <w:szCs w:val="20"/>
              </w:rPr>
              <w:t>Clinical criteria:</w:t>
            </w:r>
          </w:p>
        </w:tc>
      </w:tr>
      <w:tr w:rsidR="002C6140" w:rsidRPr="00A473B4" w14:paraId="6176270A" w14:textId="77777777" w:rsidTr="00BF35A5">
        <w:trPr>
          <w:cantSplit/>
          <w:trHeight w:val="20"/>
        </w:trPr>
        <w:tc>
          <w:tcPr>
            <w:tcW w:w="1563" w:type="dxa"/>
            <w:gridSpan w:val="2"/>
            <w:vAlign w:val="center"/>
          </w:tcPr>
          <w:p w14:paraId="43E03440" w14:textId="21E3171E" w:rsidR="002C6140" w:rsidRDefault="002C6140" w:rsidP="00B430EA">
            <w:pPr>
              <w:jc w:val="center"/>
              <w:rPr>
                <w:rFonts w:ascii="Arial Narrow" w:hAnsi="Arial Narrow"/>
                <w:sz w:val="20"/>
                <w:szCs w:val="20"/>
              </w:rPr>
            </w:pPr>
          </w:p>
        </w:tc>
        <w:tc>
          <w:tcPr>
            <w:tcW w:w="7671" w:type="dxa"/>
            <w:gridSpan w:val="6"/>
            <w:vAlign w:val="center"/>
          </w:tcPr>
          <w:p w14:paraId="0B414163" w14:textId="77777777" w:rsidR="002C6140" w:rsidRPr="00B27C8C" w:rsidRDefault="002C6140" w:rsidP="00B430EA">
            <w:pPr>
              <w:rPr>
                <w:rFonts w:ascii="Arial Narrow" w:hAnsi="Arial Narrow"/>
                <w:sz w:val="20"/>
                <w:szCs w:val="20"/>
              </w:rPr>
            </w:pPr>
            <w:r w:rsidRPr="00B27C8C">
              <w:rPr>
                <w:rFonts w:ascii="Arial Narrow" w:hAnsi="Arial Narrow"/>
                <w:sz w:val="20"/>
                <w:szCs w:val="20"/>
              </w:rPr>
              <w:t>Patient must have experienced an inadequate response to a complement 5 (C5) inhibitor demonstrated by a haemoglobin level of less than 105 g/L; OR</w:t>
            </w:r>
          </w:p>
        </w:tc>
      </w:tr>
      <w:tr w:rsidR="002C6140" w:rsidRPr="00A473B4" w14:paraId="2109C56E" w14:textId="77777777" w:rsidTr="00BF35A5">
        <w:trPr>
          <w:cantSplit/>
          <w:trHeight w:val="20"/>
        </w:trPr>
        <w:tc>
          <w:tcPr>
            <w:tcW w:w="1563" w:type="dxa"/>
            <w:gridSpan w:val="2"/>
            <w:vAlign w:val="center"/>
          </w:tcPr>
          <w:p w14:paraId="0CC48DB1" w14:textId="1FFA9817" w:rsidR="002C6140" w:rsidRDefault="002C6140" w:rsidP="00B430EA">
            <w:pPr>
              <w:jc w:val="center"/>
              <w:rPr>
                <w:rFonts w:ascii="Arial Narrow" w:hAnsi="Arial Narrow"/>
                <w:sz w:val="20"/>
                <w:szCs w:val="20"/>
              </w:rPr>
            </w:pPr>
          </w:p>
        </w:tc>
        <w:tc>
          <w:tcPr>
            <w:tcW w:w="7671" w:type="dxa"/>
            <w:gridSpan w:val="6"/>
            <w:vAlign w:val="center"/>
          </w:tcPr>
          <w:p w14:paraId="6B7C77B8" w14:textId="77777777" w:rsidR="002C6140" w:rsidRPr="00B27C8C" w:rsidRDefault="002C6140" w:rsidP="00B430EA">
            <w:pPr>
              <w:rPr>
                <w:rFonts w:ascii="Arial Narrow" w:hAnsi="Arial Narrow"/>
                <w:sz w:val="20"/>
                <w:szCs w:val="20"/>
              </w:rPr>
            </w:pPr>
            <w:r w:rsidRPr="00B27C8C">
              <w:rPr>
                <w:rFonts w:ascii="Arial Narrow" w:hAnsi="Arial Narrow"/>
                <w:sz w:val="20"/>
                <w:szCs w:val="20"/>
              </w:rPr>
              <w:t>Patient must be intolerant to C5 inhibitors as determined by the treating physician</w:t>
            </w:r>
          </w:p>
        </w:tc>
      </w:tr>
      <w:tr w:rsidR="002C6140" w:rsidRPr="00A473B4" w14:paraId="0CF39A85" w14:textId="77777777" w:rsidTr="00BF35A5">
        <w:trPr>
          <w:cantSplit/>
          <w:trHeight w:val="20"/>
        </w:trPr>
        <w:tc>
          <w:tcPr>
            <w:tcW w:w="1563" w:type="dxa"/>
            <w:gridSpan w:val="2"/>
            <w:vAlign w:val="center"/>
          </w:tcPr>
          <w:p w14:paraId="0EE7E2E8" w14:textId="77777777" w:rsidR="002C6140" w:rsidRDefault="002C6140" w:rsidP="00B430EA">
            <w:pPr>
              <w:jc w:val="center"/>
              <w:rPr>
                <w:rFonts w:ascii="Arial Narrow" w:hAnsi="Arial Narrow"/>
                <w:sz w:val="20"/>
                <w:szCs w:val="20"/>
              </w:rPr>
            </w:pPr>
          </w:p>
        </w:tc>
        <w:tc>
          <w:tcPr>
            <w:tcW w:w="7671" w:type="dxa"/>
            <w:gridSpan w:val="6"/>
            <w:vAlign w:val="center"/>
          </w:tcPr>
          <w:p w14:paraId="70F89EDE" w14:textId="77777777" w:rsidR="002C6140" w:rsidRPr="00B27C8C" w:rsidRDefault="002C6140" w:rsidP="00B430EA">
            <w:pPr>
              <w:rPr>
                <w:rFonts w:ascii="Arial Narrow" w:hAnsi="Arial Narrow"/>
                <w:sz w:val="20"/>
                <w:szCs w:val="20"/>
              </w:rPr>
            </w:pPr>
            <w:r w:rsidRPr="00B27C8C">
              <w:rPr>
                <w:rFonts w:ascii="Arial Narrow" w:hAnsi="Arial Narrow"/>
                <w:b/>
                <w:sz w:val="20"/>
                <w:szCs w:val="20"/>
              </w:rPr>
              <w:t>AND</w:t>
            </w:r>
          </w:p>
        </w:tc>
      </w:tr>
      <w:tr w:rsidR="002C6140" w:rsidRPr="00A473B4" w14:paraId="1D61FF8C" w14:textId="77777777" w:rsidTr="00BF35A5">
        <w:trPr>
          <w:cantSplit/>
          <w:trHeight w:val="20"/>
        </w:trPr>
        <w:tc>
          <w:tcPr>
            <w:tcW w:w="1563" w:type="dxa"/>
            <w:gridSpan w:val="2"/>
            <w:vAlign w:val="center"/>
          </w:tcPr>
          <w:p w14:paraId="787B9B22" w14:textId="6BA97B0D" w:rsidR="002C6140" w:rsidRDefault="002C6140" w:rsidP="00B430EA">
            <w:pPr>
              <w:jc w:val="center"/>
              <w:rPr>
                <w:rFonts w:ascii="Arial Narrow" w:hAnsi="Arial Narrow"/>
                <w:sz w:val="20"/>
                <w:szCs w:val="20"/>
              </w:rPr>
            </w:pPr>
          </w:p>
        </w:tc>
        <w:tc>
          <w:tcPr>
            <w:tcW w:w="7671" w:type="dxa"/>
            <w:gridSpan w:val="6"/>
            <w:vAlign w:val="center"/>
          </w:tcPr>
          <w:p w14:paraId="38FB57BF" w14:textId="77777777" w:rsidR="002C6140" w:rsidRPr="00B27C8C" w:rsidRDefault="002C6140" w:rsidP="00B430EA">
            <w:pPr>
              <w:rPr>
                <w:rFonts w:ascii="Arial Narrow" w:hAnsi="Arial Narrow"/>
                <w:sz w:val="20"/>
                <w:szCs w:val="20"/>
              </w:rPr>
            </w:pPr>
            <w:r w:rsidRPr="00B27C8C">
              <w:rPr>
                <w:rFonts w:ascii="Arial Narrow" w:hAnsi="Arial Narrow"/>
                <w:b/>
                <w:sz w:val="20"/>
                <w:szCs w:val="20"/>
              </w:rPr>
              <w:t>Clinical criteria:</w:t>
            </w:r>
          </w:p>
        </w:tc>
      </w:tr>
      <w:tr w:rsidR="002C6140" w:rsidRPr="00A473B4" w14:paraId="5E6C78C5" w14:textId="77777777" w:rsidTr="00BF35A5">
        <w:trPr>
          <w:cantSplit/>
          <w:trHeight w:val="20"/>
        </w:trPr>
        <w:tc>
          <w:tcPr>
            <w:tcW w:w="1563" w:type="dxa"/>
            <w:gridSpan w:val="2"/>
            <w:vAlign w:val="center"/>
          </w:tcPr>
          <w:p w14:paraId="53956A6F" w14:textId="5FE2939D" w:rsidR="002C6140" w:rsidRDefault="002C6140" w:rsidP="00B430EA">
            <w:pPr>
              <w:jc w:val="center"/>
              <w:rPr>
                <w:rFonts w:ascii="Arial Narrow" w:hAnsi="Arial Narrow"/>
                <w:sz w:val="20"/>
                <w:szCs w:val="20"/>
              </w:rPr>
            </w:pPr>
          </w:p>
        </w:tc>
        <w:tc>
          <w:tcPr>
            <w:tcW w:w="7671" w:type="dxa"/>
            <w:gridSpan w:val="6"/>
            <w:vAlign w:val="center"/>
          </w:tcPr>
          <w:p w14:paraId="26211697" w14:textId="77777777" w:rsidR="002C6140" w:rsidRPr="00B27C8C" w:rsidRDefault="002C6140" w:rsidP="00B430EA">
            <w:pPr>
              <w:rPr>
                <w:rFonts w:ascii="Arial Narrow" w:hAnsi="Arial Narrow"/>
                <w:sz w:val="20"/>
                <w:szCs w:val="20"/>
              </w:rPr>
            </w:pPr>
            <w:r w:rsidRPr="00B27C8C">
              <w:rPr>
                <w:rFonts w:ascii="Arial Narrow" w:hAnsi="Arial Narrow"/>
                <w:sz w:val="20"/>
                <w:szCs w:val="20"/>
              </w:rPr>
              <w:t>Patient must have received treatment with at least one C5 inhibitor for at least 3 months before initiating treatment with this drug unless intolerance of severity necessitating permanent treatment withdrawal had occurred.</w:t>
            </w:r>
          </w:p>
        </w:tc>
      </w:tr>
      <w:tr w:rsidR="002C6140" w:rsidRPr="00A473B4" w14:paraId="4298F748" w14:textId="77777777" w:rsidTr="00BF35A5">
        <w:trPr>
          <w:cantSplit/>
          <w:trHeight w:val="20"/>
        </w:trPr>
        <w:tc>
          <w:tcPr>
            <w:tcW w:w="1563" w:type="dxa"/>
            <w:gridSpan w:val="2"/>
            <w:vAlign w:val="center"/>
          </w:tcPr>
          <w:p w14:paraId="0261F636" w14:textId="77777777" w:rsidR="002C6140" w:rsidRDefault="002C6140" w:rsidP="00B430EA">
            <w:pPr>
              <w:jc w:val="center"/>
              <w:rPr>
                <w:rFonts w:ascii="Arial Narrow" w:hAnsi="Arial Narrow"/>
                <w:sz w:val="20"/>
                <w:szCs w:val="20"/>
              </w:rPr>
            </w:pPr>
          </w:p>
        </w:tc>
        <w:tc>
          <w:tcPr>
            <w:tcW w:w="7671" w:type="dxa"/>
            <w:gridSpan w:val="6"/>
            <w:vAlign w:val="center"/>
          </w:tcPr>
          <w:p w14:paraId="032F2487" w14:textId="77777777" w:rsidR="002C6140" w:rsidRPr="006B37A4" w:rsidRDefault="002C6140" w:rsidP="00B430EA">
            <w:pPr>
              <w:rPr>
                <w:rFonts w:ascii="Arial Narrow" w:hAnsi="Arial Narrow"/>
                <w:i/>
                <w:iCs/>
                <w:sz w:val="20"/>
                <w:szCs w:val="20"/>
              </w:rPr>
            </w:pPr>
            <w:r w:rsidRPr="006B37A4">
              <w:rPr>
                <w:rFonts w:ascii="Arial Narrow" w:hAnsi="Arial Narrow"/>
                <w:b/>
                <w:i/>
                <w:iCs/>
                <w:sz w:val="20"/>
                <w:szCs w:val="20"/>
              </w:rPr>
              <w:t>AND</w:t>
            </w:r>
          </w:p>
        </w:tc>
      </w:tr>
      <w:tr w:rsidR="002C6140" w:rsidRPr="00A473B4" w14:paraId="45963DA0" w14:textId="77777777" w:rsidTr="00BF35A5">
        <w:trPr>
          <w:cantSplit/>
          <w:trHeight w:val="20"/>
        </w:trPr>
        <w:tc>
          <w:tcPr>
            <w:tcW w:w="1563" w:type="dxa"/>
            <w:gridSpan w:val="2"/>
            <w:vAlign w:val="center"/>
          </w:tcPr>
          <w:p w14:paraId="01536464" w14:textId="1245CB79" w:rsidR="002C6140" w:rsidRPr="003A0DA8" w:rsidRDefault="002C6140" w:rsidP="00B430EA">
            <w:pPr>
              <w:jc w:val="center"/>
              <w:rPr>
                <w:rFonts w:ascii="Arial Narrow" w:hAnsi="Arial Narrow"/>
                <w:i/>
                <w:iCs/>
                <w:sz w:val="20"/>
                <w:szCs w:val="20"/>
              </w:rPr>
            </w:pPr>
          </w:p>
        </w:tc>
        <w:tc>
          <w:tcPr>
            <w:tcW w:w="7671" w:type="dxa"/>
            <w:gridSpan w:val="6"/>
            <w:vAlign w:val="center"/>
          </w:tcPr>
          <w:p w14:paraId="773EF6FD" w14:textId="77777777" w:rsidR="002C6140" w:rsidRPr="001470A7" w:rsidRDefault="002C6140" w:rsidP="00B430EA">
            <w:pPr>
              <w:rPr>
                <w:rFonts w:ascii="Arial Narrow" w:hAnsi="Arial Narrow"/>
                <w:sz w:val="20"/>
                <w:szCs w:val="20"/>
              </w:rPr>
            </w:pPr>
            <w:r w:rsidRPr="001470A7">
              <w:rPr>
                <w:rFonts w:ascii="Arial Narrow" w:hAnsi="Arial Narrow"/>
                <w:b/>
                <w:sz w:val="20"/>
                <w:szCs w:val="20"/>
              </w:rPr>
              <w:t>Clinical criteria:</w:t>
            </w:r>
          </w:p>
        </w:tc>
      </w:tr>
      <w:tr w:rsidR="002C6140" w:rsidRPr="00A473B4" w14:paraId="5D408CD5" w14:textId="77777777" w:rsidTr="00BF35A5">
        <w:trPr>
          <w:cantSplit/>
          <w:trHeight w:val="20"/>
        </w:trPr>
        <w:tc>
          <w:tcPr>
            <w:tcW w:w="1563" w:type="dxa"/>
            <w:gridSpan w:val="2"/>
            <w:vAlign w:val="center"/>
          </w:tcPr>
          <w:p w14:paraId="2FC6EFEE" w14:textId="1A9BA7D8" w:rsidR="002C6140" w:rsidRPr="003A0DA8" w:rsidRDefault="002C6140" w:rsidP="00B430EA">
            <w:pPr>
              <w:jc w:val="center"/>
              <w:rPr>
                <w:rFonts w:ascii="Arial Narrow" w:hAnsi="Arial Narrow"/>
                <w:i/>
                <w:iCs/>
                <w:sz w:val="20"/>
                <w:szCs w:val="20"/>
              </w:rPr>
            </w:pPr>
          </w:p>
        </w:tc>
        <w:tc>
          <w:tcPr>
            <w:tcW w:w="7671" w:type="dxa"/>
            <w:gridSpan w:val="6"/>
            <w:vAlign w:val="center"/>
          </w:tcPr>
          <w:p w14:paraId="7DEF37E7" w14:textId="77777777" w:rsidR="002C6140" w:rsidRPr="001470A7" w:rsidRDefault="002C6140" w:rsidP="00B430EA">
            <w:pPr>
              <w:rPr>
                <w:rFonts w:ascii="Arial Narrow" w:hAnsi="Arial Narrow"/>
                <w:sz w:val="20"/>
                <w:szCs w:val="20"/>
              </w:rPr>
            </w:pPr>
            <w:r w:rsidRPr="001470A7">
              <w:rPr>
                <w:rFonts w:ascii="Arial Narrow" w:hAnsi="Arial Narrow"/>
                <w:sz w:val="20"/>
                <w:szCs w:val="20"/>
              </w:rPr>
              <w:t>The treatment must be the sole PBS subsidised treatment for this condition.</w:t>
            </w:r>
          </w:p>
        </w:tc>
      </w:tr>
      <w:tr w:rsidR="002C6140" w:rsidRPr="00A473B4" w14:paraId="1A0079D8" w14:textId="77777777" w:rsidTr="00BF35A5">
        <w:trPr>
          <w:cantSplit/>
          <w:trHeight w:val="20"/>
        </w:trPr>
        <w:tc>
          <w:tcPr>
            <w:tcW w:w="1563" w:type="dxa"/>
            <w:gridSpan w:val="2"/>
            <w:vAlign w:val="center"/>
          </w:tcPr>
          <w:p w14:paraId="1067A139" w14:textId="77777777" w:rsidR="002C6140" w:rsidRPr="004D158D" w:rsidRDefault="002C6140" w:rsidP="00B430EA">
            <w:pPr>
              <w:jc w:val="center"/>
              <w:rPr>
                <w:rFonts w:ascii="Arial Narrow" w:hAnsi="Arial Narrow"/>
                <w:i/>
                <w:iCs/>
                <w:sz w:val="20"/>
                <w:szCs w:val="20"/>
              </w:rPr>
            </w:pPr>
          </w:p>
        </w:tc>
        <w:tc>
          <w:tcPr>
            <w:tcW w:w="7671" w:type="dxa"/>
            <w:gridSpan w:val="6"/>
            <w:vAlign w:val="center"/>
          </w:tcPr>
          <w:p w14:paraId="72A0B303" w14:textId="77777777" w:rsidR="002C6140" w:rsidRPr="000163DD" w:rsidRDefault="002C6140" w:rsidP="00B430EA">
            <w:pPr>
              <w:rPr>
                <w:rFonts w:ascii="Arial Narrow" w:hAnsi="Arial Narrow"/>
                <w:i/>
                <w:iCs/>
                <w:sz w:val="20"/>
                <w:szCs w:val="20"/>
              </w:rPr>
            </w:pPr>
            <w:r w:rsidRPr="006B37A4">
              <w:rPr>
                <w:rFonts w:ascii="Arial Narrow" w:hAnsi="Arial Narrow"/>
                <w:b/>
                <w:i/>
                <w:iCs/>
                <w:sz w:val="20"/>
                <w:szCs w:val="20"/>
              </w:rPr>
              <w:t>AND</w:t>
            </w:r>
          </w:p>
        </w:tc>
      </w:tr>
      <w:tr w:rsidR="002C6140" w:rsidRPr="00A473B4" w14:paraId="6207BFBD" w14:textId="77777777" w:rsidTr="00BF35A5">
        <w:trPr>
          <w:cantSplit/>
          <w:trHeight w:val="20"/>
        </w:trPr>
        <w:tc>
          <w:tcPr>
            <w:tcW w:w="1563" w:type="dxa"/>
            <w:gridSpan w:val="2"/>
            <w:vAlign w:val="center"/>
          </w:tcPr>
          <w:p w14:paraId="1F4F21C5" w14:textId="6082B680" w:rsidR="002C6140" w:rsidRDefault="002C6140" w:rsidP="00B430EA">
            <w:pPr>
              <w:jc w:val="center"/>
              <w:rPr>
                <w:rFonts w:ascii="Arial Narrow" w:hAnsi="Arial Narrow"/>
                <w:sz w:val="20"/>
                <w:szCs w:val="20"/>
              </w:rPr>
            </w:pPr>
          </w:p>
        </w:tc>
        <w:tc>
          <w:tcPr>
            <w:tcW w:w="7671" w:type="dxa"/>
            <w:gridSpan w:val="6"/>
            <w:vAlign w:val="center"/>
          </w:tcPr>
          <w:p w14:paraId="39CF554A" w14:textId="77777777" w:rsidR="002C6140" w:rsidRPr="00B27C8C" w:rsidRDefault="002C6140" w:rsidP="00B430EA">
            <w:pPr>
              <w:rPr>
                <w:rFonts w:ascii="Arial Narrow" w:hAnsi="Arial Narrow"/>
                <w:sz w:val="20"/>
                <w:szCs w:val="20"/>
              </w:rPr>
            </w:pPr>
            <w:r w:rsidRPr="00B27C8C">
              <w:rPr>
                <w:rFonts w:ascii="Arial Narrow" w:hAnsi="Arial Narrow"/>
                <w:b/>
                <w:sz w:val="20"/>
                <w:szCs w:val="20"/>
              </w:rPr>
              <w:t>Treatment criteria:</w:t>
            </w:r>
          </w:p>
        </w:tc>
      </w:tr>
      <w:tr w:rsidR="002C6140" w:rsidRPr="00A473B4" w14:paraId="4C1CAB8D" w14:textId="77777777" w:rsidTr="00BF35A5">
        <w:trPr>
          <w:cantSplit/>
          <w:trHeight w:val="20"/>
        </w:trPr>
        <w:tc>
          <w:tcPr>
            <w:tcW w:w="1563" w:type="dxa"/>
            <w:gridSpan w:val="2"/>
            <w:vAlign w:val="center"/>
          </w:tcPr>
          <w:p w14:paraId="5E5396EA" w14:textId="11A02CB6" w:rsidR="002C6140" w:rsidRDefault="002C6140" w:rsidP="00B430EA">
            <w:pPr>
              <w:jc w:val="center"/>
              <w:rPr>
                <w:rFonts w:ascii="Arial Narrow" w:hAnsi="Arial Narrow"/>
                <w:sz w:val="20"/>
                <w:szCs w:val="20"/>
              </w:rPr>
            </w:pPr>
          </w:p>
        </w:tc>
        <w:tc>
          <w:tcPr>
            <w:tcW w:w="7671" w:type="dxa"/>
            <w:gridSpan w:val="6"/>
            <w:vAlign w:val="center"/>
          </w:tcPr>
          <w:p w14:paraId="47D1865E" w14:textId="77777777" w:rsidR="002C6140" w:rsidRPr="00B27C8C" w:rsidRDefault="002C6140" w:rsidP="00B430EA">
            <w:pPr>
              <w:rPr>
                <w:rFonts w:ascii="Arial Narrow" w:hAnsi="Arial Narrow"/>
                <w:sz w:val="20"/>
                <w:szCs w:val="20"/>
              </w:rPr>
            </w:pPr>
            <w:r w:rsidRPr="00B27C8C">
              <w:rPr>
                <w:rFonts w:ascii="Arial Narrow" w:hAnsi="Arial Narrow"/>
                <w:sz w:val="20"/>
                <w:szCs w:val="20"/>
              </w:rPr>
              <w:t>Must be treated by a haematologist; OR</w:t>
            </w:r>
          </w:p>
        </w:tc>
      </w:tr>
      <w:tr w:rsidR="002C6140" w:rsidRPr="00A473B4" w14:paraId="16A5AE3F" w14:textId="77777777" w:rsidTr="00BF35A5">
        <w:trPr>
          <w:cantSplit/>
          <w:trHeight w:val="20"/>
        </w:trPr>
        <w:tc>
          <w:tcPr>
            <w:tcW w:w="1563" w:type="dxa"/>
            <w:gridSpan w:val="2"/>
            <w:vAlign w:val="center"/>
          </w:tcPr>
          <w:p w14:paraId="02EE0D2E" w14:textId="48DFFE49" w:rsidR="002C6140" w:rsidRDefault="002C6140" w:rsidP="00B430EA">
            <w:pPr>
              <w:jc w:val="center"/>
              <w:rPr>
                <w:rFonts w:ascii="Arial Narrow" w:hAnsi="Arial Narrow"/>
                <w:sz w:val="20"/>
                <w:szCs w:val="20"/>
              </w:rPr>
            </w:pPr>
          </w:p>
        </w:tc>
        <w:tc>
          <w:tcPr>
            <w:tcW w:w="7671" w:type="dxa"/>
            <w:gridSpan w:val="6"/>
            <w:vAlign w:val="center"/>
          </w:tcPr>
          <w:p w14:paraId="017C3FBC" w14:textId="77777777" w:rsidR="002C6140" w:rsidRPr="00B27C8C" w:rsidRDefault="002C6140" w:rsidP="00B430EA">
            <w:pPr>
              <w:rPr>
                <w:rFonts w:ascii="Arial Narrow" w:hAnsi="Arial Narrow"/>
                <w:sz w:val="20"/>
                <w:szCs w:val="20"/>
              </w:rPr>
            </w:pPr>
            <w:r w:rsidRPr="00B27C8C">
              <w:rPr>
                <w:rFonts w:ascii="Arial Narrow" w:hAnsi="Arial Narrow"/>
                <w:sz w:val="20"/>
                <w:szCs w:val="20"/>
              </w:rPr>
              <w:t>Must be treated by a non-specialist medical physician who has consulted a haematologist on the patient's drug treatment details.</w:t>
            </w:r>
          </w:p>
        </w:tc>
      </w:tr>
      <w:tr w:rsidR="002C6140" w:rsidRPr="00A473B4" w14:paraId="46EC6996" w14:textId="77777777" w:rsidTr="00BF35A5">
        <w:trPr>
          <w:cantSplit/>
          <w:trHeight w:val="20"/>
        </w:trPr>
        <w:tc>
          <w:tcPr>
            <w:tcW w:w="1563" w:type="dxa"/>
            <w:gridSpan w:val="2"/>
            <w:vAlign w:val="center"/>
          </w:tcPr>
          <w:p w14:paraId="6D1A7208" w14:textId="542B0AE3" w:rsidR="002C6140" w:rsidRDefault="002C6140" w:rsidP="00B430EA">
            <w:pPr>
              <w:jc w:val="center"/>
              <w:rPr>
                <w:rFonts w:ascii="Arial Narrow" w:hAnsi="Arial Narrow"/>
                <w:sz w:val="20"/>
                <w:szCs w:val="20"/>
              </w:rPr>
            </w:pPr>
          </w:p>
        </w:tc>
        <w:tc>
          <w:tcPr>
            <w:tcW w:w="7671" w:type="dxa"/>
            <w:gridSpan w:val="6"/>
            <w:vAlign w:val="center"/>
          </w:tcPr>
          <w:p w14:paraId="2A95911A" w14:textId="77777777" w:rsidR="002C6140" w:rsidRPr="00B27C8C" w:rsidRDefault="002C6140" w:rsidP="00B430EA">
            <w:pPr>
              <w:rPr>
                <w:rFonts w:ascii="Arial Narrow" w:hAnsi="Arial Narrow"/>
                <w:sz w:val="20"/>
                <w:szCs w:val="20"/>
              </w:rPr>
            </w:pPr>
            <w:r w:rsidRPr="00B27C8C">
              <w:rPr>
                <w:rFonts w:ascii="Arial Narrow" w:hAnsi="Arial Narrow"/>
                <w:b/>
                <w:sz w:val="20"/>
                <w:szCs w:val="20"/>
              </w:rPr>
              <w:t>Population criteria:</w:t>
            </w:r>
          </w:p>
        </w:tc>
      </w:tr>
      <w:tr w:rsidR="002C6140" w:rsidRPr="00A473B4" w14:paraId="22D419CE" w14:textId="77777777" w:rsidTr="00BF35A5">
        <w:trPr>
          <w:cantSplit/>
          <w:trHeight w:val="20"/>
        </w:trPr>
        <w:tc>
          <w:tcPr>
            <w:tcW w:w="1563" w:type="dxa"/>
            <w:gridSpan w:val="2"/>
            <w:vAlign w:val="center"/>
          </w:tcPr>
          <w:p w14:paraId="769B82D8" w14:textId="124D948A" w:rsidR="002C6140" w:rsidRDefault="002C6140" w:rsidP="00B430EA">
            <w:pPr>
              <w:jc w:val="center"/>
              <w:rPr>
                <w:rFonts w:ascii="Arial Narrow" w:hAnsi="Arial Narrow"/>
                <w:sz w:val="20"/>
                <w:szCs w:val="20"/>
              </w:rPr>
            </w:pPr>
          </w:p>
        </w:tc>
        <w:tc>
          <w:tcPr>
            <w:tcW w:w="7671" w:type="dxa"/>
            <w:gridSpan w:val="6"/>
            <w:vAlign w:val="center"/>
          </w:tcPr>
          <w:p w14:paraId="46F79320" w14:textId="77777777" w:rsidR="002C6140" w:rsidRPr="00B27C8C" w:rsidRDefault="002C6140" w:rsidP="00B430EA">
            <w:pPr>
              <w:rPr>
                <w:rFonts w:ascii="Arial Narrow" w:hAnsi="Arial Narrow"/>
                <w:sz w:val="20"/>
                <w:szCs w:val="20"/>
              </w:rPr>
            </w:pPr>
            <w:r w:rsidRPr="00B27C8C">
              <w:rPr>
                <w:rFonts w:ascii="Arial Narrow" w:hAnsi="Arial Narrow"/>
                <w:sz w:val="20"/>
                <w:szCs w:val="20"/>
              </w:rPr>
              <w:t>Patient must be at least 18 years of age.</w:t>
            </w:r>
          </w:p>
        </w:tc>
      </w:tr>
      <w:tr w:rsidR="002C6140" w:rsidRPr="00A473B4" w14:paraId="3EE98B5C" w14:textId="77777777" w:rsidTr="00BF35A5">
        <w:trPr>
          <w:cantSplit/>
          <w:trHeight w:val="20"/>
        </w:trPr>
        <w:tc>
          <w:tcPr>
            <w:tcW w:w="1563" w:type="dxa"/>
            <w:gridSpan w:val="2"/>
            <w:vAlign w:val="center"/>
          </w:tcPr>
          <w:p w14:paraId="0844D1D9" w14:textId="3E9C9628" w:rsidR="002C6140" w:rsidRDefault="002C6140" w:rsidP="00B430EA">
            <w:pPr>
              <w:jc w:val="center"/>
              <w:rPr>
                <w:rFonts w:ascii="Arial Narrow" w:hAnsi="Arial Narrow"/>
                <w:sz w:val="20"/>
                <w:szCs w:val="20"/>
              </w:rPr>
            </w:pPr>
          </w:p>
        </w:tc>
        <w:tc>
          <w:tcPr>
            <w:tcW w:w="7671" w:type="dxa"/>
            <w:gridSpan w:val="6"/>
            <w:vAlign w:val="center"/>
          </w:tcPr>
          <w:p w14:paraId="53333604" w14:textId="77777777" w:rsidR="002C6140" w:rsidRPr="00EB4977" w:rsidRDefault="002C6140" w:rsidP="00B430EA">
            <w:pPr>
              <w:rPr>
                <w:rFonts w:ascii="Arial Narrow" w:hAnsi="Arial Narrow"/>
                <w:sz w:val="20"/>
                <w:szCs w:val="20"/>
              </w:rPr>
            </w:pPr>
            <w:r w:rsidRPr="00B35896">
              <w:rPr>
                <w:rFonts w:ascii="Arial Narrow" w:hAnsi="Arial Narrow"/>
                <w:b/>
                <w:bCs/>
                <w:sz w:val="20"/>
                <w:szCs w:val="20"/>
              </w:rPr>
              <w:t>Prescribing Instructions:</w:t>
            </w:r>
            <w:r w:rsidRPr="00EC424F">
              <w:rPr>
                <w:rFonts w:ascii="Arial Narrow" w:hAnsi="Arial Narrow"/>
                <w:sz w:val="20"/>
                <w:szCs w:val="20"/>
              </w:rPr>
              <w:t xml:space="preserve"> </w:t>
            </w:r>
            <w:r w:rsidRPr="00EB4977">
              <w:rPr>
                <w:rFonts w:ascii="Arial Narrow" w:hAnsi="Arial Narrow"/>
                <w:sz w:val="20"/>
                <w:szCs w:val="20"/>
              </w:rPr>
              <w:t>The authority application must be made in writing and must include:</w:t>
            </w:r>
          </w:p>
          <w:p w14:paraId="6EAC1C87" w14:textId="77777777" w:rsidR="002C6140" w:rsidRPr="00EB4977" w:rsidRDefault="002C6140" w:rsidP="00B430EA">
            <w:pPr>
              <w:rPr>
                <w:rFonts w:ascii="Arial Narrow" w:hAnsi="Arial Narrow"/>
                <w:sz w:val="20"/>
                <w:szCs w:val="20"/>
              </w:rPr>
            </w:pPr>
            <w:r>
              <w:rPr>
                <w:rFonts w:ascii="Arial Narrow" w:hAnsi="Arial Narrow"/>
                <w:sz w:val="20"/>
                <w:szCs w:val="20"/>
              </w:rPr>
              <w:t>(</w:t>
            </w:r>
            <w:r w:rsidRPr="00EB4977">
              <w:rPr>
                <w:rFonts w:ascii="Arial Narrow" w:hAnsi="Arial Narrow"/>
                <w:sz w:val="20"/>
                <w:szCs w:val="20"/>
              </w:rPr>
              <w:t xml:space="preserve">1) </w:t>
            </w:r>
            <w:r w:rsidRPr="002C6140">
              <w:rPr>
                <w:rFonts w:ascii="Arial Narrow" w:hAnsi="Arial Narrow"/>
                <w:sz w:val="20"/>
                <w:szCs w:val="20"/>
              </w:rPr>
              <w:t>details of the proposed prescription;</w:t>
            </w:r>
            <w:r w:rsidRPr="00EB4977">
              <w:rPr>
                <w:rFonts w:ascii="Arial Narrow" w:hAnsi="Arial Narrow"/>
                <w:sz w:val="20"/>
                <w:szCs w:val="20"/>
              </w:rPr>
              <w:t xml:space="preserve"> and</w:t>
            </w:r>
          </w:p>
          <w:p w14:paraId="5BCF6885" w14:textId="77777777" w:rsidR="002C6140" w:rsidRPr="001073C2" w:rsidRDefault="002C6140" w:rsidP="00B430EA">
            <w:pPr>
              <w:rPr>
                <w:rFonts w:ascii="Arial Narrow" w:hAnsi="Arial Narrow"/>
                <w:sz w:val="20"/>
                <w:szCs w:val="20"/>
              </w:rPr>
            </w:pPr>
            <w:r w:rsidRPr="00EB4977">
              <w:rPr>
                <w:rFonts w:ascii="Arial Narrow" w:hAnsi="Arial Narrow"/>
                <w:sz w:val="20"/>
                <w:szCs w:val="20"/>
              </w:rPr>
              <w:t>(2) a completed authority application form relevant to the indication and treatment phase (the latest version is located on the website specified in the Administrative Advice).</w:t>
            </w:r>
          </w:p>
        </w:tc>
      </w:tr>
      <w:tr w:rsidR="002C6140" w:rsidRPr="00A473B4" w14:paraId="6E438125" w14:textId="77777777" w:rsidTr="00BF35A5">
        <w:trPr>
          <w:cantSplit/>
          <w:trHeight w:val="20"/>
        </w:trPr>
        <w:tc>
          <w:tcPr>
            <w:tcW w:w="1563" w:type="dxa"/>
            <w:gridSpan w:val="2"/>
            <w:vAlign w:val="center"/>
          </w:tcPr>
          <w:p w14:paraId="2094287B" w14:textId="183955B3" w:rsidR="002C6140" w:rsidRDefault="002C6140" w:rsidP="00B430EA">
            <w:pPr>
              <w:jc w:val="center"/>
              <w:rPr>
                <w:rFonts w:ascii="Arial Narrow" w:hAnsi="Arial Narrow"/>
                <w:sz w:val="20"/>
                <w:szCs w:val="20"/>
              </w:rPr>
            </w:pPr>
          </w:p>
        </w:tc>
        <w:tc>
          <w:tcPr>
            <w:tcW w:w="7671" w:type="dxa"/>
            <w:gridSpan w:val="6"/>
          </w:tcPr>
          <w:p w14:paraId="6EE1CB46" w14:textId="77777777" w:rsidR="002C6140" w:rsidRPr="00B27C8C" w:rsidRDefault="002C6140" w:rsidP="00B430EA">
            <w:pPr>
              <w:rPr>
                <w:rFonts w:ascii="Arial Narrow" w:hAnsi="Arial Narrow"/>
                <w:sz w:val="20"/>
                <w:szCs w:val="20"/>
              </w:rPr>
            </w:pPr>
            <w:r w:rsidRPr="001073C2">
              <w:rPr>
                <w:rFonts w:ascii="Arial Narrow" w:hAnsi="Arial Narrow"/>
                <w:b/>
                <w:bCs/>
                <w:sz w:val="20"/>
                <w:szCs w:val="20"/>
              </w:rPr>
              <w:t>Prescribing instructions:</w:t>
            </w:r>
            <w:r>
              <w:rPr>
                <w:rFonts w:ascii="Arial Narrow" w:hAnsi="Arial Narrow"/>
                <w:sz w:val="20"/>
                <w:szCs w:val="20"/>
              </w:rPr>
              <w:t xml:space="preserve"> </w:t>
            </w:r>
            <w:r w:rsidRPr="00B27C8C">
              <w:rPr>
                <w:rFonts w:ascii="Arial Narrow" w:hAnsi="Arial Narrow"/>
                <w:sz w:val="20"/>
                <w:szCs w:val="20"/>
              </w:rPr>
              <w:t>At the time of the authority application, details (result and date of result) of the following monitoring requirements must be provided:</w:t>
            </w:r>
          </w:p>
          <w:p w14:paraId="67403F67" w14:textId="77777777" w:rsidR="002C6140" w:rsidRPr="00B27C8C" w:rsidRDefault="002C6140" w:rsidP="00B430EA">
            <w:pPr>
              <w:rPr>
                <w:rFonts w:ascii="Arial Narrow" w:hAnsi="Arial Narrow"/>
                <w:sz w:val="20"/>
                <w:szCs w:val="20"/>
              </w:rPr>
            </w:pPr>
            <w:r w:rsidRPr="00B27C8C">
              <w:rPr>
                <w:rFonts w:ascii="Arial Narrow" w:hAnsi="Arial Narrow"/>
                <w:sz w:val="20"/>
                <w:szCs w:val="20"/>
              </w:rPr>
              <w:t>(i) Haemoglobin (g/L)</w:t>
            </w:r>
          </w:p>
          <w:p w14:paraId="26CD3FBD" w14:textId="77777777" w:rsidR="002C6140" w:rsidRPr="00B27C8C" w:rsidRDefault="002C6140" w:rsidP="00B430EA">
            <w:pPr>
              <w:rPr>
                <w:rFonts w:ascii="Arial Narrow" w:hAnsi="Arial Narrow"/>
                <w:sz w:val="20"/>
                <w:szCs w:val="20"/>
              </w:rPr>
            </w:pPr>
            <w:r w:rsidRPr="00B27C8C">
              <w:rPr>
                <w:rFonts w:ascii="Arial Narrow" w:hAnsi="Arial Narrow"/>
                <w:sz w:val="20"/>
                <w:szCs w:val="20"/>
              </w:rPr>
              <w:t>(ii) Platelets (x109/L)</w:t>
            </w:r>
          </w:p>
          <w:p w14:paraId="2B131006" w14:textId="77777777" w:rsidR="002C6140" w:rsidRPr="00B27C8C" w:rsidRDefault="002C6140" w:rsidP="00B430EA">
            <w:pPr>
              <w:rPr>
                <w:rFonts w:ascii="Arial Narrow" w:hAnsi="Arial Narrow"/>
                <w:sz w:val="20"/>
                <w:szCs w:val="20"/>
              </w:rPr>
            </w:pPr>
            <w:r w:rsidRPr="00B27C8C">
              <w:rPr>
                <w:rFonts w:ascii="Arial Narrow" w:hAnsi="Arial Narrow"/>
                <w:sz w:val="20"/>
                <w:szCs w:val="20"/>
              </w:rPr>
              <w:t>(iii) White Cell Count (x109/L)</w:t>
            </w:r>
          </w:p>
          <w:p w14:paraId="155A9245" w14:textId="77777777" w:rsidR="002C6140" w:rsidRPr="00B27C8C" w:rsidRDefault="002C6140" w:rsidP="00B430EA">
            <w:pPr>
              <w:rPr>
                <w:rFonts w:ascii="Arial Narrow" w:hAnsi="Arial Narrow"/>
                <w:sz w:val="20"/>
                <w:szCs w:val="20"/>
              </w:rPr>
            </w:pPr>
            <w:r w:rsidRPr="00B27C8C">
              <w:rPr>
                <w:rFonts w:ascii="Arial Narrow" w:hAnsi="Arial Narrow"/>
                <w:sz w:val="20"/>
                <w:szCs w:val="20"/>
              </w:rPr>
              <w:t>(iv) Reticulocytes (x109/L)</w:t>
            </w:r>
          </w:p>
          <w:p w14:paraId="4EAA1D9C" w14:textId="77777777" w:rsidR="002C6140" w:rsidRPr="00B27C8C" w:rsidRDefault="002C6140" w:rsidP="00B430EA">
            <w:pPr>
              <w:rPr>
                <w:rFonts w:ascii="Arial Narrow" w:hAnsi="Arial Narrow"/>
                <w:sz w:val="20"/>
                <w:szCs w:val="20"/>
              </w:rPr>
            </w:pPr>
            <w:r w:rsidRPr="00B27C8C">
              <w:rPr>
                <w:rFonts w:ascii="Arial Narrow" w:hAnsi="Arial Narrow"/>
                <w:sz w:val="20"/>
                <w:szCs w:val="20"/>
              </w:rPr>
              <w:t>(v) Neutrophils (x109/L)</w:t>
            </w:r>
          </w:p>
          <w:p w14:paraId="6F3EBA84" w14:textId="77777777" w:rsidR="002C6140" w:rsidRPr="00B27C8C" w:rsidRDefault="002C6140" w:rsidP="00B430EA">
            <w:pPr>
              <w:rPr>
                <w:rFonts w:ascii="Arial Narrow" w:hAnsi="Arial Narrow"/>
                <w:sz w:val="20"/>
                <w:szCs w:val="20"/>
              </w:rPr>
            </w:pPr>
            <w:r w:rsidRPr="00B27C8C">
              <w:rPr>
                <w:rFonts w:ascii="Arial Narrow" w:hAnsi="Arial Narrow"/>
                <w:sz w:val="20"/>
                <w:szCs w:val="20"/>
              </w:rPr>
              <w:t>(vi) Granulocyte clone size (%)</w:t>
            </w:r>
          </w:p>
          <w:p w14:paraId="548659C8" w14:textId="77777777" w:rsidR="002C6140" w:rsidRPr="00B27C8C" w:rsidRDefault="002C6140" w:rsidP="00B430EA">
            <w:pPr>
              <w:rPr>
                <w:rFonts w:ascii="Arial Narrow" w:hAnsi="Arial Narrow"/>
                <w:sz w:val="20"/>
                <w:szCs w:val="20"/>
              </w:rPr>
            </w:pPr>
            <w:r w:rsidRPr="00B27C8C">
              <w:rPr>
                <w:rFonts w:ascii="Arial Narrow" w:hAnsi="Arial Narrow"/>
                <w:sz w:val="20"/>
                <w:szCs w:val="20"/>
              </w:rPr>
              <w:t>(vii) Lactate Dehydrogenase (LDH)</w:t>
            </w:r>
          </w:p>
          <w:p w14:paraId="412F2300" w14:textId="77777777" w:rsidR="002C6140" w:rsidRPr="00B27C8C" w:rsidRDefault="002C6140" w:rsidP="00B430EA">
            <w:pPr>
              <w:rPr>
                <w:rFonts w:ascii="Arial Narrow" w:hAnsi="Arial Narrow"/>
                <w:sz w:val="20"/>
                <w:szCs w:val="20"/>
              </w:rPr>
            </w:pPr>
            <w:r w:rsidRPr="00B27C8C">
              <w:rPr>
                <w:rFonts w:ascii="Arial Narrow" w:hAnsi="Arial Narrow"/>
                <w:sz w:val="20"/>
                <w:szCs w:val="20"/>
              </w:rPr>
              <w:t>(viii) the upper limit of normal (ULN) for LDH as quoted by the reporting laboratory</w:t>
            </w:r>
          </w:p>
          <w:p w14:paraId="485E8C91" w14:textId="77777777" w:rsidR="002C6140" w:rsidRPr="00B27C8C" w:rsidRDefault="002C6140" w:rsidP="00B430EA">
            <w:pPr>
              <w:rPr>
                <w:rFonts w:ascii="Arial Narrow" w:hAnsi="Arial Narrow"/>
                <w:sz w:val="20"/>
                <w:szCs w:val="20"/>
              </w:rPr>
            </w:pPr>
            <w:r w:rsidRPr="00B27C8C">
              <w:rPr>
                <w:rFonts w:ascii="Arial Narrow" w:hAnsi="Arial Narrow"/>
                <w:sz w:val="20"/>
                <w:szCs w:val="20"/>
              </w:rPr>
              <w:t>(ix) the LDH:ULN ratio (in figures, rounded to one decimal place)</w:t>
            </w:r>
          </w:p>
        </w:tc>
      </w:tr>
      <w:tr w:rsidR="002C6140" w:rsidRPr="00A473B4" w:rsidDel="003A0DA8" w14:paraId="5A652C3E" w14:textId="77777777" w:rsidTr="00CB6B88">
        <w:trPr>
          <w:cantSplit/>
          <w:trHeight w:val="56"/>
        </w:trPr>
        <w:tc>
          <w:tcPr>
            <w:tcW w:w="9234" w:type="dxa"/>
            <w:gridSpan w:val="8"/>
            <w:vAlign w:val="center"/>
          </w:tcPr>
          <w:p w14:paraId="2EBE6CEA" w14:textId="77777777" w:rsidR="002C6140" w:rsidRPr="00B33D44" w:rsidDel="003A0DA8" w:rsidRDefault="002C6140" w:rsidP="00B430EA">
            <w:pPr>
              <w:rPr>
                <w:rFonts w:ascii="Arial Narrow" w:hAnsi="Arial Narrow"/>
                <w:b/>
                <w:bCs/>
                <w:i/>
                <w:iCs/>
                <w:sz w:val="20"/>
                <w:szCs w:val="20"/>
              </w:rPr>
            </w:pPr>
          </w:p>
        </w:tc>
      </w:tr>
      <w:tr w:rsidR="002C6140" w:rsidRPr="00A473B4" w:rsidDel="003A0DA8" w14:paraId="39A30A62" w14:textId="77777777" w:rsidTr="00BF35A5">
        <w:trPr>
          <w:cantSplit/>
          <w:trHeight w:val="143"/>
        </w:trPr>
        <w:tc>
          <w:tcPr>
            <w:tcW w:w="9234" w:type="dxa"/>
            <w:gridSpan w:val="8"/>
            <w:vAlign w:val="center"/>
          </w:tcPr>
          <w:p w14:paraId="765F1B30" w14:textId="77777777" w:rsidR="002C6140" w:rsidRPr="00B33D44" w:rsidDel="003A0DA8" w:rsidRDefault="002C6140" w:rsidP="00B430EA">
            <w:pPr>
              <w:rPr>
                <w:rFonts w:ascii="Arial Narrow" w:hAnsi="Arial Narrow"/>
                <w:b/>
                <w:bCs/>
                <w:i/>
                <w:iCs/>
                <w:sz w:val="20"/>
                <w:szCs w:val="20"/>
              </w:rPr>
            </w:pPr>
            <w:r w:rsidRPr="00B27C8C">
              <w:rPr>
                <w:rFonts w:ascii="Arial Narrow" w:hAnsi="Arial Narrow"/>
                <w:b/>
                <w:bCs/>
                <w:sz w:val="20"/>
                <w:szCs w:val="20"/>
              </w:rPr>
              <w:t>Restriction Summary [new</w:t>
            </w:r>
            <w:r>
              <w:rPr>
                <w:rFonts w:ascii="Arial Narrow" w:hAnsi="Arial Narrow"/>
                <w:b/>
                <w:bCs/>
                <w:sz w:val="20"/>
                <w:szCs w:val="20"/>
              </w:rPr>
              <w:t xml:space="preserve"> 3</w:t>
            </w:r>
            <w:r w:rsidRPr="00B27C8C">
              <w:rPr>
                <w:rFonts w:ascii="Arial Narrow" w:hAnsi="Arial Narrow"/>
                <w:b/>
                <w:bCs/>
                <w:sz w:val="20"/>
                <w:szCs w:val="20"/>
              </w:rPr>
              <w:t>] / Treatment of Concept: [new</w:t>
            </w:r>
            <w:r>
              <w:rPr>
                <w:rFonts w:ascii="Arial Narrow" w:hAnsi="Arial Narrow"/>
                <w:b/>
                <w:bCs/>
                <w:sz w:val="20"/>
                <w:szCs w:val="20"/>
              </w:rPr>
              <w:t xml:space="preserve"> 4</w:t>
            </w:r>
            <w:r w:rsidRPr="00B27C8C">
              <w:rPr>
                <w:rFonts w:ascii="Arial Narrow" w:hAnsi="Arial Narrow"/>
                <w:b/>
                <w:bCs/>
                <w:sz w:val="20"/>
                <w:szCs w:val="20"/>
              </w:rPr>
              <w:t>]</w:t>
            </w:r>
          </w:p>
        </w:tc>
      </w:tr>
      <w:tr w:rsidR="002C6140" w:rsidRPr="00FE7885" w14:paraId="210F830E" w14:textId="77777777" w:rsidTr="00BF35A5">
        <w:trPr>
          <w:cantSplit/>
          <w:trHeight w:val="20"/>
        </w:trPr>
        <w:tc>
          <w:tcPr>
            <w:tcW w:w="1563" w:type="dxa"/>
            <w:gridSpan w:val="2"/>
            <w:vAlign w:val="center"/>
          </w:tcPr>
          <w:p w14:paraId="3ED21483" w14:textId="6A996D58" w:rsidR="002C6140" w:rsidRPr="00574959" w:rsidRDefault="002C6140" w:rsidP="00B430EA">
            <w:pPr>
              <w:jc w:val="center"/>
              <w:rPr>
                <w:rFonts w:ascii="Arial Narrow" w:hAnsi="Arial Narrow"/>
                <w:sz w:val="20"/>
                <w:szCs w:val="20"/>
              </w:rPr>
            </w:pPr>
          </w:p>
        </w:tc>
        <w:tc>
          <w:tcPr>
            <w:tcW w:w="7671" w:type="dxa"/>
            <w:gridSpan w:val="6"/>
            <w:vAlign w:val="center"/>
          </w:tcPr>
          <w:p w14:paraId="1C69C74D" w14:textId="77777777" w:rsidR="002C6140" w:rsidRPr="00FE7885" w:rsidRDefault="002C6140" w:rsidP="00B430EA">
            <w:pPr>
              <w:rPr>
                <w:rFonts w:ascii="Arial Narrow" w:hAnsi="Arial Narrow"/>
                <w:b/>
                <w:bCs/>
                <w:sz w:val="20"/>
                <w:szCs w:val="20"/>
              </w:rPr>
            </w:pPr>
            <w:r w:rsidRPr="00FE7885">
              <w:rPr>
                <w:rFonts w:ascii="Arial Narrow" w:hAnsi="Arial Narrow"/>
                <w:b/>
                <w:sz w:val="20"/>
                <w:szCs w:val="20"/>
              </w:rPr>
              <w:t>Indication:</w:t>
            </w:r>
            <w:r w:rsidRPr="00FE7885">
              <w:rPr>
                <w:rFonts w:ascii="Arial Narrow" w:hAnsi="Arial Narrow"/>
                <w:sz w:val="20"/>
                <w:szCs w:val="20"/>
              </w:rPr>
              <w:t xml:space="preserve"> Paroxysmal nocturnal haemoglobinuria (PNH)</w:t>
            </w:r>
          </w:p>
        </w:tc>
      </w:tr>
      <w:tr w:rsidR="002C6140" w:rsidRPr="00FE7885" w14:paraId="0B672F53" w14:textId="77777777" w:rsidTr="00BF35A5">
        <w:trPr>
          <w:cantSplit/>
          <w:trHeight w:val="20"/>
        </w:trPr>
        <w:tc>
          <w:tcPr>
            <w:tcW w:w="1563" w:type="dxa"/>
            <w:gridSpan w:val="2"/>
            <w:vAlign w:val="center"/>
          </w:tcPr>
          <w:p w14:paraId="6B237EC2" w14:textId="77777777" w:rsidR="002C6140" w:rsidRPr="00574959" w:rsidRDefault="002C6140" w:rsidP="00B430EA">
            <w:pPr>
              <w:jc w:val="center"/>
              <w:rPr>
                <w:rFonts w:ascii="Arial Narrow" w:hAnsi="Arial Narrow"/>
                <w:sz w:val="20"/>
                <w:szCs w:val="20"/>
              </w:rPr>
            </w:pPr>
          </w:p>
        </w:tc>
        <w:tc>
          <w:tcPr>
            <w:tcW w:w="7671" w:type="dxa"/>
            <w:gridSpan w:val="6"/>
            <w:vAlign w:val="center"/>
          </w:tcPr>
          <w:p w14:paraId="4BC2CE0A" w14:textId="77777777" w:rsidR="002C6140" w:rsidRPr="00FE7885" w:rsidRDefault="002C6140" w:rsidP="00B430EA">
            <w:pPr>
              <w:rPr>
                <w:rFonts w:ascii="Arial Narrow" w:hAnsi="Arial Narrow"/>
                <w:b/>
                <w:bCs/>
                <w:sz w:val="20"/>
                <w:szCs w:val="20"/>
              </w:rPr>
            </w:pPr>
            <w:r w:rsidRPr="00FE7885">
              <w:rPr>
                <w:rFonts w:ascii="Arial Narrow" w:hAnsi="Arial Narrow"/>
                <w:b/>
                <w:sz w:val="20"/>
                <w:szCs w:val="20"/>
              </w:rPr>
              <w:t>Treatment Phase:</w:t>
            </w:r>
            <w:r w:rsidRPr="00FE7885">
              <w:rPr>
                <w:rFonts w:ascii="Arial Narrow" w:hAnsi="Arial Narrow"/>
                <w:sz w:val="20"/>
                <w:szCs w:val="20"/>
              </w:rPr>
              <w:t xml:space="preserve"> Return from PBS-subsidised eculizumab post pregnancy </w:t>
            </w:r>
            <w:r>
              <w:rPr>
                <w:rFonts w:ascii="Arial Narrow" w:hAnsi="Arial Narrow"/>
                <w:sz w:val="20"/>
                <w:szCs w:val="20"/>
              </w:rPr>
              <w:t>or fr</w:t>
            </w:r>
            <w:r w:rsidRPr="005D0CEA">
              <w:rPr>
                <w:rFonts w:ascii="Arial Narrow" w:hAnsi="Arial Narrow"/>
                <w:sz w:val="20"/>
                <w:szCs w:val="20"/>
              </w:rPr>
              <w:t>om PBS-subsidised Complement 5 (C5) inhibitor for reasons other than post pregnancy</w:t>
            </w:r>
          </w:p>
        </w:tc>
      </w:tr>
      <w:tr w:rsidR="002C6140" w:rsidRPr="00FE7885" w14:paraId="726A108E" w14:textId="77777777" w:rsidTr="00BF35A5">
        <w:trPr>
          <w:cantSplit/>
          <w:trHeight w:val="20"/>
        </w:trPr>
        <w:tc>
          <w:tcPr>
            <w:tcW w:w="1563" w:type="dxa"/>
            <w:gridSpan w:val="2"/>
            <w:vAlign w:val="center"/>
          </w:tcPr>
          <w:p w14:paraId="108F46E4" w14:textId="1B04C773" w:rsidR="002C6140" w:rsidRPr="00574959" w:rsidRDefault="002C6140" w:rsidP="00B430EA">
            <w:pPr>
              <w:jc w:val="center"/>
              <w:rPr>
                <w:rFonts w:ascii="Arial Narrow" w:hAnsi="Arial Narrow"/>
                <w:sz w:val="20"/>
                <w:szCs w:val="20"/>
              </w:rPr>
            </w:pPr>
          </w:p>
        </w:tc>
        <w:tc>
          <w:tcPr>
            <w:tcW w:w="7671" w:type="dxa"/>
            <w:gridSpan w:val="6"/>
            <w:vAlign w:val="center"/>
          </w:tcPr>
          <w:p w14:paraId="639F5418" w14:textId="77777777" w:rsidR="002C6140" w:rsidRPr="00FE7885" w:rsidRDefault="002C6140" w:rsidP="00B430EA">
            <w:pPr>
              <w:rPr>
                <w:rFonts w:ascii="Arial Narrow" w:hAnsi="Arial Narrow"/>
                <w:b/>
                <w:bCs/>
                <w:sz w:val="20"/>
                <w:szCs w:val="20"/>
              </w:rPr>
            </w:pPr>
            <w:r w:rsidRPr="00FE7885">
              <w:rPr>
                <w:rFonts w:ascii="Arial Narrow" w:hAnsi="Arial Narrow"/>
                <w:b/>
                <w:sz w:val="20"/>
                <w:szCs w:val="20"/>
              </w:rPr>
              <w:t>Clinical criteria:</w:t>
            </w:r>
          </w:p>
        </w:tc>
      </w:tr>
      <w:tr w:rsidR="002C6140" w:rsidRPr="00FE7885" w14:paraId="3F2F5AA0" w14:textId="77777777" w:rsidTr="00BF35A5">
        <w:trPr>
          <w:cantSplit/>
          <w:trHeight w:val="20"/>
        </w:trPr>
        <w:tc>
          <w:tcPr>
            <w:tcW w:w="1563" w:type="dxa"/>
            <w:gridSpan w:val="2"/>
            <w:vAlign w:val="center"/>
          </w:tcPr>
          <w:p w14:paraId="6A0A10BE" w14:textId="216451A2" w:rsidR="002C6140" w:rsidRPr="00574959" w:rsidRDefault="002C6140" w:rsidP="00B430EA">
            <w:pPr>
              <w:jc w:val="center"/>
              <w:rPr>
                <w:rFonts w:ascii="Arial Narrow" w:hAnsi="Arial Narrow"/>
                <w:sz w:val="20"/>
                <w:szCs w:val="20"/>
              </w:rPr>
            </w:pPr>
          </w:p>
        </w:tc>
        <w:tc>
          <w:tcPr>
            <w:tcW w:w="7671" w:type="dxa"/>
            <w:gridSpan w:val="6"/>
            <w:vAlign w:val="center"/>
          </w:tcPr>
          <w:p w14:paraId="1F313E4A" w14:textId="77777777" w:rsidR="002C6140" w:rsidRPr="00FE7885" w:rsidRDefault="002C6140" w:rsidP="00B430EA">
            <w:pPr>
              <w:rPr>
                <w:rFonts w:ascii="Arial Narrow" w:hAnsi="Arial Narrow"/>
                <w:b/>
                <w:bCs/>
                <w:sz w:val="20"/>
                <w:szCs w:val="20"/>
              </w:rPr>
            </w:pPr>
            <w:r w:rsidRPr="00FE7885">
              <w:rPr>
                <w:rFonts w:ascii="Arial Narrow" w:hAnsi="Arial Narrow"/>
                <w:sz w:val="20"/>
                <w:szCs w:val="20"/>
              </w:rPr>
              <w:t>Patient must have received prior PBS-subsidised treatment with this drug for this condition,</w:t>
            </w:r>
          </w:p>
        </w:tc>
      </w:tr>
      <w:tr w:rsidR="002C6140" w:rsidRPr="00FE7885" w14:paraId="588C992D" w14:textId="77777777" w:rsidTr="00BF35A5">
        <w:trPr>
          <w:cantSplit/>
          <w:trHeight w:val="20"/>
        </w:trPr>
        <w:tc>
          <w:tcPr>
            <w:tcW w:w="1563" w:type="dxa"/>
            <w:gridSpan w:val="2"/>
            <w:vAlign w:val="center"/>
          </w:tcPr>
          <w:p w14:paraId="16B47961" w14:textId="77777777" w:rsidR="002C6140" w:rsidRPr="00574959" w:rsidRDefault="002C6140" w:rsidP="00B430EA">
            <w:pPr>
              <w:jc w:val="center"/>
              <w:rPr>
                <w:rFonts w:ascii="Arial Narrow" w:hAnsi="Arial Narrow"/>
                <w:sz w:val="20"/>
                <w:szCs w:val="20"/>
              </w:rPr>
            </w:pPr>
          </w:p>
        </w:tc>
        <w:tc>
          <w:tcPr>
            <w:tcW w:w="7671" w:type="dxa"/>
            <w:gridSpan w:val="6"/>
            <w:vAlign w:val="center"/>
          </w:tcPr>
          <w:p w14:paraId="24A13C22" w14:textId="77777777" w:rsidR="002C6140" w:rsidRPr="00FE7885" w:rsidRDefault="002C6140" w:rsidP="00B430EA">
            <w:pPr>
              <w:rPr>
                <w:rFonts w:ascii="Arial Narrow" w:hAnsi="Arial Narrow"/>
                <w:b/>
                <w:bCs/>
                <w:sz w:val="20"/>
                <w:szCs w:val="20"/>
              </w:rPr>
            </w:pPr>
            <w:r w:rsidRPr="00FE7885">
              <w:rPr>
                <w:rFonts w:ascii="Arial Narrow" w:hAnsi="Arial Narrow"/>
                <w:b/>
                <w:sz w:val="20"/>
                <w:szCs w:val="20"/>
              </w:rPr>
              <w:t>AND</w:t>
            </w:r>
          </w:p>
        </w:tc>
      </w:tr>
      <w:tr w:rsidR="002C6140" w:rsidRPr="00FE7885" w14:paraId="36A37664" w14:textId="77777777" w:rsidTr="00BF35A5">
        <w:trPr>
          <w:cantSplit/>
          <w:trHeight w:val="20"/>
        </w:trPr>
        <w:tc>
          <w:tcPr>
            <w:tcW w:w="1563" w:type="dxa"/>
            <w:gridSpan w:val="2"/>
            <w:vAlign w:val="center"/>
          </w:tcPr>
          <w:p w14:paraId="24DD2F5D" w14:textId="209C78F0" w:rsidR="002C6140" w:rsidRPr="00574959" w:rsidRDefault="002C6140" w:rsidP="00B430EA">
            <w:pPr>
              <w:jc w:val="center"/>
              <w:rPr>
                <w:rFonts w:ascii="Arial Narrow" w:hAnsi="Arial Narrow"/>
                <w:sz w:val="20"/>
                <w:szCs w:val="20"/>
              </w:rPr>
            </w:pPr>
          </w:p>
        </w:tc>
        <w:tc>
          <w:tcPr>
            <w:tcW w:w="7671" w:type="dxa"/>
            <w:gridSpan w:val="6"/>
            <w:vAlign w:val="center"/>
          </w:tcPr>
          <w:p w14:paraId="546EB85C" w14:textId="77777777" w:rsidR="002C6140" w:rsidRPr="00FE7885" w:rsidRDefault="002C6140" w:rsidP="00B430EA">
            <w:pPr>
              <w:rPr>
                <w:rFonts w:ascii="Arial Narrow" w:hAnsi="Arial Narrow"/>
                <w:b/>
                <w:bCs/>
                <w:sz w:val="20"/>
                <w:szCs w:val="20"/>
              </w:rPr>
            </w:pPr>
            <w:r w:rsidRPr="00FE7885">
              <w:rPr>
                <w:rFonts w:ascii="Arial Narrow" w:hAnsi="Arial Narrow"/>
                <w:b/>
                <w:sz w:val="20"/>
                <w:szCs w:val="20"/>
              </w:rPr>
              <w:t>Clinical criteria:</w:t>
            </w:r>
          </w:p>
        </w:tc>
      </w:tr>
      <w:tr w:rsidR="002C6140" w:rsidRPr="00FE7885" w14:paraId="05839EBC" w14:textId="77777777" w:rsidTr="00BF35A5">
        <w:trPr>
          <w:cantSplit/>
          <w:trHeight w:val="20"/>
        </w:trPr>
        <w:tc>
          <w:tcPr>
            <w:tcW w:w="1563" w:type="dxa"/>
            <w:gridSpan w:val="2"/>
            <w:vAlign w:val="center"/>
          </w:tcPr>
          <w:p w14:paraId="3801B36B" w14:textId="2DD854CC" w:rsidR="002C6140" w:rsidRPr="00574959" w:rsidRDefault="002C6140" w:rsidP="00B430EA">
            <w:pPr>
              <w:jc w:val="center"/>
              <w:rPr>
                <w:rFonts w:ascii="Arial Narrow" w:hAnsi="Arial Narrow"/>
                <w:sz w:val="20"/>
                <w:szCs w:val="20"/>
              </w:rPr>
            </w:pPr>
          </w:p>
        </w:tc>
        <w:tc>
          <w:tcPr>
            <w:tcW w:w="7671" w:type="dxa"/>
            <w:gridSpan w:val="6"/>
            <w:vAlign w:val="center"/>
          </w:tcPr>
          <w:p w14:paraId="344CE896" w14:textId="77777777" w:rsidR="002C6140" w:rsidRPr="00FE7885" w:rsidRDefault="002C6140" w:rsidP="00B430EA">
            <w:pPr>
              <w:rPr>
                <w:rFonts w:ascii="Arial Narrow" w:hAnsi="Arial Narrow"/>
                <w:b/>
                <w:bCs/>
                <w:sz w:val="20"/>
                <w:szCs w:val="20"/>
              </w:rPr>
            </w:pPr>
            <w:r w:rsidRPr="00FE7885">
              <w:rPr>
                <w:rFonts w:ascii="Arial Narrow" w:hAnsi="Arial Narrow"/>
                <w:sz w:val="20"/>
                <w:szCs w:val="20"/>
              </w:rPr>
              <w:t xml:space="preserve">Patient must have received prior PBS-subsidised treatment with eculizumab through the 'Initial treatment - Initial 3 (switching from PBS-subsidised </w:t>
            </w:r>
            <w:r w:rsidRPr="00132F2D">
              <w:rPr>
                <w:rFonts w:ascii="Arial Narrow" w:hAnsi="Arial Narrow"/>
                <w:sz w:val="20"/>
                <w:szCs w:val="20"/>
              </w:rPr>
              <w:t>pegcetacoplan or iptacopan</w:t>
            </w:r>
            <w:r w:rsidRPr="00FE7885">
              <w:rPr>
                <w:rFonts w:ascii="Arial Narrow" w:hAnsi="Arial Narrow"/>
                <w:sz w:val="20"/>
                <w:szCs w:val="20"/>
              </w:rPr>
              <w:t xml:space="preserve"> for pregnancy (induction doses)' criteria; </w:t>
            </w:r>
            <w:r w:rsidRPr="00F0483A">
              <w:rPr>
                <w:rFonts w:ascii="Arial Narrow" w:hAnsi="Arial Narrow"/>
                <w:sz w:val="20"/>
                <w:szCs w:val="20"/>
              </w:rPr>
              <w:t>OR</w:t>
            </w:r>
          </w:p>
        </w:tc>
      </w:tr>
      <w:tr w:rsidR="002C6140" w:rsidRPr="00FE7885" w14:paraId="037AB7C1" w14:textId="77777777" w:rsidTr="00BF35A5">
        <w:trPr>
          <w:cantSplit/>
          <w:trHeight w:val="20"/>
        </w:trPr>
        <w:tc>
          <w:tcPr>
            <w:tcW w:w="1563" w:type="dxa"/>
            <w:gridSpan w:val="2"/>
            <w:vAlign w:val="center"/>
          </w:tcPr>
          <w:p w14:paraId="256D366A" w14:textId="5F39E622" w:rsidR="002C6140" w:rsidRPr="00574959" w:rsidRDefault="002C6140" w:rsidP="00B430EA">
            <w:pPr>
              <w:jc w:val="center"/>
              <w:rPr>
                <w:rFonts w:ascii="Arial Narrow" w:hAnsi="Arial Narrow"/>
                <w:sz w:val="20"/>
                <w:szCs w:val="20"/>
              </w:rPr>
            </w:pPr>
          </w:p>
        </w:tc>
        <w:tc>
          <w:tcPr>
            <w:tcW w:w="7671" w:type="dxa"/>
            <w:gridSpan w:val="6"/>
            <w:vAlign w:val="center"/>
          </w:tcPr>
          <w:p w14:paraId="69CD491C" w14:textId="77777777" w:rsidR="002C6140" w:rsidRPr="00F0483A" w:rsidRDefault="002C6140" w:rsidP="00B430EA">
            <w:pPr>
              <w:rPr>
                <w:rFonts w:ascii="Arial Narrow" w:hAnsi="Arial Narrow"/>
                <w:b/>
                <w:bCs/>
                <w:sz w:val="20"/>
                <w:szCs w:val="20"/>
              </w:rPr>
            </w:pPr>
            <w:r w:rsidRPr="00F0483A">
              <w:rPr>
                <w:rFonts w:ascii="Arial Narrow" w:hAnsi="Arial Narrow"/>
                <w:sz w:val="20"/>
                <w:szCs w:val="20"/>
              </w:rPr>
              <w:t>Patient must have received prior PBS-subsidised treatment with at least one C5 inhibitor and returning to iptacopan treatment for reasons other than post pregnancy,</w:t>
            </w:r>
          </w:p>
        </w:tc>
      </w:tr>
      <w:tr w:rsidR="002C6140" w:rsidRPr="00FE7885" w14:paraId="7B73617C" w14:textId="77777777" w:rsidTr="00BF35A5">
        <w:trPr>
          <w:cantSplit/>
          <w:trHeight w:val="20"/>
        </w:trPr>
        <w:tc>
          <w:tcPr>
            <w:tcW w:w="1563" w:type="dxa"/>
            <w:gridSpan w:val="2"/>
            <w:vAlign w:val="center"/>
          </w:tcPr>
          <w:p w14:paraId="15E80EE7" w14:textId="77777777" w:rsidR="002C6140" w:rsidRPr="00574959" w:rsidRDefault="002C6140" w:rsidP="00B430EA">
            <w:pPr>
              <w:jc w:val="center"/>
              <w:rPr>
                <w:rFonts w:ascii="Arial Narrow" w:hAnsi="Arial Narrow"/>
                <w:sz w:val="20"/>
                <w:szCs w:val="20"/>
              </w:rPr>
            </w:pPr>
          </w:p>
        </w:tc>
        <w:tc>
          <w:tcPr>
            <w:tcW w:w="7671" w:type="dxa"/>
            <w:gridSpan w:val="6"/>
            <w:vAlign w:val="center"/>
          </w:tcPr>
          <w:p w14:paraId="029078B5" w14:textId="77777777" w:rsidR="002C6140" w:rsidRPr="00FE7885" w:rsidRDefault="002C6140" w:rsidP="00B430EA">
            <w:pPr>
              <w:rPr>
                <w:rFonts w:ascii="Arial Narrow" w:hAnsi="Arial Narrow"/>
                <w:b/>
                <w:bCs/>
                <w:sz w:val="20"/>
                <w:szCs w:val="20"/>
              </w:rPr>
            </w:pPr>
            <w:r w:rsidRPr="00FE7885">
              <w:rPr>
                <w:rFonts w:ascii="Arial Narrow" w:hAnsi="Arial Narrow"/>
                <w:b/>
                <w:sz w:val="20"/>
                <w:szCs w:val="20"/>
              </w:rPr>
              <w:t>AND</w:t>
            </w:r>
          </w:p>
        </w:tc>
      </w:tr>
      <w:tr w:rsidR="002C6140" w:rsidRPr="00FE7885" w14:paraId="678A098F" w14:textId="77777777" w:rsidTr="00BF35A5">
        <w:trPr>
          <w:cantSplit/>
          <w:trHeight w:val="20"/>
        </w:trPr>
        <w:tc>
          <w:tcPr>
            <w:tcW w:w="1563" w:type="dxa"/>
            <w:gridSpan w:val="2"/>
            <w:vAlign w:val="center"/>
          </w:tcPr>
          <w:p w14:paraId="146FD8EC" w14:textId="4B3E7FE4" w:rsidR="002C6140" w:rsidRPr="00574959" w:rsidRDefault="002C6140" w:rsidP="00B430EA">
            <w:pPr>
              <w:jc w:val="center"/>
              <w:rPr>
                <w:rFonts w:ascii="Arial Narrow" w:hAnsi="Arial Narrow"/>
                <w:sz w:val="20"/>
                <w:szCs w:val="20"/>
              </w:rPr>
            </w:pPr>
          </w:p>
        </w:tc>
        <w:tc>
          <w:tcPr>
            <w:tcW w:w="7671" w:type="dxa"/>
            <w:gridSpan w:val="6"/>
            <w:vAlign w:val="center"/>
          </w:tcPr>
          <w:p w14:paraId="21E19E7E" w14:textId="77777777" w:rsidR="002C6140" w:rsidRPr="00FE7885" w:rsidRDefault="002C6140" w:rsidP="00B430EA">
            <w:pPr>
              <w:rPr>
                <w:rFonts w:ascii="Arial Narrow" w:hAnsi="Arial Narrow"/>
                <w:b/>
                <w:bCs/>
                <w:sz w:val="20"/>
                <w:szCs w:val="20"/>
              </w:rPr>
            </w:pPr>
            <w:r w:rsidRPr="00FE7885">
              <w:rPr>
                <w:rFonts w:ascii="Arial Narrow" w:hAnsi="Arial Narrow"/>
                <w:b/>
                <w:sz w:val="20"/>
                <w:szCs w:val="20"/>
              </w:rPr>
              <w:t>Clinical criteria:</w:t>
            </w:r>
          </w:p>
        </w:tc>
      </w:tr>
      <w:tr w:rsidR="002C6140" w:rsidRPr="00FE7885" w14:paraId="33D8FA94" w14:textId="77777777" w:rsidTr="00BF35A5">
        <w:trPr>
          <w:cantSplit/>
          <w:trHeight w:val="20"/>
        </w:trPr>
        <w:tc>
          <w:tcPr>
            <w:tcW w:w="1563" w:type="dxa"/>
            <w:gridSpan w:val="2"/>
            <w:vAlign w:val="center"/>
          </w:tcPr>
          <w:p w14:paraId="359D9F39" w14:textId="37BD29FE" w:rsidR="002C6140" w:rsidRPr="00574959" w:rsidRDefault="002C6140" w:rsidP="00B430EA">
            <w:pPr>
              <w:jc w:val="center"/>
              <w:rPr>
                <w:rFonts w:ascii="Arial Narrow" w:hAnsi="Arial Narrow"/>
                <w:sz w:val="20"/>
                <w:szCs w:val="20"/>
              </w:rPr>
            </w:pPr>
          </w:p>
        </w:tc>
        <w:tc>
          <w:tcPr>
            <w:tcW w:w="7671" w:type="dxa"/>
            <w:gridSpan w:val="6"/>
            <w:vAlign w:val="center"/>
          </w:tcPr>
          <w:p w14:paraId="7AF2133D" w14:textId="77777777" w:rsidR="002C6140" w:rsidRPr="00FE7885" w:rsidRDefault="002C6140" w:rsidP="00B430EA">
            <w:pPr>
              <w:rPr>
                <w:rFonts w:ascii="Arial Narrow" w:hAnsi="Arial Narrow"/>
                <w:b/>
                <w:bCs/>
                <w:sz w:val="20"/>
                <w:szCs w:val="20"/>
              </w:rPr>
            </w:pPr>
            <w:r w:rsidRPr="00FE7885">
              <w:rPr>
                <w:rFonts w:ascii="Arial Narrow" w:hAnsi="Arial Narrow"/>
                <w:sz w:val="20"/>
                <w:szCs w:val="20"/>
              </w:rPr>
              <w:t>Patient must have experienced clinical improvement as a result of treatment with this drug; OR</w:t>
            </w:r>
          </w:p>
        </w:tc>
      </w:tr>
      <w:tr w:rsidR="002C6140" w:rsidRPr="00FE7885" w14:paraId="2F7258E4" w14:textId="77777777" w:rsidTr="00BF35A5">
        <w:trPr>
          <w:cantSplit/>
          <w:trHeight w:val="20"/>
        </w:trPr>
        <w:tc>
          <w:tcPr>
            <w:tcW w:w="1563" w:type="dxa"/>
            <w:gridSpan w:val="2"/>
            <w:vAlign w:val="center"/>
          </w:tcPr>
          <w:p w14:paraId="2611DD81" w14:textId="6F00B8C8" w:rsidR="002C6140" w:rsidRPr="00574959" w:rsidRDefault="002C6140" w:rsidP="00B430EA">
            <w:pPr>
              <w:jc w:val="center"/>
              <w:rPr>
                <w:rFonts w:ascii="Arial Narrow" w:hAnsi="Arial Narrow"/>
                <w:sz w:val="20"/>
                <w:szCs w:val="20"/>
              </w:rPr>
            </w:pPr>
          </w:p>
        </w:tc>
        <w:tc>
          <w:tcPr>
            <w:tcW w:w="7671" w:type="dxa"/>
            <w:gridSpan w:val="6"/>
            <w:vAlign w:val="center"/>
          </w:tcPr>
          <w:p w14:paraId="166B5A42" w14:textId="77777777" w:rsidR="002C6140" w:rsidRPr="00FE7885" w:rsidRDefault="002C6140" w:rsidP="00B430EA">
            <w:pPr>
              <w:rPr>
                <w:rFonts w:ascii="Arial Narrow" w:hAnsi="Arial Narrow"/>
                <w:b/>
                <w:bCs/>
                <w:sz w:val="20"/>
                <w:szCs w:val="20"/>
              </w:rPr>
            </w:pPr>
            <w:r w:rsidRPr="00FE7885">
              <w:rPr>
                <w:rFonts w:ascii="Arial Narrow" w:hAnsi="Arial Narrow"/>
                <w:sz w:val="20"/>
                <w:szCs w:val="20"/>
              </w:rPr>
              <w:t>Patient must have experienced a stabilisation of the condition as a result of treatment with this drug,</w:t>
            </w:r>
          </w:p>
        </w:tc>
      </w:tr>
      <w:tr w:rsidR="002C6140" w:rsidRPr="00FE7885" w14:paraId="2ECFD4A3" w14:textId="77777777" w:rsidTr="00BF35A5">
        <w:trPr>
          <w:cantSplit/>
          <w:trHeight w:val="20"/>
        </w:trPr>
        <w:tc>
          <w:tcPr>
            <w:tcW w:w="1563" w:type="dxa"/>
            <w:gridSpan w:val="2"/>
            <w:vAlign w:val="center"/>
          </w:tcPr>
          <w:p w14:paraId="50C8DE2C" w14:textId="77777777" w:rsidR="002C6140" w:rsidRDefault="002C6140" w:rsidP="00B430EA">
            <w:pPr>
              <w:jc w:val="center"/>
              <w:rPr>
                <w:rFonts w:ascii="Arial Narrow" w:hAnsi="Arial Narrow"/>
                <w:sz w:val="20"/>
                <w:szCs w:val="20"/>
              </w:rPr>
            </w:pPr>
          </w:p>
        </w:tc>
        <w:tc>
          <w:tcPr>
            <w:tcW w:w="7671" w:type="dxa"/>
            <w:gridSpan w:val="6"/>
            <w:vAlign w:val="center"/>
          </w:tcPr>
          <w:p w14:paraId="4500126E" w14:textId="77777777" w:rsidR="002C6140" w:rsidRPr="00FB32FB" w:rsidRDefault="002C6140" w:rsidP="00B430EA">
            <w:pPr>
              <w:rPr>
                <w:rFonts w:ascii="Arial Narrow" w:hAnsi="Arial Narrow"/>
                <w:i/>
                <w:iCs/>
                <w:sz w:val="20"/>
                <w:szCs w:val="20"/>
              </w:rPr>
            </w:pPr>
            <w:r w:rsidRPr="00FB32FB">
              <w:rPr>
                <w:rFonts w:ascii="Arial Narrow" w:hAnsi="Arial Narrow"/>
                <w:b/>
                <w:i/>
                <w:iCs/>
                <w:sz w:val="20"/>
                <w:szCs w:val="20"/>
              </w:rPr>
              <w:t>AND</w:t>
            </w:r>
          </w:p>
        </w:tc>
      </w:tr>
      <w:tr w:rsidR="002C6140" w:rsidRPr="00FE7885" w14:paraId="4DA11464" w14:textId="77777777" w:rsidTr="00BF35A5">
        <w:trPr>
          <w:cantSplit/>
          <w:trHeight w:val="20"/>
        </w:trPr>
        <w:tc>
          <w:tcPr>
            <w:tcW w:w="1563" w:type="dxa"/>
            <w:gridSpan w:val="2"/>
            <w:vAlign w:val="center"/>
          </w:tcPr>
          <w:p w14:paraId="761D4069" w14:textId="09BDC3C0" w:rsidR="002C6140" w:rsidRDefault="002C6140" w:rsidP="00B430EA">
            <w:pPr>
              <w:jc w:val="center"/>
              <w:rPr>
                <w:rFonts w:ascii="Arial Narrow" w:hAnsi="Arial Narrow"/>
                <w:sz w:val="20"/>
                <w:szCs w:val="20"/>
              </w:rPr>
            </w:pPr>
          </w:p>
        </w:tc>
        <w:tc>
          <w:tcPr>
            <w:tcW w:w="7671" w:type="dxa"/>
            <w:gridSpan w:val="6"/>
            <w:vAlign w:val="center"/>
          </w:tcPr>
          <w:p w14:paraId="5B3CFC1F" w14:textId="77777777" w:rsidR="002C6140" w:rsidRPr="001470A7" w:rsidRDefault="002C6140" w:rsidP="00B430EA">
            <w:pPr>
              <w:rPr>
                <w:rFonts w:ascii="Arial Narrow" w:hAnsi="Arial Narrow"/>
                <w:sz w:val="20"/>
                <w:szCs w:val="20"/>
              </w:rPr>
            </w:pPr>
            <w:r w:rsidRPr="001470A7">
              <w:rPr>
                <w:rFonts w:ascii="Arial Narrow" w:hAnsi="Arial Narrow"/>
                <w:b/>
                <w:sz w:val="20"/>
                <w:szCs w:val="20"/>
              </w:rPr>
              <w:t>Clinical criteria:</w:t>
            </w:r>
          </w:p>
        </w:tc>
      </w:tr>
      <w:tr w:rsidR="002C6140" w:rsidRPr="00FE7885" w14:paraId="22639C41" w14:textId="77777777" w:rsidTr="00BF35A5">
        <w:trPr>
          <w:cantSplit/>
          <w:trHeight w:val="20"/>
        </w:trPr>
        <w:tc>
          <w:tcPr>
            <w:tcW w:w="1563" w:type="dxa"/>
            <w:gridSpan w:val="2"/>
            <w:vAlign w:val="center"/>
          </w:tcPr>
          <w:p w14:paraId="37982615" w14:textId="500B503A" w:rsidR="002C6140" w:rsidRPr="00FB32FB" w:rsidRDefault="002C6140" w:rsidP="00B430EA">
            <w:pPr>
              <w:jc w:val="center"/>
              <w:rPr>
                <w:rFonts w:ascii="Arial Narrow" w:hAnsi="Arial Narrow"/>
                <w:i/>
                <w:iCs/>
                <w:sz w:val="20"/>
                <w:szCs w:val="20"/>
              </w:rPr>
            </w:pPr>
          </w:p>
        </w:tc>
        <w:tc>
          <w:tcPr>
            <w:tcW w:w="7671" w:type="dxa"/>
            <w:gridSpan w:val="6"/>
            <w:vAlign w:val="center"/>
          </w:tcPr>
          <w:p w14:paraId="62F9C0BA" w14:textId="77777777" w:rsidR="002C6140" w:rsidRPr="001470A7" w:rsidRDefault="002C6140" w:rsidP="00B430EA">
            <w:pPr>
              <w:rPr>
                <w:rFonts w:ascii="Arial Narrow" w:hAnsi="Arial Narrow"/>
                <w:sz w:val="20"/>
                <w:szCs w:val="20"/>
              </w:rPr>
            </w:pPr>
            <w:r w:rsidRPr="001470A7">
              <w:rPr>
                <w:rFonts w:ascii="Arial Narrow" w:hAnsi="Arial Narrow"/>
                <w:sz w:val="20"/>
                <w:szCs w:val="20"/>
              </w:rPr>
              <w:t>The treatment must be the sole PBS subsidised treatment for this condition.</w:t>
            </w:r>
          </w:p>
        </w:tc>
      </w:tr>
      <w:tr w:rsidR="002C6140" w:rsidRPr="00FE7885" w14:paraId="342150F0" w14:textId="77777777" w:rsidTr="00BF35A5">
        <w:trPr>
          <w:cantSplit/>
          <w:trHeight w:val="20"/>
        </w:trPr>
        <w:tc>
          <w:tcPr>
            <w:tcW w:w="1563" w:type="dxa"/>
            <w:gridSpan w:val="2"/>
            <w:vAlign w:val="center"/>
          </w:tcPr>
          <w:p w14:paraId="626E26AE" w14:textId="77777777" w:rsidR="002C6140" w:rsidRDefault="002C6140" w:rsidP="00B430EA">
            <w:pPr>
              <w:jc w:val="center"/>
              <w:rPr>
                <w:rFonts w:ascii="Arial Narrow" w:hAnsi="Arial Narrow"/>
                <w:sz w:val="20"/>
                <w:szCs w:val="20"/>
              </w:rPr>
            </w:pPr>
          </w:p>
        </w:tc>
        <w:tc>
          <w:tcPr>
            <w:tcW w:w="7671" w:type="dxa"/>
            <w:gridSpan w:val="6"/>
            <w:vAlign w:val="center"/>
          </w:tcPr>
          <w:p w14:paraId="36CEBC79" w14:textId="77777777" w:rsidR="002C6140" w:rsidRPr="00FE7885" w:rsidRDefault="002C6140" w:rsidP="00B430EA">
            <w:pPr>
              <w:rPr>
                <w:rFonts w:ascii="Arial Narrow" w:hAnsi="Arial Narrow"/>
                <w:sz w:val="20"/>
                <w:szCs w:val="20"/>
              </w:rPr>
            </w:pPr>
          </w:p>
        </w:tc>
      </w:tr>
      <w:tr w:rsidR="002C6140" w:rsidRPr="00FE7885" w14:paraId="2A6D3B66" w14:textId="77777777" w:rsidTr="00BF35A5">
        <w:trPr>
          <w:cantSplit/>
          <w:trHeight w:val="20"/>
        </w:trPr>
        <w:tc>
          <w:tcPr>
            <w:tcW w:w="1563" w:type="dxa"/>
            <w:gridSpan w:val="2"/>
            <w:vAlign w:val="center"/>
          </w:tcPr>
          <w:p w14:paraId="7D2ADF00" w14:textId="5D1192BE" w:rsidR="002C6140" w:rsidRPr="00574959" w:rsidRDefault="002C6140" w:rsidP="00B430EA">
            <w:pPr>
              <w:jc w:val="center"/>
              <w:rPr>
                <w:rFonts w:ascii="Arial Narrow" w:hAnsi="Arial Narrow"/>
                <w:sz w:val="20"/>
                <w:szCs w:val="20"/>
              </w:rPr>
            </w:pPr>
          </w:p>
        </w:tc>
        <w:tc>
          <w:tcPr>
            <w:tcW w:w="7671" w:type="dxa"/>
            <w:gridSpan w:val="6"/>
            <w:vAlign w:val="center"/>
          </w:tcPr>
          <w:p w14:paraId="70B9FEB4" w14:textId="77777777" w:rsidR="002C6140" w:rsidRPr="00FE7885" w:rsidRDefault="002C6140" w:rsidP="00B430EA">
            <w:pPr>
              <w:rPr>
                <w:rFonts w:ascii="Arial Narrow" w:hAnsi="Arial Narrow"/>
                <w:b/>
                <w:bCs/>
                <w:sz w:val="20"/>
                <w:szCs w:val="20"/>
              </w:rPr>
            </w:pPr>
            <w:r w:rsidRPr="00FE7885">
              <w:rPr>
                <w:rFonts w:ascii="Arial Narrow" w:hAnsi="Arial Narrow"/>
                <w:b/>
                <w:sz w:val="20"/>
                <w:szCs w:val="20"/>
              </w:rPr>
              <w:t>Treatment criteria:</w:t>
            </w:r>
          </w:p>
        </w:tc>
      </w:tr>
      <w:tr w:rsidR="002C6140" w:rsidRPr="00FE7885" w14:paraId="43DB181B" w14:textId="77777777" w:rsidTr="00BF35A5">
        <w:trPr>
          <w:cantSplit/>
          <w:trHeight w:val="20"/>
        </w:trPr>
        <w:tc>
          <w:tcPr>
            <w:tcW w:w="1563" w:type="dxa"/>
            <w:gridSpan w:val="2"/>
            <w:vAlign w:val="center"/>
          </w:tcPr>
          <w:p w14:paraId="3B8C8335" w14:textId="06375C6B" w:rsidR="002C6140" w:rsidRPr="00574959" w:rsidRDefault="002C6140" w:rsidP="00B430EA">
            <w:pPr>
              <w:jc w:val="center"/>
              <w:rPr>
                <w:rFonts w:ascii="Arial Narrow" w:hAnsi="Arial Narrow"/>
                <w:sz w:val="20"/>
                <w:szCs w:val="20"/>
              </w:rPr>
            </w:pPr>
          </w:p>
        </w:tc>
        <w:tc>
          <w:tcPr>
            <w:tcW w:w="7671" w:type="dxa"/>
            <w:gridSpan w:val="6"/>
            <w:vAlign w:val="center"/>
          </w:tcPr>
          <w:p w14:paraId="18926937" w14:textId="77777777" w:rsidR="002C6140" w:rsidRPr="00FE7885" w:rsidRDefault="002C6140" w:rsidP="00B430EA">
            <w:pPr>
              <w:rPr>
                <w:rFonts w:ascii="Arial Narrow" w:hAnsi="Arial Narrow"/>
                <w:b/>
                <w:bCs/>
                <w:sz w:val="20"/>
                <w:szCs w:val="20"/>
              </w:rPr>
            </w:pPr>
            <w:r w:rsidRPr="00FE7885">
              <w:rPr>
                <w:rFonts w:ascii="Arial Narrow" w:hAnsi="Arial Narrow"/>
                <w:sz w:val="20"/>
                <w:szCs w:val="20"/>
              </w:rPr>
              <w:t>Must be treated by a haematologist; OR</w:t>
            </w:r>
            <w:r w:rsidRPr="00FE7885">
              <w:rPr>
                <w:rFonts w:ascii="Arial Narrow" w:hAnsi="Arial Narrow"/>
                <w:sz w:val="20"/>
                <w:szCs w:val="20"/>
              </w:rPr>
              <w:tab/>
            </w:r>
          </w:p>
        </w:tc>
      </w:tr>
      <w:tr w:rsidR="002C6140" w:rsidRPr="00FE7885" w14:paraId="19FDF859" w14:textId="77777777" w:rsidTr="00BF35A5">
        <w:trPr>
          <w:cantSplit/>
          <w:trHeight w:val="20"/>
        </w:trPr>
        <w:tc>
          <w:tcPr>
            <w:tcW w:w="1563" w:type="dxa"/>
            <w:gridSpan w:val="2"/>
            <w:vAlign w:val="center"/>
          </w:tcPr>
          <w:p w14:paraId="47389555" w14:textId="14E11CBC" w:rsidR="002C6140" w:rsidRPr="00574959" w:rsidRDefault="002C6140" w:rsidP="00B430EA">
            <w:pPr>
              <w:jc w:val="center"/>
              <w:rPr>
                <w:rFonts w:ascii="Arial Narrow" w:hAnsi="Arial Narrow"/>
                <w:sz w:val="20"/>
                <w:szCs w:val="20"/>
              </w:rPr>
            </w:pPr>
          </w:p>
        </w:tc>
        <w:tc>
          <w:tcPr>
            <w:tcW w:w="7671" w:type="dxa"/>
            <w:gridSpan w:val="6"/>
            <w:vAlign w:val="center"/>
          </w:tcPr>
          <w:p w14:paraId="60C5A954" w14:textId="77777777" w:rsidR="002C6140" w:rsidRPr="00FE7885" w:rsidRDefault="002C6140" w:rsidP="00B430EA">
            <w:pPr>
              <w:rPr>
                <w:rFonts w:ascii="Arial Narrow" w:hAnsi="Arial Narrow"/>
                <w:b/>
                <w:bCs/>
                <w:sz w:val="20"/>
                <w:szCs w:val="20"/>
              </w:rPr>
            </w:pPr>
            <w:r w:rsidRPr="00FE7885">
              <w:rPr>
                <w:rFonts w:ascii="Arial Narrow" w:hAnsi="Arial Narrow"/>
                <w:sz w:val="20"/>
                <w:szCs w:val="20"/>
              </w:rPr>
              <w:t>Must be treated by a non-specialist medical physician who has consulted a haematologist on the patient's drug treatment details.</w:t>
            </w:r>
          </w:p>
        </w:tc>
      </w:tr>
      <w:tr w:rsidR="002C6140" w:rsidRPr="00FE7885" w14:paraId="4908CD12" w14:textId="77777777" w:rsidTr="00BF35A5">
        <w:trPr>
          <w:cantSplit/>
          <w:trHeight w:val="20"/>
        </w:trPr>
        <w:tc>
          <w:tcPr>
            <w:tcW w:w="1563" w:type="dxa"/>
            <w:gridSpan w:val="2"/>
            <w:vAlign w:val="center"/>
          </w:tcPr>
          <w:p w14:paraId="3F2D3956" w14:textId="1B18240D" w:rsidR="002C6140" w:rsidRPr="00574959" w:rsidRDefault="002C6140" w:rsidP="00B430EA">
            <w:pPr>
              <w:jc w:val="center"/>
              <w:rPr>
                <w:rFonts w:ascii="Arial Narrow" w:hAnsi="Arial Narrow"/>
                <w:sz w:val="20"/>
                <w:szCs w:val="20"/>
              </w:rPr>
            </w:pPr>
          </w:p>
        </w:tc>
        <w:tc>
          <w:tcPr>
            <w:tcW w:w="7671" w:type="dxa"/>
            <w:gridSpan w:val="6"/>
            <w:vAlign w:val="center"/>
          </w:tcPr>
          <w:p w14:paraId="44FD6B43" w14:textId="77777777" w:rsidR="002C6140" w:rsidRPr="00FE7885" w:rsidRDefault="002C6140" w:rsidP="00B430EA">
            <w:pPr>
              <w:rPr>
                <w:rFonts w:ascii="Arial Narrow" w:hAnsi="Arial Narrow"/>
                <w:b/>
                <w:bCs/>
                <w:sz w:val="20"/>
                <w:szCs w:val="20"/>
              </w:rPr>
            </w:pPr>
            <w:r w:rsidRPr="00FE7885">
              <w:rPr>
                <w:rFonts w:ascii="Arial Narrow" w:hAnsi="Arial Narrow"/>
                <w:b/>
                <w:sz w:val="20"/>
                <w:szCs w:val="20"/>
              </w:rPr>
              <w:t>Population criteria:</w:t>
            </w:r>
          </w:p>
        </w:tc>
      </w:tr>
      <w:tr w:rsidR="002C6140" w:rsidRPr="00FE7885" w14:paraId="56185656" w14:textId="77777777" w:rsidTr="00BF35A5">
        <w:trPr>
          <w:cantSplit/>
          <w:trHeight w:val="20"/>
        </w:trPr>
        <w:tc>
          <w:tcPr>
            <w:tcW w:w="1563" w:type="dxa"/>
            <w:gridSpan w:val="2"/>
            <w:vAlign w:val="center"/>
          </w:tcPr>
          <w:p w14:paraId="71AFFC4F" w14:textId="082BD2B4" w:rsidR="002C6140" w:rsidRPr="00574959" w:rsidRDefault="002C6140" w:rsidP="00B430EA">
            <w:pPr>
              <w:jc w:val="center"/>
              <w:rPr>
                <w:rFonts w:ascii="Arial Narrow" w:hAnsi="Arial Narrow"/>
                <w:sz w:val="20"/>
                <w:szCs w:val="20"/>
              </w:rPr>
            </w:pPr>
          </w:p>
        </w:tc>
        <w:tc>
          <w:tcPr>
            <w:tcW w:w="7671" w:type="dxa"/>
            <w:gridSpan w:val="6"/>
            <w:vAlign w:val="center"/>
          </w:tcPr>
          <w:p w14:paraId="076F5B90" w14:textId="77777777" w:rsidR="002C6140" w:rsidRPr="00FE7885" w:rsidRDefault="002C6140" w:rsidP="00B430EA">
            <w:pPr>
              <w:rPr>
                <w:rFonts w:ascii="Arial Narrow" w:hAnsi="Arial Narrow"/>
                <w:b/>
                <w:bCs/>
                <w:sz w:val="20"/>
                <w:szCs w:val="20"/>
              </w:rPr>
            </w:pPr>
            <w:r w:rsidRPr="00FE7885">
              <w:rPr>
                <w:rFonts w:ascii="Arial Narrow" w:hAnsi="Arial Narrow"/>
                <w:sz w:val="20"/>
                <w:szCs w:val="20"/>
              </w:rPr>
              <w:t>Patient must be at least 18 years of age.</w:t>
            </w:r>
          </w:p>
        </w:tc>
      </w:tr>
      <w:tr w:rsidR="002C6140" w:rsidRPr="00F32871" w14:paraId="0A7F30FE" w14:textId="77777777" w:rsidTr="00BF35A5">
        <w:trPr>
          <w:cantSplit/>
          <w:trHeight w:val="20"/>
        </w:trPr>
        <w:tc>
          <w:tcPr>
            <w:tcW w:w="1563" w:type="dxa"/>
            <w:gridSpan w:val="2"/>
            <w:vAlign w:val="center"/>
          </w:tcPr>
          <w:p w14:paraId="04135823" w14:textId="0344F100" w:rsidR="002C6140" w:rsidRPr="00574959" w:rsidRDefault="002C6140" w:rsidP="00B430EA">
            <w:pPr>
              <w:jc w:val="center"/>
              <w:rPr>
                <w:rFonts w:ascii="Arial Narrow" w:hAnsi="Arial Narrow"/>
                <w:sz w:val="20"/>
                <w:szCs w:val="20"/>
              </w:rPr>
            </w:pPr>
          </w:p>
        </w:tc>
        <w:tc>
          <w:tcPr>
            <w:tcW w:w="7671" w:type="dxa"/>
            <w:gridSpan w:val="6"/>
            <w:vAlign w:val="center"/>
          </w:tcPr>
          <w:p w14:paraId="7528DC67" w14:textId="77777777" w:rsidR="002C6140" w:rsidRPr="00EB4977" w:rsidRDefault="002C6140" w:rsidP="00B430EA">
            <w:pPr>
              <w:rPr>
                <w:rFonts w:ascii="Arial Narrow" w:hAnsi="Arial Narrow"/>
                <w:sz w:val="20"/>
                <w:szCs w:val="20"/>
              </w:rPr>
            </w:pPr>
            <w:r w:rsidRPr="00B35896">
              <w:rPr>
                <w:rFonts w:ascii="Arial Narrow" w:hAnsi="Arial Narrow"/>
                <w:b/>
                <w:bCs/>
                <w:sz w:val="20"/>
                <w:szCs w:val="20"/>
              </w:rPr>
              <w:t>Prescribing Instructions:</w:t>
            </w:r>
            <w:r w:rsidRPr="00EC424F">
              <w:rPr>
                <w:rFonts w:ascii="Arial Narrow" w:hAnsi="Arial Narrow"/>
                <w:sz w:val="20"/>
                <w:szCs w:val="20"/>
              </w:rPr>
              <w:t xml:space="preserve"> </w:t>
            </w:r>
            <w:r w:rsidRPr="00EB4977">
              <w:rPr>
                <w:rFonts w:ascii="Arial Narrow" w:hAnsi="Arial Narrow"/>
                <w:sz w:val="20"/>
                <w:szCs w:val="20"/>
              </w:rPr>
              <w:t>The authority application must be made in writing and must include:</w:t>
            </w:r>
          </w:p>
          <w:p w14:paraId="3B9C4345" w14:textId="77777777" w:rsidR="002C6140" w:rsidRDefault="002C6140" w:rsidP="00B430EA">
            <w:pPr>
              <w:rPr>
                <w:rFonts w:ascii="Arial Narrow" w:hAnsi="Arial Narrow"/>
                <w:sz w:val="20"/>
                <w:szCs w:val="20"/>
              </w:rPr>
            </w:pPr>
            <w:r>
              <w:rPr>
                <w:rFonts w:ascii="Arial Narrow" w:hAnsi="Arial Narrow"/>
                <w:sz w:val="20"/>
                <w:szCs w:val="20"/>
              </w:rPr>
              <w:t>(</w:t>
            </w:r>
            <w:r w:rsidRPr="00EB4977">
              <w:rPr>
                <w:rFonts w:ascii="Arial Narrow" w:hAnsi="Arial Narrow"/>
                <w:sz w:val="20"/>
                <w:szCs w:val="20"/>
              </w:rPr>
              <w:t xml:space="preserve">1) </w:t>
            </w:r>
            <w:r w:rsidRPr="002C6140">
              <w:rPr>
                <w:rFonts w:ascii="Arial Narrow" w:hAnsi="Arial Narrow"/>
                <w:sz w:val="20"/>
                <w:szCs w:val="20"/>
              </w:rPr>
              <w:t>details of the proposed prescription</w:t>
            </w:r>
            <w:r w:rsidRPr="00EB4977">
              <w:rPr>
                <w:rFonts w:ascii="Arial Narrow" w:hAnsi="Arial Narrow"/>
                <w:sz w:val="20"/>
                <w:szCs w:val="20"/>
              </w:rPr>
              <w:t>; and</w:t>
            </w:r>
          </w:p>
          <w:p w14:paraId="74CD7E9D" w14:textId="77777777" w:rsidR="002C6140" w:rsidRPr="00FD7991" w:rsidRDefault="002C6140" w:rsidP="00B430EA">
            <w:pPr>
              <w:rPr>
                <w:rFonts w:ascii="Arial Narrow" w:hAnsi="Arial Narrow"/>
                <w:sz w:val="20"/>
                <w:szCs w:val="20"/>
              </w:rPr>
            </w:pPr>
            <w:r w:rsidRPr="00EB4977">
              <w:rPr>
                <w:rFonts w:ascii="Arial Narrow" w:hAnsi="Arial Narrow"/>
                <w:sz w:val="20"/>
                <w:szCs w:val="20"/>
              </w:rPr>
              <w:t>(2) a completed authority application form relevant to the indication and treatment phase (the latest version is located on the website specified in the Administrative Advice).</w:t>
            </w:r>
          </w:p>
        </w:tc>
      </w:tr>
      <w:tr w:rsidR="002C6140" w:rsidRPr="00F32871" w14:paraId="0B5E8992" w14:textId="77777777" w:rsidTr="00BF35A5">
        <w:trPr>
          <w:cantSplit/>
          <w:trHeight w:val="20"/>
        </w:trPr>
        <w:tc>
          <w:tcPr>
            <w:tcW w:w="1563" w:type="dxa"/>
            <w:gridSpan w:val="2"/>
            <w:vAlign w:val="center"/>
          </w:tcPr>
          <w:p w14:paraId="4C873FBD" w14:textId="06DE40A1" w:rsidR="002C6140" w:rsidRPr="00574959" w:rsidRDefault="002C6140" w:rsidP="00B430EA">
            <w:pPr>
              <w:jc w:val="center"/>
              <w:rPr>
                <w:rFonts w:ascii="Arial Narrow" w:hAnsi="Arial Narrow"/>
                <w:sz w:val="20"/>
                <w:szCs w:val="20"/>
              </w:rPr>
            </w:pPr>
          </w:p>
        </w:tc>
        <w:tc>
          <w:tcPr>
            <w:tcW w:w="7671" w:type="dxa"/>
            <w:gridSpan w:val="6"/>
            <w:vAlign w:val="center"/>
          </w:tcPr>
          <w:p w14:paraId="7BA509BA" w14:textId="77777777" w:rsidR="002C6140" w:rsidRPr="00FE7885" w:rsidRDefault="002C6140" w:rsidP="00B430EA">
            <w:pPr>
              <w:pStyle w:val="COMTabletext"/>
              <w:keepNext w:val="0"/>
              <w:rPr>
                <w:bCs w:val="0"/>
                <w:szCs w:val="20"/>
              </w:rPr>
            </w:pPr>
            <w:r w:rsidRPr="00F32871">
              <w:rPr>
                <w:b/>
                <w:szCs w:val="20"/>
              </w:rPr>
              <w:t>Prescribing instructions:</w:t>
            </w:r>
            <w:r>
              <w:rPr>
                <w:bCs w:val="0"/>
                <w:szCs w:val="20"/>
              </w:rPr>
              <w:t xml:space="preserve"> </w:t>
            </w:r>
            <w:r w:rsidRPr="00FE7885">
              <w:rPr>
                <w:bCs w:val="0"/>
                <w:szCs w:val="20"/>
              </w:rPr>
              <w:t>At the time of the authority application, details (result and date of result) of the following monitoring requirements must be provided:</w:t>
            </w:r>
          </w:p>
          <w:p w14:paraId="05731D22" w14:textId="77777777" w:rsidR="002C6140" w:rsidRPr="00FE7885" w:rsidRDefault="002C6140" w:rsidP="00B430EA">
            <w:pPr>
              <w:pStyle w:val="COMTabletext"/>
              <w:keepNext w:val="0"/>
              <w:rPr>
                <w:bCs w:val="0"/>
                <w:szCs w:val="20"/>
              </w:rPr>
            </w:pPr>
            <w:r w:rsidRPr="00FE7885">
              <w:rPr>
                <w:bCs w:val="0"/>
                <w:szCs w:val="20"/>
              </w:rPr>
              <w:t>(i) Haemoglobin (g/L)</w:t>
            </w:r>
          </w:p>
          <w:p w14:paraId="2C315EDF" w14:textId="77777777" w:rsidR="002C6140" w:rsidRPr="00FE7885" w:rsidRDefault="002C6140" w:rsidP="00B430EA">
            <w:pPr>
              <w:pStyle w:val="COMTabletext"/>
              <w:keepNext w:val="0"/>
              <w:rPr>
                <w:bCs w:val="0"/>
                <w:szCs w:val="20"/>
              </w:rPr>
            </w:pPr>
            <w:r w:rsidRPr="00FE7885">
              <w:rPr>
                <w:bCs w:val="0"/>
                <w:szCs w:val="20"/>
              </w:rPr>
              <w:t>(ii) Platelets (x10</w:t>
            </w:r>
            <w:r w:rsidRPr="00FE7885">
              <w:rPr>
                <w:bCs w:val="0"/>
                <w:szCs w:val="20"/>
                <w:vertAlign w:val="superscript"/>
              </w:rPr>
              <w:t>9</w:t>
            </w:r>
            <w:r w:rsidRPr="00FE7885">
              <w:rPr>
                <w:bCs w:val="0"/>
                <w:szCs w:val="20"/>
              </w:rPr>
              <w:t>/L)</w:t>
            </w:r>
          </w:p>
          <w:p w14:paraId="7D11495B" w14:textId="77777777" w:rsidR="002C6140" w:rsidRPr="00FE7885" w:rsidRDefault="002C6140" w:rsidP="00B430EA">
            <w:pPr>
              <w:pStyle w:val="COMTabletext"/>
              <w:keepNext w:val="0"/>
              <w:rPr>
                <w:bCs w:val="0"/>
                <w:szCs w:val="20"/>
              </w:rPr>
            </w:pPr>
            <w:r w:rsidRPr="00FE7885">
              <w:rPr>
                <w:bCs w:val="0"/>
                <w:szCs w:val="20"/>
              </w:rPr>
              <w:t>(iii) White Cell Count (x10</w:t>
            </w:r>
            <w:r w:rsidRPr="00FE7885">
              <w:rPr>
                <w:bCs w:val="0"/>
                <w:szCs w:val="20"/>
                <w:vertAlign w:val="superscript"/>
              </w:rPr>
              <w:t>9</w:t>
            </w:r>
            <w:r w:rsidRPr="00FE7885">
              <w:rPr>
                <w:bCs w:val="0"/>
                <w:szCs w:val="20"/>
              </w:rPr>
              <w:t>/L)</w:t>
            </w:r>
          </w:p>
          <w:p w14:paraId="1B3818AE" w14:textId="77777777" w:rsidR="002C6140" w:rsidRPr="00FE7885" w:rsidRDefault="002C6140" w:rsidP="00B430EA">
            <w:pPr>
              <w:pStyle w:val="COMTabletext"/>
              <w:keepNext w:val="0"/>
              <w:rPr>
                <w:bCs w:val="0"/>
                <w:szCs w:val="20"/>
              </w:rPr>
            </w:pPr>
            <w:r w:rsidRPr="00FE7885">
              <w:rPr>
                <w:bCs w:val="0"/>
                <w:szCs w:val="20"/>
              </w:rPr>
              <w:t>(iv) Reticulocytes (x10</w:t>
            </w:r>
            <w:r w:rsidRPr="00FE7885">
              <w:rPr>
                <w:bCs w:val="0"/>
                <w:szCs w:val="20"/>
                <w:vertAlign w:val="superscript"/>
              </w:rPr>
              <w:t>9</w:t>
            </w:r>
            <w:r w:rsidRPr="00FE7885">
              <w:rPr>
                <w:bCs w:val="0"/>
                <w:szCs w:val="20"/>
              </w:rPr>
              <w:t>/L)</w:t>
            </w:r>
          </w:p>
          <w:p w14:paraId="52177EFC" w14:textId="77777777" w:rsidR="002C6140" w:rsidRPr="00FE7885" w:rsidRDefault="002C6140" w:rsidP="00B430EA">
            <w:pPr>
              <w:pStyle w:val="COMTabletext"/>
              <w:keepNext w:val="0"/>
              <w:rPr>
                <w:bCs w:val="0"/>
                <w:szCs w:val="20"/>
              </w:rPr>
            </w:pPr>
            <w:r w:rsidRPr="00FE7885">
              <w:rPr>
                <w:bCs w:val="0"/>
                <w:szCs w:val="20"/>
              </w:rPr>
              <w:t>(v) Neutrophils (x10</w:t>
            </w:r>
            <w:r w:rsidRPr="00FE7885">
              <w:rPr>
                <w:bCs w:val="0"/>
                <w:szCs w:val="20"/>
                <w:vertAlign w:val="superscript"/>
              </w:rPr>
              <w:t>9</w:t>
            </w:r>
            <w:r w:rsidRPr="00FE7885">
              <w:rPr>
                <w:bCs w:val="0"/>
                <w:szCs w:val="20"/>
              </w:rPr>
              <w:t>/L)</w:t>
            </w:r>
          </w:p>
          <w:p w14:paraId="6A6F7717" w14:textId="77777777" w:rsidR="002C6140" w:rsidRPr="00FE7885" w:rsidRDefault="002C6140" w:rsidP="00B430EA">
            <w:pPr>
              <w:pStyle w:val="COMTabletext"/>
              <w:keepNext w:val="0"/>
              <w:rPr>
                <w:bCs w:val="0"/>
                <w:szCs w:val="20"/>
              </w:rPr>
            </w:pPr>
            <w:r w:rsidRPr="00FE7885">
              <w:rPr>
                <w:bCs w:val="0"/>
                <w:szCs w:val="20"/>
              </w:rPr>
              <w:t>(vi) Granulocyte clone size (%)</w:t>
            </w:r>
          </w:p>
          <w:p w14:paraId="51389CA0" w14:textId="77777777" w:rsidR="002C6140" w:rsidRPr="00FE7885" w:rsidRDefault="002C6140" w:rsidP="00B430EA">
            <w:pPr>
              <w:pStyle w:val="COMTabletext"/>
              <w:keepNext w:val="0"/>
              <w:rPr>
                <w:bCs w:val="0"/>
                <w:szCs w:val="20"/>
              </w:rPr>
            </w:pPr>
            <w:r w:rsidRPr="00FE7885">
              <w:rPr>
                <w:bCs w:val="0"/>
                <w:szCs w:val="20"/>
              </w:rPr>
              <w:t>(vii) Lactate Dehydrogenase (LDH)</w:t>
            </w:r>
          </w:p>
          <w:p w14:paraId="03DD75DA" w14:textId="77777777" w:rsidR="002C6140" w:rsidRPr="00FE7885" w:rsidRDefault="002C6140" w:rsidP="00B430EA">
            <w:pPr>
              <w:pStyle w:val="COMTabletext"/>
              <w:keepNext w:val="0"/>
              <w:rPr>
                <w:bCs w:val="0"/>
                <w:szCs w:val="20"/>
              </w:rPr>
            </w:pPr>
            <w:r w:rsidRPr="00FE7885">
              <w:rPr>
                <w:bCs w:val="0"/>
                <w:szCs w:val="20"/>
              </w:rPr>
              <w:t>(viii) the upper limit of normal (ULN) for LDH as quoted by the reporting laboratory</w:t>
            </w:r>
          </w:p>
          <w:p w14:paraId="61FEE9DC" w14:textId="77777777" w:rsidR="002C6140" w:rsidRPr="00F32871" w:rsidRDefault="002C6140" w:rsidP="00B430EA">
            <w:pPr>
              <w:pStyle w:val="COMTabletext"/>
              <w:keepNext w:val="0"/>
              <w:rPr>
                <w:b/>
                <w:szCs w:val="20"/>
              </w:rPr>
            </w:pPr>
            <w:r w:rsidRPr="00FE7885">
              <w:rPr>
                <w:bCs w:val="0"/>
                <w:szCs w:val="20"/>
              </w:rPr>
              <w:t>(ix) the LDH:ULN ratio (in figures, rounded to one decimal place)</w:t>
            </w:r>
          </w:p>
        </w:tc>
      </w:tr>
      <w:tr w:rsidR="002C6140" w:rsidRPr="00F32871" w14:paraId="7AD4B50C" w14:textId="77777777" w:rsidTr="00BF35A5">
        <w:trPr>
          <w:cantSplit/>
          <w:trHeight w:val="20"/>
        </w:trPr>
        <w:tc>
          <w:tcPr>
            <w:tcW w:w="1563" w:type="dxa"/>
            <w:gridSpan w:val="2"/>
          </w:tcPr>
          <w:p w14:paraId="0A34958A" w14:textId="017C8AB7" w:rsidR="002C6140" w:rsidRPr="00460ED9" w:rsidRDefault="002C6140" w:rsidP="00B430EA">
            <w:pPr>
              <w:jc w:val="center"/>
              <w:rPr>
                <w:rFonts w:ascii="Arial Narrow" w:hAnsi="Arial Narrow"/>
                <w:sz w:val="20"/>
                <w:szCs w:val="20"/>
              </w:rPr>
            </w:pPr>
          </w:p>
        </w:tc>
        <w:tc>
          <w:tcPr>
            <w:tcW w:w="7671" w:type="dxa"/>
            <w:gridSpan w:val="6"/>
            <w:vAlign w:val="center"/>
          </w:tcPr>
          <w:p w14:paraId="1E59884E" w14:textId="77777777" w:rsidR="002C6140" w:rsidRPr="00FD7991" w:rsidRDefault="002C6140" w:rsidP="00B430EA">
            <w:pPr>
              <w:rPr>
                <w:rFonts w:ascii="Arial Narrow" w:hAnsi="Arial Narrow"/>
                <w:color w:val="333333"/>
                <w:sz w:val="20"/>
                <w:szCs w:val="20"/>
              </w:rPr>
            </w:pPr>
            <w:r w:rsidRPr="00FD7991">
              <w:rPr>
                <w:rFonts w:ascii="Arial Narrow" w:hAnsi="Arial Narrow"/>
                <w:b/>
                <w:bCs/>
                <w:color w:val="333333"/>
                <w:sz w:val="20"/>
                <w:szCs w:val="20"/>
              </w:rPr>
              <w:t>Prescribing Instructions</w:t>
            </w:r>
            <w:r w:rsidRPr="00FD7991">
              <w:rPr>
                <w:rFonts w:ascii="Arial Narrow" w:hAnsi="Arial Narrow"/>
                <w:color w:val="333333"/>
                <w:sz w:val="20"/>
                <w:szCs w:val="20"/>
              </w:rPr>
              <w:t xml:space="preserve">: </w:t>
            </w:r>
          </w:p>
          <w:p w14:paraId="6BCEE283" w14:textId="11D2673C" w:rsidR="002C6140" w:rsidRPr="00FD7991" w:rsidRDefault="00422EA4" w:rsidP="00B430EA">
            <w:pPr>
              <w:rPr>
                <w:rFonts w:ascii="Arial Narrow" w:hAnsi="Arial Narrow"/>
                <w:color w:val="333333"/>
                <w:sz w:val="20"/>
                <w:szCs w:val="20"/>
              </w:rPr>
            </w:pPr>
            <w:r w:rsidRPr="00422EA4">
              <w:rPr>
                <w:rFonts w:ascii="Arial Narrow" w:hAnsi="Arial Narrow"/>
                <w:color w:val="333333"/>
                <w:sz w:val="20"/>
                <w:szCs w:val="20"/>
              </w:rPr>
              <w:t>Patients may qualify under this treatment phase more than once</w:t>
            </w:r>
            <w:r>
              <w:rPr>
                <w:rFonts w:ascii="Arial Narrow" w:hAnsi="Arial Narrow"/>
                <w:color w:val="333333"/>
                <w:sz w:val="20"/>
                <w:szCs w:val="20"/>
              </w:rPr>
              <w:t>.</w:t>
            </w:r>
          </w:p>
        </w:tc>
      </w:tr>
      <w:tr w:rsidR="002C6140" w:rsidRPr="00F32871" w14:paraId="2437840C" w14:textId="77777777" w:rsidTr="00BF35A5">
        <w:trPr>
          <w:cantSplit/>
          <w:trHeight w:val="20"/>
        </w:trPr>
        <w:tc>
          <w:tcPr>
            <w:tcW w:w="9234" w:type="dxa"/>
            <w:gridSpan w:val="8"/>
          </w:tcPr>
          <w:p w14:paraId="4D327822" w14:textId="77777777" w:rsidR="002C6140" w:rsidRPr="00FD7991" w:rsidRDefault="002C6140" w:rsidP="00B430EA">
            <w:pPr>
              <w:rPr>
                <w:rFonts w:ascii="Arial Narrow" w:hAnsi="Arial Narrow"/>
                <w:b/>
                <w:bCs/>
                <w:color w:val="333333"/>
                <w:sz w:val="20"/>
                <w:szCs w:val="20"/>
              </w:rPr>
            </w:pPr>
            <w:r w:rsidRPr="00B27C8C">
              <w:rPr>
                <w:rFonts w:ascii="Arial Narrow" w:hAnsi="Arial Narrow"/>
                <w:b/>
                <w:bCs/>
                <w:sz w:val="20"/>
                <w:szCs w:val="20"/>
              </w:rPr>
              <w:t>Restriction Summary [new</w:t>
            </w:r>
            <w:r>
              <w:rPr>
                <w:rFonts w:ascii="Arial Narrow" w:hAnsi="Arial Narrow"/>
                <w:b/>
                <w:bCs/>
                <w:sz w:val="20"/>
                <w:szCs w:val="20"/>
              </w:rPr>
              <w:t xml:space="preserve"> 5</w:t>
            </w:r>
            <w:r w:rsidRPr="00B27C8C">
              <w:rPr>
                <w:rFonts w:ascii="Arial Narrow" w:hAnsi="Arial Narrow"/>
                <w:b/>
                <w:bCs/>
                <w:sz w:val="20"/>
                <w:szCs w:val="20"/>
              </w:rPr>
              <w:t>] / Treatment of Concept: [new</w:t>
            </w:r>
            <w:r>
              <w:rPr>
                <w:rFonts w:ascii="Arial Narrow" w:hAnsi="Arial Narrow"/>
                <w:b/>
                <w:bCs/>
                <w:sz w:val="20"/>
                <w:szCs w:val="20"/>
              </w:rPr>
              <w:t xml:space="preserve"> 6</w:t>
            </w:r>
            <w:r w:rsidRPr="00B27C8C">
              <w:rPr>
                <w:rFonts w:ascii="Arial Narrow" w:hAnsi="Arial Narrow"/>
                <w:b/>
                <w:bCs/>
                <w:sz w:val="20"/>
                <w:szCs w:val="20"/>
              </w:rPr>
              <w:t>]</w:t>
            </w:r>
          </w:p>
        </w:tc>
      </w:tr>
      <w:tr w:rsidR="002C6140" w:rsidRPr="00F32871" w14:paraId="03774F51" w14:textId="77777777" w:rsidTr="00BF35A5">
        <w:trPr>
          <w:cantSplit/>
          <w:trHeight w:val="20"/>
        </w:trPr>
        <w:tc>
          <w:tcPr>
            <w:tcW w:w="9234" w:type="dxa"/>
            <w:gridSpan w:val="8"/>
          </w:tcPr>
          <w:p w14:paraId="00D19615" w14:textId="77777777" w:rsidR="002C6140" w:rsidRPr="00B27C8C" w:rsidRDefault="002C6140" w:rsidP="00BF35A5">
            <w:pPr>
              <w:rPr>
                <w:rFonts w:ascii="Arial Narrow" w:hAnsi="Arial Narrow"/>
                <w:b/>
                <w:bCs/>
                <w:sz w:val="20"/>
                <w:szCs w:val="20"/>
              </w:rPr>
            </w:pPr>
          </w:p>
        </w:tc>
      </w:tr>
      <w:tr w:rsidR="002C6140" w:rsidRPr="00A36DB6" w14:paraId="5D888033" w14:textId="77777777" w:rsidTr="00BF35A5">
        <w:trPr>
          <w:cantSplit/>
          <w:trHeight w:val="20"/>
        </w:trPr>
        <w:tc>
          <w:tcPr>
            <w:tcW w:w="1563" w:type="dxa"/>
            <w:gridSpan w:val="2"/>
            <w:vAlign w:val="center"/>
          </w:tcPr>
          <w:p w14:paraId="132A85EF" w14:textId="21E24238" w:rsidR="002C6140" w:rsidRPr="00B27C8C" w:rsidRDefault="002C6140" w:rsidP="00B430EA">
            <w:pPr>
              <w:jc w:val="center"/>
              <w:rPr>
                <w:rFonts w:ascii="Arial Narrow" w:hAnsi="Arial Narrow"/>
                <w:b/>
                <w:bCs/>
                <w:sz w:val="20"/>
                <w:szCs w:val="20"/>
              </w:rPr>
            </w:pPr>
          </w:p>
        </w:tc>
        <w:tc>
          <w:tcPr>
            <w:tcW w:w="7671" w:type="dxa"/>
            <w:gridSpan w:val="6"/>
            <w:vAlign w:val="center"/>
          </w:tcPr>
          <w:p w14:paraId="6160E6F0" w14:textId="77777777" w:rsidR="002C6140" w:rsidRPr="00A36DB6" w:rsidRDefault="002C6140" w:rsidP="00B430EA">
            <w:pPr>
              <w:rPr>
                <w:rFonts w:ascii="Arial Narrow" w:hAnsi="Arial Narrow"/>
                <w:b/>
                <w:bCs/>
                <w:sz w:val="20"/>
                <w:szCs w:val="20"/>
              </w:rPr>
            </w:pPr>
            <w:r w:rsidRPr="00A36DB6">
              <w:rPr>
                <w:rFonts w:ascii="Arial Narrow" w:hAnsi="Arial Narrow"/>
                <w:b/>
                <w:sz w:val="20"/>
                <w:szCs w:val="20"/>
              </w:rPr>
              <w:t>Indication:</w:t>
            </w:r>
            <w:r w:rsidRPr="00A36DB6">
              <w:rPr>
                <w:rFonts w:ascii="Arial Narrow" w:hAnsi="Arial Narrow"/>
                <w:sz w:val="20"/>
                <w:szCs w:val="20"/>
              </w:rPr>
              <w:t xml:space="preserve"> Paroxysmal nocturnal haemoglobinuria (PNH)</w:t>
            </w:r>
          </w:p>
        </w:tc>
      </w:tr>
      <w:tr w:rsidR="002C6140" w:rsidRPr="00A36DB6" w14:paraId="0AA6DEFD" w14:textId="77777777" w:rsidTr="00BF35A5">
        <w:trPr>
          <w:cantSplit/>
          <w:trHeight w:val="20"/>
        </w:trPr>
        <w:tc>
          <w:tcPr>
            <w:tcW w:w="1563" w:type="dxa"/>
            <w:gridSpan w:val="2"/>
            <w:vAlign w:val="center"/>
          </w:tcPr>
          <w:p w14:paraId="58AB0FF9" w14:textId="77777777" w:rsidR="002C6140" w:rsidRPr="00B27C8C" w:rsidRDefault="002C6140" w:rsidP="00B430EA">
            <w:pPr>
              <w:jc w:val="center"/>
              <w:rPr>
                <w:rFonts w:ascii="Arial Narrow" w:hAnsi="Arial Narrow"/>
                <w:b/>
                <w:bCs/>
                <w:sz w:val="20"/>
                <w:szCs w:val="20"/>
              </w:rPr>
            </w:pPr>
          </w:p>
        </w:tc>
        <w:tc>
          <w:tcPr>
            <w:tcW w:w="7671" w:type="dxa"/>
            <w:gridSpan w:val="6"/>
            <w:vAlign w:val="center"/>
          </w:tcPr>
          <w:p w14:paraId="3590AF6E" w14:textId="77777777" w:rsidR="002C6140" w:rsidRPr="00A36DB6" w:rsidRDefault="002C6140" w:rsidP="00B430EA">
            <w:pPr>
              <w:rPr>
                <w:rFonts w:ascii="Arial Narrow" w:hAnsi="Arial Narrow"/>
                <w:b/>
                <w:bCs/>
                <w:sz w:val="20"/>
                <w:szCs w:val="20"/>
              </w:rPr>
            </w:pPr>
            <w:r w:rsidRPr="00A36DB6">
              <w:rPr>
                <w:rFonts w:ascii="Arial Narrow" w:hAnsi="Arial Narrow"/>
                <w:b/>
                <w:sz w:val="20"/>
                <w:szCs w:val="20"/>
              </w:rPr>
              <w:t>Treatment Phase:</w:t>
            </w:r>
            <w:r w:rsidRPr="00A36DB6">
              <w:rPr>
                <w:rFonts w:ascii="Arial Narrow" w:hAnsi="Arial Narrow"/>
                <w:sz w:val="20"/>
                <w:szCs w:val="20"/>
              </w:rPr>
              <w:t xml:space="preserve"> </w:t>
            </w:r>
            <w:r w:rsidRPr="004B1A08">
              <w:rPr>
                <w:rFonts w:ascii="Arial Narrow" w:hAnsi="Arial Narrow"/>
                <w:sz w:val="20"/>
                <w:szCs w:val="20"/>
              </w:rPr>
              <w:t>Continuing treatment</w:t>
            </w:r>
          </w:p>
        </w:tc>
      </w:tr>
      <w:tr w:rsidR="002C6140" w:rsidRPr="00A36DB6" w14:paraId="3E39E50B" w14:textId="77777777" w:rsidTr="00BF35A5">
        <w:trPr>
          <w:cantSplit/>
          <w:trHeight w:val="20"/>
        </w:trPr>
        <w:tc>
          <w:tcPr>
            <w:tcW w:w="1563" w:type="dxa"/>
            <w:gridSpan w:val="2"/>
            <w:vAlign w:val="center"/>
          </w:tcPr>
          <w:p w14:paraId="3EC54316" w14:textId="0013353A" w:rsidR="002C6140" w:rsidRPr="00A36DB6" w:rsidRDefault="002C6140" w:rsidP="00B430EA">
            <w:pPr>
              <w:jc w:val="center"/>
              <w:rPr>
                <w:rFonts w:ascii="Arial Narrow" w:hAnsi="Arial Narrow"/>
                <w:sz w:val="20"/>
                <w:szCs w:val="20"/>
              </w:rPr>
            </w:pPr>
          </w:p>
        </w:tc>
        <w:tc>
          <w:tcPr>
            <w:tcW w:w="7671" w:type="dxa"/>
            <w:gridSpan w:val="6"/>
            <w:vAlign w:val="center"/>
          </w:tcPr>
          <w:p w14:paraId="30AB7F28" w14:textId="77777777" w:rsidR="002C6140" w:rsidRPr="00A36DB6" w:rsidRDefault="002C6140" w:rsidP="00B430EA">
            <w:pPr>
              <w:rPr>
                <w:rFonts w:ascii="Arial Narrow" w:hAnsi="Arial Narrow"/>
                <w:b/>
                <w:bCs/>
                <w:sz w:val="20"/>
                <w:szCs w:val="20"/>
              </w:rPr>
            </w:pPr>
            <w:r w:rsidRPr="00A36DB6">
              <w:rPr>
                <w:rFonts w:ascii="Arial Narrow" w:hAnsi="Arial Narrow"/>
                <w:b/>
                <w:sz w:val="20"/>
                <w:szCs w:val="20"/>
              </w:rPr>
              <w:t>Clinical criteria:</w:t>
            </w:r>
          </w:p>
        </w:tc>
      </w:tr>
      <w:tr w:rsidR="002C6140" w:rsidRPr="00A36DB6" w14:paraId="26290008" w14:textId="77777777" w:rsidTr="00BF35A5">
        <w:trPr>
          <w:cantSplit/>
          <w:trHeight w:val="20"/>
        </w:trPr>
        <w:tc>
          <w:tcPr>
            <w:tcW w:w="1563" w:type="dxa"/>
            <w:gridSpan w:val="2"/>
            <w:vAlign w:val="center"/>
          </w:tcPr>
          <w:p w14:paraId="4E14A3B9" w14:textId="7BEDB55A" w:rsidR="002C6140" w:rsidRPr="00A36DB6" w:rsidRDefault="002C6140" w:rsidP="00B430EA">
            <w:pPr>
              <w:jc w:val="center"/>
              <w:rPr>
                <w:rFonts w:ascii="Arial Narrow" w:hAnsi="Arial Narrow"/>
                <w:sz w:val="20"/>
                <w:szCs w:val="20"/>
              </w:rPr>
            </w:pPr>
          </w:p>
        </w:tc>
        <w:tc>
          <w:tcPr>
            <w:tcW w:w="7671" w:type="dxa"/>
            <w:gridSpan w:val="6"/>
            <w:vAlign w:val="center"/>
          </w:tcPr>
          <w:p w14:paraId="08D9CA0D" w14:textId="77777777" w:rsidR="002C6140" w:rsidRPr="00A36DB6" w:rsidRDefault="002C6140" w:rsidP="00B430EA">
            <w:pPr>
              <w:rPr>
                <w:rFonts w:ascii="Arial Narrow" w:hAnsi="Arial Narrow"/>
                <w:b/>
                <w:bCs/>
                <w:sz w:val="20"/>
                <w:szCs w:val="20"/>
              </w:rPr>
            </w:pPr>
            <w:r w:rsidRPr="00A36DB6">
              <w:rPr>
                <w:rFonts w:ascii="Arial Narrow" w:hAnsi="Arial Narrow"/>
                <w:sz w:val="20"/>
                <w:szCs w:val="20"/>
              </w:rPr>
              <w:t xml:space="preserve">Patient must have received PBS-subsidised treatment with this drug for this condition </w:t>
            </w:r>
          </w:p>
        </w:tc>
      </w:tr>
      <w:tr w:rsidR="002C6140" w:rsidRPr="00A36DB6" w14:paraId="61ED167E" w14:textId="77777777" w:rsidTr="00BF35A5">
        <w:trPr>
          <w:cantSplit/>
          <w:trHeight w:val="20"/>
        </w:trPr>
        <w:tc>
          <w:tcPr>
            <w:tcW w:w="1563" w:type="dxa"/>
            <w:gridSpan w:val="2"/>
            <w:vAlign w:val="center"/>
          </w:tcPr>
          <w:p w14:paraId="0DF30C4D" w14:textId="77777777" w:rsidR="002C6140" w:rsidRDefault="002C6140" w:rsidP="00B430EA">
            <w:pPr>
              <w:jc w:val="center"/>
              <w:rPr>
                <w:rFonts w:ascii="Arial Narrow" w:hAnsi="Arial Narrow"/>
                <w:sz w:val="20"/>
                <w:szCs w:val="20"/>
              </w:rPr>
            </w:pPr>
          </w:p>
        </w:tc>
        <w:tc>
          <w:tcPr>
            <w:tcW w:w="7671" w:type="dxa"/>
            <w:gridSpan w:val="6"/>
            <w:vAlign w:val="center"/>
          </w:tcPr>
          <w:p w14:paraId="402B8DD6" w14:textId="77777777" w:rsidR="002C6140" w:rsidRPr="00A36DB6" w:rsidRDefault="002C6140" w:rsidP="00B430EA">
            <w:pPr>
              <w:rPr>
                <w:rFonts w:ascii="Arial Narrow" w:hAnsi="Arial Narrow"/>
                <w:sz w:val="20"/>
                <w:szCs w:val="20"/>
              </w:rPr>
            </w:pPr>
            <w:r w:rsidRPr="00A36DB6">
              <w:rPr>
                <w:rFonts w:ascii="Arial Narrow" w:hAnsi="Arial Narrow"/>
                <w:b/>
                <w:sz w:val="20"/>
                <w:szCs w:val="20"/>
              </w:rPr>
              <w:t>AND</w:t>
            </w:r>
          </w:p>
        </w:tc>
      </w:tr>
      <w:tr w:rsidR="002C6140" w:rsidRPr="00A36DB6" w14:paraId="3B277464" w14:textId="77777777" w:rsidTr="00BF35A5">
        <w:trPr>
          <w:cantSplit/>
          <w:trHeight w:val="20"/>
        </w:trPr>
        <w:tc>
          <w:tcPr>
            <w:tcW w:w="1563" w:type="dxa"/>
            <w:gridSpan w:val="2"/>
            <w:vAlign w:val="center"/>
          </w:tcPr>
          <w:p w14:paraId="5F84D21D" w14:textId="6953423E" w:rsidR="002C6140" w:rsidRDefault="002C6140" w:rsidP="00B430EA">
            <w:pPr>
              <w:jc w:val="center"/>
              <w:rPr>
                <w:rFonts w:ascii="Arial Narrow" w:hAnsi="Arial Narrow"/>
                <w:sz w:val="20"/>
                <w:szCs w:val="20"/>
              </w:rPr>
            </w:pPr>
          </w:p>
        </w:tc>
        <w:tc>
          <w:tcPr>
            <w:tcW w:w="7671" w:type="dxa"/>
            <w:gridSpan w:val="6"/>
            <w:vAlign w:val="center"/>
          </w:tcPr>
          <w:p w14:paraId="057D836C" w14:textId="77777777" w:rsidR="002C6140" w:rsidRPr="00A36DB6" w:rsidRDefault="002C6140" w:rsidP="00B430EA">
            <w:pPr>
              <w:rPr>
                <w:rFonts w:ascii="Arial Narrow" w:hAnsi="Arial Narrow"/>
                <w:sz w:val="20"/>
                <w:szCs w:val="20"/>
              </w:rPr>
            </w:pPr>
            <w:r w:rsidRPr="00FE7885">
              <w:rPr>
                <w:rFonts w:ascii="Arial Narrow" w:hAnsi="Arial Narrow"/>
                <w:b/>
                <w:sz w:val="20"/>
                <w:szCs w:val="20"/>
              </w:rPr>
              <w:t>Clinical criteria:</w:t>
            </w:r>
          </w:p>
        </w:tc>
      </w:tr>
      <w:tr w:rsidR="002C6140" w:rsidRPr="00A36DB6" w14:paraId="43E08DE9" w14:textId="77777777" w:rsidTr="00BF35A5">
        <w:trPr>
          <w:cantSplit/>
          <w:trHeight w:val="20"/>
        </w:trPr>
        <w:tc>
          <w:tcPr>
            <w:tcW w:w="1563" w:type="dxa"/>
            <w:gridSpan w:val="2"/>
            <w:vAlign w:val="center"/>
          </w:tcPr>
          <w:p w14:paraId="73A8F5F8" w14:textId="3A213870" w:rsidR="002C6140" w:rsidRDefault="002C6140" w:rsidP="00B430EA">
            <w:pPr>
              <w:jc w:val="center"/>
              <w:rPr>
                <w:rFonts w:ascii="Arial Narrow" w:hAnsi="Arial Narrow"/>
                <w:sz w:val="20"/>
                <w:szCs w:val="20"/>
              </w:rPr>
            </w:pPr>
          </w:p>
        </w:tc>
        <w:tc>
          <w:tcPr>
            <w:tcW w:w="7671" w:type="dxa"/>
            <w:gridSpan w:val="6"/>
            <w:vAlign w:val="center"/>
          </w:tcPr>
          <w:p w14:paraId="33F11C89" w14:textId="77777777" w:rsidR="002C6140" w:rsidRPr="00A36DB6" w:rsidRDefault="002C6140" w:rsidP="00B430EA">
            <w:pPr>
              <w:rPr>
                <w:rFonts w:ascii="Arial Narrow" w:hAnsi="Arial Narrow"/>
                <w:sz w:val="20"/>
                <w:szCs w:val="20"/>
              </w:rPr>
            </w:pPr>
            <w:r w:rsidRPr="00FE7885">
              <w:rPr>
                <w:rFonts w:ascii="Arial Narrow" w:hAnsi="Arial Narrow"/>
                <w:sz w:val="20"/>
                <w:szCs w:val="20"/>
              </w:rPr>
              <w:t>Patient must have experienced clinical improvement as a result of treatment with this drug; OR</w:t>
            </w:r>
          </w:p>
        </w:tc>
      </w:tr>
      <w:tr w:rsidR="002C6140" w:rsidRPr="00554A06" w14:paraId="2CF72076" w14:textId="77777777" w:rsidTr="00BF35A5">
        <w:trPr>
          <w:cantSplit/>
          <w:trHeight w:val="20"/>
        </w:trPr>
        <w:tc>
          <w:tcPr>
            <w:tcW w:w="1563" w:type="dxa"/>
            <w:gridSpan w:val="2"/>
            <w:vAlign w:val="center"/>
          </w:tcPr>
          <w:p w14:paraId="18B0EAD4" w14:textId="277EFA74" w:rsidR="002C6140" w:rsidRDefault="002C6140" w:rsidP="00B430EA">
            <w:pPr>
              <w:jc w:val="center"/>
              <w:rPr>
                <w:rFonts w:ascii="Arial Narrow" w:hAnsi="Arial Narrow"/>
                <w:sz w:val="20"/>
                <w:szCs w:val="20"/>
              </w:rPr>
            </w:pPr>
          </w:p>
        </w:tc>
        <w:tc>
          <w:tcPr>
            <w:tcW w:w="7671" w:type="dxa"/>
            <w:gridSpan w:val="6"/>
            <w:vAlign w:val="center"/>
          </w:tcPr>
          <w:p w14:paraId="562D8FEB" w14:textId="77777777" w:rsidR="002C6140" w:rsidRPr="00554A06" w:rsidRDefault="002C6140" w:rsidP="00B430EA">
            <w:pPr>
              <w:rPr>
                <w:rFonts w:ascii="Arial Narrow" w:hAnsi="Arial Narrow"/>
                <w:sz w:val="20"/>
                <w:szCs w:val="20"/>
              </w:rPr>
            </w:pPr>
            <w:r w:rsidRPr="00FE7885">
              <w:rPr>
                <w:rFonts w:ascii="Arial Narrow" w:hAnsi="Arial Narrow"/>
                <w:sz w:val="20"/>
                <w:szCs w:val="20"/>
              </w:rPr>
              <w:t>Patient must have experienced a stabilisation of the condition as a result of treatment with this drug,</w:t>
            </w:r>
          </w:p>
        </w:tc>
      </w:tr>
      <w:tr w:rsidR="002C6140" w:rsidRPr="00A36DB6" w14:paraId="0E2E9D1A" w14:textId="77777777" w:rsidTr="00BF35A5">
        <w:trPr>
          <w:cantSplit/>
          <w:trHeight w:val="20"/>
        </w:trPr>
        <w:tc>
          <w:tcPr>
            <w:tcW w:w="1563" w:type="dxa"/>
            <w:gridSpan w:val="2"/>
            <w:vAlign w:val="center"/>
          </w:tcPr>
          <w:p w14:paraId="1FA50C89" w14:textId="77777777" w:rsidR="002C6140" w:rsidRPr="00A36DB6" w:rsidRDefault="002C6140" w:rsidP="00B430EA">
            <w:pPr>
              <w:jc w:val="center"/>
              <w:rPr>
                <w:rFonts w:ascii="Arial Narrow" w:hAnsi="Arial Narrow"/>
                <w:sz w:val="20"/>
                <w:szCs w:val="20"/>
              </w:rPr>
            </w:pPr>
          </w:p>
        </w:tc>
        <w:tc>
          <w:tcPr>
            <w:tcW w:w="7671" w:type="dxa"/>
            <w:gridSpan w:val="6"/>
            <w:vAlign w:val="center"/>
          </w:tcPr>
          <w:p w14:paraId="19DEAA0E" w14:textId="77777777" w:rsidR="002C6140" w:rsidRPr="00A36DB6" w:rsidRDefault="002C6140" w:rsidP="00B430EA">
            <w:pPr>
              <w:rPr>
                <w:rFonts w:ascii="Arial Narrow" w:hAnsi="Arial Narrow"/>
                <w:b/>
                <w:bCs/>
                <w:sz w:val="20"/>
                <w:szCs w:val="20"/>
              </w:rPr>
            </w:pPr>
            <w:r w:rsidRPr="00A36DB6">
              <w:rPr>
                <w:rFonts w:ascii="Arial Narrow" w:hAnsi="Arial Narrow"/>
                <w:b/>
                <w:sz w:val="20"/>
                <w:szCs w:val="20"/>
              </w:rPr>
              <w:t>AND</w:t>
            </w:r>
          </w:p>
        </w:tc>
      </w:tr>
      <w:tr w:rsidR="002C6140" w:rsidRPr="00A36DB6" w14:paraId="3CFB4BC0" w14:textId="77777777" w:rsidTr="00BF35A5">
        <w:trPr>
          <w:cantSplit/>
          <w:trHeight w:val="20"/>
        </w:trPr>
        <w:tc>
          <w:tcPr>
            <w:tcW w:w="1563" w:type="dxa"/>
            <w:gridSpan w:val="2"/>
            <w:vAlign w:val="center"/>
          </w:tcPr>
          <w:p w14:paraId="2D4DA2E6" w14:textId="4D5AFED8" w:rsidR="002C6140" w:rsidRPr="00A36DB6" w:rsidRDefault="002C6140" w:rsidP="00B430EA">
            <w:pPr>
              <w:jc w:val="center"/>
              <w:rPr>
                <w:rFonts w:ascii="Arial Narrow" w:hAnsi="Arial Narrow"/>
                <w:sz w:val="20"/>
                <w:szCs w:val="20"/>
              </w:rPr>
            </w:pPr>
          </w:p>
        </w:tc>
        <w:tc>
          <w:tcPr>
            <w:tcW w:w="7671" w:type="dxa"/>
            <w:gridSpan w:val="6"/>
            <w:vAlign w:val="center"/>
          </w:tcPr>
          <w:p w14:paraId="166F0ABA" w14:textId="77777777" w:rsidR="002C6140" w:rsidRPr="00A36DB6" w:rsidRDefault="002C6140" w:rsidP="00B430EA">
            <w:pPr>
              <w:rPr>
                <w:rFonts w:ascii="Arial Narrow" w:hAnsi="Arial Narrow"/>
                <w:b/>
                <w:bCs/>
                <w:sz w:val="20"/>
                <w:szCs w:val="20"/>
              </w:rPr>
            </w:pPr>
            <w:r w:rsidRPr="00A36DB6">
              <w:rPr>
                <w:rFonts w:ascii="Arial Narrow" w:hAnsi="Arial Narrow"/>
                <w:b/>
                <w:sz w:val="20"/>
                <w:szCs w:val="20"/>
              </w:rPr>
              <w:t>Clinical criteria:</w:t>
            </w:r>
          </w:p>
        </w:tc>
      </w:tr>
      <w:tr w:rsidR="002C6140" w:rsidRPr="001800C2" w14:paraId="78BD9245" w14:textId="77777777" w:rsidTr="00BF35A5">
        <w:trPr>
          <w:cantSplit/>
          <w:trHeight w:val="20"/>
        </w:trPr>
        <w:tc>
          <w:tcPr>
            <w:tcW w:w="1563" w:type="dxa"/>
            <w:gridSpan w:val="2"/>
            <w:vAlign w:val="center"/>
          </w:tcPr>
          <w:p w14:paraId="0F95D7D9" w14:textId="36EF81FB" w:rsidR="002C6140" w:rsidRPr="00A36DB6" w:rsidRDefault="002C6140" w:rsidP="00B430EA">
            <w:pPr>
              <w:jc w:val="center"/>
              <w:rPr>
                <w:rFonts w:ascii="Arial Narrow" w:hAnsi="Arial Narrow"/>
                <w:sz w:val="20"/>
                <w:szCs w:val="20"/>
              </w:rPr>
            </w:pPr>
          </w:p>
        </w:tc>
        <w:tc>
          <w:tcPr>
            <w:tcW w:w="7671" w:type="dxa"/>
            <w:gridSpan w:val="6"/>
            <w:vAlign w:val="center"/>
          </w:tcPr>
          <w:p w14:paraId="0286642C" w14:textId="77777777" w:rsidR="002C6140" w:rsidRPr="00460ED9" w:rsidRDefault="002C6140" w:rsidP="00B430EA">
            <w:pPr>
              <w:rPr>
                <w:rFonts w:ascii="Arial Narrow" w:hAnsi="Arial Narrow"/>
                <w:sz w:val="20"/>
                <w:szCs w:val="20"/>
              </w:rPr>
            </w:pPr>
            <w:r w:rsidRPr="00460ED9">
              <w:rPr>
                <w:rFonts w:ascii="Arial Narrow" w:hAnsi="Arial Narrow"/>
                <w:sz w:val="20"/>
                <w:szCs w:val="20"/>
              </w:rPr>
              <w:t>The treatment must be the sole PBS-subsidised therapy for this condition.</w:t>
            </w:r>
          </w:p>
        </w:tc>
      </w:tr>
      <w:tr w:rsidR="002C6140" w:rsidRPr="00A36DB6" w14:paraId="0BB5BD64" w14:textId="77777777" w:rsidTr="00BF35A5">
        <w:trPr>
          <w:cantSplit/>
          <w:trHeight w:val="20"/>
        </w:trPr>
        <w:tc>
          <w:tcPr>
            <w:tcW w:w="1563" w:type="dxa"/>
            <w:gridSpan w:val="2"/>
            <w:vAlign w:val="center"/>
          </w:tcPr>
          <w:p w14:paraId="1BA15A4E" w14:textId="1D5A4809" w:rsidR="002C6140" w:rsidRPr="00A36DB6" w:rsidRDefault="002C6140" w:rsidP="00B430EA">
            <w:pPr>
              <w:jc w:val="center"/>
              <w:rPr>
                <w:rFonts w:ascii="Arial Narrow" w:hAnsi="Arial Narrow"/>
                <w:sz w:val="20"/>
                <w:szCs w:val="20"/>
              </w:rPr>
            </w:pPr>
          </w:p>
        </w:tc>
        <w:tc>
          <w:tcPr>
            <w:tcW w:w="7671" w:type="dxa"/>
            <w:gridSpan w:val="6"/>
            <w:vAlign w:val="center"/>
          </w:tcPr>
          <w:p w14:paraId="181228D9" w14:textId="77777777" w:rsidR="002C6140" w:rsidRPr="00A36DB6" w:rsidRDefault="002C6140" w:rsidP="00B430EA">
            <w:pPr>
              <w:rPr>
                <w:rFonts w:ascii="Arial Narrow" w:hAnsi="Arial Narrow"/>
                <w:b/>
                <w:bCs/>
                <w:sz w:val="20"/>
                <w:szCs w:val="20"/>
              </w:rPr>
            </w:pPr>
            <w:r w:rsidRPr="00A36DB6">
              <w:rPr>
                <w:rFonts w:ascii="Arial Narrow" w:hAnsi="Arial Narrow"/>
                <w:b/>
                <w:sz w:val="20"/>
                <w:szCs w:val="20"/>
              </w:rPr>
              <w:t>Treatment criteria:</w:t>
            </w:r>
          </w:p>
        </w:tc>
      </w:tr>
      <w:tr w:rsidR="002C6140" w:rsidRPr="00A36DB6" w14:paraId="43747D3C" w14:textId="77777777" w:rsidTr="00BF35A5">
        <w:trPr>
          <w:cantSplit/>
          <w:trHeight w:val="20"/>
        </w:trPr>
        <w:tc>
          <w:tcPr>
            <w:tcW w:w="1563" w:type="dxa"/>
            <w:gridSpan w:val="2"/>
            <w:vAlign w:val="center"/>
          </w:tcPr>
          <w:p w14:paraId="562F4D6A" w14:textId="2B8A508C" w:rsidR="002C6140" w:rsidRPr="00A36DB6" w:rsidRDefault="002C6140" w:rsidP="00B430EA">
            <w:pPr>
              <w:jc w:val="center"/>
              <w:rPr>
                <w:rFonts w:ascii="Arial Narrow" w:hAnsi="Arial Narrow"/>
                <w:sz w:val="20"/>
                <w:szCs w:val="20"/>
              </w:rPr>
            </w:pPr>
          </w:p>
        </w:tc>
        <w:tc>
          <w:tcPr>
            <w:tcW w:w="7671" w:type="dxa"/>
            <w:gridSpan w:val="6"/>
            <w:vAlign w:val="center"/>
          </w:tcPr>
          <w:p w14:paraId="6FB9BC2A" w14:textId="77777777" w:rsidR="002C6140" w:rsidRPr="00A36DB6" w:rsidRDefault="002C6140" w:rsidP="00B430EA">
            <w:pPr>
              <w:rPr>
                <w:rFonts w:ascii="Arial Narrow" w:hAnsi="Arial Narrow"/>
                <w:b/>
                <w:bCs/>
                <w:sz w:val="20"/>
                <w:szCs w:val="20"/>
              </w:rPr>
            </w:pPr>
            <w:r w:rsidRPr="00A36DB6">
              <w:rPr>
                <w:rFonts w:ascii="Arial Narrow" w:hAnsi="Arial Narrow"/>
                <w:sz w:val="20"/>
                <w:szCs w:val="20"/>
              </w:rPr>
              <w:t>Must be treated by a haematologist; OR</w:t>
            </w:r>
            <w:r w:rsidRPr="00A36DB6">
              <w:rPr>
                <w:rFonts w:ascii="Arial Narrow" w:hAnsi="Arial Narrow"/>
                <w:sz w:val="20"/>
                <w:szCs w:val="20"/>
              </w:rPr>
              <w:tab/>
            </w:r>
          </w:p>
        </w:tc>
      </w:tr>
      <w:tr w:rsidR="002C6140" w:rsidRPr="00A36DB6" w14:paraId="07FB23D5" w14:textId="77777777" w:rsidTr="00BF35A5">
        <w:trPr>
          <w:cantSplit/>
          <w:trHeight w:val="20"/>
        </w:trPr>
        <w:tc>
          <w:tcPr>
            <w:tcW w:w="1563" w:type="dxa"/>
            <w:gridSpan w:val="2"/>
            <w:vAlign w:val="center"/>
          </w:tcPr>
          <w:p w14:paraId="66F548E0" w14:textId="7440C513" w:rsidR="002C6140" w:rsidRPr="00A36DB6" w:rsidRDefault="002C6140" w:rsidP="00B430EA">
            <w:pPr>
              <w:jc w:val="center"/>
              <w:rPr>
                <w:rFonts w:ascii="Arial Narrow" w:hAnsi="Arial Narrow"/>
                <w:sz w:val="20"/>
                <w:szCs w:val="20"/>
              </w:rPr>
            </w:pPr>
          </w:p>
        </w:tc>
        <w:tc>
          <w:tcPr>
            <w:tcW w:w="7671" w:type="dxa"/>
            <w:gridSpan w:val="6"/>
            <w:vAlign w:val="center"/>
          </w:tcPr>
          <w:p w14:paraId="6AF9B0A9" w14:textId="77777777" w:rsidR="002C6140" w:rsidRPr="00A36DB6" w:rsidRDefault="002C6140" w:rsidP="00B430EA">
            <w:pPr>
              <w:rPr>
                <w:rFonts w:ascii="Arial Narrow" w:hAnsi="Arial Narrow"/>
                <w:b/>
                <w:bCs/>
                <w:sz w:val="20"/>
                <w:szCs w:val="20"/>
              </w:rPr>
            </w:pPr>
            <w:r w:rsidRPr="00A36DB6">
              <w:rPr>
                <w:rFonts w:ascii="Arial Narrow" w:hAnsi="Arial Narrow"/>
                <w:sz w:val="20"/>
                <w:szCs w:val="20"/>
              </w:rPr>
              <w:t>Must be treated by a non-specialist medical physician who has consulted a haematologist on the patient's drug treatment details.</w:t>
            </w:r>
          </w:p>
        </w:tc>
      </w:tr>
      <w:tr w:rsidR="002C6140" w:rsidRPr="00A36DB6" w14:paraId="25E1A982" w14:textId="77777777" w:rsidTr="00BF35A5">
        <w:trPr>
          <w:cantSplit/>
          <w:trHeight w:val="20"/>
        </w:trPr>
        <w:tc>
          <w:tcPr>
            <w:tcW w:w="1563" w:type="dxa"/>
            <w:gridSpan w:val="2"/>
            <w:vAlign w:val="center"/>
          </w:tcPr>
          <w:p w14:paraId="489A4D2A" w14:textId="73D56F46" w:rsidR="002C6140" w:rsidRPr="00A36DB6" w:rsidRDefault="002C6140" w:rsidP="00B430EA">
            <w:pPr>
              <w:jc w:val="center"/>
              <w:rPr>
                <w:rFonts w:ascii="Arial Narrow" w:hAnsi="Arial Narrow"/>
                <w:sz w:val="20"/>
                <w:szCs w:val="20"/>
              </w:rPr>
            </w:pPr>
          </w:p>
        </w:tc>
        <w:tc>
          <w:tcPr>
            <w:tcW w:w="7671" w:type="dxa"/>
            <w:gridSpan w:val="6"/>
            <w:vAlign w:val="center"/>
          </w:tcPr>
          <w:p w14:paraId="628F133B" w14:textId="77777777" w:rsidR="002C6140" w:rsidRPr="00A36DB6" w:rsidRDefault="002C6140" w:rsidP="00B430EA">
            <w:pPr>
              <w:rPr>
                <w:rFonts w:ascii="Arial Narrow" w:hAnsi="Arial Narrow"/>
                <w:b/>
                <w:bCs/>
                <w:sz w:val="20"/>
                <w:szCs w:val="20"/>
              </w:rPr>
            </w:pPr>
            <w:r w:rsidRPr="00A36DB6">
              <w:rPr>
                <w:rFonts w:ascii="Arial Narrow" w:hAnsi="Arial Narrow"/>
                <w:b/>
                <w:sz w:val="20"/>
                <w:szCs w:val="20"/>
              </w:rPr>
              <w:t>Population criteria:</w:t>
            </w:r>
          </w:p>
        </w:tc>
      </w:tr>
      <w:tr w:rsidR="002C6140" w:rsidRPr="00A36DB6" w14:paraId="12CDF39B" w14:textId="77777777" w:rsidTr="00BF35A5">
        <w:trPr>
          <w:cantSplit/>
          <w:trHeight w:val="20"/>
        </w:trPr>
        <w:tc>
          <w:tcPr>
            <w:tcW w:w="1563" w:type="dxa"/>
            <w:gridSpan w:val="2"/>
            <w:vAlign w:val="center"/>
          </w:tcPr>
          <w:p w14:paraId="5D30A95B" w14:textId="5E1AB68E" w:rsidR="002C6140" w:rsidRPr="00A36DB6" w:rsidRDefault="002C6140" w:rsidP="00B430EA">
            <w:pPr>
              <w:jc w:val="center"/>
              <w:rPr>
                <w:rFonts w:ascii="Arial Narrow" w:hAnsi="Arial Narrow"/>
                <w:sz w:val="20"/>
                <w:szCs w:val="20"/>
              </w:rPr>
            </w:pPr>
          </w:p>
        </w:tc>
        <w:tc>
          <w:tcPr>
            <w:tcW w:w="7671" w:type="dxa"/>
            <w:gridSpan w:val="6"/>
            <w:vAlign w:val="center"/>
          </w:tcPr>
          <w:p w14:paraId="2EDDECB0" w14:textId="77777777" w:rsidR="002C6140" w:rsidRPr="00A36DB6" w:rsidRDefault="002C6140" w:rsidP="00B430EA">
            <w:pPr>
              <w:rPr>
                <w:rFonts w:ascii="Arial Narrow" w:hAnsi="Arial Narrow"/>
                <w:b/>
                <w:bCs/>
                <w:sz w:val="20"/>
                <w:szCs w:val="20"/>
              </w:rPr>
            </w:pPr>
            <w:r w:rsidRPr="00A36DB6">
              <w:rPr>
                <w:rFonts w:ascii="Arial Narrow" w:hAnsi="Arial Narrow"/>
                <w:sz w:val="20"/>
                <w:szCs w:val="20"/>
              </w:rPr>
              <w:t>Patient must be at least 18 years of age.</w:t>
            </w:r>
          </w:p>
        </w:tc>
      </w:tr>
      <w:tr w:rsidR="002C6140" w:rsidRPr="00A36DB6" w14:paraId="6B1BF0A2" w14:textId="77777777" w:rsidTr="00BF35A5">
        <w:trPr>
          <w:cantSplit/>
          <w:trHeight w:val="20"/>
        </w:trPr>
        <w:tc>
          <w:tcPr>
            <w:tcW w:w="1563" w:type="dxa"/>
            <w:gridSpan w:val="2"/>
            <w:vAlign w:val="center"/>
          </w:tcPr>
          <w:p w14:paraId="6C7D724A" w14:textId="54115CD2" w:rsidR="002C6140" w:rsidRPr="00A36DB6" w:rsidRDefault="002C6140" w:rsidP="00B430EA">
            <w:pPr>
              <w:jc w:val="center"/>
              <w:rPr>
                <w:rFonts w:ascii="Arial Narrow" w:hAnsi="Arial Narrow"/>
                <w:sz w:val="20"/>
                <w:szCs w:val="20"/>
              </w:rPr>
            </w:pPr>
          </w:p>
        </w:tc>
        <w:tc>
          <w:tcPr>
            <w:tcW w:w="7671" w:type="dxa"/>
            <w:gridSpan w:val="6"/>
            <w:vAlign w:val="center"/>
          </w:tcPr>
          <w:p w14:paraId="23966A9C" w14:textId="77777777" w:rsidR="002C6140" w:rsidRPr="00EB4977" w:rsidRDefault="002C6140" w:rsidP="00B430EA">
            <w:pPr>
              <w:rPr>
                <w:rFonts w:ascii="Arial Narrow" w:hAnsi="Arial Narrow"/>
                <w:sz w:val="20"/>
                <w:szCs w:val="20"/>
              </w:rPr>
            </w:pPr>
            <w:r w:rsidRPr="00B35896">
              <w:rPr>
                <w:rFonts w:ascii="Arial Narrow" w:hAnsi="Arial Narrow"/>
                <w:b/>
                <w:bCs/>
                <w:sz w:val="20"/>
                <w:szCs w:val="20"/>
              </w:rPr>
              <w:t>Prescribing Instructions:</w:t>
            </w:r>
            <w:r w:rsidRPr="00EC424F">
              <w:rPr>
                <w:rFonts w:ascii="Arial Narrow" w:hAnsi="Arial Narrow"/>
                <w:sz w:val="20"/>
                <w:szCs w:val="20"/>
              </w:rPr>
              <w:t xml:space="preserve"> </w:t>
            </w:r>
            <w:r w:rsidRPr="00EB4977">
              <w:rPr>
                <w:rFonts w:ascii="Arial Narrow" w:hAnsi="Arial Narrow"/>
                <w:sz w:val="20"/>
                <w:szCs w:val="20"/>
              </w:rPr>
              <w:t>The authority application must be made in writing and must include:</w:t>
            </w:r>
          </w:p>
          <w:p w14:paraId="5C84B877" w14:textId="77777777" w:rsidR="002C6140" w:rsidRDefault="002C6140" w:rsidP="00B430EA">
            <w:pPr>
              <w:rPr>
                <w:rFonts w:ascii="Arial Narrow" w:hAnsi="Arial Narrow"/>
                <w:sz w:val="20"/>
                <w:szCs w:val="20"/>
              </w:rPr>
            </w:pPr>
            <w:r>
              <w:rPr>
                <w:rFonts w:ascii="Arial Narrow" w:hAnsi="Arial Narrow"/>
                <w:sz w:val="20"/>
                <w:szCs w:val="20"/>
              </w:rPr>
              <w:t>(</w:t>
            </w:r>
            <w:r w:rsidRPr="00EB4977">
              <w:rPr>
                <w:rFonts w:ascii="Arial Narrow" w:hAnsi="Arial Narrow"/>
                <w:sz w:val="20"/>
                <w:szCs w:val="20"/>
              </w:rPr>
              <w:t xml:space="preserve">1) </w:t>
            </w:r>
            <w:r w:rsidRPr="002C6140">
              <w:rPr>
                <w:rFonts w:ascii="Arial Narrow" w:hAnsi="Arial Narrow"/>
                <w:sz w:val="20"/>
                <w:szCs w:val="20"/>
              </w:rPr>
              <w:t>details of the proposed prescription;</w:t>
            </w:r>
            <w:r w:rsidRPr="00EB4977">
              <w:rPr>
                <w:rFonts w:ascii="Arial Narrow" w:hAnsi="Arial Narrow"/>
                <w:sz w:val="20"/>
                <w:szCs w:val="20"/>
              </w:rPr>
              <w:t xml:space="preserve"> and</w:t>
            </w:r>
          </w:p>
          <w:p w14:paraId="6AA5863E" w14:textId="77777777" w:rsidR="002C6140" w:rsidRPr="00A36DB6" w:rsidRDefault="002C6140" w:rsidP="00B430EA">
            <w:pPr>
              <w:pStyle w:val="COMTabletext"/>
              <w:keepNext w:val="0"/>
              <w:rPr>
                <w:bCs w:val="0"/>
                <w:szCs w:val="20"/>
              </w:rPr>
            </w:pPr>
            <w:r w:rsidRPr="00EB4977">
              <w:rPr>
                <w:szCs w:val="20"/>
              </w:rPr>
              <w:t>(2) a completed authority application form relevant to the indication and treatment phase (the latest version is located on the website specified in the Administrative Advice).</w:t>
            </w:r>
          </w:p>
        </w:tc>
      </w:tr>
      <w:tr w:rsidR="002C6140" w:rsidRPr="00B27C8C" w14:paraId="4266018B" w14:textId="77777777" w:rsidTr="00BF35A5">
        <w:trPr>
          <w:cantSplit/>
          <w:trHeight w:val="20"/>
        </w:trPr>
        <w:tc>
          <w:tcPr>
            <w:tcW w:w="1563" w:type="dxa"/>
            <w:gridSpan w:val="2"/>
            <w:vAlign w:val="center"/>
          </w:tcPr>
          <w:p w14:paraId="29EB5736" w14:textId="77777777" w:rsidR="002C6140" w:rsidRPr="00B27C8C" w:rsidRDefault="002C6140" w:rsidP="00B430EA">
            <w:pPr>
              <w:jc w:val="center"/>
              <w:rPr>
                <w:rFonts w:ascii="Arial Narrow" w:hAnsi="Arial Narrow"/>
                <w:b/>
                <w:bCs/>
                <w:sz w:val="20"/>
                <w:szCs w:val="20"/>
              </w:rPr>
            </w:pPr>
          </w:p>
        </w:tc>
        <w:tc>
          <w:tcPr>
            <w:tcW w:w="7671" w:type="dxa"/>
            <w:gridSpan w:val="6"/>
            <w:vAlign w:val="center"/>
          </w:tcPr>
          <w:p w14:paraId="447D7CDF" w14:textId="77777777" w:rsidR="002C6140" w:rsidRDefault="002C6140" w:rsidP="00B430EA">
            <w:pPr>
              <w:rPr>
                <w:rFonts w:ascii="Arial Narrow" w:hAnsi="Arial Narrow"/>
                <w:b/>
                <w:bCs/>
                <w:sz w:val="20"/>
                <w:szCs w:val="20"/>
              </w:rPr>
            </w:pPr>
            <w:r>
              <w:rPr>
                <w:rFonts w:ascii="Arial Narrow" w:hAnsi="Arial Narrow"/>
                <w:b/>
                <w:bCs/>
                <w:sz w:val="20"/>
                <w:szCs w:val="20"/>
              </w:rPr>
              <w:t xml:space="preserve">Prescribing instructions: </w:t>
            </w:r>
          </w:p>
          <w:p w14:paraId="1D2C5114" w14:textId="77777777" w:rsidR="002C6140" w:rsidRPr="00A36DB6" w:rsidRDefault="002C6140" w:rsidP="00B430EA">
            <w:pPr>
              <w:pStyle w:val="COMTabletext"/>
              <w:keepNext w:val="0"/>
              <w:rPr>
                <w:bCs w:val="0"/>
                <w:szCs w:val="20"/>
              </w:rPr>
            </w:pPr>
            <w:r w:rsidRPr="00A36DB6">
              <w:rPr>
                <w:bCs w:val="0"/>
                <w:szCs w:val="20"/>
              </w:rPr>
              <w:t>At the time of the authority application, details (result and date of result) of the following monitoring requirements must be provided</w:t>
            </w:r>
            <w:r>
              <w:rPr>
                <w:bCs w:val="0"/>
                <w:szCs w:val="20"/>
              </w:rPr>
              <w:t xml:space="preserve"> </w:t>
            </w:r>
            <w:r w:rsidRPr="00460ED9">
              <w:rPr>
                <w:bCs w:val="0"/>
                <w:szCs w:val="20"/>
              </w:rPr>
              <w:t>on the first continuing authority application:</w:t>
            </w:r>
          </w:p>
          <w:p w14:paraId="482F2C7B" w14:textId="77777777" w:rsidR="002C6140" w:rsidRPr="00A36DB6" w:rsidRDefault="002C6140" w:rsidP="00B430EA">
            <w:pPr>
              <w:pStyle w:val="COMTabletext"/>
              <w:keepNext w:val="0"/>
              <w:rPr>
                <w:bCs w:val="0"/>
                <w:szCs w:val="20"/>
              </w:rPr>
            </w:pPr>
            <w:r w:rsidRPr="00A36DB6">
              <w:rPr>
                <w:bCs w:val="0"/>
                <w:szCs w:val="20"/>
              </w:rPr>
              <w:t>(i) Haemoglobin (g/L)</w:t>
            </w:r>
          </w:p>
          <w:p w14:paraId="54CA37B5" w14:textId="77777777" w:rsidR="002C6140" w:rsidRPr="00A36DB6" w:rsidRDefault="002C6140" w:rsidP="00B430EA">
            <w:pPr>
              <w:pStyle w:val="COMTabletext"/>
              <w:keepNext w:val="0"/>
              <w:rPr>
                <w:bCs w:val="0"/>
                <w:szCs w:val="20"/>
              </w:rPr>
            </w:pPr>
            <w:r w:rsidRPr="00A36DB6">
              <w:rPr>
                <w:bCs w:val="0"/>
                <w:szCs w:val="20"/>
              </w:rPr>
              <w:t>(ii) Platelets (x10</w:t>
            </w:r>
            <w:r w:rsidRPr="00A36DB6">
              <w:rPr>
                <w:bCs w:val="0"/>
                <w:szCs w:val="20"/>
                <w:vertAlign w:val="superscript"/>
              </w:rPr>
              <w:t>9</w:t>
            </w:r>
            <w:r w:rsidRPr="00A36DB6">
              <w:rPr>
                <w:bCs w:val="0"/>
                <w:szCs w:val="20"/>
              </w:rPr>
              <w:t>/L)</w:t>
            </w:r>
          </w:p>
          <w:p w14:paraId="6CC81077" w14:textId="77777777" w:rsidR="002C6140" w:rsidRPr="00A36DB6" w:rsidRDefault="002C6140" w:rsidP="00B430EA">
            <w:pPr>
              <w:pStyle w:val="COMTabletext"/>
              <w:keepNext w:val="0"/>
              <w:rPr>
                <w:bCs w:val="0"/>
                <w:szCs w:val="20"/>
              </w:rPr>
            </w:pPr>
            <w:r w:rsidRPr="00A36DB6">
              <w:rPr>
                <w:bCs w:val="0"/>
                <w:szCs w:val="20"/>
              </w:rPr>
              <w:t>(iii) White Cell Count (x10</w:t>
            </w:r>
            <w:r w:rsidRPr="00A36DB6">
              <w:rPr>
                <w:bCs w:val="0"/>
                <w:szCs w:val="20"/>
                <w:vertAlign w:val="superscript"/>
              </w:rPr>
              <w:t>9</w:t>
            </w:r>
            <w:r w:rsidRPr="00A36DB6">
              <w:rPr>
                <w:bCs w:val="0"/>
                <w:szCs w:val="20"/>
              </w:rPr>
              <w:t>/L)</w:t>
            </w:r>
          </w:p>
          <w:p w14:paraId="522C8CC8" w14:textId="77777777" w:rsidR="002C6140" w:rsidRPr="00A36DB6" w:rsidRDefault="002C6140" w:rsidP="00B430EA">
            <w:pPr>
              <w:pStyle w:val="COMTabletext"/>
              <w:keepNext w:val="0"/>
              <w:rPr>
                <w:bCs w:val="0"/>
                <w:szCs w:val="20"/>
              </w:rPr>
            </w:pPr>
            <w:r w:rsidRPr="00A36DB6">
              <w:rPr>
                <w:bCs w:val="0"/>
                <w:szCs w:val="20"/>
              </w:rPr>
              <w:t>(iv) Reticulocytes (x10</w:t>
            </w:r>
            <w:r w:rsidRPr="00A36DB6">
              <w:rPr>
                <w:bCs w:val="0"/>
                <w:szCs w:val="20"/>
                <w:vertAlign w:val="superscript"/>
              </w:rPr>
              <w:t>9</w:t>
            </w:r>
            <w:r w:rsidRPr="00A36DB6">
              <w:rPr>
                <w:bCs w:val="0"/>
                <w:szCs w:val="20"/>
              </w:rPr>
              <w:t>/L)</w:t>
            </w:r>
          </w:p>
          <w:p w14:paraId="1221AFB2" w14:textId="77777777" w:rsidR="002C6140" w:rsidRPr="00A36DB6" w:rsidRDefault="002C6140" w:rsidP="00B430EA">
            <w:pPr>
              <w:pStyle w:val="COMTabletext"/>
              <w:keepNext w:val="0"/>
              <w:rPr>
                <w:bCs w:val="0"/>
                <w:szCs w:val="20"/>
              </w:rPr>
            </w:pPr>
            <w:r w:rsidRPr="00A36DB6">
              <w:rPr>
                <w:bCs w:val="0"/>
                <w:szCs w:val="20"/>
              </w:rPr>
              <w:t>(v) Neutrophils (x10</w:t>
            </w:r>
            <w:r w:rsidRPr="00A36DB6">
              <w:rPr>
                <w:bCs w:val="0"/>
                <w:szCs w:val="20"/>
                <w:vertAlign w:val="superscript"/>
              </w:rPr>
              <w:t>9</w:t>
            </w:r>
            <w:r w:rsidRPr="00A36DB6">
              <w:rPr>
                <w:bCs w:val="0"/>
                <w:szCs w:val="20"/>
              </w:rPr>
              <w:t>/L)</w:t>
            </w:r>
          </w:p>
          <w:p w14:paraId="315E0DBE" w14:textId="77777777" w:rsidR="002C6140" w:rsidRPr="00A36DB6" w:rsidRDefault="002C6140" w:rsidP="00B430EA">
            <w:pPr>
              <w:pStyle w:val="COMTabletext"/>
              <w:keepNext w:val="0"/>
              <w:rPr>
                <w:bCs w:val="0"/>
                <w:szCs w:val="20"/>
              </w:rPr>
            </w:pPr>
            <w:r w:rsidRPr="00A36DB6">
              <w:rPr>
                <w:bCs w:val="0"/>
                <w:szCs w:val="20"/>
              </w:rPr>
              <w:t>(vi) Granulocyte clone size (%)</w:t>
            </w:r>
          </w:p>
          <w:p w14:paraId="0041EFD8" w14:textId="77777777" w:rsidR="002C6140" w:rsidRPr="00A36DB6" w:rsidRDefault="002C6140" w:rsidP="00B430EA">
            <w:pPr>
              <w:pStyle w:val="COMTabletext"/>
              <w:keepNext w:val="0"/>
              <w:rPr>
                <w:bCs w:val="0"/>
                <w:szCs w:val="20"/>
              </w:rPr>
            </w:pPr>
            <w:r w:rsidRPr="00A36DB6">
              <w:rPr>
                <w:bCs w:val="0"/>
                <w:szCs w:val="20"/>
              </w:rPr>
              <w:t>(vii) Lactate Dehydrogenase (LDH)</w:t>
            </w:r>
          </w:p>
          <w:p w14:paraId="7C9ADF52" w14:textId="77777777" w:rsidR="002C6140" w:rsidRPr="00A36DB6" w:rsidRDefault="002C6140" w:rsidP="00B430EA">
            <w:pPr>
              <w:pStyle w:val="COMTabletext"/>
              <w:keepNext w:val="0"/>
              <w:rPr>
                <w:bCs w:val="0"/>
                <w:szCs w:val="20"/>
              </w:rPr>
            </w:pPr>
            <w:r w:rsidRPr="00A36DB6">
              <w:rPr>
                <w:bCs w:val="0"/>
                <w:szCs w:val="20"/>
              </w:rPr>
              <w:t>(viii) the upper limit of normal (ULN) for LDH as quoted by the reporting laboratory</w:t>
            </w:r>
          </w:p>
          <w:p w14:paraId="5C765349" w14:textId="77777777" w:rsidR="002C6140" w:rsidRPr="00B27C8C" w:rsidRDefault="002C6140" w:rsidP="00B430EA">
            <w:pPr>
              <w:rPr>
                <w:rFonts w:ascii="Arial Narrow" w:hAnsi="Arial Narrow"/>
                <w:b/>
                <w:bCs/>
                <w:sz w:val="20"/>
                <w:szCs w:val="20"/>
              </w:rPr>
            </w:pPr>
            <w:r w:rsidRPr="00A36DB6">
              <w:rPr>
                <w:rFonts w:ascii="Arial Narrow" w:hAnsi="Arial Narrow"/>
                <w:sz w:val="20"/>
                <w:szCs w:val="20"/>
              </w:rPr>
              <w:t>(ix) the LDH:ULN ratio (in figures, rounded to one decimal place)</w:t>
            </w:r>
          </w:p>
        </w:tc>
      </w:tr>
      <w:tr w:rsidR="002C6140" w14:paraId="261D527E" w14:textId="77777777" w:rsidTr="00BF35A5">
        <w:trPr>
          <w:cantSplit/>
          <w:trHeight w:val="469"/>
        </w:trPr>
        <w:tc>
          <w:tcPr>
            <w:tcW w:w="9234" w:type="dxa"/>
            <w:gridSpan w:val="8"/>
            <w:vAlign w:val="center"/>
          </w:tcPr>
          <w:p w14:paraId="5E560C28" w14:textId="77777777" w:rsidR="002C6140" w:rsidRDefault="002C6140" w:rsidP="00B430EA">
            <w:pPr>
              <w:rPr>
                <w:rFonts w:ascii="Arial Narrow" w:hAnsi="Arial Narrow"/>
                <w:b/>
                <w:bCs/>
                <w:sz w:val="20"/>
                <w:szCs w:val="20"/>
              </w:rPr>
            </w:pPr>
          </w:p>
        </w:tc>
      </w:tr>
      <w:tr w:rsidR="002C6140" w:rsidRPr="00EC424F" w14:paraId="31CC6AF8" w14:textId="77777777" w:rsidTr="00BF35A5">
        <w:trPr>
          <w:cantSplit/>
          <w:trHeight w:val="20"/>
        </w:trPr>
        <w:tc>
          <w:tcPr>
            <w:tcW w:w="1563" w:type="dxa"/>
            <w:gridSpan w:val="2"/>
            <w:tcBorders>
              <w:top w:val="single" w:sz="4" w:space="0" w:color="auto"/>
              <w:left w:val="single" w:sz="4" w:space="0" w:color="auto"/>
              <w:bottom w:val="single" w:sz="4" w:space="0" w:color="auto"/>
              <w:right w:val="single" w:sz="4" w:space="0" w:color="auto"/>
            </w:tcBorders>
            <w:vAlign w:val="center"/>
          </w:tcPr>
          <w:p w14:paraId="4DF27E32" w14:textId="3922D6C8" w:rsidR="002C6140" w:rsidRPr="00574959" w:rsidRDefault="002C6140" w:rsidP="00B430EA">
            <w:pPr>
              <w:jc w:val="center"/>
              <w:rPr>
                <w:rFonts w:ascii="Arial Narrow" w:hAnsi="Arial Narrow"/>
                <w:sz w:val="20"/>
                <w:szCs w:val="20"/>
              </w:rPr>
            </w:pPr>
          </w:p>
        </w:tc>
        <w:tc>
          <w:tcPr>
            <w:tcW w:w="7671" w:type="dxa"/>
            <w:gridSpan w:val="6"/>
            <w:tcBorders>
              <w:top w:val="single" w:sz="4" w:space="0" w:color="auto"/>
              <w:left w:val="single" w:sz="4" w:space="0" w:color="auto"/>
              <w:bottom w:val="single" w:sz="4" w:space="0" w:color="auto"/>
              <w:right w:val="single" w:sz="4" w:space="0" w:color="auto"/>
            </w:tcBorders>
            <w:vAlign w:val="center"/>
          </w:tcPr>
          <w:p w14:paraId="6AE01682" w14:textId="77777777" w:rsidR="002C6140" w:rsidRPr="00EC424F" w:rsidRDefault="002C6140" w:rsidP="00B430EA">
            <w:pPr>
              <w:rPr>
                <w:rFonts w:ascii="Arial Narrow" w:hAnsi="Arial Narrow"/>
                <w:sz w:val="20"/>
                <w:szCs w:val="20"/>
              </w:rPr>
            </w:pPr>
            <w:r w:rsidRPr="00B35896">
              <w:rPr>
                <w:rFonts w:ascii="Arial Narrow" w:hAnsi="Arial Narrow"/>
                <w:b/>
                <w:bCs/>
                <w:sz w:val="20"/>
                <w:szCs w:val="20"/>
              </w:rPr>
              <w:t>Indication</w:t>
            </w:r>
            <w:r w:rsidRPr="00EC424F">
              <w:rPr>
                <w:rFonts w:ascii="Arial Narrow" w:hAnsi="Arial Narrow"/>
                <w:sz w:val="20"/>
                <w:szCs w:val="20"/>
              </w:rPr>
              <w:t>: Paroxysmal nocturnal haemoglobinuria (PNH)</w:t>
            </w:r>
          </w:p>
        </w:tc>
      </w:tr>
      <w:tr w:rsidR="002C6140" w:rsidRPr="00EC424F" w14:paraId="2BB7E766" w14:textId="77777777" w:rsidTr="00BF35A5">
        <w:trPr>
          <w:cantSplit/>
          <w:trHeight w:val="20"/>
        </w:trPr>
        <w:tc>
          <w:tcPr>
            <w:tcW w:w="1563" w:type="dxa"/>
            <w:gridSpan w:val="2"/>
            <w:tcBorders>
              <w:top w:val="single" w:sz="4" w:space="0" w:color="auto"/>
              <w:left w:val="single" w:sz="4" w:space="0" w:color="auto"/>
              <w:bottom w:val="single" w:sz="4" w:space="0" w:color="auto"/>
              <w:right w:val="single" w:sz="4" w:space="0" w:color="auto"/>
            </w:tcBorders>
            <w:vAlign w:val="center"/>
          </w:tcPr>
          <w:p w14:paraId="0A307BBF" w14:textId="77777777" w:rsidR="002C6140" w:rsidRPr="00574959" w:rsidRDefault="002C6140" w:rsidP="00B430EA">
            <w:pPr>
              <w:jc w:val="center"/>
              <w:rPr>
                <w:rFonts w:ascii="Arial Narrow" w:hAnsi="Arial Narrow"/>
                <w:sz w:val="20"/>
                <w:szCs w:val="20"/>
              </w:rPr>
            </w:pPr>
          </w:p>
        </w:tc>
        <w:tc>
          <w:tcPr>
            <w:tcW w:w="7671" w:type="dxa"/>
            <w:gridSpan w:val="6"/>
            <w:tcBorders>
              <w:top w:val="single" w:sz="4" w:space="0" w:color="auto"/>
              <w:left w:val="single" w:sz="4" w:space="0" w:color="auto"/>
              <w:bottom w:val="single" w:sz="4" w:space="0" w:color="auto"/>
              <w:right w:val="single" w:sz="4" w:space="0" w:color="auto"/>
            </w:tcBorders>
            <w:vAlign w:val="center"/>
          </w:tcPr>
          <w:p w14:paraId="01080517" w14:textId="77777777" w:rsidR="002C6140" w:rsidRPr="00EC424F" w:rsidRDefault="002C6140" w:rsidP="00B430EA">
            <w:pPr>
              <w:rPr>
                <w:rFonts w:ascii="Arial Narrow" w:hAnsi="Arial Narrow"/>
                <w:sz w:val="20"/>
                <w:szCs w:val="20"/>
              </w:rPr>
            </w:pPr>
            <w:r w:rsidRPr="00B35896">
              <w:rPr>
                <w:rFonts w:ascii="Arial Narrow" w:hAnsi="Arial Narrow"/>
                <w:b/>
                <w:bCs/>
                <w:sz w:val="20"/>
                <w:szCs w:val="20"/>
              </w:rPr>
              <w:t>Treatment Phase</w:t>
            </w:r>
            <w:r w:rsidRPr="00EC424F">
              <w:rPr>
                <w:rFonts w:ascii="Arial Narrow" w:hAnsi="Arial Narrow"/>
                <w:sz w:val="20"/>
                <w:szCs w:val="20"/>
              </w:rPr>
              <w:t xml:space="preserve">: </w:t>
            </w:r>
            <w:r w:rsidRPr="00556C31">
              <w:rPr>
                <w:rFonts w:ascii="Arial Narrow" w:hAnsi="Arial Narrow"/>
                <w:sz w:val="20"/>
                <w:szCs w:val="20"/>
              </w:rPr>
              <w:t>Transitioning from non-PBS to PBS subsided treatment – ‘Grandfather’ arrangement</w:t>
            </w:r>
          </w:p>
        </w:tc>
      </w:tr>
      <w:tr w:rsidR="002C6140" w:rsidRPr="002A5B99" w14:paraId="317B282D" w14:textId="77777777" w:rsidTr="00BF35A5">
        <w:trPr>
          <w:cantSplit/>
          <w:trHeight w:val="20"/>
        </w:trPr>
        <w:tc>
          <w:tcPr>
            <w:tcW w:w="1563" w:type="dxa"/>
            <w:gridSpan w:val="2"/>
            <w:tcBorders>
              <w:top w:val="single" w:sz="4" w:space="0" w:color="auto"/>
              <w:left w:val="single" w:sz="4" w:space="0" w:color="auto"/>
              <w:bottom w:val="single" w:sz="4" w:space="0" w:color="auto"/>
              <w:right w:val="single" w:sz="4" w:space="0" w:color="auto"/>
            </w:tcBorders>
            <w:vAlign w:val="center"/>
          </w:tcPr>
          <w:p w14:paraId="4934F5B1" w14:textId="77777777" w:rsidR="002C6140" w:rsidRPr="00574959" w:rsidRDefault="002C6140" w:rsidP="00B430EA">
            <w:pPr>
              <w:jc w:val="center"/>
              <w:rPr>
                <w:rFonts w:ascii="Arial Narrow" w:hAnsi="Arial Narrow"/>
                <w:sz w:val="20"/>
                <w:szCs w:val="20"/>
              </w:rPr>
            </w:pPr>
          </w:p>
        </w:tc>
        <w:tc>
          <w:tcPr>
            <w:tcW w:w="7671" w:type="dxa"/>
            <w:gridSpan w:val="6"/>
            <w:tcBorders>
              <w:top w:val="single" w:sz="4" w:space="0" w:color="auto"/>
              <w:left w:val="single" w:sz="4" w:space="0" w:color="auto"/>
              <w:bottom w:val="single" w:sz="4" w:space="0" w:color="auto"/>
              <w:right w:val="single" w:sz="4" w:space="0" w:color="auto"/>
            </w:tcBorders>
            <w:vAlign w:val="center"/>
          </w:tcPr>
          <w:p w14:paraId="0FC27124" w14:textId="77777777" w:rsidR="002C6140" w:rsidRPr="002A5B99" w:rsidRDefault="002C6140" w:rsidP="00B430EA">
            <w:pPr>
              <w:rPr>
                <w:rFonts w:ascii="Arial Narrow" w:hAnsi="Arial Narrow"/>
                <w:b/>
                <w:bCs/>
                <w:sz w:val="20"/>
                <w:szCs w:val="20"/>
              </w:rPr>
            </w:pPr>
            <w:r w:rsidRPr="002A5B99">
              <w:rPr>
                <w:rFonts w:ascii="Arial Narrow" w:hAnsi="Arial Narrow"/>
                <w:b/>
                <w:bCs/>
                <w:sz w:val="20"/>
                <w:szCs w:val="20"/>
              </w:rPr>
              <w:t>Clinical criteria:</w:t>
            </w:r>
          </w:p>
        </w:tc>
      </w:tr>
      <w:tr w:rsidR="002C6140" w:rsidRPr="00EC424F" w14:paraId="1264DE79" w14:textId="77777777" w:rsidTr="00BF35A5">
        <w:trPr>
          <w:cantSplit/>
          <w:trHeight w:val="20"/>
        </w:trPr>
        <w:tc>
          <w:tcPr>
            <w:tcW w:w="1563" w:type="dxa"/>
            <w:gridSpan w:val="2"/>
            <w:tcBorders>
              <w:top w:val="single" w:sz="4" w:space="0" w:color="auto"/>
              <w:left w:val="single" w:sz="4" w:space="0" w:color="auto"/>
              <w:bottom w:val="single" w:sz="4" w:space="0" w:color="auto"/>
              <w:right w:val="single" w:sz="4" w:space="0" w:color="auto"/>
            </w:tcBorders>
            <w:vAlign w:val="center"/>
          </w:tcPr>
          <w:p w14:paraId="5CC125BB" w14:textId="08967F1E" w:rsidR="002C6140" w:rsidRPr="00574959" w:rsidRDefault="002C6140" w:rsidP="00B430EA">
            <w:pPr>
              <w:jc w:val="center"/>
              <w:rPr>
                <w:rFonts w:ascii="Arial Narrow" w:hAnsi="Arial Narrow"/>
                <w:sz w:val="20"/>
                <w:szCs w:val="20"/>
              </w:rPr>
            </w:pPr>
          </w:p>
        </w:tc>
        <w:tc>
          <w:tcPr>
            <w:tcW w:w="7671" w:type="dxa"/>
            <w:gridSpan w:val="6"/>
            <w:tcBorders>
              <w:top w:val="single" w:sz="4" w:space="0" w:color="auto"/>
              <w:left w:val="single" w:sz="4" w:space="0" w:color="auto"/>
              <w:bottom w:val="single" w:sz="4" w:space="0" w:color="auto"/>
              <w:right w:val="single" w:sz="4" w:space="0" w:color="auto"/>
            </w:tcBorders>
            <w:vAlign w:val="center"/>
          </w:tcPr>
          <w:p w14:paraId="78D15989" w14:textId="77777777" w:rsidR="002C6140" w:rsidRPr="00EC424F" w:rsidRDefault="002C6140" w:rsidP="00B430EA">
            <w:pPr>
              <w:rPr>
                <w:rFonts w:ascii="Arial Narrow" w:hAnsi="Arial Narrow"/>
                <w:sz w:val="20"/>
                <w:szCs w:val="20"/>
              </w:rPr>
            </w:pPr>
            <w:r w:rsidRPr="00EC424F">
              <w:rPr>
                <w:rFonts w:ascii="Arial Narrow" w:hAnsi="Arial Narrow"/>
                <w:sz w:val="20"/>
                <w:szCs w:val="20"/>
              </w:rPr>
              <w:t>Patient must have received non-PBS-subsidised treatment with this drug for this condition prior to (</w:t>
            </w:r>
            <w:r>
              <w:rPr>
                <w:rFonts w:ascii="Arial Narrow" w:hAnsi="Arial Narrow"/>
                <w:sz w:val="20"/>
                <w:szCs w:val="20"/>
              </w:rPr>
              <w:t xml:space="preserve">insert </w:t>
            </w:r>
            <w:r w:rsidRPr="00EC424F">
              <w:rPr>
                <w:rFonts w:ascii="Arial Narrow" w:hAnsi="Arial Narrow"/>
                <w:sz w:val="20"/>
                <w:szCs w:val="20"/>
              </w:rPr>
              <w:t>PBS listing date),</w:t>
            </w:r>
          </w:p>
        </w:tc>
      </w:tr>
      <w:tr w:rsidR="002C6140" w:rsidRPr="00B35896" w14:paraId="7C3FC268" w14:textId="77777777" w:rsidTr="00BF35A5">
        <w:trPr>
          <w:cantSplit/>
          <w:trHeight w:val="20"/>
        </w:trPr>
        <w:tc>
          <w:tcPr>
            <w:tcW w:w="1563" w:type="dxa"/>
            <w:gridSpan w:val="2"/>
            <w:tcBorders>
              <w:top w:val="single" w:sz="4" w:space="0" w:color="auto"/>
              <w:left w:val="single" w:sz="4" w:space="0" w:color="auto"/>
              <w:bottom w:val="single" w:sz="4" w:space="0" w:color="auto"/>
              <w:right w:val="single" w:sz="4" w:space="0" w:color="auto"/>
            </w:tcBorders>
            <w:vAlign w:val="center"/>
          </w:tcPr>
          <w:p w14:paraId="42B78B9E" w14:textId="77777777" w:rsidR="002C6140" w:rsidRPr="00574959" w:rsidRDefault="002C6140" w:rsidP="00B430EA">
            <w:pPr>
              <w:jc w:val="center"/>
              <w:rPr>
                <w:rFonts w:ascii="Arial Narrow" w:hAnsi="Arial Narrow"/>
                <w:sz w:val="20"/>
                <w:szCs w:val="20"/>
              </w:rPr>
            </w:pPr>
          </w:p>
        </w:tc>
        <w:tc>
          <w:tcPr>
            <w:tcW w:w="7671" w:type="dxa"/>
            <w:gridSpan w:val="6"/>
            <w:tcBorders>
              <w:top w:val="single" w:sz="4" w:space="0" w:color="auto"/>
              <w:left w:val="single" w:sz="4" w:space="0" w:color="auto"/>
              <w:bottom w:val="single" w:sz="4" w:space="0" w:color="auto"/>
              <w:right w:val="single" w:sz="4" w:space="0" w:color="auto"/>
            </w:tcBorders>
            <w:vAlign w:val="center"/>
          </w:tcPr>
          <w:p w14:paraId="16740711" w14:textId="77777777" w:rsidR="002C6140" w:rsidRPr="00B35896" w:rsidRDefault="002C6140" w:rsidP="00B430EA">
            <w:pPr>
              <w:rPr>
                <w:rFonts w:ascii="Arial Narrow" w:hAnsi="Arial Narrow"/>
                <w:b/>
                <w:bCs/>
                <w:sz w:val="20"/>
                <w:szCs w:val="20"/>
              </w:rPr>
            </w:pPr>
            <w:r w:rsidRPr="00B35896">
              <w:rPr>
                <w:rFonts w:ascii="Arial Narrow" w:hAnsi="Arial Narrow"/>
                <w:b/>
                <w:bCs/>
                <w:sz w:val="20"/>
                <w:szCs w:val="20"/>
              </w:rPr>
              <w:t>AND</w:t>
            </w:r>
          </w:p>
        </w:tc>
      </w:tr>
      <w:tr w:rsidR="002C6140" w:rsidRPr="00B35896" w14:paraId="0A993290" w14:textId="77777777" w:rsidTr="00BF35A5">
        <w:trPr>
          <w:cantSplit/>
          <w:trHeight w:val="20"/>
        </w:trPr>
        <w:tc>
          <w:tcPr>
            <w:tcW w:w="1563" w:type="dxa"/>
            <w:gridSpan w:val="2"/>
            <w:tcBorders>
              <w:top w:val="single" w:sz="4" w:space="0" w:color="auto"/>
              <w:left w:val="single" w:sz="4" w:space="0" w:color="auto"/>
              <w:bottom w:val="single" w:sz="4" w:space="0" w:color="auto"/>
              <w:right w:val="single" w:sz="4" w:space="0" w:color="auto"/>
            </w:tcBorders>
            <w:vAlign w:val="center"/>
          </w:tcPr>
          <w:p w14:paraId="35120891" w14:textId="109747D1" w:rsidR="002C6140" w:rsidRPr="00574959" w:rsidRDefault="002C6140" w:rsidP="00B430EA">
            <w:pPr>
              <w:jc w:val="center"/>
              <w:rPr>
                <w:rFonts w:ascii="Arial Narrow" w:hAnsi="Arial Narrow"/>
                <w:sz w:val="20"/>
                <w:szCs w:val="20"/>
              </w:rPr>
            </w:pPr>
          </w:p>
        </w:tc>
        <w:tc>
          <w:tcPr>
            <w:tcW w:w="7671" w:type="dxa"/>
            <w:gridSpan w:val="6"/>
            <w:tcBorders>
              <w:top w:val="single" w:sz="4" w:space="0" w:color="auto"/>
              <w:left w:val="single" w:sz="4" w:space="0" w:color="auto"/>
              <w:bottom w:val="single" w:sz="4" w:space="0" w:color="auto"/>
              <w:right w:val="single" w:sz="4" w:space="0" w:color="auto"/>
            </w:tcBorders>
            <w:vAlign w:val="center"/>
          </w:tcPr>
          <w:p w14:paraId="0FDF7506" w14:textId="77777777" w:rsidR="002C6140" w:rsidRPr="00B35896" w:rsidRDefault="002C6140" w:rsidP="00B430EA">
            <w:pPr>
              <w:rPr>
                <w:rFonts w:ascii="Arial Narrow" w:hAnsi="Arial Narrow"/>
                <w:b/>
                <w:bCs/>
                <w:sz w:val="20"/>
                <w:szCs w:val="20"/>
              </w:rPr>
            </w:pPr>
            <w:r w:rsidRPr="00B35896">
              <w:rPr>
                <w:rFonts w:ascii="Arial Narrow" w:hAnsi="Arial Narrow"/>
                <w:b/>
                <w:bCs/>
                <w:sz w:val="20"/>
                <w:szCs w:val="20"/>
              </w:rPr>
              <w:t>Clinical criteria:</w:t>
            </w:r>
          </w:p>
        </w:tc>
      </w:tr>
      <w:tr w:rsidR="002C6140" w:rsidRPr="00EC424F" w14:paraId="1C8DF191" w14:textId="77777777" w:rsidTr="00BF35A5">
        <w:trPr>
          <w:cantSplit/>
          <w:trHeight w:val="20"/>
        </w:trPr>
        <w:tc>
          <w:tcPr>
            <w:tcW w:w="1563" w:type="dxa"/>
            <w:gridSpan w:val="2"/>
            <w:tcBorders>
              <w:top w:val="single" w:sz="4" w:space="0" w:color="auto"/>
              <w:left w:val="single" w:sz="4" w:space="0" w:color="auto"/>
              <w:bottom w:val="single" w:sz="4" w:space="0" w:color="auto"/>
              <w:right w:val="single" w:sz="4" w:space="0" w:color="auto"/>
            </w:tcBorders>
            <w:vAlign w:val="center"/>
          </w:tcPr>
          <w:p w14:paraId="32356773" w14:textId="16AACCF5" w:rsidR="002C6140" w:rsidRPr="00574959" w:rsidRDefault="002C6140" w:rsidP="00B430EA">
            <w:pPr>
              <w:jc w:val="center"/>
              <w:rPr>
                <w:rFonts w:ascii="Arial Narrow" w:hAnsi="Arial Narrow"/>
                <w:sz w:val="20"/>
                <w:szCs w:val="20"/>
              </w:rPr>
            </w:pPr>
          </w:p>
        </w:tc>
        <w:tc>
          <w:tcPr>
            <w:tcW w:w="7671" w:type="dxa"/>
            <w:gridSpan w:val="6"/>
            <w:tcBorders>
              <w:top w:val="single" w:sz="4" w:space="0" w:color="auto"/>
              <w:left w:val="single" w:sz="4" w:space="0" w:color="auto"/>
              <w:bottom w:val="single" w:sz="4" w:space="0" w:color="auto"/>
              <w:right w:val="single" w:sz="4" w:space="0" w:color="auto"/>
            </w:tcBorders>
            <w:vAlign w:val="center"/>
          </w:tcPr>
          <w:p w14:paraId="45CE75E7" w14:textId="77777777" w:rsidR="002C6140" w:rsidRPr="00EC424F" w:rsidRDefault="002C6140" w:rsidP="00B430EA">
            <w:pPr>
              <w:rPr>
                <w:rFonts w:ascii="Arial Narrow" w:hAnsi="Arial Narrow"/>
                <w:sz w:val="20"/>
                <w:szCs w:val="20"/>
              </w:rPr>
            </w:pPr>
            <w:r w:rsidRPr="00EC424F">
              <w:rPr>
                <w:rFonts w:ascii="Arial Narrow" w:hAnsi="Arial Narrow"/>
                <w:sz w:val="20"/>
                <w:szCs w:val="20"/>
              </w:rPr>
              <w:t>Patient must have a documented PNH granulocyte clone size equal to or greater than 10% within the 3 months prior to initiating non-PBS-subsidised treatment with this drug,</w:t>
            </w:r>
          </w:p>
        </w:tc>
      </w:tr>
      <w:tr w:rsidR="002C6140" w:rsidRPr="00B35896" w14:paraId="329293ED" w14:textId="77777777" w:rsidTr="00BF35A5">
        <w:trPr>
          <w:cantSplit/>
          <w:trHeight w:val="20"/>
        </w:trPr>
        <w:tc>
          <w:tcPr>
            <w:tcW w:w="1563" w:type="dxa"/>
            <w:gridSpan w:val="2"/>
            <w:tcBorders>
              <w:top w:val="single" w:sz="4" w:space="0" w:color="auto"/>
              <w:left w:val="single" w:sz="4" w:space="0" w:color="auto"/>
              <w:bottom w:val="single" w:sz="4" w:space="0" w:color="auto"/>
              <w:right w:val="single" w:sz="4" w:space="0" w:color="auto"/>
            </w:tcBorders>
            <w:vAlign w:val="center"/>
          </w:tcPr>
          <w:p w14:paraId="0C790891" w14:textId="77777777" w:rsidR="002C6140" w:rsidRPr="00574959" w:rsidRDefault="002C6140" w:rsidP="00B430EA">
            <w:pPr>
              <w:jc w:val="center"/>
              <w:rPr>
                <w:rFonts w:ascii="Arial Narrow" w:hAnsi="Arial Narrow"/>
                <w:sz w:val="20"/>
                <w:szCs w:val="20"/>
              </w:rPr>
            </w:pPr>
          </w:p>
        </w:tc>
        <w:tc>
          <w:tcPr>
            <w:tcW w:w="7671" w:type="dxa"/>
            <w:gridSpan w:val="6"/>
            <w:tcBorders>
              <w:top w:val="single" w:sz="4" w:space="0" w:color="auto"/>
              <w:left w:val="single" w:sz="4" w:space="0" w:color="auto"/>
              <w:bottom w:val="single" w:sz="4" w:space="0" w:color="auto"/>
              <w:right w:val="single" w:sz="4" w:space="0" w:color="auto"/>
            </w:tcBorders>
            <w:vAlign w:val="center"/>
          </w:tcPr>
          <w:p w14:paraId="1A4A61B1" w14:textId="77777777" w:rsidR="002C6140" w:rsidRPr="00B35896" w:rsidRDefault="002C6140" w:rsidP="00B430EA">
            <w:pPr>
              <w:rPr>
                <w:rFonts w:ascii="Arial Narrow" w:hAnsi="Arial Narrow"/>
                <w:b/>
                <w:bCs/>
                <w:sz w:val="20"/>
                <w:szCs w:val="20"/>
              </w:rPr>
            </w:pPr>
            <w:r w:rsidRPr="00B35896">
              <w:rPr>
                <w:rFonts w:ascii="Arial Narrow" w:hAnsi="Arial Narrow"/>
                <w:b/>
                <w:bCs/>
                <w:sz w:val="20"/>
                <w:szCs w:val="20"/>
              </w:rPr>
              <w:t>AND</w:t>
            </w:r>
          </w:p>
        </w:tc>
      </w:tr>
      <w:tr w:rsidR="002C6140" w:rsidRPr="00B35896" w14:paraId="7CCFE45C" w14:textId="77777777" w:rsidTr="00BF35A5">
        <w:trPr>
          <w:cantSplit/>
          <w:trHeight w:val="20"/>
        </w:trPr>
        <w:tc>
          <w:tcPr>
            <w:tcW w:w="1563" w:type="dxa"/>
            <w:gridSpan w:val="2"/>
            <w:tcBorders>
              <w:top w:val="single" w:sz="4" w:space="0" w:color="auto"/>
              <w:left w:val="single" w:sz="4" w:space="0" w:color="auto"/>
              <w:bottom w:val="single" w:sz="4" w:space="0" w:color="auto"/>
              <w:right w:val="single" w:sz="4" w:space="0" w:color="auto"/>
            </w:tcBorders>
            <w:vAlign w:val="center"/>
          </w:tcPr>
          <w:p w14:paraId="3C41AFA8" w14:textId="3185970A" w:rsidR="002C6140" w:rsidRPr="00574959" w:rsidRDefault="002C6140" w:rsidP="00B430EA">
            <w:pPr>
              <w:jc w:val="center"/>
              <w:rPr>
                <w:rFonts w:ascii="Arial Narrow" w:hAnsi="Arial Narrow"/>
                <w:sz w:val="20"/>
                <w:szCs w:val="20"/>
              </w:rPr>
            </w:pPr>
          </w:p>
        </w:tc>
        <w:tc>
          <w:tcPr>
            <w:tcW w:w="7671" w:type="dxa"/>
            <w:gridSpan w:val="6"/>
            <w:tcBorders>
              <w:top w:val="single" w:sz="4" w:space="0" w:color="auto"/>
              <w:left w:val="single" w:sz="4" w:space="0" w:color="auto"/>
              <w:bottom w:val="single" w:sz="4" w:space="0" w:color="auto"/>
              <w:right w:val="single" w:sz="4" w:space="0" w:color="auto"/>
            </w:tcBorders>
            <w:vAlign w:val="center"/>
          </w:tcPr>
          <w:p w14:paraId="3EFCA197" w14:textId="77777777" w:rsidR="002C6140" w:rsidRPr="00B35896" w:rsidRDefault="002C6140" w:rsidP="00B430EA">
            <w:pPr>
              <w:rPr>
                <w:rFonts w:ascii="Arial Narrow" w:hAnsi="Arial Narrow"/>
                <w:b/>
                <w:bCs/>
                <w:sz w:val="20"/>
                <w:szCs w:val="20"/>
              </w:rPr>
            </w:pPr>
            <w:r w:rsidRPr="00B35896">
              <w:rPr>
                <w:rFonts w:ascii="Arial Narrow" w:hAnsi="Arial Narrow"/>
                <w:b/>
                <w:bCs/>
                <w:sz w:val="20"/>
                <w:szCs w:val="20"/>
              </w:rPr>
              <w:t>Clinical criteria:</w:t>
            </w:r>
          </w:p>
        </w:tc>
      </w:tr>
      <w:tr w:rsidR="002C6140" w:rsidRPr="00EC424F" w14:paraId="6C8D4DC3" w14:textId="77777777" w:rsidTr="00BF35A5">
        <w:trPr>
          <w:cantSplit/>
          <w:trHeight w:val="20"/>
        </w:trPr>
        <w:tc>
          <w:tcPr>
            <w:tcW w:w="1563" w:type="dxa"/>
            <w:gridSpan w:val="2"/>
            <w:tcBorders>
              <w:top w:val="single" w:sz="4" w:space="0" w:color="auto"/>
              <w:left w:val="single" w:sz="4" w:space="0" w:color="auto"/>
              <w:bottom w:val="single" w:sz="4" w:space="0" w:color="auto"/>
              <w:right w:val="single" w:sz="4" w:space="0" w:color="auto"/>
            </w:tcBorders>
            <w:vAlign w:val="center"/>
          </w:tcPr>
          <w:p w14:paraId="4E789AB4" w14:textId="6D0031C6" w:rsidR="002C6140" w:rsidRPr="00574959" w:rsidRDefault="002C6140" w:rsidP="00B430EA">
            <w:pPr>
              <w:jc w:val="center"/>
              <w:rPr>
                <w:rFonts w:ascii="Arial Narrow" w:hAnsi="Arial Narrow"/>
                <w:sz w:val="20"/>
                <w:szCs w:val="20"/>
              </w:rPr>
            </w:pPr>
          </w:p>
        </w:tc>
        <w:tc>
          <w:tcPr>
            <w:tcW w:w="7671" w:type="dxa"/>
            <w:gridSpan w:val="6"/>
            <w:tcBorders>
              <w:top w:val="single" w:sz="4" w:space="0" w:color="auto"/>
              <w:left w:val="single" w:sz="4" w:space="0" w:color="auto"/>
              <w:bottom w:val="single" w:sz="4" w:space="0" w:color="auto"/>
              <w:right w:val="single" w:sz="4" w:space="0" w:color="auto"/>
            </w:tcBorders>
            <w:vAlign w:val="center"/>
          </w:tcPr>
          <w:p w14:paraId="03D3B9D8" w14:textId="77777777" w:rsidR="002C6140" w:rsidRPr="00EC424F" w:rsidRDefault="002C6140" w:rsidP="00B430EA">
            <w:pPr>
              <w:rPr>
                <w:rFonts w:ascii="Arial Narrow" w:hAnsi="Arial Narrow"/>
                <w:sz w:val="20"/>
                <w:szCs w:val="20"/>
              </w:rPr>
            </w:pPr>
            <w:r w:rsidRPr="00EC424F">
              <w:rPr>
                <w:rFonts w:ascii="Arial Narrow" w:hAnsi="Arial Narrow"/>
                <w:sz w:val="20"/>
                <w:szCs w:val="20"/>
              </w:rPr>
              <w:t>Patient must have experienced an inadequate response to a complement 5 (C5) inhibitor demonstrated by a haemoglobin level of less than 105 g/L prior to initiating non-PBS-subsidised treatment with this drug; OR</w:t>
            </w:r>
          </w:p>
        </w:tc>
      </w:tr>
      <w:tr w:rsidR="002C6140" w:rsidRPr="00EC424F" w14:paraId="51F610A6" w14:textId="77777777" w:rsidTr="00BF35A5">
        <w:trPr>
          <w:cantSplit/>
          <w:trHeight w:val="20"/>
        </w:trPr>
        <w:tc>
          <w:tcPr>
            <w:tcW w:w="1563" w:type="dxa"/>
            <w:gridSpan w:val="2"/>
            <w:tcBorders>
              <w:top w:val="single" w:sz="4" w:space="0" w:color="auto"/>
              <w:left w:val="single" w:sz="4" w:space="0" w:color="auto"/>
              <w:bottom w:val="single" w:sz="4" w:space="0" w:color="auto"/>
              <w:right w:val="single" w:sz="4" w:space="0" w:color="auto"/>
            </w:tcBorders>
            <w:vAlign w:val="center"/>
          </w:tcPr>
          <w:p w14:paraId="03ED17D2" w14:textId="3B825C49" w:rsidR="002C6140" w:rsidRPr="00574959" w:rsidRDefault="002C6140" w:rsidP="00B430EA">
            <w:pPr>
              <w:jc w:val="center"/>
              <w:rPr>
                <w:rFonts w:ascii="Arial Narrow" w:hAnsi="Arial Narrow"/>
                <w:sz w:val="20"/>
                <w:szCs w:val="20"/>
              </w:rPr>
            </w:pPr>
          </w:p>
        </w:tc>
        <w:tc>
          <w:tcPr>
            <w:tcW w:w="7671" w:type="dxa"/>
            <w:gridSpan w:val="6"/>
            <w:tcBorders>
              <w:top w:val="single" w:sz="4" w:space="0" w:color="auto"/>
              <w:left w:val="single" w:sz="4" w:space="0" w:color="auto"/>
              <w:bottom w:val="single" w:sz="4" w:space="0" w:color="auto"/>
              <w:right w:val="single" w:sz="4" w:space="0" w:color="auto"/>
            </w:tcBorders>
            <w:vAlign w:val="center"/>
          </w:tcPr>
          <w:p w14:paraId="39B78F02" w14:textId="77777777" w:rsidR="002C6140" w:rsidRPr="00EC424F" w:rsidRDefault="002C6140" w:rsidP="00B430EA">
            <w:pPr>
              <w:rPr>
                <w:rFonts w:ascii="Arial Narrow" w:hAnsi="Arial Narrow"/>
                <w:sz w:val="20"/>
                <w:szCs w:val="20"/>
              </w:rPr>
            </w:pPr>
            <w:r w:rsidRPr="00EC424F">
              <w:rPr>
                <w:rFonts w:ascii="Arial Narrow" w:hAnsi="Arial Narrow"/>
                <w:sz w:val="20"/>
                <w:szCs w:val="20"/>
              </w:rPr>
              <w:t>Patient must be intolerant to C5 inhibitors as determined by the treating physician prior to initiating non-PBS-subsidised treatment with this drug,</w:t>
            </w:r>
          </w:p>
        </w:tc>
      </w:tr>
      <w:tr w:rsidR="002C6140" w:rsidRPr="00B35896" w14:paraId="09FEBB4E" w14:textId="77777777" w:rsidTr="00BF35A5">
        <w:trPr>
          <w:cantSplit/>
          <w:trHeight w:val="20"/>
        </w:trPr>
        <w:tc>
          <w:tcPr>
            <w:tcW w:w="1563" w:type="dxa"/>
            <w:gridSpan w:val="2"/>
            <w:tcBorders>
              <w:top w:val="single" w:sz="4" w:space="0" w:color="auto"/>
              <w:left w:val="single" w:sz="4" w:space="0" w:color="auto"/>
              <w:bottom w:val="single" w:sz="4" w:space="0" w:color="auto"/>
              <w:right w:val="single" w:sz="4" w:space="0" w:color="auto"/>
            </w:tcBorders>
            <w:vAlign w:val="center"/>
          </w:tcPr>
          <w:p w14:paraId="67E990BC" w14:textId="77777777" w:rsidR="002C6140" w:rsidRPr="00574959" w:rsidRDefault="002C6140" w:rsidP="00B430EA">
            <w:pPr>
              <w:jc w:val="center"/>
              <w:rPr>
                <w:rFonts w:ascii="Arial Narrow" w:hAnsi="Arial Narrow"/>
                <w:sz w:val="20"/>
                <w:szCs w:val="20"/>
              </w:rPr>
            </w:pPr>
          </w:p>
        </w:tc>
        <w:tc>
          <w:tcPr>
            <w:tcW w:w="7671" w:type="dxa"/>
            <w:gridSpan w:val="6"/>
            <w:tcBorders>
              <w:top w:val="single" w:sz="4" w:space="0" w:color="auto"/>
              <w:left w:val="single" w:sz="4" w:space="0" w:color="auto"/>
              <w:bottom w:val="single" w:sz="4" w:space="0" w:color="auto"/>
              <w:right w:val="single" w:sz="4" w:space="0" w:color="auto"/>
            </w:tcBorders>
            <w:vAlign w:val="center"/>
          </w:tcPr>
          <w:p w14:paraId="066273BD" w14:textId="77777777" w:rsidR="002C6140" w:rsidRPr="00B35896" w:rsidRDefault="002C6140" w:rsidP="00B430EA">
            <w:pPr>
              <w:rPr>
                <w:rFonts w:ascii="Arial Narrow" w:hAnsi="Arial Narrow"/>
                <w:b/>
                <w:bCs/>
                <w:sz w:val="20"/>
                <w:szCs w:val="20"/>
              </w:rPr>
            </w:pPr>
            <w:r w:rsidRPr="00B35896">
              <w:rPr>
                <w:rFonts w:ascii="Arial Narrow" w:hAnsi="Arial Narrow"/>
                <w:b/>
                <w:bCs/>
                <w:sz w:val="20"/>
                <w:szCs w:val="20"/>
              </w:rPr>
              <w:t>AND</w:t>
            </w:r>
          </w:p>
        </w:tc>
      </w:tr>
      <w:tr w:rsidR="002C6140" w:rsidRPr="00B35896" w14:paraId="3F510507" w14:textId="77777777" w:rsidTr="00BF35A5">
        <w:trPr>
          <w:cantSplit/>
          <w:trHeight w:val="20"/>
        </w:trPr>
        <w:tc>
          <w:tcPr>
            <w:tcW w:w="1563" w:type="dxa"/>
            <w:gridSpan w:val="2"/>
            <w:tcBorders>
              <w:top w:val="single" w:sz="4" w:space="0" w:color="auto"/>
              <w:left w:val="single" w:sz="4" w:space="0" w:color="auto"/>
              <w:bottom w:val="single" w:sz="4" w:space="0" w:color="auto"/>
              <w:right w:val="single" w:sz="4" w:space="0" w:color="auto"/>
            </w:tcBorders>
            <w:vAlign w:val="center"/>
          </w:tcPr>
          <w:p w14:paraId="0C64682B" w14:textId="131B30F7" w:rsidR="002C6140" w:rsidRPr="00574959" w:rsidRDefault="002C6140" w:rsidP="00B430EA">
            <w:pPr>
              <w:jc w:val="center"/>
              <w:rPr>
                <w:rFonts w:ascii="Arial Narrow" w:hAnsi="Arial Narrow"/>
                <w:sz w:val="20"/>
                <w:szCs w:val="20"/>
              </w:rPr>
            </w:pPr>
          </w:p>
        </w:tc>
        <w:tc>
          <w:tcPr>
            <w:tcW w:w="7671" w:type="dxa"/>
            <w:gridSpan w:val="6"/>
            <w:tcBorders>
              <w:top w:val="single" w:sz="4" w:space="0" w:color="auto"/>
              <w:left w:val="single" w:sz="4" w:space="0" w:color="auto"/>
              <w:bottom w:val="single" w:sz="4" w:space="0" w:color="auto"/>
              <w:right w:val="single" w:sz="4" w:space="0" w:color="auto"/>
            </w:tcBorders>
            <w:vAlign w:val="center"/>
          </w:tcPr>
          <w:p w14:paraId="02FD0261" w14:textId="77777777" w:rsidR="002C6140" w:rsidRPr="00B35896" w:rsidRDefault="002C6140" w:rsidP="00B430EA">
            <w:pPr>
              <w:rPr>
                <w:rFonts w:ascii="Arial Narrow" w:hAnsi="Arial Narrow"/>
                <w:b/>
                <w:bCs/>
                <w:sz w:val="20"/>
                <w:szCs w:val="20"/>
              </w:rPr>
            </w:pPr>
            <w:r w:rsidRPr="00B35896">
              <w:rPr>
                <w:rFonts w:ascii="Arial Narrow" w:hAnsi="Arial Narrow"/>
                <w:b/>
                <w:bCs/>
                <w:sz w:val="20"/>
                <w:szCs w:val="20"/>
              </w:rPr>
              <w:t>Clinical criteria:</w:t>
            </w:r>
          </w:p>
        </w:tc>
      </w:tr>
      <w:tr w:rsidR="002C6140" w:rsidRPr="00EC424F" w14:paraId="39B85433" w14:textId="77777777" w:rsidTr="00BF35A5">
        <w:trPr>
          <w:cantSplit/>
          <w:trHeight w:val="20"/>
        </w:trPr>
        <w:tc>
          <w:tcPr>
            <w:tcW w:w="1563" w:type="dxa"/>
            <w:gridSpan w:val="2"/>
            <w:tcBorders>
              <w:top w:val="single" w:sz="4" w:space="0" w:color="auto"/>
              <w:left w:val="single" w:sz="4" w:space="0" w:color="auto"/>
              <w:bottom w:val="single" w:sz="4" w:space="0" w:color="auto"/>
              <w:right w:val="single" w:sz="4" w:space="0" w:color="auto"/>
            </w:tcBorders>
            <w:vAlign w:val="center"/>
          </w:tcPr>
          <w:p w14:paraId="223AA375" w14:textId="15324268" w:rsidR="002C6140" w:rsidRPr="00574959" w:rsidRDefault="002C6140" w:rsidP="00B430EA">
            <w:pPr>
              <w:jc w:val="center"/>
              <w:rPr>
                <w:rFonts w:ascii="Arial Narrow" w:hAnsi="Arial Narrow"/>
                <w:sz w:val="20"/>
                <w:szCs w:val="20"/>
              </w:rPr>
            </w:pPr>
          </w:p>
        </w:tc>
        <w:tc>
          <w:tcPr>
            <w:tcW w:w="7671" w:type="dxa"/>
            <w:gridSpan w:val="6"/>
            <w:tcBorders>
              <w:top w:val="single" w:sz="4" w:space="0" w:color="auto"/>
              <w:left w:val="single" w:sz="4" w:space="0" w:color="auto"/>
              <w:bottom w:val="single" w:sz="4" w:space="0" w:color="auto"/>
              <w:right w:val="single" w:sz="4" w:space="0" w:color="auto"/>
            </w:tcBorders>
            <w:vAlign w:val="center"/>
          </w:tcPr>
          <w:p w14:paraId="3E9D75AD" w14:textId="77777777" w:rsidR="002C6140" w:rsidRPr="00EC424F" w:rsidRDefault="002C6140" w:rsidP="00B430EA">
            <w:pPr>
              <w:rPr>
                <w:rFonts w:ascii="Arial Narrow" w:hAnsi="Arial Narrow"/>
                <w:sz w:val="20"/>
                <w:szCs w:val="20"/>
              </w:rPr>
            </w:pPr>
            <w:r w:rsidRPr="00EC424F">
              <w:rPr>
                <w:rFonts w:ascii="Arial Narrow" w:hAnsi="Arial Narrow"/>
                <w:sz w:val="20"/>
                <w:szCs w:val="20"/>
              </w:rPr>
              <w:t>Patient must have been receiving treatment with at least one C5 inhibitor for at least 3 months prior to initiating non-PBS-subsidised treatment with this drug unless intolerance of severity necessitating permanent treatment withdrawal had occurred,</w:t>
            </w:r>
          </w:p>
        </w:tc>
      </w:tr>
      <w:tr w:rsidR="002C6140" w:rsidRPr="00B35896" w14:paraId="6BA073E6" w14:textId="77777777" w:rsidTr="00BF35A5">
        <w:trPr>
          <w:cantSplit/>
          <w:trHeight w:val="20"/>
        </w:trPr>
        <w:tc>
          <w:tcPr>
            <w:tcW w:w="1563" w:type="dxa"/>
            <w:gridSpan w:val="2"/>
            <w:tcBorders>
              <w:top w:val="single" w:sz="4" w:space="0" w:color="auto"/>
              <w:left w:val="single" w:sz="4" w:space="0" w:color="auto"/>
              <w:bottom w:val="single" w:sz="4" w:space="0" w:color="auto"/>
              <w:right w:val="single" w:sz="4" w:space="0" w:color="auto"/>
            </w:tcBorders>
            <w:vAlign w:val="center"/>
          </w:tcPr>
          <w:p w14:paraId="6F830702" w14:textId="77777777" w:rsidR="002C6140" w:rsidRPr="00574959" w:rsidRDefault="002C6140" w:rsidP="00B430EA">
            <w:pPr>
              <w:jc w:val="center"/>
              <w:rPr>
                <w:rFonts w:ascii="Arial Narrow" w:hAnsi="Arial Narrow"/>
                <w:sz w:val="20"/>
                <w:szCs w:val="20"/>
              </w:rPr>
            </w:pPr>
          </w:p>
        </w:tc>
        <w:tc>
          <w:tcPr>
            <w:tcW w:w="7671" w:type="dxa"/>
            <w:gridSpan w:val="6"/>
            <w:tcBorders>
              <w:top w:val="single" w:sz="4" w:space="0" w:color="auto"/>
              <w:left w:val="single" w:sz="4" w:space="0" w:color="auto"/>
              <w:bottom w:val="single" w:sz="4" w:space="0" w:color="auto"/>
              <w:right w:val="single" w:sz="4" w:space="0" w:color="auto"/>
            </w:tcBorders>
            <w:vAlign w:val="center"/>
          </w:tcPr>
          <w:p w14:paraId="10B0D9CE" w14:textId="77777777" w:rsidR="002C6140" w:rsidRPr="00B35896" w:rsidRDefault="002C6140" w:rsidP="00B430EA">
            <w:pPr>
              <w:rPr>
                <w:rFonts w:ascii="Arial Narrow" w:hAnsi="Arial Narrow"/>
                <w:b/>
                <w:bCs/>
                <w:sz w:val="20"/>
                <w:szCs w:val="20"/>
              </w:rPr>
            </w:pPr>
            <w:r w:rsidRPr="00B35896">
              <w:rPr>
                <w:rFonts w:ascii="Arial Narrow" w:hAnsi="Arial Narrow"/>
                <w:b/>
                <w:bCs/>
                <w:sz w:val="20"/>
                <w:szCs w:val="20"/>
              </w:rPr>
              <w:t>AND</w:t>
            </w:r>
          </w:p>
        </w:tc>
      </w:tr>
      <w:tr w:rsidR="002C6140" w:rsidRPr="00B35896" w14:paraId="521021F8" w14:textId="77777777" w:rsidTr="00BF35A5">
        <w:trPr>
          <w:cantSplit/>
          <w:trHeight w:val="20"/>
        </w:trPr>
        <w:tc>
          <w:tcPr>
            <w:tcW w:w="1563" w:type="dxa"/>
            <w:gridSpan w:val="2"/>
            <w:tcBorders>
              <w:top w:val="single" w:sz="4" w:space="0" w:color="auto"/>
              <w:left w:val="single" w:sz="4" w:space="0" w:color="auto"/>
              <w:bottom w:val="single" w:sz="4" w:space="0" w:color="auto"/>
              <w:right w:val="single" w:sz="4" w:space="0" w:color="auto"/>
            </w:tcBorders>
            <w:vAlign w:val="center"/>
          </w:tcPr>
          <w:p w14:paraId="058B2403" w14:textId="442A5EFB" w:rsidR="002C6140" w:rsidRPr="00574959" w:rsidRDefault="002C6140" w:rsidP="00B430EA">
            <w:pPr>
              <w:jc w:val="center"/>
              <w:rPr>
                <w:rFonts w:ascii="Arial Narrow" w:hAnsi="Arial Narrow"/>
                <w:sz w:val="20"/>
                <w:szCs w:val="20"/>
              </w:rPr>
            </w:pPr>
          </w:p>
        </w:tc>
        <w:tc>
          <w:tcPr>
            <w:tcW w:w="7671" w:type="dxa"/>
            <w:gridSpan w:val="6"/>
            <w:tcBorders>
              <w:top w:val="single" w:sz="4" w:space="0" w:color="auto"/>
              <w:left w:val="single" w:sz="4" w:space="0" w:color="auto"/>
              <w:bottom w:val="single" w:sz="4" w:space="0" w:color="auto"/>
              <w:right w:val="single" w:sz="4" w:space="0" w:color="auto"/>
            </w:tcBorders>
            <w:vAlign w:val="center"/>
          </w:tcPr>
          <w:p w14:paraId="45F13878" w14:textId="77777777" w:rsidR="002C6140" w:rsidRPr="00B35896" w:rsidRDefault="002C6140" w:rsidP="00B430EA">
            <w:pPr>
              <w:rPr>
                <w:rFonts w:ascii="Arial Narrow" w:hAnsi="Arial Narrow"/>
                <w:b/>
                <w:bCs/>
                <w:sz w:val="20"/>
                <w:szCs w:val="20"/>
              </w:rPr>
            </w:pPr>
            <w:r w:rsidRPr="00B35896">
              <w:rPr>
                <w:rFonts w:ascii="Arial Narrow" w:hAnsi="Arial Narrow"/>
                <w:b/>
                <w:bCs/>
                <w:sz w:val="20"/>
                <w:szCs w:val="20"/>
              </w:rPr>
              <w:t>Clinical criteria:</w:t>
            </w:r>
          </w:p>
        </w:tc>
      </w:tr>
      <w:tr w:rsidR="002C6140" w:rsidRPr="001800C2" w14:paraId="41DDE7BF" w14:textId="77777777" w:rsidTr="00BF35A5">
        <w:trPr>
          <w:cantSplit/>
          <w:trHeight w:val="20"/>
        </w:trPr>
        <w:tc>
          <w:tcPr>
            <w:tcW w:w="1563" w:type="dxa"/>
            <w:gridSpan w:val="2"/>
            <w:tcBorders>
              <w:top w:val="single" w:sz="4" w:space="0" w:color="auto"/>
              <w:left w:val="single" w:sz="4" w:space="0" w:color="auto"/>
              <w:bottom w:val="single" w:sz="4" w:space="0" w:color="auto"/>
              <w:right w:val="single" w:sz="4" w:space="0" w:color="auto"/>
            </w:tcBorders>
            <w:vAlign w:val="center"/>
          </w:tcPr>
          <w:p w14:paraId="4FF400C8" w14:textId="288A9CCD" w:rsidR="002C6140" w:rsidRPr="00574959" w:rsidRDefault="002C6140" w:rsidP="00B430EA">
            <w:pPr>
              <w:jc w:val="center"/>
              <w:rPr>
                <w:rFonts w:ascii="Arial Narrow" w:hAnsi="Arial Narrow"/>
                <w:sz w:val="20"/>
                <w:szCs w:val="20"/>
              </w:rPr>
            </w:pPr>
          </w:p>
        </w:tc>
        <w:tc>
          <w:tcPr>
            <w:tcW w:w="7671" w:type="dxa"/>
            <w:gridSpan w:val="6"/>
            <w:tcBorders>
              <w:top w:val="single" w:sz="4" w:space="0" w:color="auto"/>
              <w:left w:val="single" w:sz="4" w:space="0" w:color="auto"/>
              <w:bottom w:val="single" w:sz="4" w:space="0" w:color="auto"/>
              <w:right w:val="single" w:sz="4" w:space="0" w:color="auto"/>
            </w:tcBorders>
            <w:vAlign w:val="center"/>
          </w:tcPr>
          <w:p w14:paraId="5ECEE2C1" w14:textId="77777777" w:rsidR="002C6140" w:rsidRPr="001470A7" w:rsidRDefault="002C6140" w:rsidP="00B430EA">
            <w:pPr>
              <w:rPr>
                <w:rFonts w:ascii="Arial Narrow" w:hAnsi="Arial Narrow"/>
                <w:sz w:val="20"/>
                <w:szCs w:val="20"/>
              </w:rPr>
            </w:pPr>
            <w:r w:rsidRPr="001470A7">
              <w:rPr>
                <w:rFonts w:ascii="Arial Narrow" w:hAnsi="Arial Narrow"/>
                <w:sz w:val="20"/>
                <w:szCs w:val="20"/>
              </w:rPr>
              <w:t>The treatment must be the sole PBS-subsidised therapy for this condition.</w:t>
            </w:r>
          </w:p>
        </w:tc>
      </w:tr>
      <w:tr w:rsidR="002C6140" w:rsidRPr="00B35896" w14:paraId="5395D087" w14:textId="77777777" w:rsidTr="00BF35A5">
        <w:trPr>
          <w:cantSplit/>
          <w:trHeight w:val="20"/>
        </w:trPr>
        <w:tc>
          <w:tcPr>
            <w:tcW w:w="1563" w:type="dxa"/>
            <w:gridSpan w:val="2"/>
            <w:tcBorders>
              <w:top w:val="single" w:sz="4" w:space="0" w:color="auto"/>
              <w:left w:val="single" w:sz="4" w:space="0" w:color="auto"/>
              <w:bottom w:val="single" w:sz="4" w:space="0" w:color="auto"/>
              <w:right w:val="single" w:sz="4" w:space="0" w:color="auto"/>
            </w:tcBorders>
            <w:vAlign w:val="center"/>
          </w:tcPr>
          <w:p w14:paraId="791057DC" w14:textId="77777777" w:rsidR="002C6140" w:rsidRPr="00574959" w:rsidRDefault="002C6140" w:rsidP="00B430EA">
            <w:pPr>
              <w:jc w:val="center"/>
              <w:rPr>
                <w:rFonts w:ascii="Arial Narrow" w:hAnsi="Arial Narrow"/>
                <w:sz w:val="20"/>
                <w:szCs w:val="20"/>
              </w:rPr>
            </w:pPr>
          </w:p>
        </w:tc>
        <w:tc>
          <w:tcPr>
            <w:tcW w:w="7671" w:type="dxa"/>
            <w:gridSpan w:val="6"/>
            <w:tcBorders>
              <w:top w:val="single" w:sz="4" w:space="0" w:color="auto"/>
              <w:left w:val="single" w:sz="4" w:space="0" w:color="auto"/>
              <w:bottom w:val="single" w:sz="4" w:space="0" w:color="auto"/>
              <w:right w:val="single" w:sz="4" w:space="0" w:color="auto"/>
            </w:tcBorders>
            <w:vAlign w:val="center"/>
          </w:tcPr>
          <w:p w14:paraId="03078C16" w14:textId="77777777" w:rsidR="002C6140" w:rsidRPr="001470A7" w:rsidRDefault="002C6140" w:rsidP="00B430EA">
            <w:pPr>
              <w:rPr>
                <w:rFonts w:ascii="Arial Narrow" w:hAnsi="Arial Narrow"/>
                <w:b/>
                <w:bCs/>
                <w:sz w:val="20"/>
                <w:szCs w:val="20"/>
              </w:rPr>
            </w:pPr>
            <w:r w:rsidRPr="001470A7">
              <w:rPr>
                <w:rFonts w:ascii="Arial Narrow" w:hAnsi="Arial Narrow"/>
                <w:b/>
                <w:bCs/>
                <w:sz w:val="20"/>
                <w:szCs w:val="20"/>
              </w:rPr>
              <w:t>AND</w:t>
            </w:r>
          </w:p>
        </w:tc>
      </w:tr>
      <w:tr w:rsidR="002C6140" w:rsidRPr="00B35896" w14:paraId="3164FFA3" w14:textId="77777777" w:rsidTr="00BF35A5">
        <w:trPr>
          <w:cantSplit/>
          <w:trHeight w:val="20"/>
        </w:trPr>
        <w:tc>
          <w:tcPr>
            <w:tcW w:w="1563" w:type="dxa"/>
            <w:gridSpan w:val="2"/>
            <w:tcBorders>
              <w:top w:val="single" w:sz="4" w:space="0" w:color="auto"/>
              <w:left w:val="single" w:sz="4" w:space="0" w:color="auto"/>
              <w:bottom w:val="single" w:sz="4" w:space="0" w:color="auto"/>
              <w:right w:val="single" w:sz="4" w:space="0" w:color="auto"/>
            </w:tcBorders>
            <w:vAlign w:val="center"/>
          </w:tcPr>
          <w:p w14:paraId="356DAF27" w14:textId="68AE213D" w:rsidR="002C6140" w:rsidRPr="00574959" w:rsidRDefault="002C6140" w:rsidP="00B430EA">
            <w:pPr>
              <w:jc w:val="center"/>
              <w:rPr>
                <w:rFonts w:ascii="Arial Narrow" w:hAnsi="Arial Narrow"/>
                <w:sz w:val="20"/>
                <w:szCs w:val="20"/>
              </w:rPr>
            </w:pPr>
          </w:p>
        </w:tc>
        <w:tc>
          <w:tcPr>
            <w:tcW w:w="7671" w:type="dxa"/>
            <w:gridSpan w:val="6"/>
            <w:tcBorders>
              <w:top w:val="single" w:sz="4" w:space="0" w:color="auto"/>
              <w:left w:val="single" w:sz="4" w:space="0" w:color="auto"/>
              <w:bottom w:val="single" w:sz="4" w:space="0" w:color="auto"/>
              <w:right w:val="single" w:sz="4" w:space="0" w:color="auto"/>
            </w:tcBorders>
            <w:vAlign w:val="center"/>
          </w:tcPr>
          <w:p w14:paraId="4BE5290F" w14:textId="77777777" w:rsidR="002C6140" w:rsidRPr="00B35896" w:rsidRDefault="002C6140" w:rsidP="00B430EA">
            <w:pPr>
              <w:rPr>
                <w:rFonts w:ascii="Arial Narrow" w:hAnsi="Arial Narrow"/>
                <w:b/>
                <w:bCs/>
                <w:sz w:val="20"/>
                <w:szCs w:val="20"/>
              </w:rPr>
            </w:pPr>
            <w:r w:rsidRPr="00B35896">
              <w:rPr>
                <w:rFonts w:ascii="Arial Narrow" w:hAnsi="Arial Narrow"/>
                <w:b/>
                <w:bCs/>
                <w:sz w:val="20"/>
                <w:szCs w:val="20"/>
              </w:rPr>
              <w:t>Clinical criteria:</w:t>
            </w:r>
          </w:p>
        </w:tc>
      </w:tr>
      <w:tr w:rsidR="002C6140" w:rsidRPr="00EC424F" w14:paraId="7E2BA6B1" w14:textId="77777777" w:rsidTr="00BF35A5">
        <w:trPr>
          <w:cantSplit/>
          <w:trHeight w:val="20"/>
        </w:trPr>
        <w:tc>
          <w:tcPr>
            <w:tcW w:w="1563" w:type="dxa"/>
            <w:gridSpan w:val="2"/>
            <w:tcBorders>
              <w:top w:val="single" w:sz="4" w:space="0" w:color="auto"/>
              <w:left w:val="single" w:sz="4" w:space="0" w:color="auto"/>
              <w:bottom w:val="single" w:sz="4" w:space="0" w:color="auto"/>
              <w:right w:val="single" w:sz="4" w:space="0" w:color="auto"/>
            </w:tcBorders>
            <w:vAlign w:val="center"/>
          </w:tcPr>
          <w:p w14:paraId="0AAFEC3B" w14:textId="7B3E06E9" w:rsidR="002C6140" w:rsidRPr="00574959" w:rsidRDefault="002C6140" w:rsidP="00B430EA">
            <w:pPr>
              <w:jc w:val="center"/>
              <w:rPr>
                <w:rFonts w:ascii="Arial Narrow" w:hAnsi="Arial Narrow"/>
                <w:sz w:val="20"/>
                <w:szCs w:val="20"/>
              </w:rPr>
            </w:pPr>
          </w:p>
        </w:tc>
        <w:tc>
          <w:tcPr>
            <w:tcW w:w="7671" w:type="dxa"/>
            <w:gridSpan w:val="6"/>
            <w:tcBorders>
              <w:top w:val="single" w:sz="4" w:space="0" w:color="auto"/>
              <w:left w:val="single" w:sz="4" w:space="0" w:color="auto"/>
              <w:bottom w:val="single" w:sz="4" w:space="0" w:color="auto"/>
              <w:right w:val="single" w:sz="4" w:space="0" w:color="auto"/>
            </w:tcBorders>
            <w:vAlign w:val="center"/>
          </w:tcPr>
          <w:p w14:paraId="1A064903" w14:textId="77777777" w:rsidR="002C6140" w:rsidRPr="00EC424F" w:rsidRDefault="002C6140" w:rsidP="00B430EA">
            <w:pPr>
              <w:rPr>
                <w:rFonts w:ascii="Arial Narrow" w:hAnsi="Arial Narrow"/>
                <w:sz w:val="20"/>
                <w:szCs w:val="20"/>
              </w:rPr>
            </w:pPr>
            <w:r w:rsidRPr="00EC424F">
              <w:rPr>
                <w:rFonts w:ascii="Arial Narrow" w:hAnsi="Arial Narrow"/>
                <w:sz w:val="20"/>
                <w:szCs w:val="20"/>
              </w:rPr>
              <w:t>Patient must have experienced clinical improvement as a result of treatment with this drug</w:t>
            </w:r>
            <w:r>
              <w:rPr>
                <w:rFonts w:ascii="Arial Narrow" w:hAnsi="Arial Narrow"/>
                <w:sz w:val="20"/>
                <w:szCs w:val="20"/>
              </w:rPr>
              <w:t xml:space="preserve"> </w:t>
            </w:r>
            <w:r>
              <w:rPr>
                <w:rFonts w:ascii="Arial Narrow" w:hAnsi="Arial Narrow"/>
                <w:i/>
                <w:iCs/>
                <w:sz w:val="20"/>
                <w:szCs w:val="20"/>
              </w:rPr>
              <w:t>OR</w:t>
            </w:r>
          </w:p>
        </w:tc>
      </w:tr>
      <w:tr w:rsidR="002C6140" w:rsidRPr="00EC424F" w14:paraId="49366033" w14:textId="77777777" w:rsidTr="00BF35A5">
        <w:trPr>
          <w:cantSplit/>
          <w:trHeight w:val="20"/>
        </w:trPr>
        <w:tc>
          <w:tcPr>
            <w:tcW w:w="1563" w:type="dxa"/>
            <w:gridSpan w:val="2"/>
            <w:tcBorders>
              <w:top w:val="single" w:sz="4" w:space="0" w:color="auto"/>
              <w:left w:val="single" w:sz="4" w:space="0" w:color="auto"/>
              <w:bottom w:val="single" w:sz="4" w:space="0" w:color="auto"/>
              <w:right w:val="single" w:sz="4" w:space="0" w:color="auto"/>
            </w:tcBorders>
            <w:vAlign w:val="center"/>
          </w:tcPr>
          <w:p w14:paraId="6BA6D3C0" w14:textId="159C0C1D" w:rsidR="002C6140" w:rsidRPr="00574959" w:rsidRDefault="002C6140" w:rsidP="00B430EA">
            <w:pPr>
              <w:jc w:val="center"/>
              <w:rPr>
                <w:rFonts w:ascii="Arial Narrow" w:hAnsi="Arial Narrow"/>
                <w:sz w:val="20"/>
                <w:szCs w:val="20"/>
              </w:rPr>
            </w:pPr>
          </w:p>
        </w:tc>
        <w:tc>
          <w:tcPr>
            <w:tcW w:w="7671" w:type="dxa"/>
            <w:gridSpan w:val="6"/>
            <w:tcBorders>
              <w:top w:val="single" w:sz="4" w:space="0" w:color="auto"/>
              <w:left w:val="single" w:sz="4" w:space="0" w:color="auto"/>
              <w:bottom w:val="single" w:sz="4" w:space="0" w:color="auto"/>
              <w:right w:val="single" w:sz="4" w:space="0" w:color="auto"/>
            </w:tcBorders>
            <w:vAlign w:val="center"/>
          </w:tcPr>
          <w:p w14:paraId="7A166BE6" w14:textId="77777777" w:rsidR="002C6140" w:rsidRPr="00EC424F" w:rsidRDefault="002C6140" w:rsidP="00B430EA">
            <w:pPr>
              <w:rPr>
                <w:rFonts w:ascii="Arial Narrow" w:hAnsi="Arial Narrow"/>
                <w:sz w:val="20"/>
                <w:szCs w:val="20"/>
              </w:rPr>
            </w:pPr>
            <w:r w:rsidRPr="00EC424F">
              <w:rPr>
                <w:rFonts w:ascii="Arial Narrow" w:hAnsi="Arial Narrow"/>
                <w:sz w:val="20"/>
                <w:szCs w:val="20"/>
              </w:rPr>
              <w:t>Patient must have experienced a stabilisation of the condition as a result of treatment with this drug</w:t>
            </w:r>
            <w:r>
              <w:rPr>
                <w:rFonts w:ascii="Arial Narrow" w:hAnsi="Arial Narrow"/>
                <w:sz w:val="20"/>
                <w:szCs w:val="20"/>
              </w:rPr>
              <w:t xml:space="preserve"> </w:t>
            </w:r>
          </w:p>
        </w:tc>
      </w:tr>
      <w:tr w:rsidR="002C6140" w:rsidRPr="00B35896" w14:paraId="5FC060D4" w14:textId="77777777" w:rsidTr="00BF35A5">
        <w:trPr>
          <w:cantSplit/>
          <w:trHeight w:val="20"/>
        </w:trPr>
        <w:tc>
          <w:tcPr>
            <w:tcW w:w="1563" w:type="dxa"/>
            <w:gridSpan w:val="2"/>
            <w:tcBorders>
              <w:top w:val="single" w:sz="4" w:space="0" w:color="auto"/>
              <w:left w:val="single" w:sz="4" w:space="0" w:color="auto"/>
              <w:bottom w:val="single" w:sz="4" w:space="0" w:color="auto"/>
              <w:right w:val="single" w:sz="4" w:space="0" w:color="auto"/>
            </w:tcBorders>
            <w:vAlign w:val="center"/>
          </w:tcPr>
          <w:p w14:paraId="461551EE" w14:textId="1E896491" w:rsidR="002C6140" w:rsidRPr="00574959" w:rsidRDefault="002C6140" w:rsidP="00B430EA">
            <w:pPr>
              <w:jc w:val="center"/>
              <w:rPr>
                <w:rFonts w:ascii="Arial Narrow" w:hAnsi="Arial Narrow"/>
                <w:sz w:val="20"/>
                <w:szCs w:val="20"/>
              </w:rPr>
            </w:pPr>
          </w:p>
        </w:tc>
        <w:tc>
          <w:tcPr>
            <w:tcW w:w="7671" w:type="dxa"/>
            <w:gridSpan w:val="6"/>
            <w:tcBorders>
              <w:top w:val="single" w:sz="4" w:space="0" w:color="auto"/>
              <w:left w:val="single" w:sz="4" w:space="0" w:color="auto"/>
              <w:bottom w:val="single" w:sz="4" w:space="0" w:color="auto"/>
              <w:right w:val="single" w:sz="4" w:space="0" w:color="auto"/>
            </w:tcBorders>
            <w:vAlign w:val="center"/>
          </w:tcPr>
          <w:p w14:paraId="3AF4E34A" w14:textId="77777777" w:rsidR="002C6140" w:rsidRPr="00B35896" w:rsidRDefault="002C6140" w:rsidP="00B430EA">
            <w:pPr>
              <w:rPr>
                <w:rFonts w:ascii="Arial Narrow" w:hAnsi="Arial Narrow"/>
                <w:b/>
                <w:bCs/>
                <w:sz w:val="20"/>
                <w:szCs w:val="20"/>
              </w:rPr>
            </w:pPr>
            <w:r w:rsidRPr="00B35896">
              <w:rPr>
                <w:rFonts w:ascii="Arial Narrow" w:hAnsi="Arial Narrow"/>
                <w:b/>
                <w:bCs/>
                <w:sz w:val="20"/>
                <w:szCs w:val="20"/>
              </w:rPr>
              <w:t>Treatment criteria:</w:t>
            </w:r>
          </w:p>
        </w:tc>
      </w:tr>
      <w:tr w:rsidR="002C6140" w:rsidRPr="00EC424F" w14:paraId="0005F7A3" w14:textId="77777777" w:rsidTr="00BF35A5">
        <w:trPr>
          <w:cantSplit/>
          <w:trHeight w:val="20"/>
        </w:trPr>
        <w:tc>
          <w:tcPr>
            <w:tcW w:w="1563" w:type="dxa"/>
            <w:gridSpan w:val="2"/>
            <w:tcBorders>
              <w:top w:val="single" w:sz="4" w:space="0" w:color="auto"/>
              <w:left w:val="single" w:sz="4" w:space="0" w:color="auto"/>
              <w:bottom w:val="single" w:sz="4" w:space="0" w:color="auto"/>
              <w:right w:val="single" w:sz="4" w:space="0" w:color="auto"/>
            </w:tcBorders>
            <w:vAlign w:val="center"/>
          </w:tcPr>
          <w:p w14:paraId="724F81C6" w14:textId="17E3D2B7" w:rsidR="002C6140" w:rsidRPr="00574959" w:rsidRDefault="002C6140" w:rsidP="00B430EA">
            <w:pPr>
              <w:jc w:val="center"/>
              <w:rPr>
                <w:rFonts w:ascii="Arial Narrow" w:hAnsi="Arial Narrow"/>
                <w:sz w:val="20"/>
                <w:szCs w:val="20"/>
              </w:rPr>
            </w:pPr>
          </w:p>
        </w:tc>
        <w:tc>
          <w:tcPr>
            <w:tcW w:w="7671" w:type="dxa"/>
            <w:gridSpan w:val="6"/>
            <w:tcBorders>
              <w:top w:val="single" w:sz="4" w:space="0" w:color="auto"/>
              <w:left w:val="single" w:sz="4" w:space="0" w:color="auto"/>
              <w:bottom w:val="single" w:sz="4" w:space="0" w:color="auto"/>
              <w:right w:val="single" w:sz="4" w:space="0" w:color="auto"/>
            </w:tcBorders>
            <w:vAlign w:val="center"/>
          </w:tcPr>
          <w:p w14:paraId="6F32842F" w14:textId="77777777" w:rsidR="002C6140" w:rsidRPr="00EC424F" w:rsidRDefault="002C6140" w:rsidP="00B430EA">
            <w:pPr>
              <w:rPr>
                <w:rFonts w:ascii="Arial Narrow" w:hAnsi="Arial Narrow"/>
                <w:sz w:val="20"/>
                <w:szCs w:val="20"/>
              </w:rPr>
            </w:pPr>
            <w:r w:rsidRPr="00EC424F">
              <w:rPr>
                <w:rFonts w:ascii="Arial Narrow" w:hAnsi="Arial Narrow"/>
                <w:sz w:val="20"/>
                <w:szCs w:val="20"/>
              </w:rPr>
              <w:t>Must be treated by a haematologist; OR</w:t>
            </w:r>
          </w:p>
        </w:tc>
      </w:tr>
      <w:tr w:rsidR="002C6140" w:rsidRPr="00EC424F" w14:paraId="5F1E3321" w14:textId="77777777" w:rsidTr="00BF35A5">
        <w:trPr>
          <w:cantSplit/>
          <w:trHeight w:val="20"/>
        </w:trPr>
        <w:tc>
          <w:tcPr>
            <w:tcW w:w="1563" w:type="dxa"/>
            <w:gridSpan w:val="2"/>
            <w:tcBorders>
              <w:top w:val="single" w:sz="4" w:space="0" w:color="auto"/>
              <w:left w:val="single" w:sz="4" w:space="0" w:color="auto"/>
              <w:bottom w:val="single" w:sz="4" w:space="0" w:color="auto"/>
              <w:right w:val="single" w:sz="4" w:space="0" w:color="auto"/>
            </w:tcBorders>
            <w:vAlign w:val="center"/>
          </w:tcPr>
          <w:p w14:paraId="7FF9E5BA" w14:textId="1A176743" w:rsidR="002C6140" w:rsidRPr="00574959" w:rsidRDefault="002C6140" w:rsidP="00B430EA">
            <w:pPr>
              <w:jc w:val="center"/>
              <w:rPr>
                <w:rFonts w:ascii="Arial Narrow" w:hAnsi="Arial Narrow"/>
                <w:sz w:val="20"/>
                <w:szCs w:val="20"/>
              </w:rPr>
            </w:pPr>
          </w:p>
        </w:tc>
        <w:tc>
          <w:tcPr>
            <w:tcW w:w="7671" w:type="dxa"/>
            <w:gridSpan w:val="6"/>
            <w:tcBorders>
              <w:top w:val="single" w:sz="4" w:space="0" w:color="auto"/>
              <w:left w:val="single" w:sz="4" w:space="0" w:color="auto"/>
              <w:bottom w:val="single" w:sz="4" w:space="0" w:color="auto"/>
              <w:right w:val="single" w:sz="4" w:space="0" w:color="auto"/>
            </w:tcBorders>
            <w:vAlign w:val="center"/>
          </w:tcPr>
          <w:p w14:paraId="30EF15A5" w14:textId="77777777" w:rsidR="002C6140" w:rsidRPr="00EC424F" w:rsidRDefault="002C6140" w:rsidP="00B430EA">
            <w:pPr>
              <w:rPr>
                <w:rFonts w:ascii="Arial Narrow" w:hAnsi="Arial Narrow"/>
                <w:sz w:val="20"/>
                <w:szCs w:val="20"/>
              </w:rPr>
            </w:pPr>
            <w:r w:rsidRPr="00EC424F">
              <w:rPr>
                <w:rFonts w:ascii="Arial Narrow" w:hAnsi="Arial Narrow"/>
                <w:sz w:val="20"/>
                <w:szCs w:val="20"/>
              </w:rPr>
              <w:t>Must be treated by a non-specialist medical physician who has consulted a haematologist on the patient's drug treatment details.</w:t>
            </w:r>
          </w:p>
        </w:tc>
      </w:tr>
      <w:tr w:rsidR="002C6140" w:rsidRPr="00B35896" w14:paraId="63499F0B" w14:textId="77777777" w:rsidTr="00BF35A5">
        <w:trPr>
          <w:cantSplit/>
          <w:trHeight w:val="20"/>
        </w:trPr>
        <w:tc>
          <w:tcPr>
            <w:tcW w:w="1563" w:type="dxa"/>
            <w:gridSpan w:val="2"/>
            <w:tcBorders>
              <w:top w:val="single" w:sz="4" w:space="0" w:color="auto"/>
              <w:left w:val="single" w:sz="4" w:space="0" w:color="auto"/>
              <w:bottom w:val="single" w:sz="4" w:space="0" w:color="auto"/>
              <w:right w:val="single" w:sz="4" w:space="0" w:color="auto"/>
            </w:tcBorders>
            <w:vAlign w:val="center"/>
          </w:tcPr>
          <w:p w14:paraId="249C712D" w14:textId="0EE13256" w:rsidR="002C6140" w:rsidRPr="00574959" w:rsidRDefault="002C6140" w:rsidP="00B430EA">
            <w:pPr>
              <w:jc w:val="center"/>
              <w:rPr>
                <w:rFonts w:ascii="Arial Narrow" w:hAnsi="Arial Narrow"/>
                <w:sz w:val="20"/>
                <w:szCs w:val="20"/>
              </w:rPr>
            </w:pPr>
          </w:p>
        </w:tc>
        <w:tc>
          <w:tcPr>
            <w:tcW w:w="7671" w:type="dxa"/>
            <w:gridSpan w:val="6"/>
            <w:tcBorders>
              <w:top w:val="single" w:sz="4" w:space="0" w:color="auto"/>
              <w:left w:val="single" w:sz="4" w:space="0" w:color="auto"/>
              <w:bottom w:val="single" w:sz="4" w:space="0" w:color="auto"/>
              <w:right w:val="single" w:sz="4" w:space="0" w:color="auto"/>
            </w:tcBorders>
            <w:vAlign w:val="center"/>
          </w:tcPr>
          <w:p w14:paraId="20AE8C50" w14:textId="77777777" w:rsidR="002C6140" w:rsidRPr="00B35896" w:rsidRDefault="002C6140" w:rsidP="00B430EA">
            <w:pPr>
              <w:rPr>
                <w:rFonts w:ascii="Arial Narrow" w:hAnsi="Arial Narrow"/>
                <w:b/>
                <w:bCs/>
                <w:sz w:val="20"/>
                <w:szCs w:val="20"/>
              </w:rPr>
            </w:pPr>
            <w:r w:rsidRPr="00B35896">
              <w:rPr>
                <w:rFonts w:ascii="Arial Narrow" w:hAnsi="Arial Narrow"/>
                <w:b/>
                <w:bCs/>
                <w:sz w:val="20"/>
                <w:szCs w:val="20"/>
              </w:rPr>
              <w:t>Population criteria:</w:t>
            </w:r>
          </w:p>
        </w:tc>
      </w:tr>
      <w:tr w:rsidR="002C6140" w:rsidRPr="00EC424F" w14:paraId="38C82C61" w14:textId="77777777" w:rsidTr="00BF35A5">
        <w:trPr>
          <w:cantSplit/>
          <w:trHeight w:val="20"/>
        </w:trPr>
        <w:tc>
          <w:tcPr>
            <w:tcW w:w="1563" w:type="dxa"/>
            <w:gridSpan w:val="2"/>
            <w:tcBorders>
              <w:top w:val="single" w:sz="4" w:space="0" w:color="auto"/>
              <w:left w:val="single" w:sz="4" w:space="0" w:color="auto"/>
              <w:bottom w:val="single" w:sz="4" w:space="0" w:color="auto"/>
              <w:right w:val="single" w:sz="4" w:space="0" w:color="auto"/>
            </w:tcBorders>
            <w:vAlign w:val="center"/>
          </w:tcPr>
          <w:p w14:paraId="1A675BDD" w14:textId="7054BB2C" w:rsidR="002C6140" w:rsidRPr="00574959" w:rsidRDefault="002C6140" w:rsidP="00B430EA">
            <w:pPr>
              <w:jc w:val="center"/>
              <w:rPr>
                <w:rFonts w:ascii="Arial Narrow" w:hAnsi="Arial Narrow"/>
                <w:sz w:val="20"/>
                <w:szCs w:val="20"/>
              </w:rPr>
            </w:pPr>
          </w:p>
        </w:tc>
        <w:tc>
          <w:tcPr>
            <w:tcW w:w="7671" w:type="dxa"/>
            <w:gridSpan w:val="6"/>
            <w:tcBorders>
              <w:top w:val="single" w:sz="4" w:space="0" w:color="auto"/>
              <w:left w:val="single" w:sz="4" w:space="0" w:color="auto"/>
              <w:bottom w:val="single" w:sz="4" w:space="0" w:color="auto"/>
              <w:right w:val="single" w:sz="4" w:space="0" w:color="auto"/>
            </w:tcBorders>
            <w:vAlign w:val="center"/>
          </w:tcPr>
          <w:p w14:paraId="0A3BF239" w14:textId="77777777" w:rsidR="002C6140" w:rsidRPr="00EC424F" w:rsidRDefault="002C6140" w:rsidP="00B430EA">
            <w:pPr>
              <w:rPr>
                <w:rFonts w:ascii="Arial Narrow" w:hAnsi="Arial Narrow"/>
                <w:sz w:val="20"/>
                <w:szCs w:val="20"/>
              </w:rPr>
            </w:pPr>
            <w:r w:rsidRPr="00EC424F">
              <w:rPr>
                <w:rFonts w:ascii="Arial Narrow" w:hAnsi="Arial Narrow"/>
                <w:sz w:val="20"/>
                <w:szCs w:val="20"/>
              </w:rPr>
              <w:t>Patient must be at least 18 years of age.</w:t>
            </w:r>
          </w:p>
        </w:tc>
      </w:tr>
      <w:tr w:rsidR="002C6140" w:rsidRPr="00EC424F" w14:paraId="1C467DC4" w14:textId="77777777" w:rsidTr="00BF35A5">
        <w:trPr>
          <w:cantSplit/>
          <w:trHeight w:val="20"/>
        </w:trPr>
        <w:tc>
          <w:tcPr>
            <w:tcW w:w="1563" w:type="dxa"/>
            <w:gridSpan w:val="2"/>
            <w:tcBorders>
              <w:top w:val="single" w:sz="4" w:space="0" w:color="auto"/>
              <w:left w:val="single" w:sz="4" w:space="0" w:color="auto"/>
              <w:bottom w:val="single" w:sz="4" w:space="0" w:color="auto"/>
              <w:right w:val="single" w:sz="4" w:space="0" w:color="auto"/>
            </w:tcBorders>
            <w:vAlign w:val="center"/>
          </w:tcPr>
          <w:p w14:paraId="361EF6A7" w14:textId="37944B7B" w:rsidR="002C6140" w:rsidRPr="00574959" w:rsidRDefault="002C6140" w:rsidP="00B430EA">
            <w:pPr>
              <w:jc w:val="center"/>
              <w:rPr>
                <w:rFonts w:ascii="Arial Narrow" w:hAnsi="Arial Narrow"/>
                <w:sz w:val="20"/>
                <w:szCs w:val="20"/>
              </w:rPr>
            </w:pPr>
          </w:p>
        </w:tc>
        <w:tc>
          <w:tcPr>
            <w:tcW w:w="7671" w:type="dxa"/>
            <w:gridSpan w:val="6"/>
            <w:tcBorders>
              <w:top w:val="single" w:sz="4" w:space="0" w:color="auto"/>
              <w:left w:val="single" w:sz="4" w:space="0" w:color="auto"/>
              <w:bottom w:val="single" w:sz="4" w:space="0" w:color="auto"/>
              <w:right w:val="single" w:sz="4" w:space="0" w:color="auto"/>
            </w:tcBorders>
            <w:vAlign w:val="center"/>
          </w:tcPr>
          <w:p w14:paraId="5CE947F2" w14:textId="77777777" w:rsidR="002C6140" w:rsidRPr="00EB4977" w:rsidRDefault="002C6140" w:rsidP="00B430EA">
            <w:pPr>
              <w:rPr>
                <w:rFonts w:ascii="Arial Narrow" w:hAnsi="Arial Narrow"/>
                <w:sz w:val="20"/>
                <w:szCs w:val="20"/>
              </w:rPr>
            </w:pPr>
            <w:r w:rsidRPr="00B35896">
              <w:rPr>
                <w:rFonts w:ascii="Arial Narrow" w:hAnsi="Arial Narrow"/>
                <w:b/>
                <w:bCs/>
                <w:sz w:val="20"/>
                <w:szCs w:val="20"/>
              </w:rPr>
              <w:t>Prescribing Instructions:</w:t>
            </w:r>
            <w:r w:rsidRPr="00EC424F">
              <w:rPr>
                <w:rFonts w:ascii="Arial Narrow" w:hAnsi="Arial Narrow"/>
                <w:sz w:val="20"/>
                <w:szCs w:val="20"/>
              </w:rPr>
              <w:t xml:space="preserve"> </w:t>
            </w:r>
            <w:r w:rsidRPr="00EB4977">
              <w:rPr>
                <w:rFonts w:ascii="Arial Narrow" w:hAnsi="Arial Narrow"/>
                <w:sz w:val="20"/>
                <w:szCs w:val="20"/>
              </w:rPr>
              <w:t>The authority application must be made in writing and must include:</w:t>
            </w:r>
          </w:p>
          <w:p w14:paraId="7C7A029A" w14:textId="77777777" w:rsidR="002C6140" w:rsidRPr="00EB4977" w:rsidRDefault="002C6140" w:rsidP="00B430EA">
            <w:pPr>
              <w:rPr>
                <w:rFonts w:ascii="Arial Narrow" w:hAnsi="Arial Narrow"/>
                <w:sz w:val="20"/>
                <w:szCs w:val="20"/>
              </w:rPr>
            </w:pPr>
            <w:r>
              <w:rPr>
                <w:rFonts w:ascii="Arial Narrow" w:hAnsi="Arial Narrow"/>
                <w:sz w:val="20"/>
                <w:szCs w:val="20"/>
              </w:rPr>
              <w:t>(</w:t>
            </w:r>
            <w:r w:rsidRPr="00EB4977">
              <w:rPr>
                <w:rFonts w:ascii="Arial Narrow" w:hAnsi="Arial Narrow"/>
                <w:sz w:val="20"/>
                <w:szCs w:val="20"/>
              </w:rPr>
              <w:t xml:space="preserve">1) </w:t>
            </w:r>
            <w:r w:rsidRPr="005D3EEB">
              <w:rPr>
                <w:rFonts w:ascii="Arial Narrow" w:hAnsi="Arial Narrow"/>
                <w:sz w:val="20"/>
                <w:szCs w:val="20"/>
              </w:rPr>
              <w:t>details of the proposed prescription</w:t>
            </w:r>
            <w:r w:rsidRPr="00EB4977">
              <w:rPr>
                <w:rFonts w:ascii="Arial Narrow" w:hAnsi="Arial Narrow"/>
                <w:sz w:val="20"/>
                <w:szCs w:val="20"/>
              </w:rPr>
              <w:t>; and</w:t>
            </w:r>
          </w:p>
          <w:p w14:paraId="6FC2B92A" w14:textId="77777777" w:rsidR="002C6140" w:rsidRPr="00EC424F" w:rsidRDefault="002C6140" w:rsidP="00B430EA">
            <w:pPr>
              <w:rPr>
                <w:rFonts w:ascii="Arial Narrow" w:hAnsi="Arial Narrow"/>
                <w:sz w:val="20"/>
                <w:szCs w:val="20"/>
              </w:rPr>
            </w:pPr>
            <w:r w:rsidRPr="00EB4977">
              <w:rPr>
                <w:rFonts w:ascii="Arial Narrow" w:hAnsi="Arial Narrow"/>
                <w:sz w:val="20"/>
                <w:szCs w:val="20"/>
              </w:rPr>
              <w:t>(2) a completed authority application form relevant to the indication and treatment phase (the latest version is located on the website specified in the Administrative Advice).</w:t>
            </w:r>
          </w:p>
        </w:tc>
      </w:tr>
      <w:tr w:rsidR="002C6140" w:rsidRPr="00EC424F" w14:paraId="7FB90CDD" w14:textId="77777777" w:rsidTr="00BF35A5">
        <w:trPr>
          <w:cantSplit/>
          <w:trHeight w:val="20"/>
        </w:trPr>
        <w:tc>
          <w:tcPr>
            <w:tcW w:w="1563" w:type="dxa"/>
            <w:gridSpan w:val="2"/>
            <w:tcBorders>
              <w:top w:val="single" w:sz="4" w:space="0" w:color="auto"/>
              <w:left w:val="single" w:sz="4" w:space="0" w:color="auto"/>
              <w:bottom w:val="single" w:sz="4" w:space="0" w:color="auto"/>
              <w:right w:val="single" w:sz="4" w:space="0" w:color="auto"/>
            </w:tcBorders>
            <w:vAlign w:val="center"/>
          </w:tcPr>
          <w:p w14:paraId="57538545" w14:textId="4F209229" w:rsidR="002C6140" w:rsidRPr="00574959" w:rsidRDefault="002C6140" w:rsidP="00B430EA">
            <w:pPr>
              <w:jc w:val="center"/>
              <w:rPr>
                <w:rFonts w:ascii="Arial Narrow" w:hAnsi="Arial Narrow"/>
                <w:sz w:val="20"/>
                <w:szCs w:val="20"/>
              </w:rPr>
            </w:pPr>
          </w:p>
        </w:tc>
        <w:tc>
          <w:tcPr>
            <w:tcW w:w="7671" w:type="dxa"/>
            <w:gridSpan w:val="6"/>
            <w:tcBorders>
              <w:top w:val="single" w:sz="4" w:space="0" w:color="auto"/>
              <w:left w:val="single" w:sz="4" w:space="0" w:color="auto"/>
              <w:bottom w:val="single" w:sz="4" w:space="0" w:color="auto"/>
              <w:right w:val="single" w:sz="4" w:space="0" w:color="auto"/>
            </w:tcBorders>
            <w:vAlign w:val="center"/>
          </w:tcPr>
          <w:p w14:paraId="3A2C8354" w14:textId="77777777" w:rsidR="002C6140" w:rsidRPr="00EC424F" w:rsidRDefault="002C6140" w:rsidP="00B430EA">
            <w:pPr>
              <w:rPr>
                <w:rFonts w:ascii="Arial Narrow" w:hAnsi="Arial Narrow"/>
                <w:sz w:val="20"/>
                <w:szCs w:val="20"/>
              </w:rPr>
            </w:pPr>
            <w:r w:rsidRPr="00EC424F">
              <w:rPr>
                <w:rFonts w:ascii="Arial Narrow" w:hAnsi="Arial Narrow"/>
                <w:sz w:val="20"/>
                <w:szCs w:val="20"/>
              </w:rPr>
              <w:t>Prescribing Instructions: At the time of the authority application, details (result and date of result) of the following monitoring requirements must be provided:</w:t>
            </w:r>
          </w:p>
          <w:p w14:paraId="58B7107F" w14:textId="77777777" w:rsidR="002C6140" w:rsidRPr="00EC424F" w:rsidRDefault="002C6140" w:rsidP="00B430EA">
            <w:pPr>
              <w:rPr>
                <w:rFonts w:ascii="Arial Narrow" w:hAnsi="Arial Narrow"/>
                <w:sz w:val="20"/>
                <w:szCs w:val="20"/>
              </w:rPr>
            </w:pPr>
            <w:r w:rsidRPr="00EC424F">
              <w:rPr>
                <w:rFonts w:ascii="Arial Narrow" w:hAnsi="Arial Narrow"/>
                <w:sz w:val="20"/>
                <w:szCs w:val="20"/>
              </w:rPr>
              <w:t>(i) Haemoglobin (g/L)</w:t>
            </w:r>
          </w:p>
          <w:p w14:paraId="0200AFF5" w14:textId="77777777" w:rsidR="002C6140" w:rsidRPr="00EC424F" w:rsidRDefault="002C6140" w:rsidP="00B430EA">
            <w:pPr>
              <w:rPr>
                <w:rFonts w:ascii="Arial Narrow" w:hAnsi="Arial Narrow"/>
                <w:sz w:val="20"/>
                <w:szCs w:val="20"/>
              </w:rPr>
            </w:pPr>
            <w:r w:rsidRPr="00EC424F">
              <w:rPr>
                <w:rFonts w:ascii="Arial Narrow" w:hAnsi="Arial Narrow"/>
                <w:sz w:val="20"/>
                <w:szCs w:val="20"/>
              </w:rPr>
              <w:t>(ii) Platelets (x109/L)</w:t>
            </w:r>
          </w:p>
          <w:p w14:paraId="6F6AF8FB" w14:textId="77777777" w:rsidR="002C6140" w:rsidRPr="00EC424F" w:rsidRDefault="002C6140" w:rsidP="00B430EA">
            <w:pPr>
              <w:rPr>
                <w:rFonts w:ascii="Arial Narrow" w:hAnsi="Arial Narrow"/>
                <w:sz w:val="20"/>
                <w:szCs w:val="20"/>
              </w:rPr>
            </w:pPr>
            <w:r w:rsidRPr="00EC424F">
              <w:rPr>
                <w:rFonts w:ascii="Arial Narrow" w:hAnsi="Arial Narrow"/>
                <w:sz w:val="20"/>
                <w:szCs w:val="20"/>
              </w:rPr>
              <w:t>(iii) White Cell Count (x109/L)</w:t>
            </w:r>
          </w:p>
          <w:p w14:paraId="75DEB11D" w14:textId="77777777" w:rsidR="002C6140" w:rsidRPr="00EC424F" w:rsidRDefault="002C6140" w:rsidP="00B430EA">
            <w:pPr>
              <w:rPr>
                <w:rFonts w:ascii="Arial Narrow" w:hAnsi="Arial Narrow"/>
                <w:sz w:val="20"/>
                <w:szCs w:val="20"/>
              </w:rPr>
            </w:pPr>
            <w:r w:rsidRPr="00EC424F">
              <w:rPr>
                <w:rFonts w:ascii="Arial Narrow" w:hAnsi="Arial Narrow"/>
                <w:sz w:val="20"/>
                <w:szCs w:val="20"/>
              </w:rPr>
              <w:t>(iv) Reticulocytes (x109/L)</w:t>
            </w:r>
          </w:p>
          <w:p w14:paraId="7B3DA715" w14:textId="77777777" w:rsidR="002C6140" w:rsidRPr="00EC424F" w:rsidRDefault="002C6140" w:rsidP="00B430EA">
            <w:pPr>
              <w:rPr>
                <w:rFonts w:ascii="Arial Narrow" w:hAnsi="Arial Narrow"/>
                <w:sz w:val="20"/>
                <w:szCs w:val="20"/>
              </w:rPr>
            </w:pPr>
            <w:r w:rsidRPr="00EC424F">
              <w:rPr>
                <w:rFonts w:ascii="Arial Narrow" w:hAnsi="Arial Narrow"/>
                <w:sz w:val="20"/>
                <w:szCs w:val="20"/>
              </w:rPr>
              <w:t>(v) Neutrophils (x109/L)</w:t>
            </w:r>
          </w:p>
          <w:p w14:paraId="073FD315" w14:textId="77777777" w:rsidR="002C6140" w:rsidRPr="00EC424F" w:rsidRDefault="002C6140" w:rsidP="00B430EA">
            <w:pPr>
              <w:rPr>
                <w:rFonts w:ascii="Arial Narrow" w:hAnsi="Arial Narrow"/>
                <w:sz w:val="20"/>
                <w:szCs w:val="20"/>
              </w:rPr>
            </w:pPr>
            <w:r w:rsidRPr="00EC424F">
              <w:rPr>
                <w:rFonts w:ascii="Arial Narrow" w:hAnsi="Arial Narrow"/>
                <w:sz w:val="20"/>
                <w:szCs w:val="20"/>
              </w:rPr>
              <w:t>(vi) Granulocyte clone size (%)</w:t>
            </w:r>
          </w:p>
          <w:p w14:paraId="3691893F" w14:textId="77777777" w:rsidR="002C6140" w:rsidRPr="00EC424F" w:rsidRDefault="002C6140" w:rsidP="00B430EA">
            <w:pPr>
              <w:rPr>
                <w:rFonts w:ascii="Arial Narrow" w:hAnsi="Arial Narrow"/>
                <w:sz w:val="20"/>
                <w:szCs w:val="20"/>
              </w:rPr>
            </w:pPr>
            <w:r w:rsidRPr="00EC424F">
              <w:rPr>
                <w:rFonts w:ascii="Arial Narrow" w:hAnsi="Arial Narrow"/>
                <w:sz w:val="20"/>
                <w:szCs w:val="20"/>
              </w:rPr>
              <w:t>(vii) Lactate Dehydrogenase (LDH)</w:t>
            </w:r>
          </w:p>
          <w:p w14:paraId="084B0DB5" w14:textId="77777777" w:rsidR="002C6140" w:rsidRPr="00EC424F" w:rsidRDefault="002C6140" w:rsidP="00B430EA">
            <w:pPr>
              <w:rPr>
                <w:rFonts w:ascii="Arial Narrow" w:hAnsi="Arial Narrow"/>
                <w:sz w:val="20"/>
                <w:szCs w:val="20"/>
              </w:rPr>
            </w:pPr>
            <w:r w:rsidRPr="00EC424F">
              <w:rPr>
                <w:rFonts w:ascii="Arial Narrow" w:hAnsi="Arial Narrow"/>
                <w:sz w:val="20"/>
                <w:szCs w:val="20"/>
              </w:rPr>
              <w:t>(viii) the upper limit of normal (ULN) for LDH as quoted by the reporting laboratory</w:t>
            </w:r>
          </w:p>
          <w:p w14:paraId="425987BC" w14:textId="77777777" w:rsidR="002C6140" w:rsidRPr="00EC424F" w:rsidRDefault="002C6140" w:rsidP="00B430EA">
            <w:pPr>
              <w:rPr>
                <w:rFonts w:ascii="Arial Narrow" w:hAnsi="Arial Narrow"/>
                <w:sz w:val="20"/>
                <w:szCs w:val="20"/>
              </w:rPr>
            </w:pPr>
            <w:r w:rsidRPr="00EC424F">
              <w:rPr>
                <w:rFonts w:ascii="Arial Narrow" w:hAnsi="Arial Narrow"/>
                <w:sz w:val="20"/>
                <w:szCs w:val="20"/>
              </w:rPr>
              <w:t>(ix) the LDH:ULN ratio (in figures, rounded to one decimal place)</w:t>
            </w:r>
          </w:p>
        </w:tc>
      </w:tr>
      <w:tr w:rsidR="002C6140" w:rsidRPr="00EC424F" w14:paraId="720BEDAB" w14:textId="77777777" w:rsidTr="00BF35A5">
        <w:trPr>
          <w:cantSplit/>
          <w:trHeight w:val="20"/>
        </w:trPr>
        <w:tc>
          <w:tcPr>
            <w:tcW w:w="1563" w:type="dxa"/>
            <w:gridSpan w:val="2"/>
            <w:tcBorders>
              <w:top w:val="single" w:sz="4" w:space="0" w:color="auto"/>
              <w:left w:val="single" w:sz="4" w:space="0" w:color="auto"/>
              <w:bottom w:val="single" w:sz="4" w:space="0" w:color="auto"/>
              <w:right w:val="single" w:sz="4" w:space="0" w:color="auto"/>
            </w:tcBorders>
            <w:vAlign w:val="center"/>
          </w:tcPr>
          <w:p w14:paraId="792F64C1" w14:textId="2F941EFD" w:rsidR="002C6140" w:rsidRPr="00574959" w:rsidRDefault="002C6140" w:rsidP="00B430EA">
            <w:pPr>
              <w:jc w:val="center"/>
              <w:rPr>
                <w:rFonts w:ascii="Arial Narrow" w:hAnsi="Arial Narrow"/>
                <w:sz w:val="20"/>
                <w:szCs w:val="20"/>
              </w:rPr>
            </w:pPr>
          </w:p>
        </w:tc>
        <w:tc>
          <w:tcPr>
            <w:tcW w:w="7671" w:type="dxa"/>
            <w:gridSpan w:val="6"/>
            <w:tcBorders>
              <w:top w:val="single" w:sz="4" w:space="0" w:color="auto"/>
              <w:left w:val="single" w:sz="4" w:space="0" w:color="auto"/>
              <w:bottom w:val="single" w:sz="4" w:space="0" w:color="auto"/>
              <w:right w:val="single" w:sz="4" w:space="0" w:color="auto"/>
            </w:tcBorders>
            <w:vAlign w:val="center"/>
          </w:tcPr>
          <w:p w14:paraId="2A3944AA" w14:textId="77777777" w:rsidR="002C6140" w:rsidRPr="00EC424F" w:rsidRDefault="002C6140" w:rsidP="00B430EA">
            <w:pPr>
              <w:rPr>
                <w:rFonts w:ascii="Arial Narrow" w:hAnsi="Arial Narrow"/>
                <w:sz w:val="20"/>
                <w:szCs w:val="20"/>
              </w:rPr>
            </w:pPr>
            <w:r w:rsidRPr="00B35896">
              <w:rPr>
                <w:rFonts w:ascii="Arial Narrow" w:hAnsi="Arial Narrow"/>
                <w:b/>
                <w:bCs/>
                <w:sz w:val="20"/>
                <w:szCs w:val="20"/>
              </w:rPr>
              <w:t>Administrative advice</w:t>
            </w:r>
            <w:r w:rsidRPr="00EC424F">
              <w:rPr>
                <w:rFonts w:ascii="Arial Narrow" w:hAnsi="Arial Narrow"/>
                <w:sz w:val="20"/>
                <w:szCs w:val="20"/>
              </w:rPr>
              <w:t>: Patients may qualify for PBS-subsidised treatment under this restriction once only. For continuing PBS-subsidised treatment, a 'Grandfathered' patient must qualify under the 'Continuing treatment' criteria.</w:t>
            </w:r>
          </w:p>
        </w:tc>
      </w:tr>
      <w:tr w:rsidR="002C6140" w:rsidRPr="00EC424F" w14:paraId="704F836E" w14:textId="77777777" w:rsidTr="00BF35A5">
        <w:trPr>
          <w:cantSplit/>
          <w:trHeight w:val="20"/>
        </w:trPr>
        <w:tc>
          <w:tcPr>
            <w:tcW w:w="1563" w:type="dxa"/>
            <w:gridSpan w:val="2"/>
            <w:tcBorders>
              <w:top w:val="single" w:sz="4" w:space="0" w:color="auto"/>
              <w:left w:val="single" w:sz="4" w:space="0" w:color="auto"/>
              <w:bottom w:val="single" w:sz="4" w:space="0" w:color="auto"/>
              <w:right w:val="single" w:sz="4" w:space="0" w:color="auto"/>
            </w:tcBorders>
            <w:vAlign w:val="center"/>
          </w:tcPr>
          <w:p w14:paraId="4EA9B700" w14:textId="60759F8F" w:rsidR="002C6140" w:rsidRPr="00574959" w:rsidRDefault="002C6140" w:rsidP="00B430EA">
            <w:pPr>
              <w:jc w:val="center"/>
              <w:rPr>
                <w:rFonts w:ascii="Arial Narrow" w:hAnsi="Arial Narrow"/>
                <w:sz w:val="20"/>
                <w:szCs w:val="20"/>
              </w:rPr>
            </w:pPr>
          </w:p>
        </w:tc>
        <w:tc>
          <w:tcPr>
            <w:tcW w:w="7671" w:type="dxa"/>
            <w:gridSpan w:val="6"/>
            <w:tcBorders>
              <w:top w:val="single" w:sz="4" w:space="0" w:color="auto"/>
              <w:left w:val="single" w:sz="4" w:space="0" w:color="auto"/>
              <w:bottom w:val="single" w:sz="4" w:space="0" w:color="auto"/>
              <w:right w:val="single" w:sz="4" w:space="0" w:color="auto"/>
            </w:tcBorders>
            <w:vAlign w:val="center"/>
          </w:tcPr>
          <w:p w14:paraId="5FDE5AD5" w14:textId="77777777" w:rsidR="002C6140" w:rsidRPr="00EC424F" w:rsidRDefault="002C6140" w:rsidP="00B430EA">
            <w:pPr>
              <w:rPr>
                <w:rFonts w:ascii="Arial Narrow" w:hAnsi="Arial Narrow"/>
                <w:sz w:val="20"/>
                <w:szCs w:val="20"/>
              </w:rPr>
            </w:pPr>
            <w:r w:rsidRPr="00B35896">
              <w:rPr>
                <w:rFonts w:ascii="Arial Narrow" w:hAnsi="Arial Narrow"/>
                <w:b/>
                <w:bCs/>
                <w:sz w:val="20"/>
                <w:szCs w:val="20"/>
              </w:rPr>
              <w:t>Administrative advice</w:t>
            </w:r>
            <w:r w:rsidRPr="00EC424F">
              <w:rPr>
                <w:rFonts w:ascii="Arial Narrow" w:hAnsi="Arial Narrow"/>
                <w:sz w:val="20"/>
                <w:szCs w:val="20"/>
              </w:rPr>
              <w:t>: This grandfather restriction will cease to operate from 12 months after the date specified in the clinical criteria.</w:t>
            </w:r>
          </w:p>
        </w:tc>
      </w:tr>
    </w:tbl>
    <w:p w14:paraId="5A31087B" w14:textId="77777777" w:rsidR="002C6140" w:rsidRDefault="002C6140" w:rsidP="002C6140">
      <w:pPr>
        <w:rPr>
          <w:rFonts w:ascii="Arial Narrow" w:hAnsi="Arial Narrow" w:cstheme="minorHAnsi"/>
          <w:b/>
          <w:bCs/>
          <w:sz w:val="22"/>
          <w:szCs w:val="22"/>
        </w:rPr>
      </w:pPr>
    </w:p>
    <w:p w14:paraId="261F2F1A" w14:textId="0B498A75" w:rsidR="002C6140" w:rsidRPr="005D3EEB" w:rsidRDefault="005D3EEB" w:rsidP="005D3EEB">
      <w:pPr>
        <w:widowControl w:val="0"/>
        <w:numPr>
          <w:ilvl w:val="1"/>
          <w:numId w:val="1"/>
        </w:numPr>
        <w:spacing w:after="120"/>
        <w:ind w:left="720" w:hanging="720"/>
        <w:contextualSpacing/>
        <w:jc w:val="left"/>
        <w:rPr>
          <w:rFonts w:asciiTheme="minorHAnsi" w:hAnsiTheme="minorHAnsi"/>
          <w:bCs/>
          <w:snapToGrid w:val="0"/>
          <w:lang w:eastAsia="en-US"/>
        </w:rPr>
      </w:pPr>
      <w:bookmarkStart w:id="70" w:name="_Ref172540679"/>
      <w:r w:rsidRPr="005D3EEB">
        <w:rPr>
          <w:bCs/>
          <w:lang w:eastAsia="en-US"/>
        </w:rPr>
        <w:t>Flow on changes to ravulizumab</w:t>
      </w:r>
      <w:r>
        <w:rPr>
          <w:bCs/>
          <w:lang w:eastAsia="en-US"/>
        </w:rPr>
        <w:t xml:space="preserve"> and</w:t>
      </w:r>
      <w:r w:rsidRPr="005D3EEB">
        <w:rPr>
          <w:bCs/>
          <w:lang w:eastAsia="en-US"/>
        </w:rPr>
        <w:t xml:space="preserve"> eculizumab </w:t>
      </w:r>
      <w:r>
        <w:rPr>
          <w:bCs/>
          <w:lang w:eastAsia="en-US"/>
        </w:rPr>
        <w:t>to allow:</w:t>
      </w:r>
      <w:bookmarkEnd w:id="70"/>
    </w:p>
    <w:p w14:paraId="155EB8D0" w14:textId="0E999C13" w:rsidR="002C6140" w:rsidRPr="005D3EEB" w:rsidRDefault="002C6140" w:rsidP="005D3EEB">
      <w:pPr>
        <w:pStyle w:val="COMexecsummbulletlist"/>
        <w:ind w:left="1134"/>
      </w:pPr>
      <w:r w:rsidRPr="005D3EEB">
        <w:t>1-</w:t>
      </w:r>
      <w:r w:rsidR="00460ED9">
        <w:t xml:space="preserve"> </w:t>
      </w:r>
      <w:r w:rsidRPr="005D3EEB">
        <w:t>switching from PBS subsidised iptacopan to eculizumab for pregnancy (induction doses)</w:t>
      </w:r>
    </w:p>
    <w:p w14:paraId="6DE4B829" w14:textId="57CADAF6" w:rsidR="002C6140" w:rsidRDefault="002C6140" w:rsidP="005D3EEB">
      <w:pPr>
        <w:pStyle w:val="COMexecsummbulletlist"/>
        <w:ind w:left="1134"/>
      </w:pPr>
      <w:r w:rsidRPr="005D3EEB">
        <w:t>2-</w:t>
      </w:r>
      <w:r w:rsidR="00460ED9">
        <w:t xml:space="preserve"> </w:t>
      </w:r>
      <w:r w:rsidRPr="005D3EEB">
        <w:t xml:space="preserve">return to one of C5 inhibitors (induction doses) for patients who are intolerant/resistant to iptacopan. </w:t>
      </w:r>
    </w:p>
    <w:p w14:paraId="4EB1C47F" w14:textId="5D652F79" w:rsidR="009651D9" w:rsidRPr="005D3EEB" w:rsidRDefault="009651D9" w:rsidP="00132F2D">
      <w:pPr>
        <w:pStyle w:val="COMexecsummbulletlist"/>
        <w:numPr>
          <w:ilvl w:val="0"/>
          <w:numId w:val="0"/>
        </w:numPr>
        <w:ind w:firstLine="720"/>
      </w:pPr>
      <w:r>
        <w:t xml:space="preserve">Additions </w:t>
      </w:r>
      <w:r w:rsidRPr="00CB6B88">
        <w:t>are in italics and deletions are in strikethrough.</w:t>
      </w:r>
    </w:p>
    <w:tbl>
      <w:tblPr>
        <w:tblW w:w="4950" w:type="pct"/>
        <w:shd w:val="clear" w:color="auto" w:fill="FFFFFF"/>
        <w:tblCellMar>
          <w:left w:w="0" w:type="dxa"/>
          <w:right w:w="0" w:type="dxa"/>
        </w:tblCellMar>
        <w:tblLook w:val="04A0" w:firstRow="1" w:lastRow="0" w:firstColumn="1" w:lastColumn="0" w:noHBand="0" w:noVBand="1"/>
      </w:tblPr>
      <w:tblGrid>
        <w:gridCol w:w="2547"/>
        <w:gridCol w:w="1843"/>
        <w:gridCol w:w="850"/>
        <w:gridCol w:w="850"/>
        <w:gridCol w:w="852"/>
        <w:gridCol w:w="1985"/>
      </w:tblGrid>
      <w:tr w:rsidR="002C6140" w:rsidRPr="001470A7" w14:paraId="0EB8CBBF" w14:textId="77777777" w:rsidTr="007F4886">
        <w:trPr>
          <w:trHeight w:val="510"/>
        </w:trPr>
        <w:tc>
          <w:tcPr>
            <w:tcW w:w="1427" w:type="pct"/>
            <w:tcBorders>
              <w:top w:val="single" w:sz="4" w:space="0" w:color="auto"/>
              <w:left w:val="single" w:sz="4" w:space="0" w:color="auto"/>
              <w:right w:val="single" w:sz="4" w:space="0" w:color="auto"/>
            </w:tcBorders>
            <w:shd w:val="clear" w:color="auto" w:fill="auto"/>
            <w:tcMar>
              <w:top w:w="0" w:type="dxa"/>
              <w:left w:w="240" w:type="dxa"/>
              <w:bottom w:w="0" w:type="dxa"/>
              <w:right w:w="240" w:type="dxa"/>
            </w:tcMar>
            <w:vAlign w:val="center"/>
          </w:tcPr>
          <w:p w14:paraId="7A79EA5D" w14:textId="77777777" w:rsidR="002C6140" w:rsidRPr="001470A7" w:rsidRDefault="002C6140" w:rsidP="00974DAA">
            <w:pPr>
              <w:keepNext/>
              <w:ind w:left="-57"/>
              <w:jc w:val="left"/>
              <w:rPr>
                <w:rFonts w:ascii="Arial Narrow" w:eastAsia="Calibri" w:hAnsi="Arial Narrow" w:cstheme="minorBidi"/>
                <w:b/>
                <w:bCs/>
                <w:sz w:val="20"/>
                <w:szCs w:val="20"/>
              </w:rPr>
            </w:pPr>
            <w:bookmarkStart w:id="71" w:name="_Hlk108685787"/>
            <w:r w:rsidRPr="001470A7">
              <w:rPr>
                <w:rFonts w:ascii="Arial Narrow" w:eastAsia="Calibri" w:hAnsi="Arial Narrow" w:cstheme="minorBidi"/>
                <w:b/>
                <w:bCs/>
                <w:sz w:val="20"/>
                <w:szCs w:val="20"/>
              </w:rPr>
              <w:t>MEDICINAL PRODUCT</w:t>
            </w:r>
          </w:p>
          <w:p w14:paraId="3220DA29" w14:textId="77777777" w:rsidR="002C6140" w:rsidRPr="001470A7" w:rsidRDefault="002C6140" w:rsidP="00974DAA">
            <w:pPr>
              <w:keepNext/>
              <w:ind w:left="-57"/>
              <w:jc w:val="left"/>
              <w:rPr>
                <w:rFonts w:ascii="Arial Narrow" w:eastAsia="Calibri" w:hAnsi="Arial Narrow" w:cstheme="minorBidi"/>
                <w:b/>
                <w:bCs/>
                <w:sz w:val="20"/>
                <w:szCs w:val="20"/>
              </w:rPr>
            </w:pPr>
            <w:r w:rsidRPr="001470A7">
              <w:rPr>
                <w:rFonts w:ascii="Arial Narrow" w:eastAsia="Calibri" w:hAnsi="Arial Narrow" w:cstheme="minorBidi"/>
                <w:b/>
                <w:bCs/>
                <w:sz w:val="20"/>
                <w:szCs w:val="20"/>
              </w:rPr>
              <w:t>Medicinal Product pack</w:t>
            </w:r>
          </w:p>
        </w:tc>
        <w:tc>
          <w:tcPr>
            <w:tcW w:w="1032" w:type="pct"/>
            <w:tcBorders>
              <w:top w:val="single" w:sz="4" w:space="0" w:color="auto"/>
              <w:left w:val="single" w:sz="4" w:space="0" w:color="auto"/>
              <w:right w:val="single" w:sz="4" w:space="0" w:color="auto"/>
            </w:tcBorders>
            <w:shd w:val="clear" w:color="auto" w:fill="auto"/>
            <w:vAlign w:val="center"/>
          </w:tcPr>
          <w:p w14:paraId="315E31C9" w14:textId="77777777" w:rsidR="002C6140" w:rsidRPr="001470A7" w:rsidRDefault="002C6140" w:rsidP="00974DAA">
            <w:pPr>
              <w:keepNext/>
              <w:ind w:right="57"/>
              <w:jc w:val="center"/>
              <w:rPr>
                <w:rFonts w:ascii="Arial Narrow" w:eastAsia="Calibri" w:hAnsi="Arial Narrow"/>
                <w:sz w:val="20"/>
                <w:szCs w:val="20"/>
              </w:rPr>
            </w:pPr>
            <w:r w:rsidRPr="001470A7">
              <w:rPr>
                <w:rFonts w:ascii="Arial Narrow" w:eastAsia="Calibri" w:hAnsi="Arial Narrow" w:cstheme="minorBidi"/>
                <w:b/>
                <w:sz w:val="20"/>
                <w:szCs w:val="20"/>
              </w:rPr>
              <w:t>PBS item code</w:t>
            </w:r>
          </w:p>
        </w:tc>
        <w:tc>
          <w:tcPr>
            <w:tcW w:w="476" w:type="pct"/>
            <w:tcBorders>
              <w:top w:val="single" w:sz="4" w:space="0" w:color="auto"/>
              <w:left w:val="single" w:sz="4" w:space="0" w:color="auto"/>
              <w:right w:val="single" w:sz="4" w:space="0" w:color="auto"/>
            </w:tcBorders>
            <w:shd w:val="clear" w:color="auto" w:fill="auto"/>
            <w:vAlign w:val="center"/>
          </w:tcPr>
          <w:p w14:paraId="05A8AC29" w14:textId="39F135DC" w:rsidR="002C6140" w:rsidRPr="001470A7" w:rsidRDefault="002C6140" w:rsidP="00974DAA">
            <w:pPr>
              <w:keepNext/>
              <w:ind w:left="-36" w:right="57"/>
              <w:jc w:val="center"/>
              <w:rPr>
                <w:rFonts w:ascii="Arial Narrow" w:eastAsia="Calibri" w:hAnsi="Arial Narrow"/>
                <w:sz w:val="20"/>
                <w:szCs w:val="20"/>
              </w:rPr>
            </w:pPr>
            <w:r w:rsidRPr="001470A7">
              <w:rPr>
                <w:rFonts w:ascii="Arial Narrow" w:eastAsia="Calibri" w:hAnsi="Arial Narrow"/>
                <w:b/>
                <w:sz w:val="20"/>
                <w:szCs w:val="20"/>
              </w:rPr>
              <w:t>Max. qty packs</w:t>
            </w:r>
          </w:p>
        </w:tc>
        <w:tc>
          <w:tcPr>
            <w:tcW w:w="476" w:type="pct"/>
            <w:tcBorders>
              <w:top w:val="single" w:sz="4" w:space="0" w:color="auto"/>
              <w:left w:val="single" w:sz="4" w:space="0" w:color="auto"/>
              <w:right w:val="single" w:sz="4" w:space="0" w:color="auto"/>
            </w:tcBorders>
            <w:shd w:val="clear" w:color="auto" w:fill="auto"/>
            <w:vAlign w:val="center"/>
          </w:tcPr>
          <w:p w14:paraId="32E166F4" w14:textId="77777777" w:rsidR="002C6140" w:rsidRPr="001470A7" w:rsidRDefault="002C6140" w:rsidP="00974DAA">
            <w:pPr>
              <w:keepNext/>
              <w:ind w:right="57"/>
              <w:jc w:val="center"/>
              <w:rPr>
                <w:rFonts w:ascii="Arial Narrow" w:eastAsia="Calibri" w:hAnsi="Arial Narrow"/>
                <w:sz w:val="20"/>
                <w:szCs w:val="20"/>
              </w:rPr>
            </w:pPr>
            <w:r w:rsidRPr="001470A7">
              <w:rPr>
                <w:rFonts w:ascii="Arial Narrow" w:eastAsia="Calibri" w:hAnsi="Arial Narrow"/>
                <w:b/>
                <w:sz w:val="20"/>
                <w:szCs w:val="20"/>
              </w:rPr>
              <w:t>Max. qty units</w:t>
            </w:r>
          </w:p>
        </w:tc>
        <w:tc>
          <w:tcPr>
            <w:tcW w:w="477" w:type="pct"/>
            <w:tcBorders>
              <w:top w:val="single" w:sz="4" w:space="0" w:color="auto"/>
              <w:left w:val="single" w:sz="4" w:space="0" w:color="auto"/>
              <w:right w:val="single" w:sz="4" w:space="0" w:color="auto"/>
            </w:tcBorders>
            <w:shd w:val="clear" w:color="auto" w:fill="auto"/>
            <w:vAlign w:val="center"/>
          </w:tcPr>
          <w:p w14:paraId="0C37721D" w14:textId="77777777" w:rsidR="002C6140" w:rsidRPr="001470A7" w:rsidRDefault="002C6140" w:rsidP="007F4886">
            <w:pPr>
              <w:keepNext/>
              <w:ind w:left="-6" w:right="57"/>
              <w:jc w:val="center"/>
              <w:rPr>
                <w:rFonts w:ascii="Arial Narrow" w:eastAsia="Calibri" w:hAnsi="Arial Narrow"/>
                <w:sz w:val="20"/>
                <w:szCs w:val="20"/>
              </w:rPr>
            </w:pPr>
            <w:r w:rsidRPr="001470A7">
              <w:rPr>
                <w:rFonts w:ascii="Arial Narrow" w:eastAsia="Calibri" w:hAnsi="Arial Narrow" w:cstheme="minorBidi"/>
                <w:b/>
                <w:sz w:val="20"/>
                <w:szCs w:val="20"/>
              </w:rPr>
              <w:t xml:space="preserve">№. of </w:t>
            </w:r>
            <w:r w:rsidRPr="001470A7">
              <w:rPr>
                <w:rFonts w:ascii="Arial Narrow" w:eastAsia="Calibri" w:hAnsi="Arial Narrow" w:cstheme="minorBidi"/>
                <w:b/>
                <w:sz w:val="20"/>
                <w:szCs w:val="20"/>
              </w:rPr>
              <w:br/>
              <w:t>Rpts</w:t>
            </w:r>
          </w:p>
        </w:tc>
        <w:tc>
          <w:tcPr>
            <w:tcW w:w="1112" w:type="pct"/>
            <w:tcBorders>
              <w:top w:val="single" w:sz="4" w:space="0" w:color="auto"/>
              <w:left w:val="single" w:sz="4" w:space="0" w:color="auto"/>
              <w:right w:val="single" w:sz="4" w:space="0" w:color="auto"/>
            </w:tcBorders>
            <w:shd w:val="clear" w:color="auto" w:fill="auto"/>
            <w:vAlign w:val="center"/>
          </w:tcPr>
          <w:p w14:paraId="46218359" w14:textId="77777777" w:rsidR="002C6140" w:rsidRPr="001470A7" w:rsidRDefault="002C6140" w:rsidP="00974DAA">
            <w:pPr>
              <w:keepNext/>
              <w:ind w:right="57"/>
              <w:jc w:val="center"/>
              <w:rPr>
                <w:rFonts w:ascii="Arial Narrow" w:eastAsia="Calibri" w:hAnsi="Arial Narrow"/>
                <w:sz w:val="20"/>
                <w:szCs w:val="20"/>
              </w:rPr>
            </w:pPr>
            <w:r w:rsidRPr="001470A7">
              <w:rPr>
                <w:rFonts w:ascii="Arial Narrow" w:eastAsia="Calibri" w:hAnsi="Arial Narrow" w:cstheme="minorBidi"/>
                <w:b/>
                <w:sz w:val="20"/>
                <w:szCs w:val="20"/>
              </w:rPr>
              <w:t>Available brands</w:t>
            </w:r>
          </w:p>
        </w:tc>
      </w:tr>
      <w:tr w:rsidR="002C6140" w:rsidRPr="001470A7" w14:paraId="386A41F1" w14:textId="77777777" w:rsidTr="007F4886">
        <w:trPr>
          <w:trHeight w:val="624"/>
        </w:trPr>
        <w:tc>
          <w:tcPr>
            <w:tcW w:w="1427" w:type="pct"/>
            <w:tcBorders>
              <w:top w:val="single" w:sz="4" w:space="0" w:color="auto"/>
              <w:left w:val="single" w:sz="4" w:space="0" w:color="auto"/>
              <w:right w:val="single" w:sz="4" w:space="0" w:color="auto"/>
            </w:tcBorders>
            <w:shd w:val="clear" w:color="auto" w:fill="auto"/>
            <w:tcMar>
              <w:top w:w="0" w:type="dxa"/>
              <w:left w:w="240" w:type="dxa"/>
              <w:bottom w:w="0" w:type="dxa"/>
              <w:right w:w="240" w:type="dxa"/>
            </w:tcMar>
            <w:vAlign w:val="center"/>
          </w:tcPr>
          <w:p w14:paraId="626D0CC4" w14:textId="5F42DDDD" w:rsidR="002C6140" w:rsidRPr="001470A7" w:rsidRDefault="002C6140" w:rsidP="00974DAA">
            <w:pPr>
              <w:keepNext/>
              <w:ind w:left="-57" w:right="57"/>
              <w:jc w:val="left"/>
              <w:rPr>
                <w:rFonts w:ascii="Arial Narrow" w:eastAsia="Calibri" w:hAnsi="Arial Narrow"/>
                <w:sz w:val="20"/>
                <w:szCs w:val="20"/>
              </w:rPr>
            </w:pPr>
            <w:r w:rsidRPr="001470A7">
              <w:rPr>
                <w:rFonts w:ascii="Arial Narrow" w:eastAsia="Calibri" w:hAnsi="Arial Narrow"/>
                <w:sz w:val="20"/>
                <w:szCs w:val="20"/>
              </w:rPr>
              <w:t>eculizumab 300 mg/</w:t>
            </w:r>
            <w:r w:rsidR="00974DAA">
              <w:rPr>
                <w:rFonts w:ascii="Arial Narrow" w:eastAsia="Calibri" w:hAnsi="Arial Narrow"/>
                <w:sz w:val="20"/>
                <w:szCs w:val="20"/>
              </w:rPr>
              <w:t xml:space="preserve"> </w:t>
            </w:r>
            <w:r w:rsidRPr="001470A7">
              <w:rPr>
                <w:rFonts w:ascii="Arial Narrow" w:eastAsia="Calibri" w:hAnsi="Arial Narrow"/>
                <w:sz w:val="20"/>
                <w:szCs w:val="20"/>
              </w:rPr>
              <w:t>30</w:t>
            </w:r>
            <w:r w:rsidR="00974DAA">
              <w:rPr>
                <w:rFonts w:ascii="Arial Narrow" w:eastAsia="Calibri" w:hAnsi="Arial Narrow"/>
                <w:sz w:val="20"/>
                <w:szCs w:val="20"/>
              </w:rPr>
              <w:t> </w:t>
            </w:r>
            <w:r w:rsidRPr="001470A7">
              <w:rPr>
                <w:rFonts w:ascii="Arial Narrow" w:eastAsia="Calibri" w:hAnsi="Arial Narrow"/>
                <w:sz w:val="20"/>
                <w:szCs w:val="20"/>
              </w:rPr>
              <w:t>mL injection, 30 mL vial</w:t>
            </w:r>
          </w:p>
        </w:tc>
        <w:tc>
          <w:tcPr>
            <w:tcW w:w="1032" w:type="pct"/>
            <w:tcBorders>
              <w:top w:val="single" w:sz="4" w:space="0" w:color="auto"/>
              <w:left w:val="single" w:sz="4" w:space="0" w:color="auto"/>
              <w:right w:val="single" w:sz="4" w:space="0" w:color="auto"/>
            </w:tcBorders>
            <w:shd w:val="clear" w:color="auto" w:fill="auto"/>
            <w:vAlign w:val="center"/>
          </w:tcPr>
          <w:p w14:paraId="0C8FA5C1" w14:textId="77777777" w:rsidR="002C6140" w:rsidRPr="001470A7" w:rsidRDefault="002C6140" w:rsidP="00974DAA">
            <w:pPr>
              <w:keepNext/>
              <w:ind w:right="57"/>
              <w:jc w:val="center"/>
              <w:rPr>
                <w:rFonts w:ascii="Arial Narrow" w:eastAsia="Calibri" w:hAnsi="Arial Narrow"/>
                <w:sz w:val="20"/>
                <w:szCs w:val="20"/>
              </w:rPr>
            </w:pPr>
            <w:r w:rsidRPr="001470A7">
              <w:rPr>
                <w:rFonts w:ascii="Arial Narrow" w:eastAsia="Calibri" w:hAnsi="Arial Narrow"/>
                <w:sz w:val="20"/>
                <w:szCs w:val="20"/>
              </w:rPr>
              <w:t>12840T (Public)</w:t>
            </w:r>
          </w:p>
          <w:p w14:paraId="2D24EF21" w14:textId="0F4D5C65" w:rsidR="002C6140" w:rsidRPr="001470A7" w:rsidRDefault="002C6140" w:rsidP="00974DAA">
            <w:pPr>
              <w:keepNext/>
              <w:ind w:right="57"/>
              <w:jc w:val="center"/>
              <w:rPr>
                <w:rFonts w:ascii="Arial Narrow" w:eastAsia="Calibri" w:hAnsi="Arial Narrow"/>
                <w:sz w:val="20"/>
                <w:szCs w:val="20"/>
              </w:rPr>
            </w:pPr>
            <w:r w:rsidRPr="001470A7">
              <w:rPr>
                <w:rFonts w:ascii="Arial Narrow" w:eastAsia="Calibri" w:hAnsi="Arial Narrow"/>
                <w:sz w:val="20"/>
                <w:szCs w:val="20"/>
              </w:rPr>
              <w:t>12896R (Private)</w:t>
            </w:r>
          </w:p>
        </w:tc>
        <w:tc>
          <w:tcPr>
            <w:tcW w:w="476" w:type="pct"/>
            <w:tcBorders>
              <w:top w:val="single" w:sz="4" w:space="0" w:color="auto"/>
              <w:left w:val="single" w:sz="4" w:space="0" w:color="auto"/>
              <w:right w:val="single" w:sz="4" w:space="0" w:color="auto"/>
            </w:tcBorders>
            <w:shd w:val="clear" w:color="auto" w:fill="auto"/>
            <w:vAlign w:val="center"/>
          </w:tcPr>
          <w:p w14:paraId="7CF69A07" w14:textId="77777777" w:rsidR="002C6140" w:rsidRPr="001470A7" w:rsidRDefault="002C6140" w:rsidP="00974DAA">
            <w:pPr>
              <w:keepNext/>
              <w:ind w:left="-36" w:right="57"/>
              <w:jc w:val="center"/>
              <w:rPr>
                <w:rFonts w:ascii="Arial Narrow" w:eastAsia="Calibri" w:hAnsi="Arial Narrow"/>
                <w:sz w:val="20"/>
                <w:szCs w:val="20"/>
              </w:rPr>
            </w:pPr>
            <w:r w:rsidRPr="001470A7">
              <w:rPr>
                <w:rFonts w:ascii="Arial Narrow" w:eastAsia="Calibri" w:hAnsi="Arial Narrow"/>
                <w:sz w:val="20"/>
                <w:szCs w:val="20"/>
              </w:rPr>
              <w:t>8</w:t>
            </w:r>
          </w:p>
        </w:tc>
        <w:tc>
          <w:tcPr>
            <w:tcW w:w="476" w:type="pct"/>
            <w:tcBorders>
              <w:top w:val="single" w:sz="4" w:space="0" w:color="auto"/>
              <w:left w:val="single" w:sz="4" w:space="0" w:color="auto"/>
              <w:right w:val="single" w:sz="4" w:space="0" w:color="auto"/>
            </w:tcBorders>
            <w:shd w:val="clear" w:color="auto" w:fill="auto"/>
            <w:vAlign w:val="center"/>
          </w:tcPr>
          <w:p w14:paraId="1B8004F8" w14:textId="2280D4B1" w:rsidR="002C6140" w:rsidRPr="001470A7" w:rsidRDefault="002C6140" w:rsidP="00974DAA">
            <w:pPr>
              <w:keepNext/>
              <w:ind w:right="57"/>
              <w:jc w:val="center"/>
              <w:rPr>
                <w:rFonts w:ascii="Arial Narrow" w:eastAsia="Calibri" w:hAnsi="Arial Narrow"/>
                <w:sz w:val="20"/>
                <w:szCs w:val="20"/>
              </w:rPr>
            </w:pPr>
            <w:r w:rsidRPr="001470A7">
              <w:rPr>
                <w:rFonts w:ascii="Arial Narrow" w:eastAsia="Calibri" w:hAnsi="Arial Narrow"/>
                <w:sz w:val="20"/>
                <w:szCs w:val="20"/>
              </w:rPr>
              <w:t>8</w:t>
            </w:r>
          </w:p>
        </w:tc>
        <w:tc>
          <w:tcPr>
            <w:tcW w:w="477" w:type="pct"/>
            <w:tcBorders>
              <w:top w:val="single" w:sz="4" w:space="0" w:color="auto"/>
              <w:left w:val="single" w:sz="4" w:space="0" w:color="auto"/>
              <w:right w:val="single" w:sz="4" w:space="0" w:color="auto"/>
            </w:tcBorders>
            <w:shd w:val="clear" w:color="auto" w:fill="auto"/>
            <w:vAlign w:val="center"/>
          </w:tcPr>
          <w:p w14:paraId="194B4C7A" w14:textId="77777777" w:rsidR="002C6140" w:rsidRPr="001470A7" w:rsidRDefault="002C6140" w:rsidP="007F4886">
            <w:pPr>
              <w:keepNext/>
              <w:spacing w:line="360" w:lineRule="auto"/>
              <w:ind w:left="-6" w:right="57"/>
              <w:jc w:val="center"/>
              <w:rPr>
                <w:rFonts w:ascii="Arial Narrow" w:eastAsia="Calibri" w:hAnsi="Arial Narrow"/>
                <w:sz w:val="20"/>
                <w:szCs w:val="20"/>
              </w:rPr>
            </w:pPr>
            <w:r w:rsidRPr="001470A7">
              <w:rPr>
                <w:rFonts w:ascii="Arial Narrow" w:eastAsia="Calibri" w:hAnsi="Arial Narrow"/>
                <w:sz w:val="20"/>
                <w:szCs w:val="20"/>
              </w:rPr>
              <w:t>0</w:t>
            </w:r>
          </w:p>
        </w:tc>
        <w:tc>
          <w:tcPr>
            <w:tcW w:w="1112" w:type="pct"/>
            <w:tcBorders>
              <w:top w:val="single" w:sz="4" w:space="0" w:color="auto"/>
              <w:left w:val="single" w:sz="4" w:space="0" w:color="auto"/>
              <w:right w:val="single" w:sz="4" w:space="0" w:color="auto"/>
            </w:tcBorders>
            <w:shd w:val="clear" w:color="auto" w:fill="auto"/>
            <w:vAlign w:val="center"/>
          </w:tcPr>
          <w:p w14:paraId="78C1A880" w14:textId="25DE54C0" w:rsidR="002C6140" w:rsidRPr="001470A7" w:rsidRDefault="002C6140" w:rsidP="00974DAA">
            <w:pPr>
              <w:keepNext/>
              <w:ind w:left="-170" w:right="57" w:firstLine="165"/>
              <w:jc w:val="center"/>
              <w:rPr>
                <w:rFonts w:ascii="Arial Narrow" w:eastAsia="Calibri" w:hAnsi="Arial Narrow"/>
                <w:sz w:val="20"/>
                <w:szCs w:val="20"/>
              </w:rPr>
            </w:pPr>
            <w:r w:rsidRPr="001470A7">
              <w:rPr>
                <w:rFonts w:ascii="Arial Narrow" w:eastAsia="Calibri" w:hAnsi="Arial Narrow"/>
                <w:sz w:val="20"/>
                <w:szCs w:val="20"/>
              </w:rPr>
              <w:t>Soliris</w:t>
            </w:r>
          </w:p>
        </w:tc>
      </w:tr>
    </w:tbl>
    <w:tbl>
      <w:tblPr>
        <w:tblStyle w:val="TableGridLight1"/>
        <w:tblW w:w="8926"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7371"/>
      </w:tblGrid>
      <w:tr w:rsidR="002C6140" w:rsidRPr="001470A7" w14:paraId="7D2D4FAB" w14:textId="77777777" w:rsidTr="00BF35A5">
        <w:tc>
          <w:tcPr>
            <w:tcW w:w="8926" w:type="dxa"/>
            <w:gridSpan w:val="2"/>
            <w:vAlign w:val="center"/>
          </w:tcPr>
          <w:p w14:paraId="5F7095BD" w14:textId="77777777" w:rsidR="002C6140" w:rsidRPr="001470A7" w:rsidRDefault="002C6140" w:rsidP="00BF35A5">
            <w:pPr>
              <w:rPr>
                <w:rFonts w:ascii="Arial Narrow" w:hAnsi="Arial Narrow"/>
                <w:b/>
                <w:bCs/>
                <w:sz w:val="20"/>
                <w:szCs w:val="20"/>
              </w:rPr>
            </w:pPr>
            <w:r w:rsidRPr="001470A7">
              <w:rPr>
                <w:rFonts w:ascii="Arial Narrow" w:hAnsi="Arial Narrow"/>
                <w:b/>
                <w:bCs/>
                <w:sz w:val="20"/>
                <w:szCs w:val="20"/>
              </w:rPr>
              <w:t>Edit of Restriction Summary 13458 / ToC: 13458: Authority Required</w:t>
            </w:r>
          </w:p>
        </w:tc>
      </w:tr>
      <w:tr w:rsidR="002C6140" w:rsidRPr="001470A7" w14:paraId="6CC3B4D9" w14:textId="77777777" w:rsidTr="00BF35A5">
        <w:tc>
          <w:tcPr>
            <w:tcW w:w="1555" w:type="dxa"/>
            <w:tcBorders>
              <w:bottom w:val="single" w:sz="4" w:space="0" w:color="auto"/>
            </w:tcBorders>
            <w:vAlign w:val="center"/>
          </w:tcPr>
          <w:p w14:paraId="4E56556C" w14:textId="77777777" w:rsidR="002C6140" w:rsidRPr="001470A7" w:rsidRDefault="002C6140" w:rsidP="00BF35A5">
            <w:pPr>
              <w:ind w:left="720" w:hanging="720"/>
              <w:jc w:val="center"/>
              <w:rPr>
                <w:rFonts w:ascii="Arial Narrow" w:hAnsi="Arial Narrow"/>
                <w:sz w:val="20"/>
                <w:szCs w:val="20"/>
              </w:rPr>
            </w:pPr>
          </w:p>
        </w:tc>
        <w:tc>
          <w:tcPr>
            <w:tcW w:w="7371" w:type="dxa"/>
            <w:tcBorders>
              <w:bottom w:val="single" w:sz="4" w:space="0" w:color="auto"/>
            </w:tcBorders>
            <w:vAlign w:val="center"/>
          </w:tcPr>
          <w:p w14:paraId="6117E547" w14:textId="77777777" w:rsidR="002C6140" w:rsidRPr="001470A7" w:rsidRDefault="002C6140" w:rsidP="00BF35A5">
            <w:pPr>
              <w:ind w:left="-57"/>
              <w:rPr>
                <w:rFonts w:ascii="Arial Narrow" w:hAnsi="Arial Narrow"/>
                <w:b/>
                <w:bCs/>
                <w:sz w:val="20"/>
                <w:szCs w:val="20"/>
              </w:rPr>
            </w:pPr>
          </w:p>
        </w:tc>
      </w:tr>
      <w:tr w:rsidR="002C6140" w:rsidRPr="001470A7" w14:paraId="11054C7A" w14:textId="77777777" w:rsidTr="00CD1203">
        <w:tc>
          <w:tcPr>
            <w:tcW w:w="1555" w:type="dxa"/>
            <w:tcBorders>
              <w:top w:val="single" w:sz="4" w:space="0" w:color="auto"/>
              <w:left w:val="single" w:sz="4" w:space="0" w:color="auto"/>
              <w:bottom w:val="single" w:sz="4" w:space="0" w:color="auto"/>
              <w:right w:val="single" w:sz="4" w:space="0" w:color="auto"/>
            </w:tcBorders>
          </w:tcPr>
          <w:p w14:paraId="2AFDE3CA" w14:textId="1B770E03"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9189911" w14:textId="77777777" w:rsidR="002C6140" w:rsidRPr="001470A7" w:rsidRDefault="002C6140" w:rsidP="00BF35A5">
            <w:pPr>
              <w:textAlignment w:val="baseline"/>
              <w:rPr>
                <w:rFonts w:ascii="Arial Narrow" w:hAnsi="Arial Narrow" w:cs="Open Sans"/>
                <w:color w:val="333333"/>
                <w:sz w:val="20"/>
                <w:szCs w:val="20"/>
              </w:rPr>
            </w:pPr>
            <w:r w:rsidRPr="001470A7">
              <w:rPr>
                <w:rFonts w:ascii="Arial Narrow" w:hAnsi="Arial Narrow" w:cs="Open Sans"/>
                <w:b/>
                <w:bCs/>
                <w:color w:val="333333"/>
                <w:sz w:val="20"/>
                <w:szCs w:val="20"/>
                <w:bdr w:val="none" w:sz="0" w:space="0" w:color="auto" w:frame="1"/>
              </w:rPr>
              <w:t>Indication:</w:t>
            </w:r>
          </w:p>
          <w:p w14:paraId="6FB51576" w14:textId="77777777" w:rsidR="002C6140" w:rsidRPr="001470A7" w:rsidRDefault="002C6140" w:rsidP="00BF35A5">
            <w:pPr>
              <w:textAlignment w:val="baseline"/>
              <w:rPr>
                <w:rFonts w:ascii="Arial Narrow" w:hAnsi="Arial Narrow" w:cs="Open Sans"/>
                <w:color w:val="333333"/>
                <w:sz w:val="20"/>
                <w:szCs w:val="20"/>
              </w:rPr>
            </w:pPr>
            <w:r w:rsidRPr="001470A7">
              <w:rPr>
                <w:rFonts w:ascii="Arial Narrow" w:hAnsi="Arial Narrow" w:cs="Open Sans"/>
                <w:color w:val="333333"/>
                <w:sz w:val="20"/>
                <w:szCs w:val="20"/>
              </w:rPr>
              <w:t>Paroxysmal nocturnal haemoglobinuria (PNH)</w:t>
            </w:r>
          </w:p>
        </w:tc>
      </w:tr>
      <w:tr w:rsidR="002C6140" w:rsidRPr="001470A7" w14:paraId="78A33C1B" w14:textId="77777777" w:rsidTr="00CD1203">
        <w:tc>
          <w:tcPr>
            <w:tcW w:w="1555" w:type="dxa"/>
            <w:tcBorders>
              <w:top w:val="single" w:sz="4" w:space="0" w:color="auto"/>
              <w:left w:val="single" w:sz="4" w:space="0" w:color="auto"/>
              <w:bottom w:val="single" w:sz="4" w:space="0" w:color="auto"/>
              <w:right w:val="single" w:sz="4" w:space="0" w:color="auto"/>
            </w:tcBorders>
          </w:tcPr>
          <w:p w14:paraId="13539A7F" w14:textId="77777777" w:rsidR="002C6140" w:rsidRPr="001470A7" w:rsidRDefault="002C6140" w:rsidP="00BF35A5">
            <w:pPr>
              <w:jc w:val="center"/>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95ABA21" w14:textId="77777777" w:rsidR="002C6140" w:rsidRPr="001470A7" w:rsidRDefault="002C6140" w:rsidP="00BF35A5">
            <w:pPr>
              <w:textAlignment w:val="baseline"/>
              <w:rPr>
                <w:rFonts w:ascii="Arial Narrow" w:hAnsi="Arial Narrow" w:cs="Open Sans"/>
                <w:color w:val="333333"/>
                <w:sz w:val="20"/>
                <w:szCs w:val="20"/>
              </w:rPr>
            </w:pPr>
            <w:r w:rsidRPr="001470A7">
              <w:rPr>
                <w:rFonts w:ascii="Arial Narrow" w:hAnsi="Arial Narrow" w:cs="Open Sans"/>
                <w:b/>
                <w:bCs/>
                <w:color w:val="333333"/>
                <w:sz w:val="20"/>
                <w:szCs w:val="20"/>
                <w:bdr w:val="none" w:sz="0" w:space="0" w:color="auto" w:frame="1"/>
              </w:rPr>
              <w:t xml:space="preserve">Treatment Phase: </w:t>
            </w:r>
            <w:r w:rsidRPr="001470A7">
              <w:rPr>
                <w:rFonts w:ascii="Arial Narrow" w:hAnsi="Arial Narrow" w:cs="Open Sans"/>
                <w:color w:val="333333"/>
                <w:sz w:val="20"/>
                <w:szCs w:val="20"/>
                <w:bdr w:val="none" w:sz="0" w:space="0" w:color="auto" w:frame="1"/>
              </w:rPr>
              <w:t>Initial treatment –</w:t>
            </w:r>
            <w:r w:rsidRPr="001470A7">
              <w:rPr>
                <w:rFonts w:ascii="Arial Narrow" w:hAnsi="Arial Narrow" w:cs="Open Sans"/>
                <w:b/>
                <w:bCs/>
                <w:color w:val="333333"/>
                <w:sz w:val="20"/>
                <w:szCs w:val="20"/>
                <w:bdr w:val="none" w:sz="0" w:space="0" w:color="auto" w:frame="1"/>
              </w:rPr>
              <w:t xml:space="preserve"> </w:t>
            </w:r>
            <w:r w:rsidRPr="001470A7">
              <w:rPr>
                <w:rFonts w:ascii="Arial Narrow" w:hAnsi="Arial Narrow" w:cs="Open Sans"/>
                <w:color w:val="333333"/>
                <w:sz w:val="20"/>
                <w:szCs w:val="20"/>
                <w:bdr w:val="none" w:sz="0" w:space="0" w:color="auto" w:frame="1"/>
              </w:rPr>
              <w:t xml:space="preserve">(initial 3) switching from PBS-subsidised pegcetacoplan </w:t>
            </w:r>
            <w:r w:rsidRPr="009651D9">
              <w:rPr>
                <w:rFonts w:ascii="Arial Narrow" w:hAnsi="Arial Narrow" w:cs="Open Sans"/>
                <w:i/>
                <w:iCs/>
                <w:color w:val="333333"/>
                <w:sz w:val="20"/>
                <w:szCs w:val="20"/>
                <w:bdr w:val="none" w:sz="0" w:space="0" w:color="auto" w:frame="1"/>
              </w:rPr>
              <w:t>or iptacopan</w:t>
            </w:r>
            <w:r w:rsidRPr="001470A7">
              <w:rPr>
                <w:rFonts w:ascii="Arial Narrow" w:hAnsi="Arial Narrow" w:cs="Open Sans"/>
                <w:color w:val="333333"/>
                <w:sz w:val="20"/>
                <w:szCs w:val="20"/>
                <w:bdr w:val="none" w:sz="0" w:space="0" w:color="auto" w:frame="1"/>
              </w:rPr>
              <w:t xml:space="preserve"> for pregnancy (induction doses)</w:t>
            </w:r>
          </w:p>
        </w:tc>
      </w:tr>
      <w:tr w:rsidR="002C6140" w:rsidRPr="001470A7" w14:paraId="4C42B57F"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555" w:type="dxa"/>
            <w:tcBorders>
              <w:top w:val="single" w:sz="4" w:space="0" w:color="auto"/>
              <w:left w:val="single" w:sz="4" w:space="0" w:color="auto"/>
              <w:bottom w:val="single" w:sz="4" w:space="0" w:color="auto"/>
              <w:right w:val="single" w:sz="4" w:space="0" w:color="auto"/>
            </w:tcBorders>
          </w:tcPr>
          <w:p w14:paraId="2945D9E3" w14:textId="77777777"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tcPr>
          <w:p w14:paraId="77C49987" w14:textId="77777777" w:rsidR="002C6140" w:rsidRPr="001470A7" w:rsidRDefault="002C6140" w:rsidP="00BF35A5">
            <w:pPr>
              <w:textAlignment w:val="baseline"/>
              <w:rPr>
                <w:rFonts w:ascii="Arial Narrow" w:hAnsi="Arial Narrow" w:cs="Open Sans"/>
                <w:b/>
                <w:bCs/>
                <w:color w:val="333333"/>
                <w:sz w:val="20"/>
                <w:szCs w:val="20"/>
                <w:bdr w:val="none" w:sz="0" w:space="0" w:color="auto" w:frame="1"/>
              </w:rPr>
            </w:pPr>
          </w:p>
        </w:tc>
      </w:tr>
      <w:tr w:rsidR="002C6140" w:rsidRPr="001470A7" w14:paraId="613A8039" w14:textId="77777777" w:rsidTr="00CD1203">
        <w:tc>
          <w:tcPr>
            <w:tcW w:w="1555" w:type="dxa"/>
            <w:tcBorders>
              <w:top w:val="single" w:sz="4" w:space="0" w:color="auto"/>
              <w:left w:val="single" w:sz="4" w:space="0" w:color="auto"/>
              <w:bottom w:val="single" w:sz="4" w:space="0" w:color="auto"/>
              <w:right w:val="single" w:sz="4" w:space="0" w:color="auto"/>
            </w:tcBorders>
          </w:tcPr>
          <w:p w14:paraId="3639A0E1" w14:textId="4161537E"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BDDA61D" w14:textId="77777777" w:rsidR="002C6140" w:rsidRPr="001470A7" w:rsidRDefault="002C6140" w:rsidP="00BF35A5">
            <w:pPr>
              <w:textAlignment w:val="baseline"/>
              <w:rPr>
                <w:rFonts w:ascii="Arial Narrow" w:hAnsi="Arial Narrow" w:cs="Open Sans"/>
                <w:color w:val="333333"/>
                <w:sz w:val="20"/>
                <w:szCs w:val="20"/>
              </w:rPr>
            </w:pPr>
            <w:r w:rsidRPr="001470A7">
              <w:rPr>
                <w:rFonts w:ascii="Arial Narrow" w:hAnsi="Arial Narrow" w:cs="Open Sans"/>
                <w:b/>
                <w:bCs/>
                <w:color w:val="333333"/>
                <w:sz w:val="20"/>
                <w:szCs w:val="20"/>
                <w:bdr w:val="none" w:sz="0" w:space="0" w:color="auto" w:frame="1"/>
              </w:rPr>
              <w:t>Clinical criteria:</w:t>
            </w:r>
          </w:p>
        </w:tc>
      </w:tr>
      <w:tr w:rsidR="002C6140" w:rsidRPr="001470A7" w14:paraId="39241D12" w14:textId="77777777" w:rsidTr="00CD1203">
        <w:tc>
          <w:tcPr>
            <w:tcW w:w="1555" w:type="dxa"/>
            <w:tcBorders>
              <w:top w:val="single" w:sz="4" w:space="0" w:color="auto"/>
              <w:left w:val="single" w:sz="4" w:space="0" w:color="auto"/>
              <w:bottom w:val="single" w:sz="4" w:space="0" w:color="auto"/>
              <w:right w:val="single" w:sz="4" w:space="0" w:color="auto"/>
            </w:tcBorders>
          </w:tcPr>
          <w:p w14:paraId="1C55F4CF" w14:textId="4DCCF0C6"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289D6478" w14:textId="77777777" w:rsidR="002C6140" w:rsidRPr="001470A7" w:rsidRDefault="002C6140" w:rsidP="00BF35A5">
            <w:pPr>
              <w:rPr>
                <w:rFonts w:ascii="Arial Narrow" w:hAnsi="Arial Narrow" w:cs="Open Sans"/>
                <w:color w:val="333333"/>
                <w:sz w:val="20"/>
                <w:szCs w:val="20"/>
              </w:rPr>
            </w:pPr>
            <w:r w:rsidRPr="001470A7">
              <w:rPr>
                <w:rFonts w:ascii="Arial Narrow" w:hAnsi="Arial Narrow" w:cs="Open Sans"/>
                <w:color w:val="333333"/>
                <w:sz w:val="20"/>
                <w:szCs w:val="20"/>
              </w:rPr>
              <w:t>Patient must be planning pregnancy; or</w:t>
            </w:r>
          </w:p>
        </w:tc>
      </w:tr>
      <w:tr w:rsidR="002C6140" w:rsidRPr="001470A7" w14:paraId="6E8E114F" w14:textId="77777777" w:rsidTr="00CD1203">
        <w:tc>
          <w:tcPr>
            <w:tcW w:w="1555" w:type="dxa"/>
            <w:tcBorders>
              <w:top w:val="single" w:sz="4" w:space="0" w:color="auto"/>
              <w:left w:val="single" w:sz="4" w:space="0" w:color="auto"/>
              <w:bottom w:val="single" w:sz="4" w:space="0" w:color="auto"/>
              <w:right w:val="single" w:sz="4" w:space="0" w:color="auto"/>
            </w:tcBorders>
          </w:tcPr>
          <w:p w14:paraId="397C0E56" w14:textId="4A3DBA44"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673EC811" w14:textId="77777777" w:rsidR="002C6140" w:rsidRPr="001470A7" w:rsidRDefault="002C6140" w:rsidP="00BF35A5">
            <w:pPr>
              <w:rPr>
                <w:rFonts w:ascii="Arial Narrow" w:hAnsi="Arial Narrow" w:cs="Open Sans"/>
                <w:color w:val="333333"/>
                <w:sz w:val="20"/>
                <w:szCs w:val="20"/>
              </w:rPr>
            </w:pPr>
            <w:r w:rsidRPr="001470A7">
              <w:rPr>
                <w:rFonts w:ascii="Arial Narrow" w:hAnsi="Arial Narrow" w:cs="Open Sans"/>
                <w:color w:val="333333"/>
                <w:sz w:val="20"/>
                <w:szCs w:val="20"/>
              </w:rPr>
              <w:t>Patient must be pregnant</w:t>
            </w:r>
          </w:p>
        </w:tc>
      </w:tr>
      <w:tr w:rsidR="002C6140" w:rsidRPr="001470A7" w14:paraId="48562A57"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555" w:type="dxa"/>
            <w:tcBorders>
              <w:top w:val="single" w:sz="4" w:space="0" w:color="auto"/>
              <w:left w:val="single" w:sz="4" w:space="0" w:color="auto"/>
              <w:bottom w:val="single" w:sz="4" w:space="0" w:color="auto"/>
              <w:right w:val="single" w:sz="4" w:space="0" w:color="auto"/>
            </w:tcBorders>
          </w:tcPr>
          <w:p w14:paraId="5B3AFB6F" w14:textId="77777777"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tcPr>
          <w:p w14:paraId="00CCB55C" w14:textId="77777777" w:rsidR="002C6140" w:rsidRPr="001470A7" w:rsidRDefault="002C6140" w:rsidP="00BF35A5">
            <w:pPr>
              <w:rPr>
                <w:rFonts w:ascii="Arial Narrow" w:hAnsi="Arial Narrow" w:cs="Open Sans"/>
                <w:color w:val="333333"/>
                <w:sz w:val="20"/>
                <w:szCs w:val="20"/>
              </w:rPr>
            </w:pPr>
          </w:p>
        </w:tc>
      </w:tr>
      <w:tr w:rsidR="002C6140" w:rsidRPr="001470A7" w14:paraId="11B42863" w14:textId="77777777" w:rsidTr="00CD1203">
        <w:tc>
          <w:tcPr>
            <w:tcW w:w="1555" w:type="dxa"/>
            <w:tcBorders>
              <w:top w:val="single" w:sz="4" w:space="0" w:color="auto"/>
              <w:left w:val="single" w:sz="4" w:space="0" w:color="auto"/>
              <w:bottom w:val="single" w:sz="4" w:space="0" w:color="auto"/>
              <w:right w:val="single" w:sz="4" w:space="0" w:color="auto"/>
            </w:tcBorders>
          </w:tcPr>
          <w:p w14:paraId="2CA333FC" w14:textId="77777777" w:rsidR="002C6140" w:rsidRPr="001470A7" w:rsidRDefault="002C6140" w:rsidP="00BF35A5">
            <w:pPr>
              <w:jc w:val="center"/>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C0E0A77" w14:textId="77777777" w:rsidR="002C6140" w:rsidRPr="001470A7" w:rsidRDefault="002C6140" w:rsidP="00BF35A5">
            <w:pPr>
              <w:rPr>
                <w:rFonts w:ascii="Arial Narrow" w:hAnsi="Arial Narrow" w:cs="Open Sans"/>
                <w:color w:val="333333"/>
                <w:sz w:val="20"/>
                <w:szCs w:val="20"/>
              </w:rPr>
            </w:pPr>
            <w:r w:rsidRPr="001470A7">
              <w:rPr>
                <w:rFonts w:ascii="Arial Narrow" w:hAnsi="Arial Narrow" w:cs="Open Sans"/>
                <w:b/>
                <w:bCs/>
                <w:color w:val="333333"/>
                <w:sz w:val="20"/>
                <w:szCs w:val="20"/>
                <w:bdr w:val="none" w:sz="0" w:space="0" w:color="auto" w:frame="1"/>
              </w:rPr>
              <w:t>AND</w:t>
            </w:r>
          </w:p>
        </w:tc>
      </w:tr>
      <w:tr w:rsidR="002C6140" w:rsidRPr="001470A7" w14:paraId="3900C2DA" w14:textId="77777777" w:rsidTr="00CD1203">
        <w:tc>
          <w:tcPr>
            <w:tcW w:w="1555" w:type="dxa"/>
            <w:tcBorders>
              <w:top w:val="single" w:sz="4" w:space="0" w:color="auto"/>
              <w:left w:val="single" w:sz="4" w:space="0" w:color="auto"/>
              <w:bottom w:val="single" w:sz="4" w:space="0" w:color="auto"/>
              <w:right w:val="single" w:sz="4" w:space="0" w:color="auto"/>
            </w:tcBorders>
          </w:tcPr>
          <w:p w14:paraId="477E176F" w14:textId="3D1F907B"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B55E360" w14:textId="77777777" w:rsidR="002C6140" w:rsidRPr="001470A7" w:rsidRDefault="002C6140" w:rsidP="00BF35A5">
            <w:pPr>
              <w:textAlignment w:val="baseline"/>
              <w:rPr>
                <w:rFonts w:ascii="Arial Narrow" w:hAnsi="Arial Narrow" w:cs="Open Sans"/>
                <w:color w:val="333333"/>
                <w:sz w:val="20"/>
                <w:szCs w:val="20"/>
              </w:rPr>
            </w:pPr>
            <w:r w:rsidRPr="001470A7">
              <w:rPr>
                <w:rFonts w:ascii="Arial Narrow" w:hAnsi="Arial Narrow" w:cs="Open Sans"/>
                <w:b/>
                <w:bCs/>
                <w:color w:val="333333"/>
                <w:sz w:val="20"/>
                <w:szCs w:val="20"/>
                <w:bdr w:val="none" w:sz="0" w:space="0" w:color="auto" w:frame="1"/>
              </w:rPr>
              <w:t>Clinical criteria:</w:t>
            </w:r>
          </w:p>
        </w:tc>
      </w:tr>
      <w:tr w:rsidR="002C6140" w:rsidRPr="001470A7" w14:paraId="4DA3FF35" w14:textId="77777777" w:rsidTr="00CD1203">
        <w:tc>
          <w:tcPr>
            <w:tcW w:w="1555" w:type="dxa"/>
            <w:tcBorders>
              <w:top w:val="single" w:sz="4" w:space="0" w:color="auto"/>
              <w:left w:val="single" w:sz="4" w:space="0" w:color="auto"/>
              <w:bottom w:val="single" w:sz="4" w:space="0" w:color="auto"/>
              <w:right w:val="single" w:sz="4" w:space="0" w:color="auto"/>
            </w:tcBorders>
          </w:tcPr>
          <w:p w14:paraId="6D3FEB07" w14:textId="7EF686FC"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8285079" w14:textId="77777777" w:rsidR="002C6140" w:rsidRPr="001470A7" w:rsidRDefault="002C6140" w:rsidP="00BF35A5">
            <w:pPr>
              <w:rPr>
                <w:rFonts w:ascii="Arial Narrow" w:hAnsi="Arial Narrow" w:cs="Open Sans"/>
                <w:color w:val="333333"/>
                <w:sz w:val="20"/>
                <w:szCs w:val="20"/>
              </w:rPr>
            </w:pPr>
            <w:r w:rsidRPr="001470A7">
              <w:rPr>
                <w:rFonts w:ascii="Arial Narrow" w:hAnsi="Arial Narrow" w:cs="Open Sans"/>
                <w:color w:val="333333"/>
                <w:sz w:val="20"/>
                <w:szCs w:val="20"/>
              </w:rPr>
              <w:t xml:space="preserve">Patient must have received PBS-subsidised treatment with </w:t>
            </w:r>
            <w:r w:rsidRPr="001470A7">
              <w:rPr>
                <w:rFonts w:ascii="Arial Narrow" w:hAnsi="Arial Narrow" w:cs="Open Sans"/>
                <w:i/>
                <w:iCs/>
                <w:color w:val="333333"/>
                <w:sz w:val="20"/>
                <w:szCs w:val="20"/>
              </w:rPr>
              <w:t xml:space="preserve">either (i) </w:t>
            </w:r>
            <w:r w:rsidRPr="001470A7">
              <w:rPr>
                <w:rFonts w:ascii="Arial Narrow" w:hAnsi="Arial Narrow" w:cs="Open Sans"/>
                <w:color w:val="333333"/>
                <w:sz w:val="20"/>
                <w:szCs w:val="20"/>
              </w:rPr>
              <w:t xml:space="preserve">pegcetacoplan, </w:t>
            </w:r>
            <w:r w:rsidRPr="001470A7">
              <w:rPr>
                <w:rFonts w:ascii="Arial Narrow" w:hAnsi="Arial Narrow" w:cs="Open Sans"/>
                <w:i/>
                <w:iCs/>
                <w:color w:val="333333"/>
                <w:sz w:val="20"/>
                <w:szCs w:val="20"/>
              </w:rPr>
              <w:t>(ii) iptacopan</w:t>
            </w:r>
            <w:r w:rsidRPr="001470A7">
              <w:rPr>
                <w:rFonts w:ascii="Arial Narrow" w:hAnsi="Arial Narrow" w:cs="Open Sans"/>
                <w:color w:val="333333"/>
                <w:sz w:val="20"/>
                <w:szCs w:val="20"/>
              </w:rPr>
              <w:t xml:space="preserve"> for this condition</w:t>
            </w:r>
          </w:p>
        </w:tc>
      </w:tr>
      <w:tr w:rsidR="002C6140" w:rsidRPr="001470A7" w14:paraId="22A83486"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555" w:type="dxa"/>
            <w:tcBorders>
              <w:top w:val="single" w:sz="4" w:space="0" w:color="auto"/>
              <w:left w:val="single" w:sz="4" w:space="0" w:color="auto"/>
              <w:bottom w:val="single" w:sz="4" w:space="0" w:color="auto"/>
              <w:right w:val="single" w:sz="4" w:space="0" w:color="auto"/>
            </w:tcBorders>
          </w:tcPr>
          <w:p w14:paraId="27827883" w14:textId="77777777"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tcPr>
          <w:p w14:paraId="5355EE6A" w14:textId="77777777" w:rsidR="002C6140" w:rsidRPr="001470A7" w:rsidRDefault="002C6140" w:rsidP="00BF35A5">
            <w:pPr>
              <w:rPr>
                <w:rFonts w:ascii="Arial Narrow" w:hAnsi="Arial Narrow" w:cs="Open Sans"/>
                <w:color w:val="333333"/>
                <w:sz w:val="20"/>
                <w:szCs w:val="20"/>
              </w:rPr>
            </w:pPr>
          </w:p>
        </w:tc>
      </w:tr>
      <w:tr w:rsidR="002C6140" w:rsidRPr="001470A7" w14:paraId="75CBD537" w14:textId="77777777" w:rsidTr="00CD1203">
        <w:tc>
          <w:tcPr>
            <w:tcW w:w="1555" w:type="dxa"/>
            <w:tcBorders>
              <w:top w:val="single" w:sz="4" w:space="0" w:color="auto"/>
              <w:left w:val="single" w:sz="4" w:space="0" w:color="auto"/>
              <w:bottom w:val="single" w:sz="4" w:space="0" w:color="auto"/>
              <w:right w:val="single" w:sz="4" w:space="0" w:color="auto"/>
            </w:tcBorders>
          </w:tcPr>
          <w:p w14:paraId="29F3AE41" w14:textId="77777777" w:rsidR="002C6140" w:rsidRPr="001470A7" w:rsidRDefault="002C6140" w:rsidP="00BF35A5">
            <w:pPr>
              <w:jc w:val="center"/>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470C896" w14:textId="77777777" w:rsidR="002C6140" w:rsidRPr="001470A7" w:rsidRDefault="002C6140" w:rsidP="00BF35A5">
            <w:pPr>
              <w:rPr>
                <w:rFonts w:ascii="Arial Narrow" w:hAnsi="Arial Narrow" w:cs="Open Sans"/>
                <w:color w:val="333333"/>
                <w:sz w:val="20"/>
                <w:szCs w:val="20"/>
              </w:rPr>
            </w:pPr>
            <w:r w:rsidRPr="001470A7">
              <w:rPr>
                <w:rFonts w:ascii="Arial Narrow" w:hAnsi="Arial Narrow" w:cs="Open Sans"/>
                <w:b/>
                <w:bCs/>
                <w:color w:val="333333"/>
                <w:sz w:val="20"/>
                <w:szCs w:val="20"/>
                <w:bdr w:val="none" w:sz="0" w:space="0" w:color="auto" w:frame="1"/>
              </w:rPr>
              <w:t>AND</w:t>
            </w:r>
          </w:p>
        </w:tc>
      </w:tr>
      <w:tr w:rsidR="002C6140" w:rsidRPr="001470A7" w14:paraId="078C5CA1" w14:textId="77777777" w:rsidTr="00CD1203">
        <w:tc>
          <w:tcPr>
            <w:tcW w:w="1555" w:type="dxa"/>
            <w:tcBorders>
              <w:top w:val="single" w:sz="4" w:space="0" w:color="auto"/>
              <w:left w:val="single" w:sz="4" w:space="0" w:color="auto"/>
              <w:bottom w:val="single" w:sz="4" w:space="0" w:color="auto"/>
              <w:right w:val="single" w:sz="4" w:space="0" w:color="auto"/>
            </w:tcBorders>
          </w:tcPr>
          <w:p w14:paraId="7D1F81AF" w14:textId="03446908"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CBF076B" w14:textId="77777777" w:rsidR="002C6140" w:rsidRPr="001470A7" w:rsidRDefault="002C6140" w:rsidP="00BF35A5">
            <w:pPr>
              <w:textAlignment w:val="baseline"/>
              <w:rPr>
                <w:rFonts w:ascii="Arial Narrow" w:hAnsi="Arial Narrow" w:cs="Open Sans"/>
                <w:color w:val="333333"/>
                <w:sz w:val="20"/>
                <w:szCs w:val="20"/>
              </w:rPr>
            </w:pPr>
            <w:r w:rsidRPr="001470A7">
              <w:rPr>
                <w:rFonts w:ascii="Arial Narrow" w:hAnsi="Arial Narrow" w:cs="Open Sans"/>
                <w:b/>
                <w:bCs/>
                <w:color w:val="333333"/>
                <w:sz w:val="20"/>
                <w:szCs w:val="20"/>
                <w:bdr w:val="none" w:sz="0" w:space="0" w:color="auto" w:frame="1"/>
              </w:rPr>
              <w:t>Clinical criteria:</w:t>
            </w:r>
          </w:p>
        </w:tc>
      </w:tr>
      <w:tr w:rsidR="002C6140" w:rsidRPr="001470A7" w14:paraId="6AC07BCD" w14:textId="77777777" w:rsidTr="00CD1203">
        <w:tc>
          <w:tcPr>
            <w:tcW w:w="1555" w:type="dxa"/>
            <w:tcBorders>
              <w:top w:val="single" w:sz="4" w:space="0" w:color="auto"/>
              <w:left w:val="single" w:sz="4" w:space="0" w:color="auto"/>
              <w:bottom w:val="single" w:sz="4" w:space="0" w:color="auto"/>
              <w:right w:val="single" w:sz="4" w:space="0" w:color="auto"/>
            </w:tcBorders>
          </w:tcPr>
          <w:p w14:paraId="36AC21ED" w14:textId="77777777"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49E4A28" w14:textId="77777777" w:rsidR="002C6140" w:rsidRPr="001470A7" w:rsidRDefault="002C6140" w:rsidP="00BF35A5">
            <w:pPr>
              <w:rPr>
                <w:rFonts w:ascii="Arial Narrow" w:hAnsi="Arial Narrow" w:cs="Open Sans"/>
                <w:i/>
                <w:iCs/>
                <w:strike/>
                <w:color w:val="333333"/>
                <w:sz w:val="20"/>
                <w:szCs w:val="20"/>
              </w:rPr>
            </w:pPr>
            <w:r w:rsidRPr="001470A7">
              <w:rPr>
                <w:rFonts w:ascii="Arial Narrow" w:hAnsi="Arial Narrow" w:cs="Open Sans"/>
                <w:strike/>
                <w:color w:val="333333"/>
                <w:sz w:val="20"/>
                <w:szCs w:val="20"/>
              </w:rPr>
              <w:t xml:space="preserve">The treatment must not be in combination </w:t>
            </w:r>
            <w:r w:rsidRPr="001470A7">
              <w:rPr>
                <w:rFonts w:ascii="Arial Narrow" w:hAnsi="Arial Narrow" w:cs="Open Sans"/>
                <w:i/>
                <w:iCs/>
                <w:strike/>
                <w:color w:val="333333"/>
                <w:sz w:val="20"/>
                <w:szCs w:val="20"/>
              </w:rPr>
              <w:t>with either of (i) ravulizumab, (ii) pegcetacoplan</w:t>
            </w:r>
          </w:p>
          <w:p w14:paraId="478F97D4" w14:textId="77777777" w:rsidR="002C6140" w:rsidRPr="001470A7" w:rsidRDefault="002C6140" w:rsidP="00BF35A5">
            <w:pPr>
              <w:rPr>
                <w:rFonts w:ascii="Arial Narrow" w:hAnsi="Arial Narrow" w:cs="Open Sans"/>
                <w:i/>
                <w:iCs/>
                <w:color w:val="333333"/>
                <w:sz w:val="20"/>
                <w:szCs w:val="20"/>
              </w:rPr>
            </w:pPr>
            <w:r w:rsidRPr="001470A7">
              <w:rPr>
                <w:rFonts w:ascii="Arial Narrow" w:hAnsi="Arial Narrow" w:cs="Open Sans"/>
                <w:i/>
                <w:iCs/>
                <w:color w:val="333333"/>
                <w:sz w:val="20"/>
                <w:szCs w:val="20"/>
              </w:rPr>
              <w:t>The treatment must be the sole PBS-subsidised therapy for this condition.</w:t>
            </w:r>
          </w:p>
        </w:tc>
      </w:tr>
      <w:tr w:rsidR="002C6140" w:rsidRPr="001470A7" w14:paraId="5463DA39"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555" w:type="dxa"/>
            <w:tcBorders>
              <w:top w:val="single" w:sz="4" w:space="0" w:color="auto"/>
              <w:left w:val="single" w:sz="4" w:space="0" w:color="auto"/>
              <w:bottom w:val="single" w:sz="4" w:space="0" w:color="auto"/>
              <w:right w:val="single" w:sz="4" w:space="0" w:color="auto"/>
            </w:tcBorders>
          </w:tcPr>
          <w:p w14:paraId="755A54DD" w14:textId="77777777"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tcPr>
          <w:p w14:paraId="2576A9FB" w14:textId="77777777" w:rsidR="002C6140" w:rsidRPr="001470A7" w:rsidRDefault="002C6140" w:rsidP="00BF35A5">
            <w:pPr>
              <w:rPr>
                <w:rFonts w:ascii="Arial Narrow" w:hAnsi="Arial Narrow" w:cs="Open Sans"/>
                <w:color w:val="333333"/>
                <w:sz w:val="20"/>
                <w:szCs w:val="20"/>
              </w:rPr>
            </w:pPr>
          </w:p>
        </w:tc>
      </w:tr>
      <w:tr w:rsidR="002C6140" w:rsidRPr="001470A7" w14:paraId="51CFB2DA" w14:textId="77777777" w:rsidTr="00CD1203">
        <w:tc>
          <w:tcPr>
            <w:tcW w:w="1555" w:type="dxa"/>
            <w:tcBorders>
              <w:top w:val="single" w:sz="4" w:space="0" w:color="auto"/>
              <w:left w:val="single" w:sz="4" w:space="0" w:color="auto"/>
              <w:bottom w:val="single" w:sz="4" w:space="0" w:color="auto"/>
              <w:right w:val="single" w:sz="4" w:space="0" w:color="auto"/>
            </w:tcBorders>
          </w:tcPr>
          <w:p w14:paraId="15B7A6F5" w14:textId="77777777" w:rsidR="002C6140" w:rsidRPr="001470A7" w:rsidRDefault="002C6140" w:rsidP="00BF35A5">
            <w:pPr>
              <w:jc w:val="center"/>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18CCE36" w14:textId="77777777" w:rsidR="002C6140" w:rsidRPr="001470A7" w:rsidRDefault="002C6140" w:rsidP="00BF35A5">
            <w:pPr>
              <w:rPr>
                <w:rFonts w:ascii="Arial Narrow" w:hAnsi="Arial Narrow" w:cs="Open Sans"/>
                <w:color w:val="333333"/>
                <w:sz w:val="20"/>
                <w:szCs w:val="20"/>
              </w:rPr>
            </w:pPr>
            <w:r w:rsidRPr="001470A7">
              <w:rPr>
                <w:rFonts w:ascii="Arial Narrow" w:hAnsi="Arial Narrow" w:cs="Open Sans"/>
                <w:b/>
                <w:bCs/>
                <w:color w:val="333333"/>
                <w:sz w:val="20"/>
                <w:szCs w:val="20"/>
                <w:bdr w:val="none" w:sz="0" w:space="0" w:color="auto" w:frame="1"/>
              </w:rPr>
              <w:t>AND</w:t>
            </w:r>
          </w:p>
        </w:tc>
      </w:tr>
      <w:tr w:rsidR="002C6140" w:rsidRPr="001470A7" w14:paraId="19846121" w14:textId="77777777" w:rsidTr="00CD1203">
        <w:tc>
          <w:tcPr>
            <w:tcW w:w="1555" w:type="dxa"/>
            <w:tcBorders>
              <w:top w:val="single" w:sz="4" w:space="0" w:color="auto"/>
              <w:left w:val="single" w:sz="4" w:space="0" w:color="auto"/>
              <w:bottom w:val="single" w:sz="4" w:space="0" w:color="auto"/>
              <w:right w:val="single" w:sz="4" w:space="0" w:color="auto"/>
            </w:tcBorders>
          </w:tcPr>
          <w:p w14:paraId="280D28BE" w14:textId="4286A61B"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BE0C8CF" w14:textId="77777777" w:rsidR="002C6140" w:rsidRPr="001470A7" w:rsidRDefault="002C6140" w:rsidP="00BF35A5">
            <w:pPr>
              <w:textAlignment w:val="baseline"/>
              <w:rPr>
                <w:rFonts w:ascii="Arial Narrow" w:hAnsi="Arial Narrow" w:cs="Open Sans"/>
                <w:color w:val="333333"/>
                <w:sz w:val="20"/>
                <w:szCs w:val="20"/>
              </w:rPr>
            </w:pPr>
            <w:r w:rsidRPr="001470A7">
              <w:rPr>
                <w:rFonts w:ascii="Arial Narrow" w:hAnsi="Arial Narrow" w:cs="Open Sans"/>
                <w:b/>
                <w:bCs/>
                <w:color w:val="333333"/>
                <w:sz w:val="20"/>
                <w:szCs w:val="20"/>
                <w:bdr w:val="none" w:sz="0" w:space="0" w:color="auto" w:frame="1"/>
              </w:rPr>
              <w:t>Treatment criteria:</w:t>
            </w:r>
          </w:p>
        </w:tc>
      </w:tr>
      <w:tr w:rsidR="002C6140" w:rsidRPr="001470A7" w14:paraId="1FAB2833" w14:textId="77777777" w:rsidTr="00CD1203">
        <w:tc>
          <w:tcPr>
            <w:tcW w:w="1555" w:type="dxa"/>
            <w:tcBorders>
              <w:top w:val="single" w:sz="4" w:space="0" w:color="auto"/>
              <w:left w:val="single" w:sz="4" w:space="0" w:color="auto"/>
              <w:bottom w:val="single" w:sz="4" w:space="0" w:color="auto"/>
              <w:right w:val="single" w:sz="4" w:space="0" w:color="auto"/>
            </w:tcBorders>
          </w:tcPr>
          <w:p w14:paraId="068EDDBF" w14:textId="429F38BE"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1DDA90D" w14:textId="77777777" w:rsidR="002C6140" w:rsidRPr="001470A7" w:rsidRDefault="002C6140" w:rsidP="00BF35A5">
            <w:pPr>
              <w:rPr>
                <w:rFonts w:ascii="Arial Narrow" w:hAnsi="Arial Narrow" w:cs="Open Sans"/>
                <w:color w:val="333333"/>
                <w:sz w:val="20"/>
                <w:szCs w:val="20"/>
              </w:rPr>
            </w:pPr>
            <w:r w:rsidRPr="001470A7">
              <w:rPr>
                <w:rFonts w:ascii="Arial Narrow" w:hAnsi="Arial Narrow" w:cs="Open Sans"/>
                <w:color w:val="333333"/>
                <w:sz w:val="20"/>
                <w:szCs w:val="20"/>
              </w:rPr>
              <w:t>Must be treated by a haematologist; or</w:t>
            </w:r>
          </w:p>
        </w:tc>
      </w:tr>
      <w:bookmarkEnd w:id="71"/>
      <w:tr w:rsidR="002C6140" w:rsidRPr="001470A7" w14:paraId="30AA8A11" w14:textId="77777777" w:rsidTr="00CD1203">
        <w:tc>
          <w:tcPr>
            <w:tcW w:w="1555" w:type="dxa"/>
            <w:tcBorders>
              <w:top w:val="single" w:sz="4" w:space="0" w:color="auto"/>
              <w:left w:val="single" w:sz="4" w:space="0" w:color="auto"/>
              <w:bottom w:val="single" w:sz="4" w:space="0" w:color="auto"/>
              <w:right w:val="single" w:sz="4" w:space="0" w:color="auto"/>
            </w:tcBorders>
          </w:tcPr>
          <w:p w14:paraId="0431E327" w14:textId="7150B02E"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8E4129B" w14:textId="77777777" w:rsidR="002C6140" w:rsidRPr="001470A7" w:rsidRDefault="002C6140" w:rsidP="00BF35A5">
            <w:pPr>
              <w:rPr>
                <w:rFonts w:ascii="Arial Narrow" w:hAnsi="Arial Narrow" w:cs="Open Sans"/>
                <w:color w:val="333333"/>
                <w:sz w:val="20"/>
                <w:szCs w:val="20"/>
              </w:rPr>
            </w:pPr>
            <w:r w:rsidRPr="001470A7">
              <w:rPr>
                <w:rFonts w:ascii="Arial Narrow" w:hAnsi="Arial Narrow" w:cs="Open Sans"/>
                <w:color w:val="333333"/>
                <w:sz w:val="20"/>
                <w:szCs w:val="20"/>
              </w:rPr>
              <w:t>Must be treated by a non-specialist medical physician who has consulted a haematologist on the patient’s drug treatment details</w:t>
            </w:r>
          </w:p>
        </w:tc>
      </w:tr>
      <w:tr w:rsidR="002C6140" w:rsidRPr="001470A7" w14:paraId="427E0C00"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555" w:type="dxa"/>
            <w:tcBorders>
              <w:top w:val="single" w:sz="4" w:space="0" w:color="auto"/>
              <w:left w:val="single" w:sz="4" w:space="0" w:color="auto"/>
              <w:bottom w:val="single" w:sz="4" w:space="0" w:color="auto"/>
              <w:right w:val="single" w:sz="4" w:space="0" w:color="auto"/>
            </w:tcBorders>
          </w:tcPr>
          <w:p w14:paraId="197F8C23" w14:textId="77777777"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tcPr>
          <w:p w14:paraId="4D2FEC03" w14:textId="77777777" w:rsidR="002C6140" w:rsidRPr="001470A7" w:rsidRDefault="002C6140" w:rsidP="00BF35A5">
            <w:pPr>
              <w:rPr>
                <w:rFonts w:ascii="Arial Narrow" w:hAnsi="Arial Narrow" w:cs="Open Sans"/>
                <w:color w:val="333333"/>
                <w:sz w:val="20"/>
                <w:szCs w:val="20"/>
              </w:rPr>
            </w:pPr>
          </w:p>
        </w:tc>
      </w:tr>
      <w:tr w:rsidR="002C6140" w:rsidRPr="001470A7" w14:paraId="31127415" w14:textId="77777777" w:rsidTr="00CD1203">
        <w:tc>
          <w:tcPr>
            <w:tcW w:w="1555" w:type="dxa"/>
            <w:tcBorders>
              <w:top w:val="single" w:sz="4" w:space="0" w:color="auto"/>
              <w:left w:val="single" w:sz="4" w:space="0" w:color="auto"/>
              <w:bottom w:val="single" w:sz="4" w:space="0" w:color="auto"/>
              <w:right w:val="single" w:sz="4" w:space="0" w:color="auto"/>
            </w:tcBorders>
          </w:tcPr>
          <w:p w14:paraId="250030B7" w14:textId="57395D56"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35998E0" w14:textId="77777777" w:rsidR="002C6140" w:rsidRPr="001470A7" w:rsidRDefault="002C6140" w:rsidP="00BF35A5">
            <w:pPr>
              <w:textAlignment w:val="baseline"/>
              <w:rPr>
                <w:rFonts w:ascii="Arial Narrow" w:hAnsi="Arial Narrow" w:cs="Open Sans"/>
                <w:color w:val="333333"/>
                <w:sz w:val="20"/>
                <w:szCs w:val="20"/>
              </w:rPr>
            </w:pPr>
            <w:r w:rsidRPr="001470A7">
              <w:rPr>
                <w:rFonts w:ascii="Arial Narrow" w:hAnsi="Arial Narrow" w:cs="Open Sans"/>
                <w:b/>
                <w:bCs/>
                <w:color w:val="333333"/>
                <w:sz w:val="20"/>
                <w:szCs w:val="20"/>
                <w:bdr w:val="none" w:sz="0" w:space="0" w:color="auto" w:frame="1"/>
              </w:rPr>
              <w:t>Prescribing Instructions:</w:t>
            </w:r>
          </w:p>
          <w:p w14:paraId="6F4A8C49" w14:textId="77777777" w:rsidR="002C6140" w:rsidRPr="001470A7" w:rsidRDefault="002C6140" w:rsidP="00BF35A5">
            <w:pPr>
              <w:textAlignment w:val="baseline"/>
              <w:rPr>
                <w:rFonts w:ascii="Arial Narrow" w:hAnsi="Arial Narrow" w:cs="Open Sans"/>
                <w:strike/>
                <w:color w:val="333333"/>
                <w:sz w:val="20"/>
                <w:szCs w:val="20"/>
              </w:rPr>
            </w:pPr>
            <w:r w:rsidRPr="001470A7">
              <w:rPr>
                <w:rFonts w:ascii="Arial Narrow" w:hAnsi="Arial Narrow" w:cs="Open Sans"/>
                <w:strike/>
                <w:color w:val="333333"/>
                <w:sz w:val="20"/>
                <w:szCs w:val="20"/>
              </w:rPr>
              <w:t>The authority application must be made in writing and must include:</w:t>
            </w:r>
          </w:p>
          <w:p w14:paraId="19F4AE3B" w14:textId="77777777" w:rsidR="002C6140" w:rsidRPr="001470A7" w:rsidRDefault="002C6140" w:rsidP="00BF35A5">
            <w:pPr>
              <w:textAlignment w:val="baseline"/>
              <w:rPr>
                <w:rFonts w:ascii="Arial Narrow" w:hAnsi="Arial Narrow" w:cs="Open Sans"/>
                <w:strike/>
                <w:color w:val="333333"/>
                <w:sz w:val="20"/>
                <w:szCs w:val="20"/>
              </w:rPr>
            </w:pPr>
            <w:r w:rsidRPr="001470A7">
              <w:rPr>
                <w:rFonts w:ascii="Arial Narrow" w:hAnsi="Arial Narrow" w:cs="Open Sans"/>
                <w:strike/>
                <w:color w:val="333333"/>
                <w:sz w:val="20"/>
                <w:szCs w:val="20"/>
              </w:rPr>
              <w:t>(1) a completed authority prescription form; and</w:t>
            </w:r>
          </w:p>
          <w:p w14:paraId="5ACCBB83" w14:textId="77777777" w:rsidR="002C6140" w:rsidRPr="001470A7" w:rsidRDefault="002C6140" w:rsidP="00BF35A5">
            <w:pPr>
              <w:textAlignment w:val="baseline"/>
              <w:rPr>
                <w:rFonts w:ascii="Arial Narrow" w:hAnsi="Arial Narrow" w:cs="Open Sans"/>
                <w:strike/>
                <w:color w:val="333333"/>
                <w:sz w:val="20"/>
                <w:szCs w:val="20"/>
              </w:rPr>
            </w:pPr>
            <w:r w:rsidRPr="001470A7">
              <w:rPr>
                <w:rFonts w:ascii="Arial Narrow" w:hAnsi="Arial Narrow" w:cs="Open Sans"/>
                <w:strike/>
                <w:color w:val="333333"/>
                <w:sz w:val="20"/>
                <w:szCs w:val="20"/>
              </w:rPr>
              <w:t>(2) a completed authority application form relevant to the indication and treatment phase (the latest version is located on the website specified in the Administrative Advice).</w:t>
            </w:r>
          </w:p>
          <w:p w14:paraId="7B4285A0" w14:textId="77777777" w:rsidR="002C6140" w:rsidRPr="001470A7" w:rsidRDefault="002C6140" w:rsidP="00BF35A5">
            <w:pPr>
              <w:textAlignment w:val="baseline"/>
              <w:rPr>
                <w:rFonts w:ascii="Arial Narrow" w:hAnsi="Arial Narrow" w:cs="Open Sans"/>
                <w:strike/>
                <w:color w:val="333333"/>
                <w:sz w:val="20"/>
                <w:szCs w:val="20"/>
              </w:rPr>
            </w:pPr>
          </w:p>
          <w:p w14:paraId="420D40B0" w14:textId="77777777" w:rsidR="002C6140" w:rsidRPr="001470A7" w:rsidRDefault="002C6140" w:rsidP="00BF35A5">
            <w:pPr>
              <w:keepNext/>
              <w:keepLines/>
              <w:rPr>
                <w:rFonts w:ascii="Arial Narrow" w:hAnsi="Arial Narrow"/>
                <w:i/>
                <w:iCs/>
                <w:sz w:val="20"/>
                <w:szCs w:val="20"/>
              </w:rPr>
            </w:pPr>
            <w:r w:rsidRPr="001470A7">
              <w:rPr>
                <w:rFonts w:ascii="Arial Narrow" w:hAnsi="Arial Narrow"/>
                <w:i/>
                <w:iCs/>
                <w:sz w:val="20"/>
                <w:szCs w:val="20"/>
              </w:rPr>
              <w:t>The authority application must be made in writing and must include:</w:t>
            </w:r>
          </w:p>
          <w:p w14:paraId="117779A1" w14:textId="77777777" w:rsidR="002C6140" w:rsidRPr="001470A7" w:rsidRDefault="002C6140" w:rsidP="00BF35A5">
            <w:pPr>
              <w:keepNext/>
              <w:keepLines/>
              <w:rPr>
                <w:rFonts w:ascii="Arial Narrow" w:hAnsi="Arial Narrow"/>
                <w:i/>
                <w:iCs/>
                <w:sz w:val="20"/>
                <w:szCs w:val="20"/>
              </w:rPr>
            </w:pPr>
            <w:r w:rsidRPr="001470A7">
              <w:rPr>
                <w:rFonts w:ascii="Arial Narrow" w:hAnsi="Arial Narrow"/>
                <w:i/>
                <w:iCs/>
                <w:sz w:val="20"/>
                <w:szCs w:val="20"/>
              </w:rPr>
              <w:t xml:space="preserve">(1) </w:t>
            </w:r>
            <w:r w:rsidRPr="009651D9">
              <w:rPr>
                <w:rFonts w:ascii="Arial Narrow" w:hAnsi="Arial Narrow"/>
                <w:i/>
                <w:iCs/>
                <w:sz w:val="20"/>
                <w:szCs w:val="20"/>
              </w:rPr>
              <w:t>details of the proposed prescription</w:t>
            </w:r>
            <w:r w:rsidRPr="00460ED9">
              <w:rPr>
                <w:rFonts w:ascii="Arial Narrow" w:hAnsi="Arial Narrow"/>
                <w:i/>
                <w:iCs/>
                <w:sz w:val="20"/>
                <w:szCs w:val="20"/>
              </w:rPr>
              <w:t>;</w:t>
            </w:r>
            <w:r w:rsidRPr="001470A7">
              <w:rPr>
                <w:rFonts w:ascii="Arial Narrow" w:hAnsi="Arial Narrow"/>
                <w:i/>
                <w:iCs/>
                <w:sz w:val="20"/>
                <w:szCs w:val="20"/>
              </w:rPr>
              <w:t xml:space="preserve"> and</w:t>
            </w:r>
          </w:p>
          <w:p w14:paraId="23774157" w14:textId="519AD828" w:rsidR="002C6140" w:rsidRPr="007F4886" w:rsidRDefault="002C6140" w:rsidP="00BF35A5">
            <w:pPr>
              <w:textAlignment w:val="baseline"/>
              <w:rPr>
                <w:rFonts w:ascii="Arial Narrow" w:hAnsi="Arial Narrow" w:cs="Open Sans"/>
                <w:i/>
                <w:iCs/>
                <w:color w:val="333333"/>
                <w:sz w:val="20"/>
                <w:szCs w:val="20"/>
              </w:rPr>
            </w:pPr>
            <w:r w:rsidRPr="001470A7">
              <w:rPr>
                <w:rFonts w:ascii="Arial Narrow" w:hAnsi="Arial Narrow"/>
                <w:i/>
                <w:iCs/>
                <w:sz w:val="20"/>
                <w:szCs w:val="20"/>
              </w:rPr>
              <w:t>(2) a completed authority application form relevant to the indication and treatment phase (the latest version is located on the website specified in the Administrative Advice).</w:t>
            </w:r>
          </w:p>
        </w:tc>
      </w:tr>
      <w:tr w:rsidR="002C6140" w:rsidRPr="001470A7" w14:paraId="414AD231"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555" w:type="dxa"/>
            <w:tcBorders>
              <w:top w:val="single" w:sz="4" w:space="0" w:color="auto"/>
              <w:left w:val="single" w:sz="4" w:space="0" w:color="auto"/>
              <w:bottom w:val="single" w:sz="4" w:space="0" w:color="auto"/>
              <w:right w:val="single" w:sz="4" w:space="0" w:color="auto"/>
            </w:tcBorders>
            <w:hideMark/>
          </w:tcPr>
          <w:p w14:paraId="01DB506D" w14:textId="5D661D38"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5A91C5F" w14:textId="77777777" w:rsidR="002C6140" w:rsidRPr="001470A7" w:rsidRDefault="002C6140" w:rsidP="00BF35A5">
            <w:pPr>
              <w:textAlignment w:val="baseline"/>
              <w:rPr>
                <w:rFonts w:ascii="Arial Narrow" w:hAnsi="Arial Narrow" w:cs="Open Sans"/>
                <w:color w:val="333333"/>
                <w:sz w:val="20"/>
                <w:szCs w:val="20"/>
              </w:rPr>
            </w:pPr>
            <w:r w:rsidRPr="001470A7">
              <w:rPr>
                <w:rFonts w:ascii="Arial Narrow" w:hAnsi="Arial Narrow" w:cs="Open Sans"/>
                <w:b/>
                <w:bCs/>
                <w:color w:val="333333"/>
                <w:sz w:val="20"/>
                <w:szCs w:val="20"/>
                <w:bdr w:val="none" w:sz="0" w:space="0" w:color="auto" w:frame="1"/>
              </w:rPr>
              <w:t>Prescribing Instructions:</w:t>
            </w:r>
          </w:p>
          <w:p w14:paraId="77638DFB" w14:textId="452F843C" w:rsidR="002C6140" w:rsidRPr="001470A7" w:rsidRDefault="002C6140" w:rsidP="00BF35A5">
            <w:pPr>
              <w:textAlignment w:val="baseline"/>
              <w:rPr>
                <w:rFonts w:ascii="Arial Narrow" w:hAnsi="Arial Narrow" w:cs="Open Sans"/>
                <w:color w:val="333333"/>
                <w:sz w:val="20"/>
                <w:szCs w:val="20"/>
              </w:rPr>
            </w:pPr>
            <w:r w:rsidRPr="001470A7">
              <w:rPr>
                <w:rFonts w:ascii="Arial Narrow" w:hAnsi="Arial Narrow" w:cs="Open Sans"/>
                <w:color w:val="333333"/>
                <w:sz w:val="20"/>
                <w:szCs w:val="20"/>
              </w:rPr>
              <w:lastRenderedPageBreak/>
              <w:t>Patient may qualify under this treatment phase more than once. In the event of miscarriage, patient may continue on eculizumab if patient is stable, and/or is planning a subsequent pregnancy. For continuing PBS-subsidised treatment, a ‘Switching’ patient must proceed under the 'Subsequent Continuing Treatment' criteria.</w:t>
            </w:r>
          </w:p>
        </w:tc>
      </w:tr>
      <w:tr w:rsidR="002C6140" w:rsidRPr="001470A7" w14:paraId="1D56AD9A" w14:textId="77777777" w:rsidTr="00CB6B88">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59"/>
        </w:trPr>
        <w:tc>
          <w:tcPr>
            <w:tcW w:w="8926" w:type="dxa"/>
            <w:gridSpan w:val="2"/>
            <w:tcBorders>
              <w:top w:val="single" w:sz="4" w:space="0" w:color="auto"/>
              <w:left w:val="single" w:sz="4" w:space="0" w:color="auto"/>
              <w:right w:val="single" w:sz="4" w:space="0" w:color="auto"/>
            </w:tcBorders>
          </w:tcPr>
          <w:p w14:paraId="6E6E6CF4" w14:textId="77777777" w:rsidR="002C6140" w:rsidRPr="001470A7" w:rsidRDefault="002C6140" w:rsidP="00BF35A5">
            <w:pPr>
              <w:textAlignment w:val="baseline"/>
              <w:rPr>
                <w:rFonts w:ascii="Arial Narrow" w:hAnsi="Arial Narrow" w:cs="Open Sans"/>
                <w:b/>
                <w:bCs/>
                <w:color w:val="333333"/>
                <w:sz w:val="20"/>
                <w:szCs w:val="20"/>
                <w:bdr w:val="none" w:sz="0" w:space="0" w:color="auto" w:frame="1"/>
              </w:rPr>
            </w:pPr>
          </w:p>
        </w:tc>
      </w:tr>
      <w:tr w:rsidR="002C6140" w:rsidRPr="001470A7" w14:paraId="60B21DCD" w14:textId="77777777" w:rsidTr="00BF35A5">
        <w:tc>
          <w:tcPr>
            <w:tcW w:w="8926" w:type="dxa"/>
            <w:gridSpan w:val="2"/>
            <w:vAlign w:val="center"/>
          </w:tcPr>
          <w:p w14:paraId="214EA239" w14:textId="77777777" w:rsidR="002C6140" w:rsidRPr="001470A7" w:rsidRDefault="002C6140" w:rsidP="00BF35A5">
            <w:pPr>
              <w:rPr>
                <w:rFonts w:ascii="Arial Narrow" w:hAnsi="Arial Narrow"/>
                <w:b/>
                <w:bCs/>
                <w:sz w:val="20"/>
                <w:szCs w:val="20"/>
              </w:rPr>
            </w:pPr>
            <w:r w:rsidRPr="001470A7">
              <w:rPr>
                <w:rFonts w:ascii="Arial Narrow" w:hAnsi="Arial Narrow"/>
                <w:b/>
                <w:bCs/>
                <w:sz w:val="20"/>
                <w:szCs w:val="20"/>
              </w:rPr>
              <w:t>Edit of Restriction Summary 13460 / ToC: 13459: Authority Required</w:t>
            </w:r>
          </w:p>
        </w:tc>
      </w:tr>
      <w:tr w:rsidR="002C6140" w:rsidRPr="001470A7" w14:paraId="76A4EBB9" w14:textId="77777777" w:rsidTr="00BF35A5">
        <w:tc>
          <w:tcPr>
            <w:tcW w:w="1555" w:type="dxa"/>
            <w:tcBorders>
              <w:bottom w:val="single" w:sz="4" w:space="0" w:color="auto"/>
            </w:tcBorders>
            <w:vAlign w:val="center"/>
          </w:tcPr>
          <w:p w14:paraId="2C2E2B0C" w14:textId="77777777" w:rsidR="002C6140" w:rsidRPr="001470A7" w:rsidRDefault="002C6140" w:rsidP="00BF35A5">
            <w:pPr>
              <w:ind w:left="720" w:hanging="720"/>
              <w:jc w:val="center"/>
              <w:rPr>
                <w:rFonts w:ascii="Arial Narrow" w:hAnsi="Arial Narrow"/>
                <w:sz w:val="20"/>
                <w:szCs w:val="20"/>
              </w:rPr>
            </w:pPr>
          </w:p>
        </w:tc>
        <w:tc>
          <w:tcPr>
            <w:tcW w:w="7371" w:type="dxa"/>
            <w:tcBorders>
              <w:bottom w:val="single" w:sz="4" w:space="0" w:color="auto"/>
            </w:tcBorders>
            <w:vAlign w:val="center"/>
          </w:tcPr>
          <w:p w14:paraId="02364294" w14:textId="77777777" w:rsidR="002C6140" w:rsidRPr="001470A7" w:rsidRDefault="002C6140" w:rsidP="00BF35A5">
            <w:pPr>
              <w:ind w:left="-57"/>
              <w:rPr>
                <w:rFonts w:ascii="Arial Narrow" w:hAnsi="Arial Narrow"/>
                <w:b/>
                <w:bCs/>
                <w:sz w:val="20"/>
                <w:szCs w:val="20"/>
              </w:rPr>
            </w:pPr>
          </w:p>
        </w:tc>
      </w:tr>
      <w:tr w:rsidR="002C6140" w:rsidRPr="001470A7" w14:paraId="06D1B9D2" w14:textId="77777777" w:rsidTr="00CD1203">
        <w:tc>
          <w:tcPr>
            <w:tcW w:w="1555" w:type="dxa"/>
            <w:tcBorders>
              <w:top w:val="single" w:sz="4" w:space="0" w:color="auto"/>
              <w:left w:val="single" w:sz="4" w:space="0" w:color="auto"/>
              <w:bottom w:val="single" w:sz="4" w:space="0" w:color="auto"/>
              <w:right w:val="single" w:sz="4" w:space="0" w:color="auto"/>
            </w:tcBorders>
          </w:tcPr>
          <w:p w14:paraId="2FF40EBF" w14:textId="6A832C34"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0E68D94" w14:textId="77777777" w:rsidR="002C6140" w:rsidRPr="001470A7" w:rsidRDefault="002C6140" w:rsidP="00BF35A5">
            <w:pPr>
              <w:textAlignment w:val="baseline"/>
              <w:rPr>
                <w:rFonts w:ascii="Arial Narrow" w:hAnsi="Arial Narrow" w:cs="Open Sans"/>
                <w:color w:val="333333"/>
                <w:sz w:val="20"/>
                <w:szCs w:val="20"/>
              </w:rPr>
            </w:pPr>
            <w:r w:rsidRPr="001470A7">
              <w:rPr>
                <w:rFonts w:ascii="Arial Narrow" w:hAnsi="Arial Narrow" w:cs="Open Sans"/>
                <w:b/>
                <w:bCs/>
                <w:color w:val="333333"/>
                <w:sz w:val="20"/>
                <w:szCs w:val="20"/>
                <w:bdr w:val="none" w:sz="0" w:space="0" w:color="auto" w:frame="1"/>
              </w:rPr>
              <w:t>Indication:</w:t>
            </w:r>
          </w:p>
          <w:p w14:paraId="67D23896" w14:textId="77777777" w:rsidR="002C6140" w:rsidRPr="001470A7" w:rsidRDefault="002C6140" w:rsidP="00BF35A5">
            <w:pPr>
              <w:textAlignment w:val="baseline"/>
              <w:rPr>
                <w:rFonts w:ascii="Arial Narrow" w:hAnsi="Arial Narrow" w:cs="Open Sans"/>
                <w:color w:val="333333"/>
                <w:sz w:val="20"/>
                <w:szCs w:val="20"/>
              </w:rPr>
            </w:pPr>
            <w:r w:rsidRPr="001470A7">
              <w:rPr>
                <w:rFonts w:ascii="Arial Narrow" w:hAnsi="Arial Narrow" w:cs="Open Sans"/>
                <w:color w:val="333333"/>
                <w:sz w:val="20"/>
                <w:szCs w:val="20"/>
              </w:rPr>
              <w:t>Paroxysmal nocturnal haemoglobinuria (PNH)</w:t>
            </w:r>
          </w:p>
        </w:tc>
      </w:tr>
      <w:tr w:rsidR="002C6140" w:rsidRPr="001470A7" w14:paraId="1E9F65C3"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555" w:type="dxa"/>
            <w:tcBorders>
              <w:top w:val="single" w:sz="4" w:space="0" w:color="auto"/>
              <w:left w:val="single" w:sz="4" w:space="0" w:color="auto"/>
              <w:bottom w:val="single" w:sz="4" w:space="0" w:color="auto"/>
              <w:right w:val="single" w:sz="4" w:space="0" w:color="auto"/>
            </w:tcBorders>
          </w:tcPr>
          <w:p w14:paraId="36D27346" w14:textId="77777777"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tcPr>
          <w:p w14:paraId="429D10EF" w14:textId="77777777" w:rsidR="002C6140" w:rsidRPr="001470A7" w:rsidRDefault="002C6140" w:rsidP="00BF35A5">
            <w:pPr>
              <w:textAlignment w:val="baseline"/>
              <w:rPr>
                <w:rFonts w:ascii="Arial Narrow" w:hAnsi="Arial Narrow" w:cs="Open Sans"/>
                <w:b/>
                <w:bCs/>
                <w:color w:val="333333"/>
                <w:sz w:val="20"/>
                <w:szCs w:val="20"/>
                <w:bdr w:val="none" w:sz="0" w:space="0" w:color="auto" w:frame="1"/>
              </w:rPr>
            </w:pPr>
          </w:p>
        </w:tc>
      </w:tr>
      <w:tr w:rsidR="002C6140" w:rsidRPr="001470A7" w14:paraId="0112085A" w14:textId="77777777" w:rsidTr="00CD1203">
        <w:tc>
          <w:tcPr>
            <w:tcW w:w="1555" w:type="dxa"/>
            <w:tcBorders>
              <w:top w:val="single" w:sz="4" w:space="0" w:color="auto"/>
              <w:left w:val="single" w:sz="4" w:space="0" w:color="auto"/>
              <w:bottom w:val="single" w:sz="4" w:space="0" w:color="auto"/>
              <w:right w:val="single" w:sz="4" w:space="0" w:color="auto"/>
            </w:tcBorders>
          </w:tcPr>
          <w:p w14:paraId="640FA182" w14:textId="77777777" w:rsidR="002C6140" w:rsidRPr="001470A7" w:rsidRDefault="002C6140" w:rsidP="00BF35A5">
            <w:pPr>
              <w:jc w:val="center"/>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46B3F6DB" w14:textId="77777777" w:rsidR="002C6140" w:rsidRPr="001470A7" w:rsidRDefault="002C6140" w:rsidP="00BF35A5">
            <w:pPr>
              <w:textAlignment w:val="baseline"/>
              <w:rPr>
                <w:rFonts w:ascii="Arial Narrow" w:hAnsi="Arial Narrow" w:cs="Open Sans"/>
                <w:color w:val="333333"/>
                <w:sz w:val="20"/>
                <w:szCs w:val="20"/>
              </w:rPr>
            </w:pPr>
            <w:r w:rsidRPr="001470A7">
              <w:rPr>
                <w:rFonts w:ascii="Arial Narrow" w:hAnsi="Arial Narrow" w:cs="Open Sans"/>
                <w:b/>
                <w:bCs/>
                <w:color w:val="333333"/>
                <w:sz w:val="20"/>
                <w:szCs w:val="20"/>
                <w:bdr w:val="none" w:sz="0" w:space="0" w:color="auto" w:frame="1"/>
              </w:rPr>
              <w:t xml:space="preserve">Treatment Phase: </w:t>
            </w:r>
            <w:r w:rsidRPr="001470A7">
              <w:rPr>
                <w:rFonts w:ascii="Arial Narrow" w:hAnsi="Arial Narrow" w:cs="Open Sans"/>
                <w:color w:val="333333"/>
                <w:sz w:val="20"/>
                <w:szCs w:val="20"/>
                <w:bdr w:val="none" w:sz="0" w:space="0" w:color="auto" w:frame="1"/>
              </w:rPr>
              <w:t>Return from PBS subsidised pegcetacoplan</w:t>
            </w:r>
            <w:r w:rsidRPr="001470A7">
              <w:rPr>
                <w:rFonts w:ascii="Arial Narrow" w:hAnsi="Arial Narrow" w:cs="Open Sans"/>
                <w:b/>
                <w:bCs/>
                <w:color w:val="333333"/>
                <w:sz w:val="20"/>
                <w:szCs w:val="20"/>
                <w:bdr w:val="none" w:sz="0" w:space="0" w:color="auto" w:frame="1"/>
              </w:rPr>
              <w:t xml:space="preserve"> </w:t>
            </w:r>
            <w:r w:rsidRPr="009651D9">
              <w:rPr>
                <w:rFonts w:ascii="Arial Narrow" w:hAnsi="Arial Narrow" w:cs="Open Sans"/>
                <w:i/>
                <w:iCs/>
                <w:color w:val="333333"/>
                <w:sz w:val="20"/>
                <w:szCs w:val="20"/>
                <w:bdr w:val="none" w:sz="0" w:space="0" w:color="auto" w:frame="1"/>
              </w:rPr>
              <w:t>or iptacopan</w:t>
            </w:r>
            <w:r w:rsidRPr="001470A7">
              <w:rPr>
                <w:rFonts w:ascii="Arial Narrow" w:hAnsi="Arial Narrow" w:cs="Open Sans"/>
                <w:i/>
                <w:iCs/>
                <w:color w:val="333333"/>
                <w:sz w:val="20"/>
                <w:szCs w:val="20"/>
                <w:bdr w:val="none" w:sz="0" w:space="0" w:color="auto" w:frame="1"/>
              </w:rPr>
              <w:t xml:space="preserve"> </w:t>
            </w:r>
            <w:r w:rsidRPr="001470A7">
              <w:rPr>
                <w:rFonts w:ascii="Arial Narrow" w:hAnsi="Arial Narrow" w:cs="Open Sans"/>
                <w:b/>
                <w:bCs/>
                <w:color w:val="333333"/>
                <w:sz w:val="20"/>
                <w:szCs w:val="20"/>
                <w:bdr w:val="none" w:sz="0" w:space="0" w:color="auto" w:frame="1"/>
              </w:rPr>
              <w:t xml:space="preserve">- </w:t>
            </w:r>
            <w:r w:rsidRPr="001470A7">
              <w:rPr>
                <w:rFonts w:ascii="Arial Narrow" w:hAnsi="Arial Narrow" w:cs="Open Sans"/>
                <w:color w:val="333333"/>
                <w:sz w:val="20"/>
                <w:szCs w:val="20"/>
                <w:bdr w:val="none" w:sz="0" w:space="0" w:color="auto" w:frame="1"/>
              </w:rPr>
              <w:t>induction doses</w:t>
            </w:r>
          </w:p>
        </w:tc>
      </w:tr>
      <w:tr w:rsidR="002C6140" w:rsidRPr="001470A7" w14:paraId="4BC4C341"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555" w:type="dxa"/>
            <w:tcBorders>
              <w:top w:val="single" w:sz="4" w:space="0" w:color="auto"/>
              <w:left w:val="single" w:sz="4" w:space="0" w:color="auto"/>
              <w:bottom w:val="single" w:sz="4" w:space="0" w:color="auto"/>
              <w:right w:val="single" w:sz="4" w:space="0" w:color="auto"/>
            </w:tcBorders>
          </w:tcPr>
          <w:p w14:paraId="2BD7218A" w14:textId="77777777" w:rsidR="002C6140" w:rsidRPr="001470A7" w:rsidRDefault="002C6140" w:rsidP="00BF35A5">
            <w:pPr>
              <w:jc w:val="center"/>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tcPr>
          <w:p w14:paraId="772E717D" w14:textId="77777777" w:rsidR="002C6140" w:rsidRPr="001470A7" w:rsidRDefault="002C6140" w:rsidP="00BF35A5">
            <w:pPr>
              <w:textAlignment w:val="baseline"/>
              <w:rPr>
                <w:rFonts w:ascii="Arial Narrow" w:hAnsi="Arial Narrow" w:cs="Open Sans"/>
                <w:b/>
                <w:bCs/>
                <w:color w:val="333333"/>
                <w:sz w:val="20"/>
                <w:szCs w:val="20"/>
                <w:bdr w:val="none" w:sz="0" w:space="0" w:color="auto" w:frame="1"/>
              </w:rPr>
            </w:pPr>
          </w:p>
        </w:tc>
      </w:tr>
      <w:tr w:rsidR="002C6140" w:rsidRPr="001470A7" w14:paraId="4E799D1D" w14:textId="77777777" w:rsidTr="007F4886">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251"/>
        </w:trPr>
        <w:tc>
          <w:tcPr>
            <w:tcW w:w="1555" w:type="dxa"/>
            <w:tcBorders>
              <w:top w:val="single" w:sz="4" w:space="0" w:color="auto"/>
              <w:left w:val="single" w:sz="4" w:space="0" w:color="auto"/>
              <w:bottom w:val="single" w:sz="4" w:space="0" w:color="auto"/>
              <w:right w:val="single" w:sz="4" w:space="0" w:color="auto"/>
            </w:tcBorders>
          </w:tcPr>
          <w:p w14:paraId="568379FD" w14:textId="4543B735" w:rsidR="002C6140" w:rsidRPr="001470A7" w:rsidRDefault="002C6140" w:rsidP="007F4886">
            <w:pPr>
              <w:spacing w:line="259" w:lineRule="auto"/>
              <w:jc w:val="center"/>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tcPr>
          <w:p w14:paraId="0CEBD5E6" w14:textId="77777777" w:rsidR="002C6140" w:rsidRPr="001470A7" w:rsidRDefault="002C6140" w:rsidP="007F4886">
            <w:pPr>
              <w:textAlignment w:val="baseline"/>
              <w:rPr>
                <w:rFonts w:ascii="Arial Narrow" w:hAnsi="Arial Narrow" w:cs="Open Sans"/>
                <w:color w:val="333333"/>
                <w:sz w:val="20"/>
                <w:szCs w:val="20"/>
              </w:rPr>
            </w:pPr>
            <w:r w:rsidRPr="001470A7">
              <w:rPr>
                <w:rFonts w:ascii="Arial Narrow" w:hAnsi="Arial Narrow" w:cs="Open Sans"/>
                <w:b/>
                <w:bCs/>
                <w:color w:val="333333"/>
                <w:sz w:val="20"/>
                <w:szCs w:val="20"/>
                <w:bdr w:val="none" w:sz="0" w:space="0" w:color="auto" w:frame="1"/>
              </w:rPr>
              <w:t>Clinical criteria:</w:t>
            </w:r>
          </w:p>
        </w:tc>
      </w:tr>
      <w:tr w:rsidR="002C6140" w:rsidRPr="001470A7" w14:paraId="4526A95C" w14:textId="77777777" w:rsidTr="00CD1203">
        <w:tc>
          <w:tcPr>
            <w:tcW w:w="1555" w:type="dxa"/>
            <w:tcBorders>
              <w:top w:val="single" w:sz="4" w:space="0" w:color="auto"/>
              <w:left w:val="single" w:sz="4" w:space="0" w:color="auto"/>
              <w:bottom w:val="single" w:sz="4" w:space="0" w:color="auto"/>
              <w:right w:val="single" w:sz="4" w:space="0" w:color="auto"/>
            </w:tcBorders>
          </w:tcPr>
          <w:p w14:paraId="0853B63B" w14:textId="77777777"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E82A5FE" w14:textId="77777777" w:rsidR="002C6140" w:rsidRPr="001470A7" w:rsidRDefault="002C6140" w:rsidP="00BF35A5">
            <w:pPr>
              <w:rPr>
                <w:rFonts w:ascii="Arial Narrow" w:hAnsi="Arial Narrow" w:cs="Open Sans"/>
                <w:color w:val="333333"/>
                <w:sz w:val="20"/>
                <w:szCs w:val="20"/>
              </w:rPr>
            </w:pPr>
            <w:r w:rsidRPr="001470A7">
              <w:rPr>
                <w:rFonts w:ascii="Arial Narrow" w:hAnsi="Arial Narrow" w:cs="Open Sans"/>
                <w:color w:val="333333"/>
                <w:sz w:val="20"/>
                <w:szCs w:val="20"/>
              </w:rPr>
              <w:t>Patient must have received PBS-subsidised treatment with at least one Complement 5 (</w:t>
            </w:r>
            <w:r w:rsidRPr="001470A7">
              <w:rPr>
                <w:rFonts w:ascii="Arial Narrow" w:hAnsi="Arial Narrow"/>
                <w:sz w:val="20"/>
                <w:szCs w:val="20"/>
              </w:rPr>
              <w:t>C5) inhibitor</w:t>
            </w:r>
            <w:r w:rsidRPr="001470A7">
              <w:rPr>
                <w:rFonts w:ascii="Arial Narrow" w:hAnsi="Arial Narrow" w:cs="Open Sans"/>
                <w:i/>
                <w:iCs/>
                <w:color w:val="333333"/>
                <w:sz w:val="20"/>
                <w:szCs w:val="20"/>
              </w:rPr>
              <w:t xml:space="preserve"> </w:t>
            </w:r>
            <w:r w:rsidRPr="001470A7">
              <w:rPr>
                <w:rFonts w:ascii="Arial Narrow" w:hAnsi="Arial Narrow" w:cs="Open Sans"/>
                <w:color w:val="333333"/>
                <w:sz w:val="20"/>
                <w:szCs w:val="20"/>
              </w:rPr>
              <w:t>for this condition</w:t>
            </w:r>
          </w:p>
        </w:tc>
      </w:tr>
      <w:tr w:rsidR="002C6140" w:rsidRPr="001470A7" w14:paraId="7215249A"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555" w:type="dxa"/>
            <w:tcBorders>
              <w:top w:val="single" w:sz="4" w:space="0" w:color="auto"/>
              <w:left w:val="single" w:sz="4" w:space="0" w:color="auto"/>
              <w:bottom w:val="single" w:sz="4" w:space="0" w:color="auto"/>
              <w:right w:val="single" w:sz="4" w:space="0" w:color="auto"/>
            </w:tcBorders>
          </w:tcPr>
          <w:p w14:paraId="773C0F14" w14:textId="77777777"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tcPr>
          <w:p w14:paraId="561B583E" w14:textId="77777777" w:rsidR="002C6140" w:rsidRPr="001470A7" w:rsidRDefault="002C6140" w:rsidP="00BF35A5">
            <w:pPr>
              <w:rPr>
                <w:rFonts w:ascii="Arial Narrow" w:hAnsi="Arial Narrow" w:cs="Open Sans"/>
                <w:color w:val="333333"/>
                <w:sz w:val="20"/>
                <w:szCs w:val="20"/>
              </w:rPr>
            </w:pPr>
            <w:r w:rsidRPr="001470A7">
              <w:rPr>
                <w:rFonts w:ascii="Arial Narrow" w:hAnsi="Arial Narrow" w:cs="Open Sans"/>
                <w:b/>
                <w:bCs/>
                <w:color w:val="333333"/>
                <w:sz w:val="20"/>
                <w:szCs w:val="20"/>
                <w:bdr w:val="none" w:sz="0" w:space="0" w:color="auto" w:frame="1"/>
              </w:rPr>
              <w:t>AND</w:t>
            </w:r>
          </w:p>
        </w:tc>
      </w:tr>
      <w:tr w:rsidR="002C6140" w:rsidRPr="001470A7" w14:paraId="3630E7B9"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555" w:type="dxa"/>
            <w:tcBorders>
              <w:top w:val="single" w:sz="4" w:space="0" w:color="auto"/>
              <w:left w:val="single" w:sz="4" w:space="0" w:color="auto"/>
              <w:bottom w:val="single" w:sz="4" w:space="0" w:color="auto"/>
              <w:right w:val="single" w:sz="4" w:space="0" w:color="auto"/>
            </w:tcBorders>
          </w:tcPr>
          <w:p w14:paraId="302A1F3C" w14:textId="23922711"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tcPr>
          <w:p w14:paraId="5AFCFADD" w14:textId="77777777" w:rsidR="002C6140" w:rsidRPr="001470A7" w:rsidRDefault="002C6140" w:rsidP="00BF35A5">
            <w:pPr>
              <w:rPr>
                <w:rFonts w:ascii="Arial Narrow" w:hAnsi="Arial Narrow" w:cs="Open Sans"/>
                <w:color w:val="333333"/>
                <w:sz w:val="20"/>
                <w:szCs w:val="20"/>
              </w:rPr>
            </w:pPr>
            <w:r w:rsidRPr="001470A7">
              <w:rPr>
                <w:rFonts w:ascii="Arial Narrow" w:hAnsi="Arial Narrow" w:cs="Open Sans"/>
                <w:b/>
                <w:bCs/>
                <w:color w:val="333333"/>
                <w:sz w:val="20"/>
                <w:szCs w:val="20"/>
                <w:bdr w:val="none" w:sz="0" w:space="0" w:color="auto" w:frame="1"/>
              </w:rPr>
              <w:t>Clinical criteria:</w:t>
            </w:r>
          </w:p>
        </w:tc>
      </w:tr>
      <w:tr w:rsidR="002C6140" w:rsidRPr="001470A7" w14:paraId="3229EE52"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555" w:type="dxa"/>
            <w:tcBorders>
              <w:top w:val="single" w:sz="4" w:space="0" w:color="auto"/>
              <w:left w:val="single" w:sz="4" w:space="0" w:color="auto"/>
              <w:bottom w:val="single" w:sz="4" w:space="0" w:color="auto"/>
              <w:right w:val="single" w:sz="4" w:space="0" w:color="auto"/>
            </w:tcBorders>
          </w:tcPr>
          <w:p w14:paraId="0D366C37" w14:textId="38F17E0F"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tcPr>
          <w:p w14:paraId="7BE242CF" w14:textId="77777777" w:rsidR="002C6140" w:rsidRPr="001470A7" w:rsidRDefault="002C6140" w:rsidP="00BF35A5">
            <w:pPr>
              <w:rPr>
                <w:rFonts w:ascii="Arial Narrow" w:hAnsi="Arial Narrow" w:cs="Open Sans"/>
                <w:color w:val="333333"/>
                <w:sz w:val="20"/>
                <w:szCs w:val="20"/>
              </w:rPr>
            </w:pPr>
            <w:r w:rsidRPr="001470A7">
              <w:rPr>
                <w:rFonts w:ascii="Arial Narrow" w:hAnsi="Arial Narrow" w:cs="Open Sans"/>
                <w:color w:val="333333"/>
                <w:sz w:val="20"/>
                <w:szCs w:val="20"/>
              </w:rPr>
              <w:t xml:space="preserve">Patient must have received PBS-subsidised treatment with </w:t>
            </w:r>
            <w:r w:rsidRPr="001470A7">
              <w:rPr>
                <w:rFonts w:ascii="Arial Narrow" w:hAnsi="Arial Narrow" w:cs="Open Sans"/>
                <w:i/>
                <w:iCs/>
                <w:color w:val="333333"/>
                <w:sz w:val="20"/>
                <w:szCs w:val="20"/>
              </w:rPr>
              <w:t>either (i)</w:t>
            </w:r>
            <w:r w:rsidRPr="001470A7">
              <w:rPr>
                <w:rFonts w:ascii="Arial Narrow" w:hAnsi="Arial Narrow" w:cs="Open Sans"/>
                <w:color w:val="333333"/>
                <w:sz w:val="20"/>
                <w:szCs w:val="20"/>
              </w:rPr>
              <w:t xml:space="preserve"> pegcetacoplan, </w:t>
            </w:r>
            <w:r w:rsidRPr="001470A7">
              <w:rPr>
                <w:rFonts w:ascii="Arial Narrow" w:hAnsi="Arial Narrow" w:cs="Open Sans"/>
                <w:i/>
                <w:iCs/>
                <w:color w:val="333333"/>
                <w:sz w:val="20"/>
                <w:szCs w:val="20"/>
              </w:rPr>
              <w:t>(ii) iptacopan</w:t>
            </w:r>
            <w:r w:rsidRPr="001470A7">
              <w:rPr>
                <w:rFonts w:ascii="Arial Narrow" w:hAnsi="Arial Narrow" w:cs="Open Sans"/>
                <w:color w:val="333333"/>
                <w:sz w:val="20"/>
                <w:szCs w:val="20"/>
              </w:rPr>
              <w:t xml:space="preserve"> for this condition</w:t>
            </w:r>
          </w:p>
        </w:tc>
      </w:tr>
      <w:tr w:rsidR="002C6140" w:rsidRPr="001470A7" w14:paraId="74BBAC45"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555" w:type="dxa"/>
            <w:tcBorders>
              <w:top w:val="single" w:sz="4" w:space="0" w:color="auto"/>
              <w:left w:val="single" w:sz="4" w:space="0" w:color="auto"/>
              <w:bottom w:val="single" w:sz="4" w:space="0" w:color="auto"/>
              <w:right w:val="single" w:sz="4" w:space="0" w:color="auto"/>
            </w:tcBorders>
          </w:tcPr>
          <w:p w14:paraId="0DA881A8" w14:textId="77777777"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tcPr>
          <w:p w14:paraId="1482B08C" w14:textId="77777777" w:rsidR="002C6140" w:rsidRPr="001470A7" w:rsidRDefault="002C6140" w:rsidP="00BF35A5">
            <w:pPr>
              <w:rPr>
                <w:rFonts w:ascii="Arial Narrow" w:hAnsi="Arial Narrow" w:cs="Open Sans"/>
                <w:color w:val="333333"/>
                <w:sz w:val="20"/>
                <w:szCs w:val="20"/>
              </w:rPr>
            </w:pPr>
            <w:r w:rsidRPr="001470A7">
              <w:rPr>
                <w:rFonts w:ascii="Arial Narrow" w:hAnsi="Arial Narrow" w:cs="Open Sans"/>
                <w:b/>
                <w:bCs/>
                <w:color w:val="333333"/>
                <w:sz w:val="20"/>
                <w:szCs w:val="20"/>
                <w:bdr w:val="none" w:sz="0" w:space="0" w:color="auto" w:frame="1"/>
              </w:rPr>
              <w:t>AND</w:t>
            </w:r>
          </w:p>
        </w:tc>
      </w:tr>
      <w:tr w:rsidR="002C6140" w:rsidRPr="001470A7" w14:paraId="1FDEC8FF"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555" w:type="dxa"/>
            <w:tcBorders>
              <w:top w:val="single" w:sz="4" w:space="0" w:color="auto"/>
              <w:left w:val="single" w:sz="4" w:space="0" w:color="auto"/>
              <w:bottom w:val="single" w:sz="4" w:space="0" w:color="auto"/>
              <w:right w:val="single" w:sz="4" w:space="0" w:color="auto"/>
            </w:tcBorders>
          </w:tcPr>
          <w:p w14:paraId="5ECCC2DC" w14:textId="77777777"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tcPr>
          <w:p w14:paraId="705C4C0F" w14:textId="77777777" w:rsidR="002C6140" w:rsidRPr="001470A7" w:rsidRDefault="002C6140" w:rsidP="00BF35A5">
            <w:pPr>
              <w:rPr>
                <w:rFonts w:ascii="Arial Narrow" w:hAnsi="Arial Narrow" w:cs="Open Sans"/>
                <w:color w:val="333333"/>
                <w:sz w:val="20"/>
                <w:szCs w:val="20"/>
              </w:rPr>
            </w:pPr>
            <w:r w:rsidRPr="001470A7">
              <w:rPr>
                <w:rFonts w:ascii="Arial Narrow" w:hAnsi="Arial Narrow" w:cs="Open Sans"/>
                <w:b/>
                <w:bCs/>
                <w:color w:val="333333"/>
                <w:sz w:val="20"/>
                <w:szCs w:val="20"/>
                <w:bdr w:val="none" w:sz="0" w:space="0" w:color="auto" w:frame="1"/>
              </w:rPr>
              <w:t>Clinical criteria:</w:t>
            </w:r>
          </w:p>
        </w:tc>
      </w:tr>
      <w:tr w:rsidR="002C6140" w:rsidRPr="001470A7" w14:paraId="1719CF28"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555" w:type="dxa"/>
            <w:tcBorders>
              <w:top w:val="single" w:sz="4" w:space="0" w:color="auto"/>
              <w:left w:val="single" w:sz="4" w:space="0" w:color="auto"/>
              <w:bottom w:val="single" w:sz="4" w:space="0" w:color="auto"/>
              <w:right w:val="single" w:sz="4" w:space="0" w:color="auto"/>
            </w:tcBorders>
          </w:tcPr>
          <w:p w14:paraId="40D1A7B1" w14:textId="237DD8D9"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tcPr>
          <w:p w14:paraId="461B0EF6" w14:textId="77777777" w:rsidR="002C6140" w:rsidRPr="001470A7" w:rsidRDefault="002C6140" w:rsidP="00BF35A5">
            <w:pPr>
              <w:rPr>
                <w:rFonts w:ascii="Arial Narrow" w:hAnsi="Arial Narrow" w:cs="Open Sans"/>
                <w:color w:val="333333"/>
                <w:sz w:val="20"/>
                <w:szCs w:val="20"/>
              </w:rPr>
            </w:pPr>
            <w:r w:rsidRPr="001470A7">
              <w:rPr>
                <w:rFonts w:ascii="Arial Narrow" w:hAnsi="Arial Narrow" w:cs="Open Sans"/>
                <w:color w:val="333333"/>
                <w:sz w:val="20"/>
                <w:szCs w:val="20"/>
              </w:rPr>
              <w:t xml:space="preserve">Patient must have developed resistance or intolerance to </w:t>
            </w:r>
            <w:r w:rsidRPr="001470A7">
              <w:rPr>
                <w:rFonts w:ascii="Arial Narrow" w:hAnsi="Arial Narrow" w:cs="Open Sans"/>
                <w:i/>
                <w:iCs/>
                <w:color w:val="333333"/>
                <w:sz w:val="20"/>
                <w:szCs w:val="20"/>
              </w:rPr>
              <w:t>either (i)</w:t>
            </w:r>
            <w:r w:rsidRPr="001470A7">
              <w:rPr>
                <w:rFonts w:ascii="Arial Narrow" w:hAnsi="Arial Narrow" w:cs="Open Sans"/>
                <w:color w:val="333333"/>
                <w:sz w:val="20"/>
                <w:szCs w:val="20"/>
              </w:rPr>
              <w:t xml:space="preserve"> pegcetacoplan</w:t>
            </w:r>
            <w:r w:rsidRPr="001470A7">
              <w:rPr>
                <w:rFonts w:ascii="Arial Narrow" w:hAnsi="Arial Narrow" w:cs="Open Sans"/>
                <w:i/>
                <w:iCs/>
                <w:color w:val="333333"/>
                <w:sz w:val="20"/>
                <w:szCs w:val="20"/>
              </w:rPr>
              <w:t>, (ii)</w:t>
            </w:r>
            <w:r w:rsidRPr="001470A7">
              <w:rPr>
                <w:rFonts w:ascii="Arial Narrow" w:hAnsi="Arial Narrow" w:cs="Open Sans"/>
                <w:color w:val="333333"/>
                <w:sz w:val="20"/>
                <w:szCs w:val="20"/>
              </w:rPr>
              <w:t xml:space="preserve"> </w:t>
            </w:r>
            <w:r w:rsidRPr="001470A7">
              <w:rPr>
                <w:rFonts w:ascii="Arial Narrow" w:hAnsi="Arial Narrow" w:cs="Open Sans"/>
                <w:i/>
                <w:iCs/>
                <w:color w:val="333333"/>
                <w:sz w:val="20"/>
                <w:szCs w:val="20"/>
              </w:rPr>
              <w:t>iptacopan</w:t>
            </w:r>
          </w:p>
        </w:tc>
      </w:tr>
      <w:tr w:rsidR="002C6140" w:rsidRPr="001470A7" w14:paraId="666ECAE8" w14:textId="77777777" w:rsidTr="00CD1203">
        <w:tc>
          <w:tcPr>
            <w:tcW w:w="1555" w:type="dxa"/>
            <w:tcBorders>
              <w:top w:val="single" w:sz="4" w:space="0" w:color="auto"/>
              <w:left w:val="single" w:sz="4" w:space="0" w:color="auto"/>
              <w:bottom w:val="single" w:sz="4" w:space="0" w:color="auto"/>
              <w:right w:val="single" w:sz="4" w:space="0" w:color="auto"/>
            </w:tcBorders>
          </w:tcPr>
          <w:p w14:paraId="542CF890" w14:textId="77777777" w:rsidR="002C6140" w:rsidRPr="001470A7" w:rsidRDefault="002C6140" w:rsidP="00BF35A5">
            <w:pPr>
              <w:jc w:val="center"/>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5C488DA5" w14:textId="77777777" w:rsidR="002C6140" w:rsidRPr="001470A7" w:rsidRDefault="002C6140" w:rsidP="00BF35A5">
            <w:pPr>
              <w:rPr>
                <w:rFonts w:ascii="Arial Narrow" w:hAnsi="Arial Narrow" w:cs="Open Sans"/>
                <w:color w:val="333333"/>
                <w:sz w:val="20"/>
                <w:szCs w:val="20"/>
              </w:rPr>
            </w:pPr>
            <w:r w:rsidRPr="001470A7">
              <w:rPr>
                <w:rFonts w:ascii="Arial Narrow" w:hAnsi="Arial Narrow" w:cs="Open Sans"/>
                <w:b/>
                <w:bCs/>
                <w:color w:val="333333"/>
                <w:sz w:val="20"/>
                <w:szCs w:val="20"/>
                <w:bdr w:val="none" w:sz="0" w:space="0" w:color="auto" w:frame="1"/>
              </w:rPr>
              <w:t>AND</w:t>
            </w:r>
          </w:p>
        </w:tc>
      </w:tr>
      <w:tr w:rsidR="002C6140" w:rsidRPr="001470A7" w14:paraId="6C78EDD4" w14:textId="77777777" w:rsidTr="00CD1203">
        <w:tc>
          <w:tcPr>
            <w:tcW w:w="1555" w:type="dxa"/>
            <w:tcBorders>
              <w:top w:val="single" w:sz="4" w:space="0" w:color="auto"/>
              <w:left w:val="single" w:sz="4" w:space="0" w:color="auto"/>
              <w:bottom w:val="single" w:sz="4" w:space="0" w:color="auto"/>
              <w:right w:val="single" w:sz="4" w:space="0" w:color="auto"/>
            </w:tcBorders>
          </w:tcPr>
          <w:p w14:paraId="7C5AA6A3" w14:textId="64CF8A8E"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3CB7A670" w14:textId="77777777" w:rsidR="002C6140" w:rsidRPr="001470A7" w:rsidRDefault="002C6140" w:rsidP="00BF35A5">
            <w:pPr>
              <w:textAlignment w:val="baseline"/>
              <w:rPr>
                <w:rFonts w:ascii="Arial Narrow" w:hAnsi="Arial Narrow" w:cs="Open Sans"/>
                <w:color w:val="333333"/>
                <w:sz w:val="20"/>
                <w:szCs w:val="20"/>
              </w:rPr>
            </w:pPr>
            <w:r w:rsidRPr="001470A7">
              <w:rPr>
                <w:rFonts w:ascii="Arial Narrow" w:hAnsi="Arial Narrow" w:cs="Open Sans"/>
                <w:b/>
                <w:bCs/>
                <w:color w:val="333333"/>
                <w:sz w:val="20"/>
                <w:szCs w:val="20"/>
                <w:bdr w:val="none" w:sz="0" w:space="0" w:color="auto" w:frame="1"/>
              </w:rPr>
              <w:t>Clinical criteria:</w:t>
            </w:r>
          </w:p>
        </w:tc>
      </w:tr>
      <w:tr w:rsidR="002C6140" w:rsidRPr="001470A7" w14:paraId="233567A7" w14:textId="77777777" w:rsidTr="00CD1203">
        <w:tc>
          <w:tcPr>
            <w:tcW w:w="1555" w:type="dxa"/>
            <w:tcBorders>
              <w:top w:val="single" w:sz="4" w:space="0" w:color="auto"/>
              <w:left w:val="single" w:sz="4" w:space="0" w:color="auto"/>
              <w:bottom w:val="single" w:sz="4" w:space="0" w:color="auto"/>
              <w:right w:val="single" w:sz="4" w:space="0" w:color="auto"/>
            </w:tcBorders>
          </w:tcPr>
          <w:p w14:paraId="602F2DF4" w14:textId="296B65E9"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0D02DEC2" w14:textId="77777777" w:rsidR="002C6140" w:rsidRPr="001470A7" w:rsidRDefault="002C6140" w:rsidP="00BF35A5">
            <w:pPr>
              <w:rPr>
                <w:rFonts w:ascii="Arial Narrow" w:hAnsi="Arial Narrow" w:cs="Open Sans"/>
                <w:strike/>
                <w:color w:val="333333"/>
                <w:sz w:val="20"/>
                <w:szCs w:val="20"/>
              </w:rPr>
            </w:pPr>
            <w:r w:rsidRPr="001470A7">
              <w:rPr>
                <w:rFonts w:ascii="Arial Narrow" w:hAnsi="Arial Narrow" w:cs="Open Sans"/>
                <w:strike/>
                <w:color w:val="333333"/>
                <w:sz w:val="20"/>
                <w:szCs w:val="20"/>
              </w:rPr>
              <w:t>The treatment must not be in combination with either of (i) another Complement 5 (C5) inhibitor, (ii) pegcetacoplan</w:t>
            </w:r>
          </w:p>
          <w:p w14:paraId="42286848" w14:textId="77777777" w:rsidR="002C6140" w:rsidRPr="001470A7" w:rsidRDefault="002C6140" w:rsidP="00BF35A5">
            <w:pPr>
              <w:rPr>
                <w:rFonts w:ascii="Arial Narrow" w:hAnsi="Arial Narrow" w:cs="Open Sans"/>
                <w:strike/>
                <w:color w:val="333333"/>
                <w:sz w:val="20"/>
                <w:szCs w:val="20"/>
              </w:rPr>
            </w:pPr>
            <w:r w:rsidRPr="001470A7">
              <w:rPr>
                <w:rFonts w:ascii="Arial Narrow" w:hAnsi="Arial Narrow" w:cs="Open Sans"/>
                <w:i/>
                <w:iCs/>
                <w:color w:val="333333"/>
                <w:sz w:val="20"/>
                <w:szCs w:val="20"/>
              </w:rPr>
              <w:t>The treatment must be the sole PBS-subsidised therapy for this condition.</w:t>
            </w:r>
          </w:p>
        </w:tc>
      </w:tr>
      <w:tr w:rsidR="002C6140" w:rsidRPr="001470A7" w14:paraId="7A7A63D1"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555" w:type="dxa"/>
            <w:tcBorders>
              <w:top w:val="single" w:sz="4" w:space="0" w:color="auto"/>
              <w:left w:val="single" w:sz="4" w:space="0" w:color="auto"/>
              <w:bottom w:val="single" w:sz="4" w:space="0" w:color="auto"/>
              <w:right w:val="single" w:sz="4" w:space="0" w:color="auto"/>
            </w:tcBorders>
          </w:tcPr>
          <w:p w14:paraId="52D62ECF" w14:textId="77777777"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tcPr>
          <w:p w14:paraId="7DCE9D6D" w14:textId="77777777" w:rsidR="002C6140" w:rsidRPr="001470A7" w:rsidRDefault="002C6140" w:rsidP="00BF35A5">
            <w:pPr>
              <w:rPr>
                <w:rFonts w:ascii="Arial Narrow" w:hAnsi="Arial Narrow" w:cs="Open Sans"/>
                <w:color w:val="333333"/>
                <w:sz w:val="20"/>
                <w:szCs w:val="20"/>
              </w:rPr>
            </w:pPr>
          </w:p>
        </w:tc>
      </w:tr>
      <w:tr w:rsidR="002C6140" w:rsidRPr="001470A7" w14:paraId="4D20EED7"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555" w:type="dxa"/>
            <w:tcBorders>
              <w:top w:val="single" w:sz="4" w:space="0" w:color="auto"/>
              <w:left w:val="single" w:sz="4" w:space="0" w:color="auto"/>
              <w:bottom w:val="single" w:sz="4" w:space="0" w:color="auto"/>
              <w:right w:val="single" w:sz="4" w:space="0" w:color="auto"/>
            </w:tcBorders>
            <w:hideMark/>
          </w:tcPr>
          <w:p w14:paraId="445447A1" w14:textId="77777777" w:rsidR="002C6140" w:rsidRPr="001470A7" w:rsidRDefault="002C6140" w:rsidP="00BF35A5">
            <w:pPr>
              <w:jc w:val="center"/>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04CCB52" w14:textId="77777777" w:rsidR="002C6140" w:rsidRPr="001470A7" w:rsidRDefault="002C6140" w:rsidP="00BF35A5">
            <w:pPr>
              <w:rPr>
                <w:rFonts w:ascii="Arial Narrow" w:hAnsi="Arial Narrow" w:cs="Open Sans"/>
                <w:color w:val="333333"/>
                <w:sz w:val="20"/>
                <w:szCs w:val="20"/>
              </w:rPr>
            </w:pPr>
            <w:r w:rsidRPr="001470A7">
              <w:rPr>
                <w:rFonts w:ascii="Arial Narrow" w:hAnsi="Arial Narrow" w:cs="Open Sans"/>
                <w:b/>
                <w:bCs/>
                <w:color w:val="333333"/>
                <w:sz w:val="20"/>
                <w:szCs w:val="20"/>
                <w:bdr w:val="none" w:sz="0" w:space="0" w:color="auto" w:frame="1"/>
              </w:rPr>
              <w:t>AND</w:t>
            </w:r>
          </w:p>
        </w:tc>
      </w:tr>
      <w:tr w:rsidR="002C6140" w:rsidRPr="001470A7" w14:paraId="55B65593" w14:textId="77777777" w:rsidTr="00CD1203">
        <w:tc>
          <w:tcPr>
            <w:tcW w:w="1555" w:type="dxa"/>
            <w:tcBorders>
              <w:top w:val="single" w:sz="4" w:space="0" w:color="auto"/>
              <w:left w:val="single" w:sz="4" w:space="0" w:color="auto"/>
              <w:bottom w:val="single" w:sz="4" w:space="0" w:color="auto"/>
              <w:right w:val="single" w:sz="4" w:space="0" w:color="auto"/>
            </w:tcBorders>
          </w:tcPr>
          <w:p w14:paraId="0377973C" w14:textId="18316C32"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1DF18635" w14:textId="77777777" w:rsidR="002C6140" w:rsidRPr="001470A7" w:rsidRDefault="002C6140" w:rsidP="00BF35A5">
            <w:pPr>
              <w:textAlignment w:val="baseline"/>
              <w:rPr>
                <w:rFonts w:ascii="Arial Narrow" w:hAnsi="Arial Narrow" w:cs="Open Sans"/>
                <w:color w:val="333333"/>
                <w:sz w:val="20"/>
                <w:szCs w:val="20"/>
              </w:rPr>
            </w:pPr>
            <w:r w:rsidRPr="001470A7">
              <w:rPr>
                <w:rFonts w:ascii="Arial Narrow" w:hAnsi="Arial Narrow" w:cs="Open Sans"/>
                <w:b/>
                <w:bCs/>
                <w:color w:val="333333"/>
                <w:sz w:val="20"/>
                <w:szCs w:val="20"/>
                <w:bdr w:val="none" w:sz="0" w:space="0" w:color="auto" w:frame="1"/>
              </w:rPr>
              <w:t>Treatment criteria:</w:t>
            </w:r>
          </w:p>
        </w:tc>
      </w:tr>
      <w:tr w:rsidR="002C6140" w:rsidRPr="001470A7" w14:paraId="64D3D8F5" w14:textId="77777777" w:rsidTr="00CD1203">
        <w:tc>
          <w:tcPr>
            <w:tcW w:w="1555" w:type="dxa"/>
            <w:tcBorders>
              <w:top w:val="single" w:sz="4" w:space="0" w:color="auto"/>
              <w:left w:val="single" w:sz="4" w:space="0" w:color="auto"/>
              <w:bottom w:val="single" w:sz="4" w:space="0" w:color="auto"/>
              <w:right w:val="single" w:sz="4" w:space="0" w:color="auto"/>
            </w:tcBorders>
          </w:tcPr>
          <w:p w14:paraId="4EFDDCB1" w14:textId="3B1077C1"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14:paraId="7C08488A" w14:textId="77777777" w:rsidR="002C6140" w:rsidRPr="001470A7" w:rsidRDefault="002C6140" w:rsidP="00BF35A5">
            <w:pPr>
              <w:rPr>
                <w:rFonts w:ascii="Arial Narrow" w:hAnsi="Arial Narrow" w:cs="Open Sans"/>
                <w:color w:val="333333"/>
                <w:sz w:val="20"/>
                <w:szCs w:val="20"/>
              </w:rPr>
            </w:pPr>
            <w:r w:rsidRPr="001470A7">
              <w:rPr>
                <w:rFonts w:ascii="Arial Narrow" w:hAnsi="Arial Narrow" w:cs="Open Sans"/>
                <w:color w:val="333333"/>
                <w:sz w:val="20"/>
                <w:szCs w:val="20"/>
              </w:rPr>
              <w:t>Must be treated by a haematologist; or</w:t>
            </w:r>
          </w:p>
        </w:tc>
      </w:tr>
      <w:tr w:rsidR="002C6140" w:rsidRPr="001470A7" w14:paraId="4EA16628"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555" w:type="dxa"/>
            <w:tcBorders>
              <w:top w:val="single" w:sz="4" w:space="0" w:color="auto"/>
              <w:left w:val="single" w:sz="4" w:space="0" w:color="auto"/>
              <w:bottom w:val="single" w:sz="4" w:space="0" w:color="auto"/>
              <w:right w:val="single" w:sz="4" w:space="0" w:color="auto"/>
            </w:tcBorders>
          </w:tcPr>
          <w:p w14:paraId="2E370E8A" w14:textId="01CF0CCC"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tcPr>
          <w:p w14:paraId="11358E51" w14:textId="77777777" w:rsidR="002C6140" w:rsidRPr="001470A7" w:rsidRDefault="002C6140" w:rsidP="00BF35A5">
            <w:pPr>
              <w:rPr>
                <w:rFonts w:ascii="Arial Narrow" w:hAnsi="Arial Narrow" w:cs="Open Sans"/>
                <w:color w:val="333333"/>
                <w:sz w:val="20"/>
                <w:szCs w:val="20"/>
              </w:rPr>
            </w:pPr>
            <w:r w:rsidRPr="001470A7">
              <w:rPr>
                <w:rFonts w:ascii="Arial Narrow" w:hAnsi="Arial Narrow" w:cs="Open Sans"/>
                <w:color w:val="333333"/>
                <w:sz w:val="20"/>
                <w:szCs w:val="20"/>
              </w:rPr>
              <w:t>Must be treated by a non-specialist medical physician who has consulted a haematologist on the patient’s drug treatment details</w:t>
            </w:r>
          </w:p>
        </w:tc>
      </w:tr>
      <w:tr w:rsidR="002C6140" w:rsidRPr="001470A7" w14:paraId="69F9A1DC"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555" w:type="dxa"/>
            <w:tcBorders>
              <w:top w:val="single" w:sz="4" w:space="0" w:color="auto"/>
              <w:left w:val="single" w:sz="4" w:space="0" w:color="auto"/>
              <w:bottom w:val="single" w:sz="4" w:space="0" w:color="auto"/>
              <w:right w:val="single" w:sz="4" w:space="0" w:color="auto"/>
            </w:tcBorders>
          </w:tcPr>
          <w:p w14:paraId="20D8F73B" w14:textId="77777777"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tcPr>
          <w:p w14:paraId="3E915F16" w14:textId="77777777" w:rsidR="002C6140" w:rsidRPr="001470A7" w:rsidRDefault="002C6140" w:rsidP="00BF35A5">
            <w:pPr>
              <w:rPr>
                <w:rFonts w:ascii="Arial Narrow" w:hAnsi="Arial Narrow" w:cs="Open Sans"/>
                <w:color w:val="333333"/>
                <w:sz w:val="20"/>
                <w:szCs w:val="20"/>
              </w:rPr>
            </w:pPr>
          </w:p>
        </w:tc>
      </w:tr>
      <w:tr w:rsidR="002C6140" w:rsidRPr="001470A7" w14:paraId="2333F43E"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rPr>
          <w:trHeight w:val="1167"/>
        </w:trPr>
        <w:tc>
          <w:tcPr>
            <w:tcW w:w="1555" w:type="dxa"/>
            <w:tcBorders>
              <w:top w:val="single" w:sz="4" w:space="0" w:color="auto"/>
              <w:left w:val="single" w:sz="4" w:space="0" w:color="auto"/>
              <w:bottom w:val="single" w:sz="4" w:space="0" w:color="auto"/>
              <w:right w:val="single" w:sz="4" w:space="0" w:color="auto"/>
            </w:tcBorders>
          </w:tcPr>
          <w:p w14:paraId="64C9CCE7" w14:textId="4D159E8D"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tcPr>
          <w:p w14:paraId="2CC69A5A" w14:textId="77777777" w:rsidR="002C6140" w:rsidRPr="001470A7" w:rsidRDefault="002C6140" w:rsidP="00BF35A5">
            <w:pPr>
              <w:textAlignment w:val="baseline"/>
              <w:rPr>
                <w:rFonts w:ascii="Arial Narrow" w:hAnsi="Arial Narrow" w:cs="Open Sans"/>
                <w:color w:val="333333"/>
                <w:sz w:val="20"/>
                <w:szCs w:val="20"/>
              </w:rPr>
            </w:pPr>
            <w:r w:rsidRPr="001470A7">
              <w:rPr>
                <w:rFonts w:ascii="Arial Narrow" w:hAnsi="Arial Narrow" w:cs="Open Sans"/>
                <w:b/>
                <w:bCs/>
                <w:color w:val="333333"/>
                <w:sz w:val="20"/>
                <w:szCs w:val="20"/>
                <w:bdr w:val="none" w:sz="0" w:space="0" w:color="auto" w:frame="1"/>
              </w:rPr>
              <w:t>Prescribing Instructions:</w:t>
            </w:r>
          </w:p>
          <w:p w14:paraId="5A1C3FC4" w14:textId="77777777" w:rsidR="002C6140" w:rsidRPr="001470A7" w:rsidRDefault="002C6140" w:rsidP="00BF35A5">
            <w:pPr>
              <w:textAlignment w:val="baseline"/>
              <w:rPr>
                <w:rFonts w:ascii="Arial Narrow" w:hAnsi="Arial Narrow" w:cs="Open Sans"/>
                <w:strike/>
                <w:color w:val="333333"/>
                <w:sz w:val="20"/>
                <w:szCs w:val="20"/>
              </w:rPr>
            </w:pPr>
            <w:r w:rsidRPr="001470A7">
              <w:rPr>
                <w:rFonts w:ascii="Arial Narrow" w:hAnsi="Arial Narrow" w:cs="Open Sans"/>
                <w:strike/>
                <w:color w:val="333333"/>
                <w:sz w:val="20"/>
                <w:szCs w:val="20"/>
              </w:rPr>
              <w:t>The authority application must be made in writing and must include:</w:t>
            </w:r>
          </w:p>
          <w:p w14:paraId="08C73094" w14:textId="77777777" w:rsidR="002C6140" w:rsidRPr="001470A7" w:rsidRDefault="002C6140" w:rsidP="00BF35A5">
            <w:pPr>
              <w:textAlignment w:val="baseline"/>
              <w:rPr>
                <w:rFonts w:ascii="Arial Narrow" w:hAnsi="Arial Narrow" w:cs="Open Sans"/>
                <w:strike/>
                <w:color w:val="333333"/>
                <w:sz w:val="20"/>
                <w:szCs w:val="20"/>
              </w:rPr>
            </w:pPr>
            <w:r w:rsidRPr="001470A7">
              <w:rPr>
                <w:rFonts w:ascii="Arial Narrow" w:hAnsi="Arial Narrow" w:cs="Open Sans"/>
                <w:strike/>
                <w:color w:val="333333"/>
                <w:sz w:val="20"/>
                <w:szCs w:val="20"/>
              </w:rPr>
              <w:t>(1) a completed authority prescription form; and</w:t>
            </w:r>
          </w:p>
          <w:p w14:paraId="5C9F403B" w14:textId="77777777" w:rsidR="002C6140" w:rsidRPr="001470A7" w:rsidRDefault="002C6140" w:rsidP="00BF35A5">
            <w:pPr>
              <w:textAlignment w:val="baseline"/>
              <w:rPr>
                <w:rFonts w:ascii="Arial Narrow" w:hAnsi="Arial Narrow" w:cs="Open Sans"/>
                <w:strike/>
                <w:color w:val="333333"/>
                <w:sz w:val="20"/>
                <w:szCs w:val="20"/>
              </w:rPr>
            </w:pPr>
            <w:r w:rsidRPr="001470A7">
              <w:rPr>
                <w:rFonts w:ascii="Arial Narrow" w:hAnsi="Arial Narrow" w:cs="Open Sans"/>
                <w:strike/>
                <w:color w:val="333333"/>
                <w:sz w:val="20"/>
                <w:szCs w:val="20"/>
              </w:rPr>
              <w:t>(2) a completed authority application form relevant to the indication and treatment phase (the latest version is located on the website specified in the Administrative Advice).</w:t>
            </w:r>
          </w:p>
          <w:p w14:paraId="6470068D" w14:textId="77777777" w:rsidR="002C6140" w:rsidRPr="001470A7" w:rsidRDefault="002C6140" w:rsidP="00BF35A5">
            <w:pPr>
              <w:textAlignment w:val="baseline"/>
              <w:rPr>
                <w:rFonts w:ascii="Arial Narrow" w:hAnsi="Arial Narrow" w:cs="Open Sans"/>
                <w:strike/>
                <w:color w:val="333333"/>
                <w:sz w:val="20"/>
                <w:szCs w:val="20"/>
              </w:rPr>
            </w:pPr>
          </w:p>
          <w:p w14:paraId="38B83760" w14:textId="77777777" w:rsidR="002C6140" w:rsidRPr="001470A7" w:rsidRDefault="002C6140" w:rsidP="00BF35A5">
            <w:pPr>
              <w:keepNext/>
              <w:keepLines/>
              <w:rPr>
                <w:rFonts w:ascii="Arial Narrow" w:hAnsi="Arial Narrow"/>
                <w:i/>
                <w:iCs/>
                <w:sz w:val="20"/>
                <w:szCs w:val="20"/>
              </w:rPr>
            </w:pPr>
            <w:r w:rsidRPr="001470A7">
              <w:rPr>
                <w:rFonts w:ascii="Arial Narrow" w:hAnsi="Arial Narrow"/>
                <w:i/>
                <w:iCs/>
                <w:sz w:val="20"/>
                <w:szCs w:val="20"/>
              </w:rPr>
              <w:t>The authority application must be made in writing and must include:</w:t>
            </w:r>
          </w:p>
          <w:p w14:paraId="0E3123C9" w14:textId="77777777" w:rsidR="002C6140" w:rsidRPr="001470A7" w:rsidRDefault="002C6140" w:rsidP="00BF35A5">
            <w:pPr>
              <w:keepNext/>
              <w:keepLines/>
              <w:rPr>
                <w:rFonts w:ascii="Arial Narrow" w:hAnsi="Arial Narrow"/>
                <w:i/>
                <w:iCs/>
                <w:sz w:val="20"/>
                <w:szCs w:val="20"/>
              </w:rPr>
            </w:pPr>
            <w:r w:rsidRPr="001470A7">
              <w:rPr>
                <w:rFonts w:ascii="Arial Narrow" w:hAnsi="Arial Narrow"/>
                <w:i/>
                <w:iCs/>
                <w:sz w:val="20"/>
                <w:szCs w:val="20"/>
              </w:rPr>
              <w:t xml:space="preserve">(1) </w:t>
            </w:r>
            <w:r w:rsidRPr="009651D9">
              <w:rPr>
                <w:rFonts w:ascii="Arial Narrow" w:hAnsi="Arial Narrow"/>
                <w:i/>
                <w:iCs/>
                <w:sz w:val="20"/>
                <w:szCs w:val="20"/>
              </w:rPr>
              <w:t>details of the proposed prescription;</w:t>
            </w:r>
            <w:r w:rsidRPr="001470A7">
              <w:rPr>
                <w:rFonts w:ascii="Arial Narrow" w:hAnsi="Arial Narrow"/>
                <w:i/>
                <w:iCs/>
                <w:sz w:val="20"/>
                <w:szCs w:val="20"/>
              </w:rPr>
              <w:t xml:space="preserve"> and</w:t>
            </w:r>
          </w:p>
          <w:p w14:paraId="5FFA5FA4" w14:textId="6C7D5E95" w:rsidR="002C6140" w:rsidRPr="007F4886" w:rsidRDefault="002C6140" w:rsidP="007F4886">
            <w:pPr>
              <w:textAlignment w:val="baseline"/>
              <w:rPr>
                <w:rFonts w:ascii="Arial Narrow" w:hAnsi="Arial Narrow" w:cs="Open Sans"/>
                <w:i/>
                <w:iCs/>
                <w:color w:val="333333"/>
                <w:sz w:val="20"/>
                <w:szCs w:val="20"/>
              </w:rPr>
            </w:pPr>
            <w:r w:rsidRPr="001470A7">
              <w:rPr>
                <w:rFonts w:ascii="Arial Narrow" w:hAnsi="Arial Narrow"/>
                <w:i/>
                <w:iCs/>
                <w:sz w:val="20"/>
                <w:szCs w:val="20"/>
              </w:rPr>
              <w:t>(2) a completed authority application form relevant to the indication and treatment phase (the latest version is located on the website specified in the Administrative Advice).</w:t>
            </w:r>
          </w:p>
        </w:tc>
      </w:tr>
      <w:tr w:rsidR="002C6140" w:rsidRPr="001470A7" w14:paraId="19197072"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555" w:type="dxa"/>
            <w:tcBorders>
              <w:top w:val="single" w:sz="4" w:space="0" w:color="auto"/>
              <w:left w:val="single" w:sz="4" w:space="0" w:color="auto"/>
              <w:bottom w:val="single" w:sz="4" w:space="0" w:color="auto"/>
              <w:right w:val="single" w:sz="4" w:space="0" w:color="auto"/>
            </w:tcBorders>
          </w:tcPr>
          <w:p w14:paraId="1B2DA3F3" w14:textId="77777777" w:rsidR="002C6140" w:rsidRPr="001470A7" w:rsidRDefault="002C6140" w:rsidP="00BF35A5">
            <w:pPr>
              <w:jc w:val="center"/>
              <w:textAlignment w:val="baseline"/>
              <w:rPr>
                <w:rFonts w:ascii="Arial Narrow" w:hAnsi="Arial Narrow" w:cs="Open Sans"/>
                <w:color w:val="333333"/>
                <w:sz w:val="20"/>
                <w:szCs w:val="20"/>
              </w:rPr>
            </w:pPr>
          </w:p>
          <w:p w14:paraId="40F7684F" w14:textId="517070A5" w:rsidR="002C6140" w:rsidRPr="001470A7" w:rsidRDefault="002C6140" w:rsidP="00BF35A5">
            <w:pPr>
              <w:jc w:val="center"/>
              <w:textAlignment w:val="baseline"/>
              <w:rPr>
                <w:rFonts w:ascii="Arial Narrow" w:hAnsi="Arial Narrow" w:cs="Open Sans"/>
                <w:color w:val="333333"/>
                <w:sz w:val="20"/>
                <w:szCs w:val="20"/>
              </w:rPr>
            </w:pPr>
          </w:p>
        </w:tc>
        <w:tc>
          <w:tcPr>
            <w:tcW w:w="7371" w:type="dxa"/>
            <w:tcBorders>
              <w:top w:val="single" w:sz="4" w:space="0" w:color="auto"/>
              <w:left w:val="single" w:sz="4" w:space="0" w:color="auto"/>
              <w:bottom w:val="single" w:sz="4" w:space="0" w:color="auto"/>
              <w:right w:val="single" w:sz="4" w:space="0" w:color="auto"/>
            </w:tcBorders>
          </w:tcPr>
          <w:p w14:paraId="6E698007" w14:textId="77777777" w:rsidR="002C6140" w:rsidRPr="001470A7" w:rsidRDefault="002C6140" w:rsidP="00BF35A5">
            <w:pPr>
              <w:textAlignment w:val="baseline"/>
              <w:rPr>
                <w:rFonts w:ascii="Arial Narrow" w:hAnsi="Arial Narrow" w:cs="Open Sans"/>
                <w:color w:val="333333"/>
                <w:sz w:val="20"/>
                <w:szCs w:val="20"/>
              </w:rPr>
            </w:pPr>
            <w:r w:rsidRPr="001470A7">
              <w:rPr>
                <w:rFonts w:ascii="Arial Narrow" w:hAnsi="Arial Narrow" w:cs="Open Sans"/>
                <w:b/>
                <w:bCs/>
                <w:color w:val="333333"/>
                <w:sz w:val="20"/>
                <w:szCs w:val="20"/>
                <w:bdr w:val="none" w:sz="0" w:space="0" w:color="auto" w:frame="1"/>
              </w:rPr>
              <w:t>Prescribing Instructions:</w:t>
            </w:r>
          </w:p>
          <w:p w14:paraId="60618ADF" w14:textId="77777777" w:rsidR="002C6140" w:rsidRPr="001470A7" w:rsidRDefault="002C6140" w:rsidP="00BF35A5">
            <w:pPr>
              <w:rPr>
                <w:rFonts w:ascii="Arial Narrow" w:hAnsi="Arial Narrow" w:cs="Open Sans"/>
                <w:color w:val="333333"/>
                <w:sz w:val="20"/>
                <w:szCs w:val="20"/>
              </w:rPr>
            </w:pPr>
            <w:r w:rsidRPr="001470A7">
              <w:rPr>
                <w:rFonts w:ascii="Arial Narrow" w:hAnsi="Arial Narrow"/>
                <w:color w:val="333333"/>
                <w:sz w:val="20"/>
                <w:szCs w:val="20"/>
              </w:rPr>
              <w:t>For continuing PBS-subsidised treatment with this drug, a 'Returning' patient must proceed under the ‘Subsequent Continuing Treatment' criteria.</w:t>
            </w:r>
          </w:p>
        </w:tc>
      </w:tr>
    </w:tbl>
    <w:p w14:paraId="7FFB7A4F" w14:textId="77777777" w:rsidR="002C6140" w:rsidRPr="0083756B" w:rsidRDefault="002C6140" w:rsidP="002C6140">
      <w:pPr>
        <w:rPr>
          <w:sz w:val="20"/>
          <w:szCs w:val="20"/>
        </w:rPr>
      </w:pPr>
    </w:p>
    <w:tbl>
      <w:tblPr>
        <w:tblW w:w="4950" w:type="pct"/>
        <w:shd w:val="clear" w:color="auto" w:fill="FFFFFF"/>
        <w:tblCellMar>
          <w:left w:w="0" w:type="dxa"/>
          <w:right w:w="0" w:type="dxa"/>
        </w:tblCellMar>
        <w:tblLook w:val="04A0" w:firstRow="1" w:lastRow="0" w:firstColumn="1" w:lastColumn="0" w:noHBand="0" w:noVBand="1"/>
      </w:tblPr>
      <w:tblGrid>
        <w:gridCol w:w="2689"/>
        <w:gridCol w:w="1701"/>
        <w:gridCol w:w="1134"/>
        <w:gridCol w:w="850"/>
        <w:gridCol w:w="994"/>
        <w:gridCol w:w="1559"/>
      </w:tblGrid>
      <w:tr w:rsidR="002C6140" w:rsidRPr="00BB6E54" w14:paraId="4ED63D09" w14:textId="77777777" w:rsidTr="00974DAA">
        <w:trPr>
          <w:trHeight w:val="20"/>
        </w:trPr>
        <w:tc>
          <w:tcPr>
            <w:tcW w:w="1506" w:type="pct"/>
            <w:tcBorders>
              <w:top w:val="single" w:sz="4" w:space="0" w:color="auto"/>
              <w:left w:val="single" w:sz="4" w:space="0" w:color="auto"/>
              <w:right w:val="single" w:sz="4" w:space="0" w:color="auto"/>
            </w:tcBorders>
            <w:shd w:val="clear" w:color="auto" w:fill="auto"/>
            <w:tcMar>
              <w:top w:w="0" w:type="dxa"/>
              <w:left w:w="240" w:type="dxa"/>
              <w:bottom w:w="0" w:type="dxa"/>
              <w:right w:w="240" w:type="dxa"/>
            </w:tcMar>
            <w:vAlign w:val="center"/>
          </w:tcPr>
          <w:p w14:paraId="6D90320A" w14:textId="77777777" w:rsidR="002C6140" w:rsidRPr="00BB6E54" w:rsidRDefault="002C6140" w:rsidP="00974DAA">
            <w:pPr>
              <w:keepNext/>
              <w:ind w:left="-57"/>
              <w:jc w:val="left"/>
              <w:rPr>
                <w:rFonts w:ascii="Arial Narrow" w:eastAsia="Calibri" w:hAnsi="Arial Narrow" w:cstheme="minorBidi"/>
                <w:b/>
                <w:bCs/>
                <w:sz w:val="20"/>
                <w:szCs w:val="20"/>
              </w:rPr>
            </w:pPr>
            <w:r w:rsidRPr="00BB6E54">
              <w:rPr>
                <w:rFonts w:ascii="Arial Narrow" w:eastAsia="Calibri" w:hAnsi="Arial Narrow" w:cstheme="minorBidi"/>
                <w:b/>
                <w:bCs/>
                <w:sz w:val="20"/>
                <w:szCs w:val="20"/>
              </w:rPr>
              <w:lastRenderedPageBreak/>
              <w:t>MEDICINAL PRODUCT</w:t>
            </w:r>
          </w:p>
          <w:p w14:paraId="4FDCA7E3" w14:textId="77777777" w:rsidR="002C6140" w:rsidRPr="00BB6E54" w:rsidRDefault="002C6140" w:rsidP="00974DAA">
            <w:pPr>
              <w:keepNext/>
              <w:ind w:left="-57"/>
              <w:jc w:val="left"/>
              <w:rPr>
                <w:rFonts w:ascii="Arial Narrow" w:eastAsia="Calibri" w:hAnsi="Arial Narrow" w:cstheme="minorBidi"/>
                <w:b/>
                <w:bCs/>
                <w:sz w:val="20"/>
                <w:szCs w:val="20"/>
              </w:rPr>
            </w:pPr>
            <w:r w:rsidRPr="00BB6E54">
              <w:rPr>
                <w:rFonts w:ascii="Arial Narrow" w:eastAsia="Calibri" w:hAnsi="Arial Narrow" w:cstheme="minorBidi"/>
                <w:b/>
                <w:bCs/>
                <w:sz w:val="20"/>
                <w:szCs w:val="20"/>
              </w:rPr>
              <w:t>Medicinal Product pack</w:t>
            </w:r>
          </w:p>
        </w:tc>
        <w:tc>
          <w:tcPr>
            <w:tcW w:w="953" w:type="pct"/>
            <w:tcBorders>
              <w:top w:val="single" w:sz="4" w:space="0" w:color="auto"/>
              <w:left w:val="single" w:sz="4" w:space="0" w:color="auto"/>
              <w:right w:val="single" w:sz="4" w:space="0" w:color="auto"/>
            </w:tcBorders>
            <w:shd w:val="clear" w:color="auto" w:fill="auto"/>
            <w:vAlign w:val="center"/>
          </w:tcPr>
          <w:p w14:paraId="5F218BDA" w14:textId="77777777" w:rsidR="002C6140" w:rsidRPr="00BB6E54" w:rsidRDefault="002C6140" w:rsidP="00974DAA">
            <w:pPr>
              <w:keepNext/>
              <w:ind w:right="57"/>
              <w:jc w:val="center"/>
              <w:rPr>
                <w:rFonts w:ascii="Arial Narrow" w:eastAsia="Calibri" w:hAnsi="Arial Narrow"/>
                <w:sz w:val="20"/>
                <w:szCs w:val="20"/>
              </w:rPr>
            </w:pPr>
            <w:r w:rsidRPr="00BB6E54">
              <w:rPr>
                <w:rFonts w:ascii="Arial Narrow" w:eastAsia="Calibri" w:hAnsi="Arial Narrow" w:cstheme="minorBidi"/>
                <w:b/>
                <w:sz w:val="20"/>
                <w:szCs w:val="20"/>
              </w:rPr>
              <w:t>PBS item code</w:t>
            </w:r>
          </w:p>
        </w:tc>
        <w:tc>
          <w:tcPr>
            <w:tcW w:w="635" w:type="pct"/>
            <w:tcBorders>
              <w:top w:val="single" w:sz="4" w:space="0" w:color="auto"/>
              <w:left w:val="single" w:sz="4" w:space="0" w:color="auto"/>
              <w:right w:val="single" w:sz="4" w:space="0" w:color="auto"/>
            </w:tcBorders>
            <w:shd w:val="clear" w:color="auto" w:fill="auto"/>
            <w:vAlign w:val="center"/>
          </w:tcPr>
          <w:p w14:paraId="24FF029D" w14:textId="5FF94D9B" w:rsidR="002C6140" w:rsidRPr="00BB6E54" w:rsidRDefault="002C6140" w:rsidP="00974DAA">
            <w:pPr>
              <w:keepNext/>
              <w:ind w:right="57"/>
              <w:jc w:val="center"/>
              <w:rPr>
                <w:rFonts w:ascii="Arial Narrow" w:eastAsia="Calibri" w:hAnsi="Arial Narrow"/>
                <w:sz w:val="20"/>
                <w:szCs w:val="20"/>
              </w:rPr>
            </w:pPr>
            <w:r w:rsidRPr="00BB6E54">
              <w:rPr>
                <w:rFonts w:ascii="Arial Narrow" w:eastAsia="Calibri" w:hAnsi="Arial Narrow"/>
                <w:b/>
                <w:sz w:val="20"/>
                <w:szCs w:val="20"/>
              </w:rPr>
              <w:t>Max. qty packs</w:t>
            </w:r>
          </w:p>
        </w:tc>
        <w:tc>
          <w:tcPr>
            <w:tcW w:w="476" w:type="pct"/>
            <w:tcBorders>
              <w:top w:val="single" w:sz="4" w:space="0" w:color="auto"/>
              <w:left w:val="single" w:sz="4" w:space="0" w:color="auto"/>
              <w:right w:val="single" w:sz="4" w:space="0" w:color="auto"/>
            </w:tcBorders>
            <w:shd w:val="clear" w:color="auto" w:fill="auto"/>
            <w:vAlign w:val="center"/>
          </w:tcPr>
          <w:p w14:paraId="66140166" w14:textId="77777777" w:rsidR="002C6140" w:rsidRPr="00BB6E54" w:rsidRDefault="002C6140" w:rsidP="00974DAA">
            <w:pPr>
              <w:keepNext/>
              <w:ind w:right="57"/>
              <w:jc w:val="center"/>
              <w:rPr>
                <w:rFonts w:ascii="Arial Narrow" w:eastAsia="Calibri" w:hAnsi="Arial Narrow"/>
                <w:sz w:val="20"/>
                <w:szCs w:val="20"/>
              </w:rPr>
            </w:pPr>
            <w:r w:rsidRPr="00BB6E54">
              <w:rPr>
                <w:rFonts w:ascii="Arial Narrow" w:eastAsia="Calibri" w:hAnsi="Arial Narrow"/>
                <w:b/>
                <w:sz w:val="20"/>
                <w:szCs w:val="20"/>
              </w:rPr>
              <w:t>Max. qty units</w:t>
            </w:r>
          </w:p>
        </w:tc>
        <w:tc>
          <w:tcPr>
            <w:tcW w:w="557" w:type="pct"/>
            <w:tcBorders>
              <w:top w:val="single" w:sz="4" w:space="0" w:color="auto"/>
              <w:left w:val="single" w:sz="4" w:space="0" w:color="auto"/>
              <w:right w:val="single" w:sz="4" w:space="0" w:color="auto"/>
            </w:tcBorders>
            <w:shd w:val="clear" w:color="auto" w:fill="auto"/>
            <w:vAlign w:val="center"/>
          </w:tcPr>
          <w:p w14:paraId="28868105" w14:textId="77777777" w:rsidR="002C6140" w:rsidRPr="00BB6E54" w:rsidRDefault="002C6140" w:rsidP="00974DAA">
            <w:pPr>
              <w:keepNext/>
              <w:ind w:left="113" w:right="57"/>
              <w:jc w:val="center"/>
              <w:rPr>
                <w:rFonts w:ascii="Arial Narrow" w:eastAsia="Calibri" w:hAnsi="Arial Narrow"/>
                <w:sz w:val="20"/>
                <w:szCs w:val="20"/>
              </w:rPr>
            </w:pPr>
            <w:r w:rsidRPr="00BB6E54">
              <w:rPr>
                <w:rFonts w:ascii="Arial Narrow" w:eastAsia="Calibri" w:hAnsi="Arial Narrow" w:cstheme="minorBidi"/>
                <w:b/>
                <w:sz w:val="20"/>
                <w:szCs w:val="20"/>
              </w:rPr>
              <w:t xml:space="preserve">№. of </w:t>
            </w:r>
            <w:r w:rsidRPr="00BB6E54">
              <w:rPr>
                <w:rFonts w:ascii="Arial Narrow" w:eastAsia="Calibri" w:hAnsi="Arial Narrow" w:cstheme="minorBidi"/>
                <w:b/>
                <w:sz w:val="20"/>
                <w:szCs w:val="20"/>
              </w:rPr>
              <w:br/>
              <w:t>Rpts</w:t>
            </w:r>
          </w:p>
        </w:tc>
        <w:tc>
          <w:tcPr>
            <w:tcW w:w="873" w:type="pct"/>
            <w:tcBorders>
              <w:top w:val="single" w:sz="4" w:space="0" w:color="auto"/>
              <w:left w:val="single" w:sz="4" w:space="0" w:color="auto"/>
              <w:right w:val="single" w:sz="4" w:space="0" w:color="auto"/>
            </w:tcBorders>
            <w:shd w:val="clear" w:color="auto" w:fill="auto"/>
            <w:vAlign w:val="center"/>
          </w:tcPr>
          <w:p w14:paraId="4B1063EC" w14:textId="77777777" w:rsidR="002C6140" w:rsidRPr="00BB6E54" w:rsidRDefault="002C6140" w:rsidP="00974DAA">
            <w:pPr>
              <w:keepNext/>
              <w:ind w:right="57"/>
              <w:jc w:val="center"/>
              <w:rPr>
                <w:rFonts w:ascii="Arial Narrow" w:eastAsia="Calibri" w:hAnsi="Arial Narrow"/>
                <w:sz w:val="20"/>
                <w:szCs w:val="20"/>
              </w:rPr>
            </w:pPr>
            <w:r w:rsidRPr="00BB6E54">
              <w:rPr>
                <w:rFonts w:ascii="Arial Narrow" w:eastAsia="Calibri" w:hAnsi="Arial Narrow" w:cstheme="minorBidi"/>
                <w:b/>
                <w:sz w:val="20"/>
                <w:szCs w:val="20"/>
              </w:rPr>
              <w:t>Available brands</w:t>
            </w:r>
          </w:p>
        </w:tc>
      </w:tr>
      <w:tr w:rsidR="002C6140" w:rsidRPr="00BB6E54" w14:paraId="162E55DB" w14:textId="77777777" w:rsidTr="00974DAA">
        <w:trPr>
          <w:trHeight w:val="20"/>
        </w:trPr>
        <w:tc>
          <w:tcPr>
            <w:tcW w:w="1506" w:type="pct"/>
            <w:tcBorders>
              <w:top w:val="single" w:sz="4" w:space="0" w:color="auto"/>
              <w:left w:val="single" w:sz="4" w:space="0" w:color="auto"/>
              <w:right w:val="single" w:sz="4" w:space="0" w:color="auto"/>
            </w:tcBorders>
            <w:shd w:val="clear" w:color="auto" w:fill="auto"/>
            <w:tcMar>
              <w:top w:w="0" w:type="dxa"/>
              <w:left w:w="240" w:type="dxa"/>
              <w:bottom w:w="0" w:type="dxa"/>
              <w:right w:w="240" w:type="dxa"/>
            </w:tcMar>
            <w:vAlign w:val="center"/>
          </w:tcPr>
          <w:p w14:paraId="0BF0561E" w14:textId="77777777" w:rsidR="002C6140" w:rsidRPr="00BB6E54" w:rsidRDefault="002C6140" w:rsidP="00974DAA">
            <w:pPr>
              <w:keepNext/>
              <w:ind w:left="-57" w:right="57"/>
              <w:jc w:val="left"/>
              <w:rPr>
                <w:rFonts w:ascii="Arial Narrow" w:hAnsi="Arial Narrow"/>
                <w:sz w:val="20"/>
                <w:szCs w:val="20"/>
              </w:rPr>
            </w:pPr>
            <w:r w:rsidRPr="00BB6E54">
              <w:rPr>
                <w:rFonts w:ascii="Arial Narrow" w:hAnsi="Arial Narrow"/>
                <w:sz w:val="20"/>
                <w:szCs w:val="20"/>
              </w:rPr>
              <w:t>ravulizumab 1.1 g/11 mL injection, 11 mL vial</w:t>
            </w:r>
          </w:p>
        </w:tc>
        <w:tc>
          <w:tcPr>
            <w:tcW w:w="953" w:type="pct"/>
            <w:tcBorders>
              <w:top w:val="single" w:sz="4" w:space="0" w:color="auto"/>
              <w:left w:val="single" w:sz="4" w:space="0" w:color="auto"/>
              <w:right w:val="single" w:sz="4" w:space="0" w:color="auto"/>
            </w:tcBorders>
            <w:shd w:val="clear" w:color="auto" w:fill="auto"/>
            <w:vAlign w:val="center"/>
          </w:tcPr>
          <w:p w14:paraId="1E247A31" w14:textId="7A231A42" w:rsidR="002C6140" w:rsidRPr="00BB6E54" w:rsidRDefault="002C6140" w:rsidP="00974DAA">
            <w:pPr>
              <w:keepNext/>
              <w:ind w:right="57"/>
              <w:jc w:val="center"/>
              <w:rPr>
                <w:rFonts w:ascii="Arial Narrow" w:eastAsia="Calibri" w:hAnsi="Arial Narrow"/>
                <w:sz w:val="20"/>
                <w:szCs w:val="20"/>
              </w:rPr>
            </w:pPr>
            <w:r w:rsidRPr="00BB6E54">
              <w:rPr>
                <w:rFonts w:ascii="Arial Narrow" w:eastAsia="Calibri" w:hAnsi="Arial Narrow"/>
                <w:sz w:val="20"/>
                <w:szCs w:val="20"/>
              </w:rPr>
              <w:t>12856P (Public)</w:t>
            </w:r>
          </w:p>
          <w:p w14:paraId="7870739A" w14:textId="77777777" w:rsidR="002C6140" w:rsidRPr="00BB6E54" w:rsidRDefault="002C6140" w:rsidP="00974DAA">
            <w:pPr>
              <w:keepNext/>
              <w:ind w:right="57"/>
              <w:jc w:val="center"/>
              <w:rPr>
                <w:rFonts w:ascii="Arial Narrow" w:eastAsia="Calibri" w:hAnsi="Arial Narrow"/>
                <w:sz w:val="20"/>
                <w:szCs w:val="20"/>
              </w:rPr>
            </w:pPr>
            <w:r w:rsidRPr="00BB6E54">
              <w:rPr>
                <w:rFonts w:ascii="Arial Narrow" w:eastAsia="Calibri" w:hAnsi="Arial Narrow"/>
                <w:sz w:val="20"/>
                <w:szCs w:val="20"/>
              </w:rPr>
              <w:t>12901B (Private)</w:t>
            </w:r>
          </w:p>
        </w:tc>
        <w:tc>
          <w:tcPr>
            <w:tcW w:w="635" w:type="pct"/>
            <w:tcBorders>
              <w:top w:val="single" w:sz="4" w:space="0" w:color="auto"/>
              <w:left w:val="single" w:sz="4" w:space="0" w:color="auto"/>
              <w:right w:val="single" w:sz="4" w:space="0" w:color="auto"/>
            </w:tcBorders>
            <w:shd w:val="clear" w:color="auto" w:fill="auto"/>
            <w:vAlign w:val="center"/>
          </w:tcPr>
          <w:p w14:paraId="0D0FD7EE" w14:textId="77777777" w:rsidR="002C6140" w:rsidRPr="00BB6E54" w:rsidRDefault="002C6140" w:rsidP="00974DAA">
            <w:pPr>
              <w:keepNext/>
              <w:ind w:right="57"/>
              <w:jc w:val="center"/>
              <w:rPr>
                <w:rFonts w:ascii="Arial Narrow" w:eastAsia="Calibri" w:hAnsi="Arial Narrow"/>
                <w:sz w:val="20"/>
                <w:szCs w:val="20"/>
              </w:rPr>
            </w:pPr>
            <w:r w:rsidRPr="00BB6E54">
              <w:rPr>
                <w:rFonts w:ascii="Arial Narrow" w:eastAsia="Calibri" w:hAnsi="Arial Narrow"/>
                <w:sz w:val="20"/>
                <w:szCs w:val="20"/>
              </w:rPr>
              <w:t>1</w:t>
            </w:r>
          </w:p>
        </w:tc>
        <w:tc>
          <w:tcPr>
            <w:tcW w:w="476" w:type="pct"/>
            <w:tcBorders>
              <w:top w:val="single" w:sz="4" w:space="0" w:color="auto"/>
              <w:left w:val="single" w:sz="4" w:space="0" w:color="auto"/>
              <w:right w:val="single" w:sz="4" w:space="0" w:color="auto"/>
            </w:tcBorders>
            <w:shd w:val="clear" w:color="auto" w:fill="auto"/>
            <w:vAlign w:val="center"/>
          </w:tcPr>
          <w:p w14:paraId="33DB780A" w14:textId="77777777" w:rsidR="002C6140" w:rsidRPr="00BB6E54" w:rsidRDefault="002C6140" w:rsidP="00974DAA">
            <w:pPr>
              <w:keepNext/>
              <w:ind w:right="57"/>
              <w:jc w:val="center"/>
              <w:rPr>
                <w:rFonts w:ascii="Arial Narrow" w:eastAsia="Calibri" w:hAnsi="Arial Narrow"/>
                <w:sz w:val="20"/>
                <w:szCs w:val="20"/>
              </w:rPr>
            </w:pPr>
            <w:r w:rsidRPr="00BB6E54">
              <w:rPr>
                <w:rFonts w:ascii="Arial Narrow" w:eastAsia="Calibri" w:hAnsi="Arial Narrow"/>
                <w:sz w:val="20"/>
                <w:szCs w:val="20"/>
              </w:rPr>
              <w:t>1</w:t>
            </w:r>
          </w:p>
        </w:tc>
        <w:tc>
          <w:tcPr>
            <w:tcW w:w="557" w:type="pct"/>
            <w:tcBorders>
              <w:top w:val="single" w:sz="4" w:space="0" w:color="auto"/>
              <w:left w:val="single" w:sz="4" w:space="0" w:color="auto"/>
              <w:right w:val="single" w:sz="4" w:space="0" w:color="auto"/>
            </w:tcBorders>
            <w:shd w:val="clear" w:color="auto" w:fill="auto"/>
            <w:vAlign w:val="center"/>
          </w:tcPr>
          <w:p w14:paraId="0598E26A" w14:textId="77777777" w:rsidR="002C6140" w:rsidRPr="00BB6E54" w:rsidRDefault="002C6140" w:rsidP="00974DAA">
            <w:pPr>
              <w:keepNext/>
              <w:spacing w:line="360" w:lineRule="auto"/>
              <w:ind w:left="113" w:right="57"/>
              <w:jc w:val="center"/>
              <w:rPr>
                <w:rFonts w:ascii="Arial Narrow" w:eastAsia="Calibri" w:hAnsi="Arial Narrow"/>
                <w:sz w:val="20"/>
                <w:szCs w:val="20"/>
              </w:rPr>
            </w:pPr>
            <w:r w:rsidRPr="00BB6E54">
              <w:rPr>
                <w:rFonts w:ascii="Arial Narrow" w:eastAsia="Calibri" w:hAnsi="Arial Narrow"/>
                <w:sz w:val="20"/>
                <w:szCs w:val="20"/>
              </w:rPr>
              <w:t>0</w:t>
            </w:r>
          </w:p>
        </w:tc>
        <w:tc>
          <w:tcPr>
            <w:tcW w:w="873" w:type="pct"/>
            <w:tcBorders>
              <w:top w:val="single" w:sz="4" w:space="0" w:color="auto"/>
              <w:left w:val="single" w:sz="4" w:space="0" w:color="auto"/>
              <w:right w:val="single" w:sz="4" w:space="0" w:color="auto"/>
            </w:tcBorders>
            <w:shd w:val="clear" w:color="auto" w:fill="auto"/>
            <w:vAlign w:val="center"/>
          </w:tcPr>
          <w:p w14:paraId="5532BA9F" w14:textId="7AA1E0B2" w:rsidR="002C6140" w:rsidRPr="00BB6E54" w:rsidRDefault="002C6140" w:rsidP="00974DAA">
            <w:pPr>
              <w:keepNext/>
              <w:ind w:right="57"/>
              <w:jc w:val="center"/>
              <w:rPr>
                <w:rFonts w:ascii="Arial Narrow" w:eastAsia="Calibri" w:hAnsi="Arial Narrow"/>
                <w:sz w:val="20"/>
                <w:szCs w:val="20"/>
              </w:rPr>
            </w:pPr>
            <w:r w:rsidRPr="00BB6E54">
              <w:rPr>
                <w:rFonts w:ascii="Arial Narrow" w:eastAsia="Calibri" w:hAnsi="Arial Narrow"/>
                <w:sz w:val="20"/>
                <w:szCs w:val="20"/>
              </w:rPr>
              <w:t>Soliris</w:t>
            </w:r>
          </w:p>
        </w:tc>
      </w:tr>
      <w:tr w:rsidR="002C6140" w:rsidRPr="00BB6E54" w14:paraId="4B97EC03" w14:textId="77777777" w:rsidTr="00974DAA">
        <w:trPr>
          <w:trHeight w:val="20"/>
        </w:trPr>
        <w:tc>
          <w:tcPr>
            <w:tcW w:w="1506" w:type="pct"/>
            <w:tcBorders>
              <w:top w:val="single" w:sz="4" w:space="0" w:color="auto"/>
              <w:left w:val="single" w:sz="4" w:space="0" w:color="auto"/>
              <w:right w:val="single" w:sz="4" w:space="0" w:color="auto"/>
            </w:tcBorders>
            <w:shd w:val="clear" w:color="auto" w:fill="auto"/>
            <w:tcMar>
              <w:top w:w="0" w:type="dxa"/>
              <w:left w:w="240" w:type="dxa"/>
              <w:bottom w:w="0" w:type="dxa"/>
              <w:right w:w="240" w:type="dxa"/>
            </w:tcMar>
            <w:vAlign w:val="center"/>
          </w:tcPr>
          <w:p w14:paraId="0AA08236" w14:textId="77777777" w:rsidR="002C6140" w:rsidRPr="00BB6E54" w:rsidRDefault="002C6140" w:rsidP="00974DAA">
            <w:pPr>
              <w:keepNext/>
              <w:ind w:left="-57" w:right="57"/>
              <w:jc w:val="left"/>
              <w:rPr>
                <w:rFonts w:ascii="Arial Narrow" w:hAnsi="Arial Narrow"/>
                <w:sz w:val="20"/>
                <w:szCs w:val="20"/>
              </w:rPr>
            </w:pPr>
            <w:r w:rsidRPr="00BB6E54">
              <w:rPr>
                <w:rFonts w:ascii="Arial Narrow" w:hAnsi="Arial Narrow"/>
                <w:sz w:val="20"/>
                <w:szCs w:val="20"/>
              </w:rPr>
              <w:t>ravulizumab 300 mg/3 mL injection, 3 mL vial</w:t>
            </w:r>
          </w:p>
        </w:tc>
        <w:tc>
          <w:tcPr>
            <w:tcW w:w="953" w:type="pct"/>
            <w:tcBorders>
              <w:top w:val="single" w:sz="4" w:space="0" w:color="auto"/>
              <w:left w:val="single" w:sz="4" w:space="0" w:color="auto"/>
              <w:right w:val="single" w:sz="4" w:space="0" w:color="auto"/>
            </w:tcBorders>
            <w:shd w:val="clear" w:color="auto" w:fill="auto"/>
            <w:vAlign w:val="center"/>
          </w:tcPr>
          <w:p w14:paraId="4AB00851" w14:textId="2FB345D9" w:rsidR="002C6140" w:rsidRPr="00BB6E54" w:rsidRDefault="002C6140" w:rsidP="00974DAA">
            <w:pPr>
              <w:keepNext/>
              <w:ind w:right="57"/>
              <w:jc w:val="center"/>
              <w:rPr>
                <w:rFonts w:ascii="Arial Narrow" w:eastAsia="Calibri" w:hAnsi="Arial Narrow"/>
                <w:sz w:val="20"/>
                <w:szCs w:val="20"/>
              </w:rPr>
            </w:pPr>
            <w:r w:rsidRPr="00BB6E54">
              <w:rPr>
                <w:rFonts w:ascii="Arial Narrow" w:eastAsia="Calibri" w:hAnsi="Arial Narrow"/>
                <w:sz w:val="20"/>
                <w:szCs w:val="20"/>
              </w:rPr>
              <w:t>12898W (Public)</w:t>
            </w:r>
          </w:p>
          <w:p w14:paraId="38870E04" w14:textId="2F35F830" w:rsidR="002C6140" w:rsidRPr="00BB6E54" w:rsidRDefault="002C6140" w:rsidP="00974DAA">
            <w:pPr>
              <w:keepNext/>
              <w:ind w:right="57"/>
              <w:jc w:val="center"/>
              <w:rPr>
                <w:rFonts w:ascii="Arial Narrow" w:eastAsia="Calibri" w:hAnsi="Arial Narrow"/>
                <w:sz w:val="20"/>
                <w:szCs w:val="20"/>
              </w:rPr>
            </w:pPr>
            <w:r w:rsidRPr="00BB6E54">
              <w:rPr>
                <w:rFonts w:ascii="Arial Narrow" w:eastAsia="Calibri" w:hAnsi="Arial Narrow"/>
                <w:sz w:val="20"/>
                <w:szCs w:val="20"/>
              </w:rPr>
              <w:t>12841W (Private)</w:t>
            </w:r>
          </w:p>
        </w:tc>
        <w:tc>
          <w:tcPr>
            <w:tcW w:w="635" w:type="pct"/>
            <w:tcBorders>
              <w:top w:val="single" w:sz="4" w:space="0" w:color="auto"/>
              <w:left w:val="single" w:sz="4" w:space="0" w:color="auto"/>
              <w:right w:val="single" w:sz="4" w:space="0" w:color="auto"/>
            </w:tcBorders>
            <w:shd w:val="clear" w:color="auto" w:fill="auto"/>
            <w:vAlign w:val="center"/>
          </w:tcPr>
          <w:p w14:paraId="30318DCA" w14:textId="77777777" w:rsidR="002C6140" w:rsidRPr="00BB6E54" w:rsidRDefault="002C6140" w:rsidP="00974DAA">
            <w:pPr>
              <w:keepNext/>
              <w:ind w:right="57"/>
              <w:jc w:val="center"/>
              <w:rPr>
                <w:rFonts w:ascii="Arial Narrow" w:eastAsia="Calibri" w:hAnsi="Arial Narrow"/>
                <w:sz w:val="20"/>
                <w:szCs w:val="20"/>
              </w:rPr>
            </w:pPr>
            <w:r w:rsidRPr="00BB6E54">
              <w:rPr>
                <w:rFonts w:ascii="Arial Narrow" w:eastAsia="Calibri" w:hAnsi="Arial Narrow"/>
                <w:sz w:val="20"/>
                <w:szCs w:val="20"/>
              </w:rPr>
              <w:t>1</w:t>
            </w:r>
          </w:p>
        </w:tc>
        <w:tc>
          <w:tcPr>
            <w:tcW w:w="476" w:type="pct"/>
            <w:tcBorders>
              <w:top w:val="single" w:sz="4" w:space="0" w:color="auto"/>
              <w:left w:val="single" w:sz="4" w:space="0" w:color="auto"/>
              <w:right w:val="single" w:sz="4" w:space="0" w:color="auto"/>
            </w:tcBorders>
            <w:shd w:val="clear" w:color="auto" w:fill="auto"/>
            <w:vAlign w:val="center"/>
          </w:tcPr>
          <w:p w14:paraId="78194C28" w14:textId="77777777" w:rsidR="002C6140" w:rsidRPr="00BB6E54" w:rsidRDefault="002C6140" w:rsidP="00974DAA">
            <w:pPr>
              <w:keepNext/>
              <w:ind w:right="57"/>
              <w:jc w:val="center"/>
              <w:rPr>
                <w:rFonts w:ascii="Arial Narrow" w:eastAsia="Calibri" w:hAnsi="Arial Narrow"/>
                <w:sz w:val="20"/>
                <w:szCs w:val="20"/>
              </w:rPr>
            </w:pPr>
            <w:r w:rsidRPr="00BB6E54">
              <w:rPr>
                <w:rFonts w:ascii="Arial Narrow" w:eastAsia="Calibri" w:hAnsi="Arial Narrow"/>
                <w:sz w:val="20"/>
                <w:szCs w:val="20"/>
              </w:rPr>
              <w:t>1</w:t>
            </w:r>
          </w:p>
        </w:tc>
        <w:tc>
          <w:tcPr>
            <w:tcW w:w="557" w:type="pct"/>
            <w:tcBorders>
              <w:top w:val="single" w:sz="4" w:space="0" w:color="auto"/>
              <w:left w:val="single" w:sz="4" w:space="0" w:color="auto"/>
              <w:right w:val="single" w:sz="4" w:space="0" w:color="auto"/>
            </w:tcBorders>
            <w:shd w:val="clear" w:color="auto" w:fill="auto"/>
            <w:vAlign w:val="center"/>
          </w:tcPr>
          <w:p w14:paraId="7D8B8932" w14:textId="77777777" w:rsidR="002C6140" w:rsidRPr="00BB6E54" w:rsidRDefault="002C6140" w:rsidP="00974DAA">
            <w:pPr>
              <w:keepNext/>
              <w:ind w:left="113" w:right="57"/>
              <w:jc w:val="center"/>
              <w:rPr>
                <w:rFonts w:ascii="Arial Narrow" w:eastAsia="Calibri" w:hAnsi="Arial Narrow"/>
                <w:sz w:val="20"/>
                <w:szCs w:val="20"/>
              </w:rPr>
            </w:pPr>
            <w:r w:rsidRPr="00BB6E54">
              <w:rPr>
                <w:rFonts w:ascii="Arial Narrow" w:eastAsia="Calibri" w:hAnsi="Arial Narrow"/>
                <w:sz w:val="20"/>
                <w:szCs w:val="20"/>
              </w:rPr>
              <w:t>0</w:t>
            </w:r>
          </w:p>
        </w:tc>
        <w:tc>
          <w:tcPr>
            <w:tcW w:w="873" w:type="pct"/>
            <w:tcBorders>
              <w:top w:val="single" w:sz="4" w:space="0" w:color="auto"/>
              <w:left w:val="single" w:sz="4" w:space="0" w:color="auto"/>
              <w:right w:val="single" w:sz="4" w:space="0" w:color="auto"/>
            </w:tcBorders>
            <w:shd w:val="clear" w:color="auto" w:fill="auto"/>
            <w:vAlign w:val="center"/>
          </w:tcPr>
          <w:p w14:paraId="6D1B4E4E" w14:textId="0B8B50A7" w:rsidR="002C6140" w:rsidRPr="00BB6E54" w:rsidRDefault="002C6140" w:rsidP="00974DAA">
            <w:pPr>
              <w:keepNext/>
              <w:ind w:right="57"/>
              <w:jc w:val="center"/>
              <w:rPr>
                <w:rFonts w:ascii="Arial Narrow" w:eastAsia="Calibri" w:hAnsi="Arial Narrow"/>
                <w:sz w:val="20"/>
                <w:szCs w:val="20"/>
              </w:rPr>
            </w:pPr>
            <w:r w:rsidRPr="00BB6E54">
              <w:rPr>
                <w:rFonts w:ascii="Arial Narrow" w:eastAsia="Calibri" w:hAnsi="Arial Narrow"/>
                <w:sz w:val="20"/>
                <w:szCs w:val="20"/>
              </w:rPr>
              <w:t>Soliris</w:t>
            </w:r>
          </w:p>
        </w:tc>
      </w:tr>
    </w:tbl>
    <w:tbl>
      <w:tblPr>
        <w:tblStyle w:val="TableGridLight1"/>
        <w:tblW w:w="8926"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655"/>
      </w:tblGrid>
      <w:tr w:rsidR="002C6140" w:rsidRPr="00BB6E54" w14:paraId="02A003CE" w14:textId="77777777" w:rsidTr="00BF35A5">
        <w:tc>
          <w:tcPr>
            <w:tcW w:w="8926" w:type="dxa"/>
            <w:gridSpan w:val="2"/>
            <w:vAlign w:val="center"/>
          </w:tcPr>
          <w:p w14:paraId="1E461BAA" w14:textId="77777777" w:rsidR="002C6140" w:rsidRPr="00BB6E54" w:rsidRDefault="002C6140" w:rsidP="00BF35A5">
            <w:pPr>
              <w:rPr>
                <w:rFonts w:ascii="Arial Narrow" w:hAnsi="Arial Narrow"/>
                <w:b/>
                <w:bCs/>
                <w:sz w:val="20"/>
                <w:szCs w:val="20"/>
              </w:rPr>
            </w:pPr>
            <w:r w:rsidRPr="00BB6E54">
              <w:rPr>
                <w:rFonts w:ascii="Arial Narrow" w:hAnsi="Arial Narrow"/>
                <w:b/>
                <w:bCs/>
                <w:sz w:val="20"/>
                <w:szCs w:val="20"/>
              </w:rPr>
              <w:t>Edit of Restriction Summary 14533 / ToC: 14477: Authority Required</w:t>
            </w:r>
          </w:p>
        </w:tc>
      </w:tr>
      <w:tr w:rsidR="002C6140" w:rsidRPr="00BB6E54" w14:paraId="62EBC441" w14:textId="77777777" w:rsidTr="00BF35A5">
        <w:tc>
          <w:tcPr>
            <w:tcW w:w="1271" w:type="dxa"/>
            <w:tcBorders>
              <w:bottom w:val="single" w:sz="4" w:space="0" w:color="auto"/>
            </w:tcBorders>
            <w:vAlign w:val="center"/>
          </w:tcPr>
          <w:p w14:paraId="4FBEAE68" w14:textId="77777777" w:rsidR="002C6140" w:rsidRPr="00BB6E54" w:rsidRDefault="002C6140" w:rsidP="00BF35A5">
            <w:pPr>
              <w:ind w:left="720" w:hanging="720"/>
              <w:jc w:val="center"/>
              <w:rPr>
                <w:rFonts w:ascii="Arial Narrow" w:hAnsi="Arial Narrow"/>
                <w:sz w:val="20"/>
                <w:szCs w:val="20"/>
              </w:rPr>
            </w:pPr>
          </w:p>
        </w:tc>
        <w:tc>
          <w:tcPr>
            <w:tcW w:w="7655" w:type="dxa"/>
            <w:tcBorders>
              <w:bottom w:val="single" w:sz="4" w:space="0" w:color="auto"/>
            </w:tcBorders>
            <w:vAlign w:val="center"/>
          </w:tcPr>
          <w:p w14:paraId="6135AAF1" w14:textId="77777777" w:rsidR="002C6140" w:rsidRPr="00BB6E54" w:rsidRDefault="002C6140" w:rsidP="00BF35A5">
            <w:pPr>
              <w:ind w:left="-57"/>
              <w:rPr>
                <w:rFonts w:ascii="Arial Narrow" w:hAnsi="Arial Narrow"/>
                <w:b/>
                <w:bCs/>
                <w:sz w:val="20"/>
                <w:szCs w:val="20"/>
              </w:rPr>
            </w:pPr>
          </w:p>
        </w:tc>
      </w:tr>
      <w:tr w:rsidR="002C6140" w:rsidRPr="00BB6E54" w14:paraId="39F7E1D8" w14:textId="77777777" w:rsidTr="00CD1203">
        <w:tc>
          <w:tcPr>
            <w:tcW w:w="1271" w:type="dxa"/>
            <w:tcBorders>
              <w:top w:val="single" w:sz="4" w:space="0" w:color="auto"/>
              <w:left w:val="single" w:sz="4" w:space="0" w:color="auto"/>
              <w:bottom w:val="single" w:sz="4" w:space="0" w:color="auto"/>
              <w:right w:val="single" w:sz="4" w:space="0" w:color="auto"/>
            </w:tcBorders>
          </w:tcPr>
          <w:p w14:paraId="09D4D040" w14:textId="619E5995" w:rsidR="002C6140" w:rsidRPr="00BB6E54" w:rsidRDefault="002C6140" w:rsidP="00BF35A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hideMark/>
          </w:tcPr>
          <w:p w14:paraId="4445EA89" w14:textId="77777777" w:rsidR="002C6140" w:rsidRPr="00BB6E54" w:rsidRDefault="002C6140" w:rsidP="00BF35A5">
            <w:pPr>
              <w:textAlignment w:val="baseline"/>
              <w:rPr>
                <w:rFonts w:ascii="Arial Narrow" w:hAnsi="Arial Narrow" w:cs="Open Sans"/>
                <w:color w:val="333333"/>
                <w:sz w:val="20"/>
                <w:szCs w:val="20"/>
              </w:rPr>
            </w:pPr>
            <w:r w:rsidRPr="00BB6E54">
              <w:rPr>
                <w:rFonts w:ascii="Arial Narrow" w:hAnsi="Arial Narrow" w:cs="Open Sans"/>
                <w:b/>
                <w:bCs/>
                <w:color w:val="333333"/>
                <w:sz w:val="20"/>
                <w:szCs w:val="20"/>
                <w:bdr w:val="none" w:sz="0" w:space="0" w:color="auto" w:frame="1"/>
              </w:rPr>
              <w:t>Indication:</w:t>
            </w:r>
          </w:p>
          <w:p w14:paraId="494367F4" w14:textId="77777777" w:rsidR="002C6140" w:rsidRPr="00BB6E54" w:rsidRDefault="002C6140" w:rsidP="00BF35A5">
            <w:pPr>
              <w:textAlignment w:val="baseline"/>
              <w:rPr>
                <w:rFonts w:ascii="Arial Narrow" w:hAnsi="Arial Narrow" w:cs="Open Sans"/>
                <w:color w:val="333333"/>
                <w:sz w:val="20"/>
                <w:szCs w:val="20"/>
              </w:rPr>
            </w:pPr>
            <w:r w:rsidRPr="00BB6E54">
              <w:rPr>
                <w:rFonts w:ascii="Arial Narrow" w:hAnsi="Arial Narrow" w:cs="Open Sans"/>
                <w:color w:val="333333"/>
                <w:sz w:val="20"/>
                <w:szCs w:val="20"/>
              </w:rPr>
              <w:t>Paroxysmal nocturnal haemoglobinuria (PNH)</w:t>
            </w:r>
          </w:p>
        </w:tc>
      </w:tr>
      <w:tr w:rsidR="002C6140" w:rsidRPr="00BB6E54" w14:paraId="6F5D309B"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759FEC04" w14:textId="77777777" w:rsidR="002C6140" w:rsidRPr="00BB6E54" w:rsidRDefault="002C6140" w:rsidP="00BF35A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132E3969" w14:textId="77777777" w:rsidR="002C6140" w:rsidRPr="00BB6E54" w:rsidRDefault="002C6140" w:rsidP="00BF35A5">
            <w:pPr>
              <w:textAlignment w:val="baseline"/>
              <w:rPr>
                <w:rFonts w:ascii="Arial Narrow" w:hAnsi="Arial Narrow" w:cs="Open Sans"/>
                <w:b/>
                <w:bCs/>
                <w:color w:val="333333"/>
                <w:sz w:val="20"/>
                <w:szCs w:val="20"/>
                <w:bdr w:val="none" w:sz="0" w:space="0" w:color="auto" w:frame="1"/>
              </w:rPr>
            </w:pPr>
          </w:p>
        </w:tc>
      </w:tr>
      <w:tr w:rsidR="002C6140" w:rsidRPr="00BB6E54" w14:paraId="7A600AE3" w14:textId="77777777" w:rsidTr="00CD1203">
        <w:tc>
          <w:tcPr>
            <w:tcW w:w="1271" w:type="dxa"/>
            <w:tcBorders>
              <w:top w:val="single" w:sz="4" w:space="0" w:color="auto"/>
              <w:left w:val="single" w:sz="4" w:space="0" w:color="auto"/>
              <w:bottom w:val="single" w:sz="4" w:space="0" w:color="auto"/>
              <w:right w:val="single" w:sz="4" w:space="0" w:color="auto"/>
            </w:tcBorders>
          </w:tcPr>
          <w:p w14:paraId="651EA4BD" w14:textId="77777777" w:rsidR="002C6140" w:rsidRPr="00BB6E54" w:rsidRDefault="002C6140" w:rsidP="00BF35A5">
            <w:pPr>
              <w:jc w:val="center"/>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hideMark/>
          </w:tcPr>
          <w:p w14:paraId="63A2DF5E" w14:textId="77777777" w:rsidR="002C6140" w:rsidRPr="00BB6E54" w:rsidRDefault="002C6140" w:rsidP="00BF35A5">
            <w:pPr>
              <w:textAlignment w:val="baseline"/>
              <w:rPr>
                <w:rFonts w:ascii="Arial Narrow" w:hAnsi="Arial Narrow" w:cs="Open Sans"/>
                <w:color w:val="333333"/>
                <w:sz w:val="20"/>
                <w:szCs w:val="20"/>
              </w:rPr>
            </w:pPr>
            <w:r w:rsidRPr="00BB6E54">
              <w:rPr>
                <w:rFonts w:ascii="Arial Narrow" w:hAnsi="Arial Narrow" w:cs="Open Sans"/>
                <w:b/>
                <w:bCs/>
                <w:color w:val="333333"/>
                <w:sz w:val="20"/>
                <w:szCs w:val="20"/>
                <w:bdr w:val="none" w:sz="0" w:space="0" w:color="auto" w:frame="1"/>
              </w:rPr>
              <w:t xml:space="preserve">Treatment Phase: </w:t>
            </w:r>
            <w:r w:rsidRPr="00BB6E54">
              <w:rPr>
                <w:rFonts w:ascii="Arial Narrow" w:hAnsi="Arial Narrow" w:cs="Open Sans"/>
                <w:color w:val="333333"/>
                <w:sz w:val="20"/>
                <w:szCs w:val="20"/>
                <w:bdr w:val="none" w:sz="0" w:space="0" w:color="auto" w:frame="1"/>
              </w:rPr>
              <w:t xml:space="preserve">Return from PBS subsidised pegcetacoplan </w:t>
            </w:r>
            <w:r w:rsidRPr="009651D9">
              <w:rPr>
                <w:rFonts w:ascii="Arial Narrow" w:hAnsi="Arial Narrow" w:cs="Open Sans"/>
                <w:i/>
                <w:iCs/>
                <w:color w:val="333333"/>
                <w:sz w:val="20"/>
                <w:szCs w:val="20"/>
                <w:bdr w:val="none" w:sz="0" w:space="0" w:color="auto" w:frame="1"/>
              </w:rPr>
              <w:t>or iptacopan</w:t>
            </w:r>
            <w:r w:rsidRPr="00BB6E54">
              <w:rPr>
                <w:rFonts w:ascii="Arial Narrow" w:hAnsi="Arial Narrow" w:cs="Open Sans"/>
                <w:b/>
                <w:bCs/>
                <w:color w:val="333333"/>
                <w:sz w:val="20"/>
                <w:szCs w:val="20"/>
                <w:bdr w:val="none" w:sz="0" w:space="0" w:color="auto" w:frame="1"/>
              </w:rPr>
              <w:t xml:space="preserve"> </w:t>
            </w:r>
            <w:r w:rsidRPr="00BB6E54">
              <w:rPr>
                <w:rFonts w:ascii="Arial Narrow" w:hAnsi="Arial Narrow" w:cs="Open Sans"/>
                <w:color w:val="333333"/>
                <w:sz w:val="20"/>
                <w:szCs w:val="20"/>
                <w:bdr w:val="none" w:sz="0" w:space="0" w:color="auto" w:frame="1"/>
              </w:rPr>
              <w:t>– induction dose</w:t>
            </w:r>
          </w:p>
        </w:tc>
      </w:tr>
      <w:tr w:rsidR="002C6140" w:rsidRPr="00BB6E54" w14:paraId="6E847318"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518E9C54" w14:textId="77777777" w:rsidR="002C6140" w:rsidRPr="00BB6E54" w:rsidRDefault="002C6140" w:rsidP="00BF35A5">
            <w:pPr>
              <w:jc w:val="center"/>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671011B6" w14:textId="77777777" w:rsidR="002C6140" w:rsidRPr="00BB6E54" w:rsidRDefault="002C6140" w:rsidP="00BF35A5">
            <w:pPr>
              <w:textAlignment w:val="baseline"/>
              <w:rPr>
                <w:rFonts w:ascii="Arial Narrow" w:hAnsi="Arial Narrow" w:cs="Open Sans"/>
                <w:b/>
                <w:bCs/>
                <w:color w:val="333333"/>
                <w:sz w:val="20"/>
                <w:szCs w:val="20"/>
                <w:bdr w:val="none" w:sz="0" w:space="0" w:color="auto" w:frame="1"/>
              </w:rPr>
            </w:pPr>
          </w:p>
        </w:tc>
      </w:tr>
      <w:tr w:rsidR="002C6140" w:rsidRPr="00BB6E54" w14:paraId="538F7B77"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6A4042D9" w14:textId="12DF9BB3" w:rsidR="002C6140" w:rsidRPr="00BB6E54" w:rsidRDefault="002C6140" w:rsidP="00BF35A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3E5164A9" w14:textId="77777777" w:rsidR="002C6140" w:rsidRPr="00BB6E54" w:rsidRDefault="002C6140" w:rsidP="00BF35A5">
            <w:pPr>
              <w:textAlignment w:val="baseline"/>
              <w:rPr>
                <w:rFonts w:ascii="Arial Narrow" w:hAnsi="Arial Narrow" w:cs="Open Sans"/>
                <w:color w:val="333333"/>
                <w:sz w:val="20"/>
                <w:szCs w:val="20"/>
              </w:rPr>
            </w:pPr>
            <w:r w:rsidRPr="00BB6E54">
              <w:rPr>
                <w:rFonts w:ascii="Arial Narrow" w:hAnsi="Arial Narrow" w:cs="Open Sans"/>
                <w:b/>
                <w:bCs/>
                <w:color w:val="333333"/>
                <w:sz w:val="20"/>
                <w:szCs w:val="20"/>
                <w:bdr w:val="none" w:sz="0" w:space="0" w:color="auto" w:frame="1"/>
              </w:rPr>
              <w:t>Clinical criteria:</w:t>
            </w:r>
          </w:p>
        </w:tc>
      </w:tr>
      <w:tr w:rsidR="002C6140" w:rsidRPr="00BB6E54" w14:paraId="6B718228" w14:textId="77777777" w:rsidTr="00CD1203">
        <w:tc>
          <w:tcPr>
            <w:tcW w:w="1271" w:type="dxa"/>
            <w:tcBorders>
              <w:top w:val="single" w:sz="4" w:space="0" w:color="auto"/>
              <w:left w:val="single" w:sz="4" w:space="0" w:color="auto"/>
              <w:bottom w:val="single" w:sz="4" w:space="0" w:color="auto"/>
              <w:right w:val="single" w:sz="4" w:space="0" w:color="auto"/>
            </w:tcBorders>
          </w:tcPr>
          <w:p w14:paraId="4280566D" w14:textId="2764CB17" w:rsidR="002C6140" w:rsidRPr="00BB6E54" w:rsidRDefault="002C6140" w:rsidP="00BF35A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hideMark/>
          </w:tcPr>
          <w:p w14:paraId="50807767" w14:textId="77777777" w:rsidR="002C6140" w:rsidRPr="00BB6E54" w:rsidRDefault="002C6140" w:rsidP="00BF35A5">
            <w:pPr>
              <w:rPr>
                <w:rFonts w:ascii="Arial Narrow" w:hAnsi="Arial Narrow" w:cs="Open Sans"/>
                <w:color w:val="333333"/>
                <w:sz w:val="20"/>
                <w:szCs w:val="20"/>
              </w:rPr>
            </w:pPr>
            <w:r w:rsidRPr="00BB6E54">
              <w:rPr>
                <w:rFonts w:ascii="Arial Narrow" w:hAnsi="Arial Narrow" w:cs="Open Sans"/>
                <w:color w:val="333333"/>
                <w:sz w:val="20"/>
                <w:szCs w:val="20"/>
              </w:rPr>
              <w:t>Patient must have received PBS-subsidised treatment with at least one Complement 5 (</w:t>
            </w:r>
            <w:r w:rsidRPr="00BB6E54">
              <w:rPr>
                <w:rFonts w:ascii="Arial Narrow" w:hAnsi="Arial Narrow"/>
                <w:sz w:val="20"/>
                <w:szCs w:val="20"/>
              </w:rPr>
              <w:t>C5) inhibitor</w:t>
            </w:r>
            <w:r w:rsidRPr="00BB6E54">
              <w:rPr>
                <w:rFonts w:ascii="Arial Narrow" w:hAnsi="Arial Narrow" w:cs="Open Sans"/>
                <w:color w:val="333333"/>
                <w:sz w:val="20"/>
                <w:szCs w:val="20"/>
              </w:rPr>
              <w:t xml:space="preserve"> for this condition</w:t>
            </w:r>
          </w:p>
        </w:tc>
      </w:tr>
      <w:tr w:rsidR="002C6140" w:rsidRPr="00BB6E54" w14:paraId="5CCB5B07"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7C9B2D44" w14:textId="77777777" w:rsidR="002C6140" w:rsidRPr="00BB6E54" w:rsidRDefault="002C6140" w:rsidP="00BF35A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682489E7" w14:textId="77777777" w:rsidR="002C6140" w:rsidRPr="00BB6E54" w:rsidRDefault="002C6140" w:rsidP="00BF35A5">
            <w:pPr>
              <w:rPr>
                <w:rFonts w:ascii="Arial Narrow" w:hAnsi="Arial Narrow" w:cs="Open Sans"/>
                <w:color w:val="333333"/>
                <w:sz w:val="20"/>
                <w:szCs w:val="20"/>
              </w:rPr>
            </w:pPr>
          </w:p>
        </w:tc>
      </w:tr>
      <w:tr w:rsidR="002C6140" w:rsidRPr="00BB6E54" w14:paraId="4DF18D4F"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006FFBE8" w14:textId="77777777" w:rsidR="002C6140" w:rsidRPr="00BB6E54" w:rsidRDefault="002C6140" w:rsidP="00BF35A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631F9705" w14:textId="77777777" w:rsidR="002C6140" w:rsidRPr="00BB6E54" w:rsidRDefault="002C6140" w:rsidP="00BF35A5">
            <w:pPr>
              <w:rPr>
                <w:rFonts w:ascii="Arial Narrow" w:hAnsi="Arial Narrow" w:cs="Open Sans"/>
                <w:color w:val="333333"/>
                <w:sz w:val="20"/>
                <w:szCs w:val="20"/>
              </w:rPr>
            </w:pPr>
            <w:r w:rsidRPr="00BB6E54">
              <w:rPr>
                <w:rFonts w:ascii="Arial Narrow" w:hAnsi="Arial Narrow" w:cs="Open Sans"/>
                <w:b/>
                <w:bCs/>
                <w:color w:val="333333"/>
                <w:sz w:val="20"/>
                <w:szCs w:val="20"/>
                <w:bdr w:val="none" w:sz="0" w:space="0" w:color="auto" w:frame="1"/>
              </w:rPr>
              <w:t>AND</w:t>
            </w:r>
          </w:p>
        </w:tc>
      </w:tr>
      <w:tr w:rsidR="002C6140" w:rsidRPr="00BB6E54" w14:paraId="2AA81EDD"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46C6E39E" w14:textId="60CFF982" w:rsidR="002C6140" w:rsidRPr="00BB6E54" w:rsidRDefault="002C6140" w:rsidP="00BF35A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57170F05" w14:textId="77777777" w:rsidR="002C6140" w:rsidRPr="00BB6E54" w:rsidRDefault="002C6140" w:rsidP="00BF35A5">
            <w:pPr>
              <w:rPr>
                <w:rFonts w:ascii="Arial Narrow" w:hAnsi="Arial Narrow" w:cs="Open Sans"/>
                <w:color w:val="333333"/>
                <w:sz w:val="20"/>
                <w:szCs w:val="20"/>
              </w:rPr>
            </w:pPr>
            <w:r w:rsidRPr="00BB6E54">
              <w:rPr>
                <w:rFonts w:ascii="Arial Narrow" w:hAnsi="Arial Narrow" w:cs="Open Sans"/>
                <w:b/>
                <w:bCs/>
                <w:color w:val="333333"/>
                <w:sz w:val="20"/>
                <w:szCs w:val="20"/>
                <w:bdr w:val="none" w:sz="0" w:space="0" w:color="auto" w:frame="1"/>
              </w:rPr>
              <w:t>Clinical criteria:</w:t>
            </w:r>
          </w:p>
        </w:tc>
      </w:tr>
      <w:tr w:rsidR="002C6140" w:rsidRPr="00BB6E54" w14:paraId="6540DC27"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0EB4DB48" w14:textId="25A3ED5C" w:rsidR="002C6140" w:rsidRPr="00BB6E54" w:rsidRDefault="002C6140" w:rsidP="00BF35A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4B4D0836" w14:textId="463E4CEF" w:rsidR="002C6140" w:rsidRPr="00BB6E54" w:rsidRDefault="002C6140" w:rsidP="00BF35A5">
            <w:pPr>
              <w:rPr>
                <w:rFonts w:ascii="Arial Narrow" w:hAnsi="Arial Narrow" w:cs="Open Sans"/>
                <w:color w:val="333333"/>
                <w:sz w:val="20"/>
                <w:szCs w:val="20"/>
              </w:rPr>
            </w:pPr>
            <w:r w:rsidRPr="00BB6E54">
              <w:rPr>
                <w:rFonts w:ascii="Arial Narrow" w:hAnsi="Arial Narrow" w:cs="Open Sans"/>
                <w:color w:val="333333"/>
                <w:sz w:val="20"/>
                <w:szCs w:val="20"/>
              </w:rPr>
              <w:t xml:space="preserve">Patient must have received PBS-subsidised treatment with either </w:t>
            </w:r>
            <w:r w:rsidRPr="00BB6E54">
              <w:rPr>
                <w:rFonts w:ascii="Arial Narrow" w:hAnsi="Arial Narrow" w:cs="Open Sans"/>
                <w:i/>
                <w:iCs/>
                <w:color w:val="333333"/>
                <w:sz w:val="20"/>
                <w:szCs w:val="20"/>
              </w:rPr>
              <w:t>(i)</w:t>
            </w:r>
            <w:r w:rsidRPr="00BB6E54">
              <w:rPr>
                <w:rFonts w:ascii="Arial Narrow" w:hAnsi="Arial Narrow" w:cs="Open Sans"/>
                <w:color w:val="333333"/>
                <w:sz w:val="20"/>
                <w:szCs w:val="20"/>
              </w:rPr>
              <w:t xml:space="preserve"> pegcetacoplan, </w:t>
            </w:r>
            <w:r w:rsidRPr="00BB6E54">
              <w:rPr>
                <w:rFonts w:ascii="Arial Narrow" w:hAnsi="Arial Narrow" w:cs="Open Sans"/>
                <w:i/>
                <w:iCs/>
                <w:color w:val="333333"/>
                <w:sz w:val="20"/>
                <w:szCs w:val="20"/>
              </w:rPr>
              <w:t>(ii) ipt</w:t>
            </w:r>
            <w:r w:rsidR="00927A5C">
              <w:rPr>
                <w:rFonts w:ascii="Arial Narrow" w:hAnsi="Arial Narrow" w:cs="Open Sans"/>
                <w:i/>
                <w:iCs/>
                <w:color w:val="333333"/>
                <w:sz w:val="20"/>
                <w:szCs w:val="20"/>
              </w:rPr>
              <w:t>a</w:t>
            </w:r>
            <w:r w:rsidRPr="00BB6E54">
              <w:rPr>
                <w:rFonts w:ascii="Arial Narrow" w:hAnsi="Arial Narrow" w:cs="Open Sans"/>
                <w:i/>
                <w:iCs/>
                <w:color w:val="333333"/>
                <w:sz w:val="20"/>
                <w:szCs w:val="20"/>
              </w:rPr>
              <w:t>copan</w:t>
            </w:r>
            <w:r w:rsidRPr="00BB6E54">
              <w:rPr>
                <w:rFonts w:ascii="Arial Narrow" w:hAnsi="Arial Narrow" w:cs="Open Sans"/>
                <w:color w:val="333333"/>
                <w:sz w:val="20"/>
                <w:szCs w:val="20"/>
              </w:rPr>
              <w:t xml:space="preserve"> for this condition </w:t>
            </w:r>
          </w:p>
        </w:tc>
      </w:tr>
      <w:tr w:rsidR="002C6140" w:rsidRPr="00BB6E54" w14:paraId="287F2A30"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044AAA86" w14:textId="77777777" w:rsidR="002C6140" w:rsidRPr="00BB6E54" w:rsidRDefault="002C6140" w:rsidP="00BF35A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3F7C8ECD" w14:textId="77777777" w:rsidR="002C6140" w:rsidRPr="00BB6E54" w:rsidRDefault="002C6140" w:rsidP="00BF35A5">
            <w:pPr>
              <w:rPr>
                <w:rFonts w:ascii="Arial Narrow" w:hAnsi="Arial Narrow" w:cs="Open Sans"/>
                <w:color w:val="333333"/>
                <w:sz w:val="20"/>
                <w:szCs w:val="20"/>
              </w:rPr>
            </w:pPr>
          </w:p>
        </w:tc>
      </w:tr>
      <w:tr w:rsidR="002C6140" w:rsidRPr="00BB6E54" w14:paraId="448B5A3B"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31823381" w14:textId="77777777" w:rsidR="002C6140" w:rsidRPr="00BB6E54" w:rsidRDefault="002C6140" w:rsidP="00BF35A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6AFE9AF3" w14:textId="77777777" w:rsidR="002C6140" w:rsidRPr="00BB6E54" w:rsidRDefault="002C6140" w:rsidP="00BF35A5">
            <w:pPr>
              <w:rPr>
                <w:rFonts w:ascii="Arial Narrow" w:hAnsi="Arial Narrow" w:cs="Open Sans"/>
                <w:color w:val="333333"/>
                <w:sz w:val="20"/>
                <w:szCs w:val="20"/>
              </w:rPr>
            </w:pPr>
            <w:r w:rsidRPr="00BB6E54">
              <w:rPr>
                <w:rFonts w:ascii="Arial Narrow" w:hAnsi="Arial Narrow" w:cs="Open Sans"/>
                <w:b/>
                <w:bCs/>
                <w:color w:val="333333"/>
                <w:sz w:val="20"/>
                <w:szCs w:val="20"/>
                <w:bdr w:val="none" w:sz="0" w:space="0" w:color="auto" w:frame="1"/>
              </w:rPr>
              <w:t>AND</w:t>
            </w:r>
          </w:p>
        </w:tc>
      </w:tr>
      <w:tr w:rsidR="002C6140" w:rsidRPr="00BB6E54" w14:paraId="15DC25D0"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31117050" w14:textId="1CD5A2F0" w:rsidR="002C6140" w:rsidRPr="00BB6E54" w:rsidRDefault="002C6140" w:rsidP="00BF35A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50E6F9A" w14:textId="77777777" w:rsidR="002C6140" w:rsidRPr="00BB6E54" w:rsidRDefault="002C6140" w:rsidP="00BF35A5">
            <w:pPr>
              <w:rPr>
                <w:rFonts w:ascii="Arial Narrow" w:hAnsi="Arial Narrow" w:cs="Open Sans"/>
                <w:color w:val="333333"/>
                <w:sz w:val="20"/>
                <w:szCs w:val="20"/>
              </w:rPr>
            </w:pPr>
            <w:r w:rsidRPr="00BB6E54">
              <w:rPr>
                <w:rFonts w:ascii="Arial Narrow" w:hAnsi="Arial Narrow" w:cs="Open Sans"/>
                <w:b/>
                <w:bCs/>
                <w:color w:val="333333"/>
                <w:sz w:val="20"/>
                <w:szCs w:val="20"/>
                <w:bdr w:val="none" w:sz="0" w:space="0" w:color="auto" w:frame="1"/>
              </w:rPr>
              <w:t>Clinical criteria:</w:t>
            </w:r>
          </w:p>
        </w:tc>
      </w:tr>
      <w:tr w:rsidR="002C6140" w:rsidRPr="00BB6E54" w14:paraId="0471BE89"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39A35F40" w14:textId="4AD893B9" w:rsidR="002C6140" w:rsidRPr="00BB6E54" w:rsidRDefault="002C6140" w:rsidP="00BF35A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4B89E70D" w14:textId="10464037" w:rsidR="002C6140" w:rsidRPr="00BB6E54" w:rsidRDefault="002C6140" w:rsidP="00BF35A5">
            <w:pPr>
              <w:rPr>
                <w:rFonts w:ascii="Arial Narrow" w:hAnsi="Arial Narrow" w:cs="Open Sans"/>
                <w:color w:val="333333"/>
                <w:sz w:val="20"/>
                <w:szCs w:val="20"/>
              </w:rPr>
            </w:pPr>
            <w:r w:rsidRPr="00BB6E54">
              <w:rPr>
                <w:rFonts w:ascii="Arial Narrow" w:hAnsi="Arial Narrow" w:cs="Open Sans"/>
                <w:color w:val="333333"/>
                <w:sz w:val="20"/>
                <w:szCs w:val="20"/>
              </w:rPr>
              <w:t xml:space="preserve">Patient must have developed resistance or intolerance to either </w:t>
            </w:r>
            <w:r w:rsidRPr="00BB6E54">
              <w:rPr>
                <w:rFonts w:ascii="Arial Narrow" w:hAnsi="Arial Narrow" w:cs="Open Sans"/>
                <w:i/>
                <w:iCs/>
                <w:color w:val="333333"/>
                <w:sz w:val="20"/>
                <w:szCs w:val="20"/>
              </w:rPr>
              <w:t>(i)</w:t>
            </w:r>
            <w:r w:rsidRPr="00BB6E54">
              <w:rPr>
                <w:rFonts w:ascii="Arial Narrow" w:hAnsi="Arial Narrow" w:cs="Open Sans"/>
                <w:color w:val="333333"/>
                <w:sz w:val="20"/>
                <w:szCs w:val="20"/>
              </w:rPr>
              <w:t xml:space="preserve"> pegcetacoplan, </w:t>
            </w:r>
            <w:r w:rsidRPr="00BB6E54">
              <w:rPr>
                <w:rFonts w:ascii="Arial Narrow" w:hAnsi="Arial Narrow" w:cs="Open Sans"/>
                <w:i/>
                <w:iCs/>
                <w:color w:val="333333"/>
                <w:sz w:val="20"/>
                <w:szCs w:val="20"/>
              </w:rPr>
              <w:t>(ii) ipt</w:t>
            </w:r>
            <w:r w:rsidR="00927A5C">
              <w:rPr>
                <w:rFonts w:ascii="Arial Narrow" w:hAnsi="Arial Narrow" w:cs="Open Sans"/>
                <w:i/>
                <w:iCs/>
                <w:color w:val="333333"/>
                <w:sz w:val="20"/>
                <w:szCs w:val="20"/>
              </w:rPr>
              <w:t>a</w:t>
            </w:r>
            <w:r w:rsidRPr="00BB6E54">
              <w:rPr>
                <w:rFonts w:ascii="Arial Narrow" w:hAnsi="Arial Narrow" w:cs="Open Sans"/>
                <w:i/>
                <w:iCs/>
                <w:color w:val="333333"/>
                <w:sz w:val="20"/>
                <w:szCs w:val="20"/>
              </w:rPr>
              <w:t>copan.</w:t>
            </w:r>
          </w:p>
        </w:tc>
      </w:tr>
      <w:tr w:rsidR="002C6140" w:rsidRPr="00BB6E54" w14:paraId="02377446"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1AA734F6" w14:textId="77777777" w:rsidR="002C6140" w:rsidRPr="00BB6E54" w:rsidRDefault="002C6140" w:rsidP="00BF35A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1BA774C5" w14:textId="77777777" w:rsidR="002C6140" w:rsidRPr="00BB6E54" w:rsidRDefault="002C6140" w:rsidP="00BF35A5">
            <w:pPr>
              <w:rPr>
                <w:rFonts w:ascii="Arial Narrow" w:hAnsi="Arial Narrow" w:cs="Open Sans"/>
                <w:color w:val="333333"/>
                <w:sz w:val="20"/>
                <w:szCs w:val="20"/>
              </w:rPr>
            </w:pPr>
          </w:p>
        </w:tc>
      </w:tr>
      <w:tr w:rsidR="002C6140" w:rsidRPr="00BB6E54" w14:paraId="546CDAAD" w14:textId="77777777" w:rsidTr="00CD1203">
        <w:tc>
          <w:tcPr>
            <w:tcW w:w="1271" w:type="dxa"/>
            <w:tcBorders>
              <w:top w:val="single" w:sz="4" w:space="0" w:color="auto"/>
              <w:left w:val="single" w:sz="4" w:space="0" w:color="auto"/>
              <w:bottom w:val="single" w:sz="4" w:space="0" w:color="auto"/>
              <w:right w:val="single" w:sz="4" w:space="0" w:color="auto"/>
            </w:tcBorders>
          </w:tcPr>
          <w:p w14:paraId="24745894" w14:textId="77777777" w:rsidR="002C6140" w:rsidRPr="00BB6E54" w:rsidRDefault="002C6140" w:rsidP="00BF35A5">
            <w:pPr>
              <w:jc w:val="center"/>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hideMark/>
          </w:tcPr>
          <w:p w14:paraId="1E76F39F" w14:textId="77777777" w:rsidR="002C6140" w:rsidRPr="00BB6E54" w:rsidRDefault="002C6140" w:rsidP="00BF35A5">
            <w:pPr>
              <w:rPr>
                <w:rFonts w:ascii="Arial Narrow" w:hAnsi="Arial Narrow" w:cs="Open Sans"/>
                <w:color w:val="333333"/>
                <w:sz w:val="20"/>
                <w:szCs w:val="20"/>
              </w:rPr>
            </w:pPr>
            <w:r w:rsidRPr="00BB6E54">
              <w:rPr>
                <w:rFonts w:ascii="Arial Narrow" w:hAnsi="Arial Narrow" w:cs="Open Sans"/>
                <w:b/>
                <w:bCs/>
                <w:color w:val="333333"/>
                <w:sz w:val="20"/>
                <w:szCs w:val="20"/>
                <w:bdr w:val="none" w:sz="0" w:space="0" w:color="auto" w:frame="1"/>
              </w:rPr>
              <w:t>AND</w:t>
            </w:r>
          </w:p>
        </w:tc>
      </w:tr>
      <w:tr w:rsidR="002C6140" w:rsidRPr="00BB6E54" w14:paraId="3E91C09F" w14:textId="77777777" w:rsidTr="00CD1203">
        <w:tc>
          <w:tcPr>
            <w:tcW w:w="1271" w:type="dxa"/>
            <w:tcBorders>
              <w:top w:val="single" w:sz="4" w:space="0" w:color="auto"/>
              <w:left w:val="single" w:sz="4" w:space="0" w:color="auto"/>
              <w:bottom w:val="single" w:sz="4" w:space="0" w:color="auto"/>
              <w:right w:val="single" w:sz="4" w:space="0" w:color="auto"/>
            </w:tcBorders>
          </w:tcPr>
          <w:p w14:paraId="05B12D9F" w14:textId="339EFA5D" w:rsidR="002C6140" w:rsidRPr="00BB6E54" w:rsidRDefault="002C6140" w:rsidP="00BF35A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hideMark/>
          </w:tcPr>
          <w:p w14:paraId="792FEC86" w14:textId="77777777" w:rsidR="002C6140" w:rsidRPr="00BB6E54" w:rsidRDefault="002C6140" w:rsidP="00BF35A5">
            <w:pPr>
              <w:textAlignment w:val="baseline"/>
              <w:rPr>
                <w:rFonts w:ascii="Arial Narrow" w:hAnsi="Arial Narrow" w:cs="Open Sans"/>
                <w:color w:val="333333"/>
                <w:sz w:val="20"/>
                <w:szCs w:val="20"/>
              </w:rPr>
            </w:pPr>
            <w:r w:rsidRPr="00BB6E54">
              <w:rPr>
                <w:rFonts w:ascii="Arial Narrow" w:hAnsi="Arial Narrow" w:cs="Open Sans"/>
                <w:b/>
                <w:bCs/>
                <w:color w:val="333333"/>
                <w:sz w:val="20"/>
                <w:szCs w:val="20"/>
                <w:bdr w:val="none" w:sz="0" w:space="0" w:color="auto" w:frame="1"/>
              </w:rPr>
              <w:t>Clinical criteria:</w:t>
            </w:r>
          </w:p>
        </w:tc>
      </w:tr>
      <w:tr w:rsidR="002C6140" w:rsidRPr="00BB6E54" w14:paraId="467C1A0E" w14:textId="77777777" w:rsidTr="00CD1203">
        <w:tc>
          <w:tcPr>
            <w:tcW w:w="1271" w:type="dxa"/>
            <w:tcBorders>
              <w:top w:val="single" w:sz="4" w:space="0" w:color="auto"/>
              <w:left w:val="single" w:sz="4" w:space="0" w:color="auto"/>
              <w:bottom w:val="single" w:sz="4" w:space="0" w:color="auto"/>
              <w:right w:val="single" w:sz="4" w:space="0" w:color="auto"/>
            </w:tcBorders>
          </w:tcPr>
          <w:p w14:paraId="667C65C9" w14:textId="2C05B889" w:rsidR="002C6140" w:rsidRPr="00BB6E54" w:rsidRDefault="002C6140" w:rsidP="00BF35A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hideMark/>
          </w:tcPr>
          <w:p w14:paraId="4D59B7F2" w14:textId="77777777" w:rsidR="002C6140" w:rsidRPr="00BB6E54" w:rsidRDefault="002C6140" w:rsidP="00BF35A5">
            <w:pPr>
              <w:rPr>
                <w:rFonts w:ascii="Arial Narrow" w:hAnsi="Arial Narrow" w:cs="Open Sans"/>
                <w:strike/>
                <w:color w:val="333333"/>
                <w:sz w:val="20"/>
                <w:szCs w:val="20"/>
              </w:rPr>
            </w:pPr>
            <w:r w:rsidRPr="00BB6E54">
              <w:rPr>
                <w:rFonts w:ascii="Arial Narrow" w:hAnsi="Arial Narrow" w:cs="Open Sans"/>
                <w:strike/>
                <w:color w:val="333333"/>
                <w:sz w:val="20"/>
                <w:szCs w:val="20"/>
              </w:rPr>
              <w:t>The treatment must not be in combination with either of (i) another Complement 5 (C5) inhibitor, (ii) pegcetacoplan</w:t>
            </w:r>
          </w:p>
          <w:p w14:paraId="05F29649" w14:textId="77777777" w:rsidR="002C6140" w:rsidRPr="00BB6E54" w:rsidRDefault="002C6140" w:rsidP="00BF35A5">
            <w:pPr>
              <w:rPr>
                <w:rFonts w:ascii="Arial Narrow" w:hAnsi="Arial Narrow" w:cs="Open Sans"/>
                <w:color w:val="333333"/>
                <w:sz w:val="20"/>
                <w:szCs w:val="20"/>
              </w:rPr>
            </w:pPr>
            <w:r w:rsidRPr="00BB6E54">
              <w:rPr>
                <w:rFonts w:ascii="Arial Narrow" w:hAnsi="Arial Narrow" w:cs="Open Sans"/>
                <w:i/>
                <w:iCs/>
                <w:color w:val="333333"/>
                <w:sz w:val="20"/>
                <w:szCs w:val="20"/>
              </w:rPr>
              <w:t>The treatment must be the sole PBS-subsidised therapy for this condition.</w:t>
            </w:r>
          </w:p>
        </w:tc>
      </w:tr>
      <w:tr w:rsidR="002C6140" w:rsidRPr="00BB6E54" w14:paraId="4CBCE816"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22005305" w14:textId="77777777" w:rsidR="002C6140" w:rsidRPr="00BB6E54" w:rsidRDefault="002C6140" w:rsidP="00BF35A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17DA8AF" w14:textId="77777777" w:rsidR="002C6140" w:rsidRPr="00BB6E54" w:rsidRDefault="002C6140" w:rsidP="00BF35A5">
            <w:pPr>
              <w:rPr>
                <w:rFonts w:ascii="Arial Narrow" w:hAnsi="Arial Narrow" w:cs="Open Sans"/>
                <w:color w:val="333333"/>
                <w:sz w:val="20"/>
                <w:szCs w:val="20"/>
              </w:rPr>
            </w:pPr>
          </w:p>
        </w:tc>
      </w:tr>
      <w:tr w:rsidR="002C6140" w:rsidRPr="00BB6E54" w14:paraId="522CC5FD" w14:textId="77777777" w:rsidTr="00CD1203">
        <w:tc>
          <w:tcPr>
            <w:tcW w:w="1271" w:type="dxa"/>
            <w:tcBorders>
              <w:top w:val="single" w:sz="4" w:space="0" w:color="auto"/>
              <w:left w:val="single" w:sz="4" w:space="0" w:color="auto"/>
              <w:bottom w:val="single" w:sz="4" w:space="0" w:color="auto"/>
              <w:right w:val="single" w:sz="4" w:space="0" w:color="auto"/>
            </w:tcBorders>
          </w:tcPr>
          <w:p w14:paraId="06207BC6" w14:textId="77777777" w:rsidR="002C6140" w:rsidRPr="00BB6E54" w:rsidRDefault="002C6140" w:rsidP="00BF35A5">
            <w:pPr>
              <w:jc w:val="center"/>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hideMark/>
          </w:tcPr>
          <w:p w14:paraId="27390976" w14:textId="77777777" w:rsidR="002C6140" w:rsidRPr="00BB6E54" w:rsidRDefault="002C6140" w:rsidP="00BF35A5">
            <w:pPr>
              <w:rPr>
                <w:rFonts w:ascii="Arial Narrow" w:hAnsi="Arial Narrow" w:cs="Open Sans"/>
                <w:color w:val="333333"/>
                <w:sz w:val="20"/>
                <w:szCs w:val="20"/>
              </w:rPr>
            </w:pPr>
            <w:r w:rsidRPr="00BB6E54">
              <w:rPr>
                <w:rFonts w:ascii="Arial Narrow" w:hAnsi="Arial Narrow" w:cs="Open Sans"/>
                <w:b/>
                <w:bCs/>
                <w:color w:val="333333"/>
                <w:sz w:val="20"/>
                <w:szCs w:val="20"/>
                <w:bdr w:val="none" w:sz="0" w:space="0" w:color="auto" w:frame="1"/>
              </w:rPr>
              <w:t>AND</w:t>
            </w:r>
          </w:p>
        </w:tc>
      </w:tr>
      <w:tr w:rsidR="002C6140" w:rsidRPr="00BB6E54" w14:paraId="263D6341" w14:textId="77777777" w:rsidTr="00CD1203">
        <w:tc>
          <w:tcPr>
            <w:tcW w:w="1271" w:type="dxa"/>
            <w:tcBorders>
              <w:top w:val="single" w:sz="4" w:space="0" w:color="auto"/>
              <w:left w:val="single" w:sz="4" w:space="0" w:color="auto"/>
              <w:bottom w:val="single" w:sz="4" w:space="0" w:color="auto"/>
              <w:right w:val="single" w:sz="4" w:space="0" w:color="auto"/>
            </w:tcBorders>
          </w:tcPr>
          <w:p w14:paraId="1AB457C0" w14:textId="72853290" w:rsidR="002C6140" w:rsidRPr="00BB6E54" w:rsidRDefault="002C6140" w:rsidP="00BF35A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hideMark/>
          </w:tcPr>
          <w:p w14:paraId="13971640" w14:textId="77777777" w:rsidR="002C6140" w:rsidRPr="00BB6E54" w:rsidRDefault="002C6140" w:rsidP="00BF35A5">
            <w:pPr>
              <w:textAlignment w:val="baseline"/>
              <w:rPr>
                <w:rFonts w:ascii="Arial Narrow" w:hAnsi="Arial Narrow" w:cs="Open Sans"/>
                <w:color w:val="333333"/>
                <w:sz w:val="20"/>
                <w:szCs w:val="20"/>
              </w:rPr>
            </w:pPr>
            <w:r w:rsidRPr="00BB6E54">
              <w:rPr>
                <w:rFonts w:ascii="Arial Narrow" w:hAnsi="Arial Narrow" w:cs="Open Sans"/>
                <w:b/>
                <w:bCs/>
                <w:color w:val="333333"/>
                <w:sz w:val="20"/>
                <w:szCs w:val="20"/>
                <w:bdr w:val="none" w:sz="0" w:space="0" w:color="auto" w:frame="1"/>
              </w:rPr>
              <w:t>Treatment criteria:</w:t>
            </w:r>
          </w:p>
        </w:tc>
      </w:tr>
      <w:tr w:rsidR="002C6140" w:rsidRPr="00BB6E54" w14:paraId="2F05DF03" w14:textId="77777777" w:rsidTr="00CD1203">
        <w:tc>
          <w:tcPr>
            <w:tcW w:w="1271" w:type="dxa"/>
            <w:tcBorders>
              <w:top w:val="single" w:sz="4" w:space="0" w:color="auto"/>
              <w:left w:val="single" w:sz="4" w:space="0" w:color="auto"/>
              <w:bottom w:val="single" w:sz="4" w:space="0" w:color="auto"/>
              <w:right w:val="single" w:sz="4" w:space="0" w:color="auto"/>
            </w:tcBorders>
          </w:tcPr>
          <w:p w14:paraId="1C156B77" w14:textId="7AF1B37F" w:rsidR="002C6140" w:rsidRPr="00BB6E54" w:rsidRDefault="002C6140" w:rsidP="00BF35A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hideMark/>
          </w:tcPr>
          <w:p w14:paraId="7CC86634" w14:textId="77777777" w:rsidR="002C6140" w:rsidRPr="00BB6E54" w:rsidRDefault="002C6140" w:rsidP="00BF35A5">
            <w:pPr>
              <w:rPr>
                <w:rFonts w:ascii="Arial Narrow" w:hAnsi="Arial Narrow" w:cs="Open Sans"/>
                <w:color w:val="333333"/>
                <w:sz w:val="20"/>
                <w:szCs w:val="20"/>
              </w:rPr>
            </w:pPr>
            <w:r w:rsidRPr="00BB6E54">
              <w:rPr>
                <w:rFonts w:ascii="Arial Narrow" w:hAnsi="Arial Narrow" w:cs="Open Sans"/>
                <w:color w:val="333333"/>
                <w:sz w:val="20"/>
                <w:szCs w:val="20"/>
              </w:rPr>
              <w:t>Must be treated by a haematologist; or</w:t>
            </w:r>
          </w:p>
        </w:tc>
      </w:tr>
      <w:tr w:rsidR="002C6140" w:rsidRPr="00BB6E54" w14:paraId="42C6CCDE"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0F495554" w14:textId="258012A3" w:rsidR="002C6140" w:rsidRPr="00BB6E54" w:rsidRDefault="002C6140" w:rsidP="00BF35A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B5B25D3" w14:textId="77777777" w:rsidR="002C6140" w:rsidRPr="00BB6E54" w:rsidRDefault="002C6140" w:rsidP="00BF35A5">
            <w:pPr>
              <w:rPr>
                <w:rFonts w:ascii="Arial Narrow" w:hAnsi="Arial Narrow" w:cs="Open Sans"/>
                <w:color w:val="333333"/>
                <w:sz w:val="20"/>
                <w:szCs w:val="20"/>
              </w:rPr>
            </w:pPr>
            <w:r w:rsidRPr="00BB6E54">
              <w:rPr>
                <w:rFonts w:ascii="Arial Narrow" w:hAnsi="Arial Narrow" w:cs="Open Sans"/>
                <w:color w:val="333333"/>
                <w:sz w:val="20"/>
                <w:szCs w:val="20"/>
              </w:rPr>
              <w:t>Must be treated by a non-specialist medical physician who has consulted a haematologist on the patient’s drug treatment details</w:t>
            </w:r>
          </w:p>
        </w:tc>
      </w:tr>
      <w:tr w:rsidR="002C6140" w:rsidRPr="00BB6E54" w14:paraId="79748D9A"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5FAE49D9" w14:textId="77777777" w:rsidR="002C6140" w:rsidRPr="00BB6E54" w:rsidRDefault="002C6140" w:rsidP="00BF35A5">
            <w:pPr>
              <w:jc w:val="center"/>
              <w:textAlignment w:val="baseline"/>
              <w:rPr>
                <w:rFonts w:ascii="Arial Narrow" w:hAnsi="Arial Narrow"/>
                <w:i/>
                <w:iC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vAlign w:val="center"/>
          </w:tcPr>
          <w:p w14:paraId="3C53E492" w14:textId="77777777" w:rsidR="002C6140" w:rsidRPr="00BB6E54" w:rsidRDefault="002C6140" w:rsidP="00BF35A5">
            <w:pPr>
              <w:rPr>
                <w:rFonts w:ascii="Arial Narrow" w:hAnsi="Arial Narrow"/>
                <w:b/>
                <w:bCs/>
                <w:color w:val="333333"/>
                <w:sz w:val="20"/>
                <w:szCs w:val="20"/>
              </w:rPr>
            </w:pPr>
          </w:p>
        </w:tc>
      </w:tr>
      <w:tr w:rsidR="002C6140" w:rsidRPr="00BB6E54" w14:paraId="179B10A1"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5C785A6B" w14:textId="1A48C7DB" w:rsidR="002C6140" w:rsidRPr="00BB6E54" w:rsidRDefault="002C6140" w:rsidP="00BF35A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10319803" w14:textId="77777777" w:rsidR="002C6140" w:rsidRPr="00BB6E54" w:rsidRDefault="002C6140" w:rsidP="00BF35A5">
            <w:pPr>
              <w:textAlignment w:val="baseline"/>
              <w:rPr>
                <w:rFonts w:ascii="Arial Narrow" w:hAnsi="Arial Narrow" w:cs="Open Sans"/>
                <w:color w:val="333333"/>
                <w:sz w:val="20"/>
                <w:szCs w:val="20"/>
              </w:rPr>
            </w:pPr>
            <w:r w:rsidRPr="00BB6E54">
              <w:rPr>
                <w:rFonts w:ascii="Arial Narrow" w:hAnsi="Arial Narrow" w:cs="Open Sans"/>
                <w:b/>
                <w:bCs/>
                <w:color w:val="333333"/>
                <w:sz w:val="20"/>
                <w:szCs w:val="20"/>
                <w:bdr w:val="none" w:sz="0" w:space="0" w:color="auto" w:frame="1"/>
              </w:rPr>
              <w:t>Prescribing Instructions:</w:t>
            </w:r>
          </w:p>
          <w:p w14:paraId="59A15619" w14:textId="77777777" w:rsidR="002C6140" w:rsidRPr="00BB6E54" w:rsidRDefault="002C6140" w:rsidP="00BF35A5">
            <w:pPr>
              <w:textAlignment w:val="baseline"/>
              <w:rPr>
                <w:rFonts w:ascii="Arial Narrow" w:hAnsi="Arial Narrow" w:cs="Open Sans"/>
                <w:strike/>
                <w:color w:val="333333"/>
                <w:sz w:val="20"/>
                <w:szCs w:val="20"/>
              </w:rPr>
            </w:pPr>
            <w:r w:rsidRPr="00BB6E54">
              <w:rPr>
                <w:rFonts w:ascii="Arial Narrow" w:hAnsi="Arial Narrow" w:cs="Open Sans"/>
                <w:strike/>
                <w:color w:val="333333"/>
                <w:sz w:val="20"/>
                <w:szCs w:val="20"/>
              </w:rPr>
              <w:t>The authority application must be made in writing and must include:</w:t>
            </w:r>
          </w:p>
          <w:p w14:paraId="1D70E0F7" w14:textId="77777777" w:rsidR="002C6140" w:rsidRPr="00BB6E54" w:rsidRDefault="002C6140" w:rsidP="00BF35A5">
            <w:pPr>
              <w:textAlignment w:val="baseline"/>
              <w:rPr>
                <w:rFonts w:ascii="Arial Narrow" w:hAnsi="Arial Narrow" w:cs="Open Sans"/>
                <w:strike/>
                <w:color w:val="333333"/>
                <w:sz w:val="20"/>
                <w:szCs w:val="20"/>
              </w:rPr>
            </w:pPr>
            <w:r w:rsidRPr="00BB6E54">
              <w:rPr>
                <w:rFonts w:ascii="Arial Narrow" w:hAnsi="Arial Narrow" w:cs="Open Sans"/>
                <w:strike/>
                <w:color w:val="333333"/>
                <w:sz w:val="20"/>
                <w:szCs w:val="20"/>
              </w:rPr>
              <w:t>(1) a completed authority prescription form; and</w:t>
            </w:r>
          </w:p>
          <w:p w14:paraId="0E731C14" w14:textId="77777777" w:rsidR="002C6140" w:rsidRPr="00BB6E54" w:rsidRDefault="002C6140" w:rsidP="00BF35A5">
            <w:pPr>
              <w:textAlignment w:val="baseline"/>
              <w:rPr>
                <w:rFonts w:ascii="Arial Narrow" w:hAnsi="Arial Narrow" w:cs="Open Sans"/>
                <w:strike/>
                <w:color w:val="333333"/>
                <w:sz w:val="20"/>
                <w:szCs w:val="20"/>
              </w:rPr>
            </w:pPr>
            <w:r w:rsidRPr="00BB6E54">
              <w:rPr>
                <w:rFonts w:ascii="Arial Narrow" w:hAnsi="Arial Narrow" w:cs="Open Sans"/>
                <w:strike/>
                <w:color w:val="333333"/>
                <w:sz w:val="20"/>
                <w:szCs w:val="20"/>
              </w:rPr>
              <w:t>(2) a completed authority application form relevant to the indication and treatment phase (the latest version is located on the website specified in the Administrative Advice).</w:t>
            </w:r>
          </w:p>
          <w:p w14:paraId="7108F584" w14:textId="77777777" w:rsidR="002C6140" w:rsidRPr="00BB6E54" w:rsidRDefault="002C6140" w:rsidP="00BF35A5">
            <w:pPr>
              <w:textAlignment w:val="baseline"/>
              <w:rPr>
                <w:rFonts w:ascii="Arial Narrow" w:hAnsi="Arial Narrow" w:cs="Open Sans"/>
                <w:strike/>
                <w:color w:val="333333"/>
                <w:sz w:val="20"/>
                <w:szCs w:val="20"/>
              </w:rPr>
            </w:pPr>
          </w:p>
          <w:p w14:paraId="7FBFC960" w14:textId="77777777" w:rsidR="002C6140" w:rsidRPr="00BB6E54" w:rsidRDefault="002C6140" w:rsidP="00BF35A5">
            <w:pPr>
              <w:keepNext/>
              <w:keepLines/>
              <w:rPr>
                <w:rFonts w:ascii="Arial Narrow" w:hAnsi="Arial Narrow"/>
                <w:i/>
                <w:iCs/>
                <w:sz w:val="20"/>
                <w:szCs w:val="20"/>
              </w:rPr>
            </w:pPr>
            <w:r w:rsidRPr="00BB6E54">
              <w:rPr>
                <w:rFonts w:ascii="Arial Narrow" w:hAnsi="Arial Narrow"/>
                <w:i/>
                <w:iCs/>
                <w:sz w:val="20"/>
                <w:szCs w:val="20"/>
              </w:rPr>
              <w:t>The authority application must be made in writing and must include:</w:t>
            </w:r>
          </w:p>
          <w:p w14:paraId="7B9D74F6" w14:textId="77777777" w:rsidR="002C6140" w:rsidRPr="00BB6E54" w:rsidRDefault="002C6140" w:rsidP="00BF35A5">
            <w:pPr>
              <w:keepNext/>
              <w:keepLines/>
              <w:rPr>
                <w:rFonts w:ascii="Arial Narrow" w:hAnsi="Arial Narrow"/>
                <w:i/>
                <w:iCs/>
                <w:sz w:val="20"/>
                <w:szCs w:val="20"/>
              </w:rPr>
            </w:pPr>
            <w:r w:rsidRPr="00BB6E54">
              <w:rPr>
                <w:rFonts w:ascii="Arial Narrow" w:hAnsi="Arial Narrow"/>
                <w:i/>
                <w:iCs/>
                <w:sz w:val="20"/>
                <w:szCs w:val="20"/>
              </w:rPr>
              <w:t xml:space="preserve">(1) </w:t>
            </w:r>
            <w:r w:rsidRPr="009651D9">
              <w:rPr>
                <w:rFonts w:ascii="Arial Narrow" w:hAnsi="Arial Narrow"/>
                <w:i/>
                <w:iCs/>
                <w:sz w:val="20"/>
                <w:szCs w:val="20"/>
              </w:rPr>
              <w:t>details of the proposed prescription</w:t>
            </w:r>
            <w:r w:rsidRPr="00BB6E54">
              <w:rPr>
                <w:rFonts w:ascii="Arial Narrow" w:hAnsi="Arial Narrow"/>
                <w:i/>
                <w:iCs/>
                <w:sz w:val="20"/>
                <w:szCs w:val="20"/>
              </w:rPr>
              <w:t>; and</w:t>
            </w:r>
          </w:p>
          <w:p w14:paraId="3C800DB8" w14:textId="20A2667A" w:rsidR="002C6140" w:rsidRPr="007F4886" w:rsidRDefault="002C6140" w:rsidP="007F4886">
            <w:pPr>
              <w:textAlignment w:val="baseline"/>
              <w:rPr>
                <w:rFonts w:ascii="Arial Narrow" w:hAnsi="Arial Narrow" w:cs="Open Sans"/>
                <w:i/>
                <w:iCs/>
                <w:color w:val="333333"/>
                <w:sz w:val="20"/>
                <w:szCs w:val="20"/>
              </w:rPr>
            </w:pPr>
            <w:r w:rsidRPr="00BB6E54">
              <w:rPr>
                <w:rFonts w:ascii="Arial Narrow" w:hAnsi="Arial Narrow"/>
                <w:i/>
                <w:iCs/>
                <w:sz w:val="20"/>
                <w:szCs w:val="20"/>
              </w:rPr>
              <w:t>(2) a completed authority application form relevant to the indication and treatment phase (the latest version is located on the website specified in the Administrative Advice).</w:t>
            </w:r>
          </w:p>
        </w:tc>
      </w:tr>
      <w:tr w:rsidR="002C6140" w:rsidRPr="00BB6E54" w14:paraId="3B5CEB4F" w14:textId="77777777" w:rsidTr="00BF35A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32D9C096" w14:textId="77777777" w:rsidR="002C6140" w:rsidRPr="00BB6E54" w:rsidRDefault="002C6140" w:rsidP="00BF35A5">
            <w:pPr>
              <w:jc w:val="center"/>
              <w:textAlignment w:val="baseline"/>
              <w:rPr>
                <w:rFonts w:ascii="Arial Narrow" w:hAnsi="Arial Narrow" w:cs="Open Sans"/>
                <w:color w:val="333333"/>
                <w:sz w:val="20"/>
                <w:szCs w:val="20"/>
              </w:rPr>
            </w:pPr>
          </w:p>
          <w:p w14:paraId="66BE1AFF" w14:textId="7527E35D" w:rsidR="002C6140" w:rsidRPr="00BB6E54" w:rsidRDefault="002C6140" w:rsidP="00BF35A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261EA70B" w14:textId="77777777" w:rsidR="002C6140" w:rsidRPr="00BB6E54" w:rsidRDefault="002C6140" w:rsidP="00BF35A5">
            <w:pPr>
              <w:textAlignment w:val="baseline"/>
              <w:rPr>
                <w:rFonts w:ascii="Arial Narrow" w:hAnsi="Arial Narrow" w:cs="Open Sans"/>
                <w:color w:val="333333"/>
                <w:sz w:val="20"/>
                <w:szCs w:val="20"/>
              </w:rPr>
            </w:pPr>
            <w:r w:rsidRPr="00BB6E54">
              <w:rPr>
                <w:rFonts w:ascii="Arial Narrow" w:hAnsi="Arial Narrow" w:cs="Open Sans"/>
                <w:b/>
                <w:bCs/>
                <w:color w:val="333333"/>
                <w:sz w:val="20"/>
                <w:szCs w:val="20"/>
                <w:bdr w:val="none" w:sz="0" w:space="0" w:color="auto" w:frame="1"/>
              </w:rPr>
              <w:t>Prescribing Instructions:</w:t>
            </w:r>
          </w:p>
          <w:p w14:paraId="00FB14E3" w14:textId="77777777" w:rsidR="002C6140" w:rsidRPr="00BB6E54" w:rsidRDefault="002C6140" w:rsidP="00BF35A5">
            <w:pPr>
              <w:rPr>
                <w:rFonts w:ascii="Arial Narrow" w:hAnsi="Arial Narrow" w:cs="Open Sans"/>
                <w:color w:val="333333"/>
                <w:sz w:val="20"/>
                <w:szCs w:val="20"/>
              </w:rPr>
            </w:pPr>
            <w:r w:rsidRPr="00BB6E54">
              <w:rPr>
                <w:rFonts w:ascii="Arial Narrow" w:hAnsi="Arial Narrow"/>
                <w:color w:val="333333"/>
                <w:sz w:val="20"/>
                <w:szCs w:val="20"/>
              </w:rPr>
              <w:t>For continuing PBS-subsidised treatment with this drug, a 'Returning' patient must proceed under the ‘Subsequent Continuing Treatment' criteria.</w:t>
            </w:r>
          </w:p>
        </w:tc>
      </w:tr>
    </w:tbl>
    <w:p w14:paraId="76BBFAEE" w14:textId="77777777" w:rsidR="002C6140" w:rsidRDefault="002C6140" w:rsidP="002C6140">
      <w:pPr>
        <w:rPr>
          <w:rFonts w:asciiTheme="minorHAnsi" w:hAnsiTheme="minorHAnsi" w:cstheme="minorHAnsi"/>
          <w:b/>
          <w:bCs/>
          <w:sz w:val="22"/>
          <w:szCs w:val="22"/>
        </w:rPr>
      </w:pPr>
    </w:p>
    <w:p w14:paraId="64591AB5" w14:textId="5C734688" w:rsidR="00243C12" w:rsidRPr="00E2704E" w:rsidRDefault="00243C12" w:rsidP="009651D9">
      <w:pPr>
        <w:pStyle w:val="COMexecsumnumberedpara"/>
        <w:rPr>
          <w:rFonts w:ascii="Calibri" w:hAnsi="Calibri"/>
          <w:bCs/>
          <w:snapToGrid/>
          <w:lang w:eastAsia="en-US"/>
        </w:rPr>
      </w:pPr>
      <w:bookmarkStart w:id="72" w:name="_Ref172540700"/>
      <w:r w:rsidRPr="00243C12">
        <w:rPr>
          <w:lang w:eastAsia="en-US"/>
        </w:rPr>
        <w:lastRenderedPageBreak/>
        <w:t>Flow on changes to pegcetacoplan to allow patients returning to pegcetacoplan for reasons other than post pregnancy from one of the</w:t>
      </w:r>
      <w:r w:rsidR="009651D9">
        <w:rPr>
          <w:lang w:eastAsia="en-US"/>
        </w:rPr>
        <w:t xml:space="preserve"> PBS-</w:t>
      </w:r>
      <w:r w:rsidRPr="00243C12">
        <w:rPr>
          <w:lang w:eastAsia="en-US"/>
        </w:rPr>
        <w:t>listed therapies for PNH, including iptacopan.</w:t>
      </w:r>
      <w:r w:rsidR="009651D9">
        <w:rPr>
          <w:lang w:eastAsia="en-US"/>
        </w:rPr>
        <w:t xml:space="preserve"> </w:t>
      </w:r>
      <w:r w:rsidR="009651D9" w:rsidRPr="009651D9">
        <w:rPr>
          <w:rFonts w:ascii="Calibri" w:hAnsi="Calibri"/>
          <w:bCs/>
          <w:snapToGrid/>
          <w:lang w:eastAsia="en-US"/>
        </w:rPr>
        <w:t xml:space="preserve">Additions </w:t>
      </w:r>
      <w:r w:rsidR="009651D9" w:rsidRPr="00E2704E">
        <w:rPr>
          <w:rFonts w:ascii="Calibri" w:hAnsi="Calibri"/>
          <w:bCs/>
          <w:snapToGrid/>
          <w:lang w:eastAsia="en-US"/>
        </w:rPr>
        <w:t>are in italics and deletions are in strikethrough.</w:t>
      </w:r>
    </w:p>
    <w:tbl>
      <w:tblPr>
        <w:tblW w:w="4950" w:type="pct"/>
        <w:shd w:val="clear" w:color="auto" w:fill="FFFFFF"/>
        <w:tblCellMar>
          <w:left w:w="0" w:type="dxa"/>
          <w:right w:w="0" w:type="dxa"/>
        </w:tblCellMar>
        <w:tblLook w:val="04A0" w:firstRow="1" w:lastRow="0" w:firstColumn="1" w:lastColumn="0" w:noHBand="0" w:noVBand="1"/>
      </w:tblPr>
      <w:tblGrid>
        <w:gridCol w:w="2689"/>
        <w:gridCol w:w="1701"/>
        <w:gridCol w:w="1134"/>
        <w:gridCol w:w="850"/>
        <w:gridCol w:w="994"/>
        <w:gridCol w:w="1559"/>
      </w:tblGrid>
      <w:tr w:rsidR="00243C12" w:rsidRPr="00243C12" w14:paraId="164FC73F" w14:textId="77777777" w:rsidTr="00974DAA">
        <w:trPr>
          <w:trHeight w:val="20"/>
        </w:trPr>
        <w:tc>
          <w:tcPr>
            <w:tcW w:w="1506" w:type="pct"/>
            <w:tcBorders>
              <w:top w:val="single" w:sz="4" w:space="0" w:color="auto"/>
              <w:left w:val="single" w:sz="4" w:space="0" w:color="auto"/>
              <w:right w:val="single" w:sz="4" w:space="0" w:color="auto"/>
            </w:tcBorders>
            <w:shd w:val="clear" w:color="auto" w:fill="auto"/>
            <w:tcMar>
              <w:top w:w="0" w:type="dxa"/>
              <w:left w:w="240" w:type="dxa"/>
              <w:bottom w:w="0" w:type="dxa"/>
              <w:right w:w="240" w:type="dxa"/>
            </w:tcMar>
            <w:vAlign w:val="center"/>
          </w:tcPr>
          <w:p w14:paraId="62769852" w14:textId="532E3C24" w:rsidR="00243C12" w:rsidRPr="00243C12" w:rsidRDefault="00243C12" w:rsidP="00974DAA">
            <w:pPr>
              <w:keepNext/>
              <w:ind w:left="-57"/>
              <w:jc w:val="left"/>
              <w:rPr>
                <w:rFonts w:ascii="Arial Narrow" w:eastAsia="Calibri" w:hAnsi="Arial Narrow" w:cstheme="minorBidi"/>
                <w:b/>
                <w:bCs/>
                <w:sz w:val="20"/>
                <w:szCs w:val="20"/>
              </w:rPr>
            </w:pPr>
            <w:r w:rsidRPr="00243C12">
              <w:rPr>
                <w:bCs/>
                <w:lang w:eastAsia="en-US"/>
              </w:rPr>
              <w:t xml:space="preserve"> </w:t>
            </w:r>
            <w:r w:rsidRPr="00243C12">
              <w:rPr>
                <w:rFonts w:ascii="Arial Narrow" w:eastAsia="Calibri" w:hAnsi="Arial Narrow" w:cstheme="minorBidi"/>
                <w:b/>
                <w:bCs/>
                <w:sz w:val="20"/>
                <w:szCs w:val="20"/>
              </w:rPr>
              <w:t>MEDICINAL PRODUCT</w:t>
            </w:r>
          </w:p>
          <w:p w14:paraId="7ABE7A15" w14:textId="77777777" w:rsidR="00243C12" w:rsidRPr="00243C12" w:rsidRDefault="00243C12" w:rsidP="00974DAA">
            <w:pPr>
              <w:keepNext/>
              <w:ind w:left="-57"/>
              <w:jc w:val="left"/>
              <w:rPr>
                <w:rFonts w:ascii="Arial Narrow" w:eastAsia="Calibri" w:hAnsi="Arial Narrow" w:cstheme="minorBidi"/>
                <w:b/>
                <w:bCs/>
                <w:sz w:val="20"/>
                <w:szCs w:val="20"/>
              </w:rPr>
            </w:pPr>
            <w:r w:rsidRPr="00243C12">
              <w:rPr>
                <w:rFonts w:ascii="Arial Narrow" w:eastAsia="Calibri" w:hAnsi="Arial Narrow" w:cstheme="minorBidi"/>
                <w:b/>
                <w:bCs/>
                <w:sz w:val="20"/>
                <w:szCs w:val="20"/>
              </w:rPr>
              <w:t>Medicinal Product pack</w:t>
            </w:r>
          </w:p>
        </w:tc>
        <w:tc>
          <w:tcPr>
            <w:tcW w:w="953" w:type="pct"/>
            <w:tcBorders>
              <w:top w:val="single" w:sz="4" w:space="0" w:color="auto"/>
              <w:left w:val="single" w:sz="4" w:space="0" w:color="auto"/>
              <w:right w:val="single" w:sz="4" w:space="0" w:color="auto"/>
            </w:tcBorders>
            <w:shd w:val="clear" w:color="auto" w:fill="auto"/>
            <w:vAlign w:val="center"/>
          </w:tcPr>
          <w:p w14:paraId="785E7C8C" w14:textId="77777777" w:rsidR="00243C12" w:rsidRPr="00243C12" w:rsidRDefault="00243C12" w:rsidP="00974DAA">
            <w:pPr>
              <w:keepNext/>
              <w:ind w:right="57"/>
              <w:jc w:val="center"/>
              <w:rPr>
                <w:rFonts w:ascii="Arial Narrow" w:eastAsia="Calibri" w:hAnsi="Arial Narrow"/>
                <w:sz w:val="20"/>
                <w:szCs w:val="20"/>
              </w:rPr>
            </w:pPr>
            <w:r w:rsidRPr="00243C12">
              <w:rPr>
                <w:rFonts w:ascii="Arial Narrow" w:eastAsia="Calibri" w:hAnsi="Arial Narrow" w:cstheme="minorBidi"/>
                <w:b/>
                <w:sz w:val="20"/>
                <w:szCs w:val="20"/>
              </w:rPr>
              <w:t>PBS item code</w:t>
            </w:r>
          </w:p>
        </w:tc>
        <w:tc>
          <w:tcPr>
            <w:tcW w:w="635" w:type="pct"/>
            <w:tcBorders>
              <w:top w:val="single" w:sz="4" w:space="0" w:color="auto"/>
              <w:left w:val="single" w:sz="4" w:space="0" w:color="auto"/>
              <w:right w:val="single" w:sz="4" w:space="0" w:color="auto"/>
            </w:tcBorders>
            <w:shd w:val="clear" w:color="auto" w:fill="auto"/>
            <w:vAlign w:val="center"/>
          </w:tcPr>
          <w:p w14:paraId="5BDD100D" w14:textId="591D9BB8" w:rsidR="00243C12" w:rsidRPr="00243C12" w:rsidRDefault="00243C12" w:rsidP="00974DAA">
            <w:pPr>
              <w:keepNext/>
              <w:ind w:right="57"/>
              <w:jc w:val="center"/>
              <w:rPr>
                <w:rFonts w:ascii="Arial Narrow" w:eastAsia="Calibri" w:hAnsi="Arial Narrow"/>
                <w:sz w:val="20"/>
                <w:szCs w:val="20"/>
              </w:rPr>
            </w:pPr>
            <w:r w:rsidRPr="00243C12">
              <w:rPr>
                <w:rFonts w:ascii="Arial Narrow" w:eastAsia="Calibri" w:hAnsi="Arial Narrow"/>
                <w:b/>
                <w:sz w:val="20"/>
                <w:szCs w:val="20"/>
              </w:rPr>
              <w:t>Max. qty packs</w:t>
            </w:r>
          </w:p>
        </w:tc>
        <w:tc>
          <w:tcPr>
            <w:tcW w:w="476" w:type="pct"/>
            <w:tcBorders>
              <w:top w:val="single" w:sz="4" w:space="0" w:color="auto"/>
              <w:left w:val="single" w:sz="4" w:space="0" w:color="auto"/>
              <w:right w:val="single" w:sz="4" w:space="0" w:color="auto"/>
            </w:tcBorders>
            <w:shd w:val="clear" w:color="auto" w:fill="auto"/>
            <w:vAlign w:val="center"/>
          </w:tcPr>
          <w:p w14:paraId="4ABDB30A" w14:textId="77777777" w:rsidR="00243C12" w:rsidRPr="00243C12" w:rsidRDefault="00243C12" w:rsidP="00974DAA">
            <w:pPr>
              <w:keepNext/>
              <w:ind w:right="57"/>
              <w:jc w:val="center"/>
              <w:rPr>
                <w:rFonts w:ascii="Arial Narrow" w:eastAsia="Calibri" w:hAnsi="Arial Narrow"/>
                <w:sz w:val="20"/>
                <w:szCs w:val="20"/>
              </w:rPr>
            </w:pPr>
            <w:r w:rsidRPr="00243C12">
              <w:rPr>
                <w:rFonts w:ascii="Arial Narrow" w:eastAsia="Calibri" w:hAnsi="Arial Narrow"/>
                <w:b/>
                <w:sz w:val="20"/>
                <w:szCs w:val="20"/>
              </w:rPr>
              <w:t>Max. qty units</w:t>
            </w:r>
          </w:p>
        </w:tc>
        <w:tc>
          <w:tcPr>
            <w:tcW w:w="557" w:type="pct"/>
            <w:tcBorders>
              <w:top w:val="single" w:sz="4" w:space="0" w:color="auto"/>
              <w:left w:val="single" w:sz="4" w:space="0" w:color="auto"/>
              <w:right w:val="single" w:sz="4" w:space="0" w:color="auto"/>
            </w:tcBorders>
            <w:shd w:val="clear" w:color="auto" w:fill="auto"/>
            <w:vAlign w:val="center"/>
          </w:tcPr>
          <w:p w14:paraId="6A8A6B2F" w14:textId="77777777" w:rsidR="00243C12" w:rsidRPr="00243C12" w:rsidRDefault="00243C12" w:rsidP="00974DAA">
            <w:pPr>
              <w:keepNext/>
              <w:ind w:left="4" w:right="57"/>
              <w:jc w:val="center"/>
              <w:rPr>
                <w:rFonts w:ascii="Arial Narrow" w:eastAsia="Calibri" w:hAnsi="Arial Narrow"/>
                <w:sz w:val="20"/>
                <w:szCs w:val="20"/>
              </w:rPr>
            </w:pPr>
            <w:r w:rsidRPr="00243C12">
              <w:rPr>
                <w:rFonts w:ascii="Arial Narrow" w:eastAsia="Calibri" w:hAnsi="Arial Narrow" w:cstheme="minorBidi"/>
                <w:b/>
                <w:sz w:val="20"/>
                <w:szCs w:val="20"/>
              </w:rPr>
              <w:t xml:space="preserve">№. of </w:t>
            </w:r>
            <w:r w:rsidRPr="00243C12">
              <w:rPr>
                <w:rFonts w:ascii="Arial Narrow" w:eastAsia="Calibri" w:hAnsi="Arial Narrow" w:cstheme="minorBidi"/>
                <w:b/>
                <w:sz w:val="20"/>
                <w:szCs w:val="20"/>
              </w:rPr>
              <w:br/>
              <w:t>Rpts</w:t>
            </w:r>
          </w:p>
        </w:tc>
        <w:tc>
          <w:tcPr>
            <w:tcW w:w="873" w:type="pct"/>
            <w:tcBorders>
              <w:top w:val="single" w:sz="4" w:space="0" w:color="auto"/>
              <w:left w:val="single" w:sz="4" w:space="0" w:color="auto"/>
              <w:right w:val="single" w:sz="4" w:space="0" w:color="auto"/>
            </w:tcBorders>
            <w:shd w:val="clear" w:color="auto" w:fill="auto"/>
            <w:vAlign w:val="center"/>
          </w:tcPr>
          <w:p w14:paraId="5B3EE122" w14:textId="77777777" w:rsidR="00243C12" w:rsidRPr="00243C12" w:rsidRDefault="00243C12" w:rsidP="00974DAA">
            <w:pPr>
              <w:keepNext/>
              <w:ind w:right="57"/>
              <w:jc w:val="center"/>
              <w:rPr>
                <w:rFonts w:ascii="Arial Narrow" w:eastAsia="Calibri" w:hAnsi="Arial Narrow"/>
                <w:sz w:val="20"/>
                <w:szCs w:val="20"/>
              </w:rPr>
            </w:pPr>
            <w:r w:rsidRPr="00243C12">
              <w:rPr>
                <w:rFonts w:ascii="Arial Narrow" w:eastAsia="Calibri" w:hAnsi="Arial Narrow" w:cstheme="minorBidi"/>
                <w:b/>
                <w:sz w:val="20"/>
                <w:szCs w:val="20"/>
              </w:rPr>
              <w:t>Available brands</w:t>
            </w:r>
          </w:p>
        </w:tc>
      </w:tr>
      <w:tr w:rsidR="00243C12" w:rsidRPr="00243C12" w14:paraId="2E853C15" w14:textId="77777777" w:rsidTr="00974DAA">
        <w:trPr>
          <w:trHeight w:val="20"/>
        </w:trPr>
        <w:tc>
          <w:tcPr>
            <w:tcW w:w="1506" w:type="pct"/>
            <w:tcBorders>
              <w:top w:val="single" w:sz="4" w:space="0" w:color="auto"/>
              <w:left w:val="single" w:sz="4" w:space="0" w:color="auto"/>
              <w:right w:val="single" w:sz="4" w:space="0" w:color="auto"/>
            </w:tcBorders>
            <w:shd w:val="clear" w:color="auto" w:fill="auto"/>
            <w:tcMar>
              <w:top w:w="0" w:type="dxa"/>
              <w:left w:w="240" w:type="dxa"/>
              <w:bottom w:w="0" w:type="dxa"/>
              <w:right w:w="240" w:type="dxa"/>
            </w:tcMar>
            <w:vAlign w:val="center"/>
          </w:tcPr>
          <w:p w14:paraId="0D9B72F6" w14:textId="77777777" w:rsidR="00243C12" w:rsidRPr="00243C12" w:rsidRDefault="00243C12" w:rsidP="00974DAA">
            <w:pPr>
              <w:keepNext/>
              <w:ind w:left="-57" w:right="57"/>
              <w:jc w:val="left"/>
              <w:rPr>
                <w:rFonts w:ascii="Arial Narrow" w:hAnsi="Arial Narrow"/>
                <w:sz w:val="20"/>
                <w:szCs w:val="20"/>
              </w:rPr>
            </w:pPr>
            <w:r w:rsidRPr="00243C12">
              <w:rPr>
                <w:rFonts w:ascii="Arial Narrow" w:hAnsi="Arial Narrow"/>
                <w:sz w:val="20"/>
                <w:szCs w:val="20"/>
              </w:rPr>
              <w:t>pegcetacoplan 1.08 g/20 mL injection, 20 mL vial</w:t>
            </w:r>
          </w:p>
        </w:tc>
        <w:tc>
          <w:tcPr>
            <w:tcW w:w="953" w:type="pct"/>
            <w:tcBorders>
              <w:top w:val="single" w:sz="4" w:space="0" w:color="auto"/>
              <w:left w:val="single" w:sz="4" w:space="0" w:color="auto"/>
              <w:right w:val="single" w:sz="4" w:space="0" w:color="auto"/>
            </w:tcBorders>
            <w:shd w:val="clear" w:color="auto" w:fill="auto"/>
            <w:vAlign w:val="center"/>
          </w:tcPr>
          <w:p w14:paraId="1F960E40" w14:textId="5FEBC233" w:rsidR="00243C12" w:rsidRPr="00243C12" w:rsidRDefault="00243C12" w:rsidP="00974DAA">
            <w:pPr>
              <w:keepNext/>
              <w:ind w:right="57"/>
              <w:jc w:val="center"/>
              <w:rPr>
                <w:rFonts w:ascii="Arial Narrow" w:eastAsia="Calibri" w:hAnsi="Arial Narrow"/>
                <w:sz w:val="20"/>
                <w:szCs w:val="20"/>
              </w:rPr>
            </w:pPr>
            <w:r w:rsidRPr="00243C12">
              <w:rPr>
                <w:rFonts w:ascii="Arial Narrow" w:eastAsia="Calibri" w:hAnsi="Arial Narrow"/>
                <w:sz w:val="20"/>
                <w:szCs w:val="20"/>
              </w:rPr>
              <w:t>13175K (Public)</w:t>
            </w:r>
          </w:p>
          <w:p w14:paraId="4D2D1A26" w14:textId="2346404D" w:rsidR="00243C12" w:rsidRPr="00243C12" w:rsidRDefault="00243C12" w:rsidP="00974DAA">
            <w:pPr>
              <w:keepNext/>
              <w:ind w:right="57"/>
              <w:jc w:val="center"/>
              <w:rPr>
                <w:rFonts w:ascii="Arial Narrow" w:eastAsia="Calibri" w:hAnsi="Arial Narrow"/>
                <w:sz w:val="20"/>
                <w:szCs w:val="20"/>
              </w:rPr>
            </w:pPr>
            <w:r w:rsidRPr="00243C12">
              <w:rPr>
                <w:rFonts w:ascii="Arial Narrow" w:eastAsia="Calibri" w:hAnsi="Arial Narrow"/>
                <w:sz w:val="20"/>
                <w:szCs w:val="20"/>
              </w:rPr>
              <w:t>13191G (Private)</w:t>
            </w:r>
          </w:p>
        </w:tc>
        <w:tc>
          <w:tcPr>
            <w:tcW w:w="635" w:type="pct"/>
            <w:tcBorders>
              <w:top w:val="single" w:sz="4" w:space="0" w:color="auto"/>
              <w:left w:val="single" w:sz="4" w:space="0" w:color="auto"/>
              <w:right w:val="single" w:sz="4" w:space="0" w:color="auto"/>
            </w:tcBorders>
            <w:shd w:val="clear" w:color="auto" w:fill="auto"/>
            <w:vAlign w:val="center"/>
          </w:tcPr>
          <w:p w14:paraId="56510656" w14:textId="77777777" w:rsidR="00243C12" w:rsidRPr="00243C12" w:rsidRDefault="00243C12" w:rsidP="00974DAA">
            <w:pPr>
              <w:keepNext/>
              <w:ind w:right="57"/>
              <w:jc w:val="center"/>
              <w:rPr>
                <w:rFonts w:ascii="Arial Narrow" w:eastAsia="Calibri" w:hAnsi="Arial Narrow"/>
                <w:sz w:val="20"/>
                <w:szCs w:val="20"/>
              </w:rPr>
            </w:pPr>
            <w:r w:rsidRPr="00243C12">
              <w:rPr>
                <w:rFonts w:ascii="Arial Narrow" w:eastAsia="Calibri" w:hAnsi="Arial Narrow"/>
                <w:sz w:val="20"/>
                <w:szCs w:val="20"/>
              </w:rPr>
              <w:t>1</w:t>
            </w:r>
          </w:p>
        </w:tc>
        <w:tc>
          <w:tcPr>
            <w:tcW w:w="476" w:type="pct"/>
            <w:tcBorders>
              <w:top w:val="single" w:sz="4" w:space="0" w:color="auto"/>
              <w:left w:val="single" w:sz="4" w:space="0" w:color="auto"/>
              <w:right w:val="single" w:sz="4" w:space="0" w:color="auto"/>
            </w:tcBorders>
            <w:shd w:val="clear" w:color="auto" w:fill="auto"/>
            <w:vAlign w:val="center"/>
          </w:tcPr>
          <w:p w14:paraId="7D6CE59C" w14:textId="77777777" w:rsidR="00243C12" w:rsidRPr="00243C12" w:rsidRDefault="00243C12" w:rsidP="00974DAA">
            <w:pPr>
              <w:keepNext/>
              <w:ind w:right="57"/>
              <w:jc w:val="center"/>
              <w:rPr>
                <w:rFonts w:ascii="Arial Narrow" w:eastAsia="Calibri" w:hAnsi="Arial Narrow"/>
                <w:sz w:val="20"/>
                <w:szCs w:val="20"/>
              </w:rPr>
            </w:pPr>
            <w:r w:rsidRPr="00243C12">
              <w:rPr>
                <w:rFonts w:ascii="Arial Narrow" w:eastAsia="Calibri" w:hAnsi="Arial Narrow"/>
                <w:sz w:val="20"/>
                <w:szCs w:val="20"/>
              </w:rPr>
              <w:t>1</w:t>
            </w:r>
          </w:p>
        </w:tc>
        <w:tc>
          <w:tcPr>
            <w:tcW w:w="557" w:type="pct"/>
            <w:tcBorders>
              <w:top w:val="single" w:sz="4" w:space="0" w:color="auto"/>
              <w:left w:val="single" w:sz="4" w:space="0" w:color="auto"/>
              <w:right w:val="single" w:sz="4" w:space="0" w:color="auto"/>
            </w:tcBorders>
            <w:shd w:val="clear" w:color="auto" w:fill="auto"/>
            <w:vAlign w:val="center"/>
          </w:tcPr>
          <w:p w14:paraId="55B17FBE" w14:textId="77777777" w:rsidR="00243C12" w:rsidRPr="00243C12" w:rsidRDefault="00243C12" w:rsidP="00974DAA">
            <w:pPr>
              <w:keepNext/>
              <w:spacing w:line="360" w:lineRule="auto"/>
              <w:ind w:left="4" w:right="57"/>
              <w:jc w:val="center"/>
              <w:rPr>
                <w:rFonts w:ascii="Arial Narrow" w:eastAsia="Calibri" w:hAnsi="Arial Narrow"/>
                <w:sz w:val="20"/>
                <w:szCs w:val="20"/>
              </w:rPr>
            </w:pPr>
            <w:r w:rsidRPr="00243C12">
              <w:rPr>
                <w:rFonts w:ascii="Arial Narrow" w:eastAsia="Calibri" w:hAnsi="Arial Narrow"/>
                <w:sz w:val="20"/>
                <w:szCs w:val="20"/>
              </w:rPr>
              <w:t>0</w:t>
            </w:r>
          </w:p>
        </w:tc>
        <w:tc>
          <w:tcPr>
            <w:tcW w:w="873" w:type="pct"/>
            <w:tcBorders>
              <w:top w:val="single" w:sz="4" w:space="0" w:color="auto"/>
              <w:left w:val="single" w:sz="4" w:space="0" w:color="auto"/>
              <w:right w:val="single" w:sz="4" w:space="0" w:color="auto"/>
            </w:tcBorders>
            <w:shd w:val="clear" w:color="auto" w:fill="auto"/>
            <w:vAlign w:val="center"/>
          </w:tcPr>
          <w:p w14:paraId="157E6F6C" w14:textId="72860EFE" w:rsidR="00243C12" w:rsidRPr="00243C12" w:rsidRDefault="00243C12" w:rsidP="00974DAA">
            <w:pPr>
              <w:keepNext/>
              <w:ind w:right="57" w:firstLine="25"/>
              <w:jc w:val="center"/>
              <w:rPr>
                <w:rFonts w:ascii="Arial Narrow" w:eastAsia="Calibri" w:hAnsi="Arial Narrow"/>
                <w:sz w:val="20"/>
                <w:szCs w:val="20"/>
              </w:rPr>
            </w:pPr>
            <w:r w:rsidRPr="00243C12">
              <w:rPr>
                <w:rFonts w:ascii="Arial Narrow" w:eastAsia="Calibri" w:hAnsi="Arial Narrow"/>
                <w:sz w:val="20"/>
                <w:szCs w:val="20"/>
              </w:rPr>
              <w:t>Empaveli</w:t>
            </w:r>
          </w:p>
        </w:tc>
      </w:tr>
    </w:tbl>
    <w:tbl>
      <w:tblPr>
        <w:tblStyle w:val="TableGridLight1"/>
        <w:tblW w:w="8926"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655"/>
      </w:tblGrid>
      <w:tr w:rsidR="00243C12" w:rsidRPr="00243C12" w14:paraId="733E3F7A" w14:textId="77777777" w:rsidTr="000835B5">
        <w:tc>
          <w:tcPr>
            <w:tcW w:w="8926" w:type="dxa"/>
            <w:gridSpan w:val="2"/>
            <w:vAlign w:val="center"/>
          </w:tcPr>
          <w:p w14:paraId="485EADCC" w14:textId="77777777" w:rsidR="00243C12" w:rsidRPr="00243C12" w:rsidRDefault="00243C12" w:rsidP="000835B5">
            <w:pPr>
              <w:rPr>
                <w:rFonts w:ascii="Arial Narrow" w:hAnsi="Arial Narrow"/>
                <w:b/>
                <w:bCs/>
                <w:sz w:val="20"/>
                <w:szCs w:val="20"/>
              </w:rPr>
            </w:pPr>
            <w:r w:rsidRPr="00243C12">
              <w:rPr>
                <w:rFonts w:ascii="Arial Narrow" w:hAnsi="Arial Narrow"/>
                <w:b/>
                <w:bCs/>
                <w:sz w:val="20"/>
                <w:szCs w:val="20"/>
              </w:rPr>
              <w:t>Edit of Restriction Summary 13659 / ToC: 13710: Authority Required</w:t>
            </w:r>
          </w:p>
        </w:tc>
      </w:tr>
      <w:tr w:rsidR="00243C12" w:rsidRPr="00243C12" w14:paraId="03CB6D6B" w14:textId="77777777" w:rsidTr="000835B5">
        <w:tc>
          <w:tcPr>
            <w:tcW w:w="1271" w:type="dxa"/>
            <w:tcBorders>
              <w:bottom w:val="single" w:sz="4" w:space="0" w:color="auto"/>
            </w:tcBorders>
            <w:vAlign w:val="center"/>
          </w:tcPr>
          <w:p w14:paraId="36161964" w14:textId="77777777" w:rsidR="00243C12" w:rsidRPr="00243C12" w:rsidRDefault="00243C12" w:rsidP="000835B5">
            <w:pPr>
              <w:ind w:left="720" w:hanging="720"/>
              <w:jc w:val="center"/>
              <w:rPr>
                <w:rFonts w:ascii="Arial Narrow" w:hAnsi="Arial Narrow"/>
                <w:sz w:val="20"/>
                <w:szCs w:val="20"/>
              </w:rPr>
            </w:pPr>
          </w:p>
        </w:tc>
        <w:tc>
          <w:tcPr>
            <w:tcW w:w="7655" w:type="dxa"/>
            <w:tcBorders>
              <w:bottom w:val="single" w:sz="4" w:space="0" w:color="auto"/>
            </w:tcBorders>
            <w:vAlign w:val="center"/>
          </w:tcPr>
          <w:p w14:paraId="08D8E4BA" w14:textId="77777777" w:rsidR="00243C12" w:rsidRPr="00243C12" w:rsidRDefault="00243C12" w:rsidP="000835B5">
            <w:pPr>
              <w:ind w:left="-57"/>
              <w:rPr>
                <w:rFonts w:ascii="Arial Narrow" w:hAnsi="Arial Narrow"/>
                <w:b/>
                <w:bCs/>
                <w:sz w:val="20"/>
                <w:szCs w:val="20"/>
              </w:rPr>
            </w:pPr>
          </w:p>
        </w:tc>
      </w:tr>
      <w:tr w:rsidR="00243C12" w:rsidRPr="00243C12" w14:paraId="4AC0C5DC" w14:textId="77777777" w:rsidTr="00CD1203">
        <w:tc>
          <w:tcPr>
            <w:tcW w:w="1271" w:type="dxa"/>
            <w:tcBorders>
              <w:top w:val="single" w:sz="4" w:space="0" w:color="auto"/>
              <w:left w:val="single" w:sz="4" w:space="0" w:color="auto"/>
              <w:bottom w:val="single" w:sz="4" w:space="0" w:color="auto"/>
              <w:right w:val="single" w:sz="4" w:space="0" w:color="auto"/>
            </w:tcBorders>
          </w:tcPr>
          <w:p w14:paraId="2E315E0A" w14:textId="164A5994" w:rsidR="00243C12" w:rsidRPr="00243C12" w:rsidRDefault="00243C12" w:rsidP="000835B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hideMark/>
          </w:tcPr>
          <w:p w14:paraId="36F17A01" w14:textId="77777777" w:rsidR="00243C12" w:rsidRPr="00243C12" w:rsidRDefault="00243C12" w:rsidP="000835B5">
            <w:pPr>
              <w:textAlignment w:val="baseline"/>
              <w:rPr>
                <w:rFonts w:ascii="Arial Narrow" w:hAnsi="Arial Narrow" w:cs="Open Sans"/>
                <w:color w:val="333333"/>
                <w:sz w:val="20"/>
                <w:szCs w:val="20"/>
              </w:rPr>
            </w:pPr>
            <w:r w:rsidRPr="00243C12">
              <w:rPr>
                <w:rFonts w:ascii="Arial Narrow" w:hAnsi="Arial Narrow" w:cs="Open Sans"/>
                <w:b/>
                <w:bCs/>
                <w:color w:val="333333"/>
                <w:sz w:val="20"/>
                <w:szCs w:val="20"/>
                <w:bdr w:val="none" w:sz="0" w:space="0" w:color="auto" w:frame="1"/>
              </w:rPr>
              <w:t>Indication:</w:t>
            </w:r>
          </w:p>
          <w:p w14:paraId="68E24011" w14:textId="77777777" w:rsidR="00243C12" w:rsidRPr="00243C12" w:rsidRDefault="00243C12" w:rsidP="000835B5">
            <w:pPr>
              <w:textAlignment w:val="baseline"/>
              <w:rPr>
                <w:rFonts w:ascii="Arial Narrow" w:hAnsi="Arial Narrow" w:cs="Open Sans"/>
                <w:color w:val="333333"/>
                <w:sz w:val="20"/>
                <w:szCs w:val="20"/>
              </w:rPr>
            </w:pPr>
            <w:r w:rsidRPr="00243C12">
              <w:rPr>
                <w:rFonts w:ascii="Arial Narrow" w:hAnsi="Arial Narrow" w:cs="Open Sans"/>
                <w:color w:val="333333"/>
                <w:sz w:val="20"/>
                <w:szCs w:val="20"/>
              </w:rPr>
              <w:t>Paroxysmal nocturnal haemoglobinuria (PNH)</w:t>
            </w:r>
          </w:p>
        </w:tc>
      </w:tr>
      <w:tr w:rsidR="00243C12" w:rsidRPr="00243C12" w14:paraId="4CA0BFDB" w14:textId="77777777" w:rsidTr="000835B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60736229" w14:textId="77777777" w:rsidR="00243C12" w:rsidRPr="00243C12" w:rsidRDefault="00243C12" w:rsidP="000835B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4589A58C" w14:textId="77777777" w:rsidR="00243C12" w:rsidRPr="00243C12" w:rsidRDefault="00243C12" w:rsidP="000835B5">
            <w:pPr>
              <w:textAlignment w:val="baseline"/>
              <w:rPr>
                <w:rFonts w:ascii="Arial Narrow" w:hAnsi="Arial Narrow" w:cs="Open Sans"/>
                <w:b/>
                <w:bCs/>
                <w:color w:val="333333"/>
                <w:sz w:val="20"/>
                <w:szCs w:val="20"/>
                <w:bdr w:val="none" w:sz="0" w:space="0" w:color="auto" w:frame="1"/>
              </w:rPr>
            </w:pPr>
          </w:p>
        </w:tc>
      </w:tr>
      <w:tr w:rsidR="00243C12" w:rsidRPr="00243C12" w14:paraId="450D8048" w14:textId="77777777" w:rsidTr="00CD1203">
        <w:tc>
          <w:tcPr>
            <w:tcW w:w="1271" w:type="dxa"/>
            <w:tcBorders>
              <w:top w:val="single" w:sz="4" w:space="0" w:color="auto"/>
              <w:left w:val="single" w:sz="4" w:space="0" w:color="auto"/>
              <w:bottom w:val="single" w:sz="4" w:space="0" w:color="auto"/>
              <w:right w:val="single" w:sz="4" w:space="0" w:color="auto"/>
            </w:tcBorders>
          </w:tcPr>
          <w:p w14:paraId="4DECFFC9" w14:textId="77777777" w:rsidR="00243C12" w:rsidRPr="00243C12" w:rsidRDefault="00243C12" w:rsidP="000835B5">
            <w:pPr>
              <w:jc w:val="center"/>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hideMark/>
          </w:tcPr>
          <w:p w14:paraId="181DA9F3" w14:textId="77777777" w:rsidR="00243C12" w:rsidRPr="00243C12" w:rsidRDefault="00243C12" w:rsidP="000835B5">
            <w:pPr>
              <w:textAlignment w:val="baseline"/>
              <w:rPr>
                <w:rFonts w:ascii="Arial Narrow" w:hAnsi="Arial Narrow" w:cs="Open Sans"/>
                <w:color w:val="333333"/>
                <w:sz w:val="20"/>
                <w:szCs w:val="20"/>
              </w:rPr>
            </w:pPr>
            <w:r w:rsidRPr="00243C12">
              <w:rPr>
                <w:rFonts w:ascii="Arial Narrow" w:hAnsi="Arial Narrow" w:cs="Open Sans"/>
                <w:b/>
                <w:bCs/>
                <w:color w:val="333333"/>
                <w:sz w:val="20"/>
                <w:szCs w:val="20"/>
                <w:bdr w:val="none" w:sz="0" w:space="0" w:color="auto" w:frame="1"/>
              </w:rPr>
              <w:t xml:space="preserve">Treatment Phase: </w:t>
            </w:r>
            <w:r w:rsidRPr="00243C12">
              <w:rPr>
                <w:rFonts w:ascii="Arial Narrow" w:hAnsi="Arial Narrow" w:cs="Open Sans"/>
                <w:color w:val="333333"/>
                <w:sz w:val="20"/>
                <w:szCs w:val="20"/>
                <w:bdr w:val="none" w:sz="0" w:space="0" w:color="auto" w:frame="1"/>
              </w:rPr>
              <w:t xml:space="preserve">Return from PBS-subsidised eculizumab post pregnancy or from </w:t>
            </w:r>
            <w:r w:rsidRPr="00243C12">
              <w:rPr>
                <w:rFonts w:ascii="Arial Narrow" w:hAnsi="Arial Narrow"/>
                <w:i/>
                <w:iCs/>
                <w:color w:val="333333"/>
                <w:sz w:val="20"/>
                <w:szCs w:val="20"/>
                <w:bdr w:val="none" w:sz="0" w:space="0" w:color="auto" w:frame="1"/>
              </w:rPr>
              <w:t xml:space="preserve">one of the </w:t>
            </w:r>
            <w:r w:rsidRPr="00243C12">
              <w:rPr>
                <w:rFonts w:ascii="Arial Narrow" w:hAnsi="Arial Narrow"/>
                <w:color w:val="333333"/>
                <w:sz w:val="20"/>
                <w:szCs w:val="20"/>
                <w:bdr w:val="none" w:sz="0" w:space="0" w:color="auto" w:frame="1"/>
              </w:rPr>
              <w:t xml:space="preserve">PBS-subsidised </w:t>
            </w:r>
            <w:r w:rsidRPr="00243C12">
              <w:rPr>
                <w:rFonts w:ascii="Arial Narrow" w:hAnsi="Arial Narrow"/>
                <w:strike/>
                <w:color w:val="333333"/>
                <w:sz w:val="20"/>
                <w:szCs w:val="20"/>
                <w:bdr w:val="none" w:sz="0" w:space="0" w:color="auto" w:frame="1"/>
              </w:rPr>
              <w:t>Complement 5 (C5) inhibitor</w:t>
            </w:r>
            <w:r w:rsidRPr="00243C12">
              <w:rPr>
                <w:rFonts w:ascii="Arial Narrow" w:hAnsi="Arial Narrow"/>
                <w:color w:val="333333"/>
                <w:sz w:val="20"/>
                <w:szCs w:val="20"/>
                <w:bdr w:val="none" w:sz="0" w:space="0" w:color="auto" w:frame="1"/>
              </w:rPr>
              <w:t xml:space="preserve"> </w:t>
            </w:r>
            <w:r w:rsidRPr="00243C12">
              <w:rPr>
                <w:rFonts w:ascii="Arial Narrow" w:hAnsi="Arial Narrow"/>
                <w:i/>
                <w:iCs/>
                <w:color w:val="333333"/>
                <w:sz w:val="20"/>
                <w:szCs w:val="20"/>
                <w:bdr w:val="none" w:sz="0" w:space="0" w:color="auto" w:frame="1"/>
              </w:rPr>
              <w:t>therapies for this condition</w:t>
            </w:r>
            <w:r w:rsidRPr="00243C12">
              <w:rPr>
                <w:rFonts w:ascii="Arial Narrow" w:hAnsi="Arial Narrow" w:cs="Open Sans"/>
                <w:color w:val="333333"/>
                <w:sz w:val="20"/>
                <w:szCs w:val="20"/>
                <w:bdr w:val="none" w:sz="0" w:space="0" w:color="auto" w:frame="1"/>
              </w:rPr>
              <w:t>, for reasons other than post pregnancy</w:t>
            </w:r>
          </w:p>
        </w:tc>
      </w:tr>
      <w:tr w:rsidR="00243C12" w:rsidRPr="00243C12" w14:paraId="21D43AAE" w14:textId="77777777" w:rsidTr="000835B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31FF1C0E" w14:textId="77777777" w:rsidR="00243C12" w:rsidRPr="00243C12" w:rsidRDefault="00243C12" w:rsidP="000835B5">
            <w:pPr>
              <w:jc w:val="center"/>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22E40D05" w14:textId="77777777" w:rsidR="00243C12" w:rsidRPr="00243C12" w:rsidRDefault="00243C12" w:rsidP="000835B5">
            <w:pPr>
              <w:textAlignment w:val="baseline"/>
              <w:rPr>
                <w:rFonts w:ascii="Arial Narrow" w:hAnsi="Arial Narrow" w:cs="Open Sans"/>
                <w:b/>
                <w:bCs/>
                <w:color w:val="333333"/>
                <w:sz w:val="20"/>
                <w:szCs w:val="20"/>
                <w:bdr w:val="none" w:sz="0" w:space="0" w:color="auto" w:frame="1"/>
              </w:rPr>
            </w:pPr>
          </w:p>
        </w:tc>
      </w:tr>
      <w:tr w:rsidR="00243C12" w:rsidRPr="00243C12" w14:paraId="40F9D7FF" w14:textId="77777777" w:rsidTr="000835B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65DBF216" w14:textId="3D5B40BB" w:rsidR="00243C12" w:rsidRPr="00243C12" w:rsidRDefault="00243C12" w:rsidP="000835B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41E31DC5" w14:textId="77777777" w:rsidR="00243C12" w:rsidRPr="00243C12" w:rsidRDefault="00243C12" w:rsidP="000835B5">
            <w:pPr>
              <w:textAlignment w:val="baseline"/>
              <w:rPr>
                <w:rFonts w:ascii="Arial Narrow" w:hAnsi="Arial Narrow" w:cs="Open Sans"/>
                <w:color w:val="333333"/>
                <w:sz w:val="20"/>
                <w:szCs w:val="20"/>
              </w:rPr>
            </w:pPr>
            <w:r w:rsidRPr="00243C12">
              <w:rPr>
                <w:rFonts w:ascii="Arial Narrow" w:hAnsi="Arial Narrow" w:cs="Open Sans"/>
                <w:b/>
                <w:bCs/>
                <w:color w:val="333333"/>
                <w:sz w:val="20"/>
                <w:szCs w:val="20"/>
                <w:bdr w:val="none" w:sz="0" w:space="0" w:color="auto" w:frame="1"/>
              </w:rPr>
              <w:t>Clinical criteria:</w:t>
            </w:r>
          </w:p>
        </w:tc>
      </w:tr>
      <w:tr w:rsidR="00243C12" w:rsidRPr="00243C12" w14:paraId="740F6939" w14:textId="77777777" w:rsidTr="00CD1203">
        <w:tc>
          <w:tcPr>
            <w:tcW w:w="1271" w:type="dxa"/>
            <w:tcBorders>
              <w:top w:val="single" w:sz="4" w:space="0" w:color="auto"/>
              <w:left w:val="single" w:sz="4" w:space="0" w:color="auto"/>
              <w:bottom w:val="single" w:sz="4" w:space="0" w:color="auto"/>
              <w:right w:val="single" w:sz="4" w:space="0" w:color="auto"/>
            </w:tcBorders>
          </w:tcPr>
          <w:p w14:paraId="4BE02BC6" w14:textId="70CF2816" w:rsidR="00243C12" w:rsidRPr="00243C12" w:rsidRDefault="00243C12" w:rsidP="000835B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hideMark/>
          </w:tcPr>
          <w:p w14:paraId="71FC3879" w14:textId="77777777" w:rsidR="00243C12" w:rsidRPr="00243C12" w:rsidRDefault="00243C12" w:rsidP="000835B5">
            <w:pPr>
              <w:rPr>
                <w:rFonts w:ascii="Arial Narrow" w:hAnsi="Arial Narrow" w:cs="Open Sans"/>
                <w:color w:val="333333"/>
                <w:sz w:val="20"/>
                <w:szCs w:val="20"/>
              </w:rPr>
            </w:pPr>
            <w:r w:rsidRPr="00243C12">
              <w:rPr>
                <w:rFonts w:ascii="Arial Narrow" w:hAnsi="Arial Narrow" w:cs="Open Sans"/>
                <w:color w:val="333333"/>
                <w:sz w:val="20"/>
                <w:szCs w:val="20"/>
              </w:rPr>
              <w:t>Patient must have received prior PBS-subsidised treatment with this drug for this condition</w:t>
            </w:r>
          </w:p>
        </w:tc>
      </w:tr>
      <w:tr w:rsidR="00243C12" w:rsidRPr="00243C12" w14:paraId="52A02256" w14:textId="77777777" w:rsidTr="000835B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0E44A5DF" w14:textId="77777777" w:rsidR="00243C12" w:rsidRPr="00243C12" w:rsidRDefault="00243C12" w:rsidP="000835B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7A9C20B8" w14:textId="77777777" w:rsidR="00243C12" w:rsidRPr="00243C12" w:rsidRDefault="00243C12" w:rsidP="000835B5">
            <w:pPr>
              <w:rPr>
                <w:rFonts w:ascii="Arial Narrow" w:hAnsi="Arial Narrow" w:cs="Open Sans"/>
                <w:color w:val="333333"/>
                <w:sz w:val="20"/>
                <w:szCs w:val="20"/>
              </w:rPr>
            </w:pPr>
            <w:r w:rsidRPr="00243C12">
              <w:rPr>
                <w:rFonts w:ascii="Arial Narrow" w:hAnsi="Arial Narrow" w:cs="Open Sans"/>
                <w:b/>
                <w:bCs/>
                <w:color w:val="333333"/>
                <w:sz w:val="20"/>
                <w:szCs w:val="20"/>
                <w:bdr w:val="none" w:sz="0" w:space="0" w:color="auto" w:frame="1"/>
              </w:rPr>
              <w:t>AND</w:t>
            </w:r>
          </w:p>
        </w:tc>
      </w:tr>
      <w:tr w:rsidR="00243C12" w:rsidRPr="00243C12" w14:paraId="5E99BD9E" w14:textId="77777777" w:rsidTr="000835B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645221DE" w14:textId="5641D23F" w:rsidR="00243C12" w:rsidRPr="00243C12" w:rsidRDefault="00243C12" w:rsidP="000835B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3DEA3FAE" w14:textId="77777777" w:rsidR="00243C12" w:rsidRPr="00243C12" w:rsidRDefault="00243C12" w:rsidP="000835B5">
            <w:pPr>
              <w:rPr>
                <w:rFonts w:ascii="Arial Narrow" w:hAnsi="Arial Narrow" w:cs="Open Sans"/>
                <w:color w:val="333333"/>
                <w:sz w:val="20"/>
                <w:szCs w:val="20"/>
              </w:rPr>
            </w:pPr>
            <w:r w:rsidRPr="00243C12">
              <w:rPr>
                <w:rFonts w:ascii="Arial Narrow" w:hAnsi="Arial Narrow" w:cs="Open Sans"/>
                <w:b/>
                <w:bCs/>
                <w:color w:val="333333"/>
                <w:sz w:val="20"/>
                <w:szCs w:val="20"/>
                <w:bdr w:val="none" w:sz="0" w:space="0" w:color="auto" w:frame="1"/>
              </w:rPr>
              <w:t>Clinical criteria:</w:t>
            </w:r>
          </w:p>
        </w:tc>
      </w:tr>
      <w:tr w:rsidR="00243C12" w:rsidRPr="00243C12" w14:paraId="451A61F9" w14:textId="77777777" w:rsidTr="000835B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4B0C3435" w14:textId="362B9746" w:rsidR="00243C12" w:rsidRPr="00243C12" w:rsidRDefault="00243C12" w:rsidP="000835B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2E3BBEFB" w14:textId="77777777" w:rsidR="00243C12" w:rsidRPr="00243C12" w:rsidRDefault="00243C12" w:rsidP="000835B5">
            <w:pPr>
              <w:rPr>
                <w:rFonts w:ascii="Arial Narrow" w:hAnsi="Arial Narrow" w:cs="Open Sans"/>
                <w:color w:val="333333"/>
                <w:sz w:val="20"/>
                <w:szCs w:val="20"/>
              </w:rPr>
            </w:pPr>
            <w:r w:rsidRPr="00243C12">
              <w:rPr>
                <w:rFonts w:ascii="Arial Narrow" w:hAnsi="Arial Narrow" w:cs="Open Sans"/>
                <w:color w:val="333333"/>
                <w:sz w:val="20"/>
                <w:szCs w:val="20"/>
              </w:rPr>
              <w:t>Patient must have received prior PBS-subsidised treatment with eculizumab through the Initial treatment - Initial 3 (switching from PBS-subsidised pegcetacoplan for pregnancy (induction doses) criteria; or</w:t>
            </w:r>
          </w:p>
        </w:tc>
      </w:tr>
      <w:tr w:rsidR="00243C12" w:rsidRPr="00243C12" w14:paraId="0EB34386" w14:textId="77777777" w:rsidTr="000835B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202D6F8A" w14:textId="415730D8" w:rsidR="00243C12" w:rsidRPr="00243C12" w:rsidRDefault="00243C12" w:rsidP="000835B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A1CD20F" w14:textId="77777777" w:rsidR="00243C12" w:rsidRPr="00243C12" w:rsidRDefault="00243C12" w:rsidP="000835B5">
            <w:pPr>
              <w:rPr>
                <w:rFonts w:ascii="Arial Narrow" w:hAnsi="Arial Narrow" w:cs="Open Sans"/>
                <w:color w:val="333333"/>
                <w:sz w:val="20"/>
                <w:szCs w:val="20"/>
              </w:rPr>
            </w:pPr>
            <w:r w:rsidRPr="00243C12">
              <w:rPr>
                <w:rFonts w:ascii="Arial Narrow" w:hAnsi="Arial Narrow" w:cs="Open Sans"/>
                <w:color w:val="333333"/>
                <w:sz w:val="20"/>
                <w:szCs w:val="20"/>
              </w:rPr>
              <w:t xml:space="preserve">Patient must have received prior PBS-subsidised treatment with at least one </w:t>
            </w:r>
            <w:r w:rsidRPr="00243C12">
              <w:rPr>
                <w:rFonts w:ascii="Arial Narrow" w:hAnsi="Arial Narrow" w:cs="Open Sans"/>
                <w:strike/>
                <w:color w:val="333333"/>
                <w:sz w:val="20"/>
                <w:szCs w:val="20"/>
              </w:rPr>
              <w:t>C5 inhibitor</w:t>
            </w:r>
            <w:r w:rsidRPr="00243C12">
              <w:rPr>
                <w:rFonts w:ascii="Arial Narrow" w:hAnsi="Arial Narrow" w:cs="Open Sans"/>
                <w:color w:val="333333"/>
                <w:sz w:val="20"/>
                <w:szCs w:val="20"/>
              </w:rPr>
              <w:t xml:space="preserve"> </w:t>
            </w:r>
            <w:r w:rsidRPr="00243C12">
              <w:rPr>
                <w:rFonts w:ascii="Arial Narrow" w:hAnsi="Arial Narrow" w:cs="Open Sans"/>
                <w:i/>
                <w:iCs/>
                <w:color w:val="333333"/>
                <w:sz w:val="20"/>
                <w:szCs w:val="20"/>
              </w:rPr>
              <w:t>drug listed for this condition</w:t>
            </w:r>
            <w:r w:rsidRPr="00243C12">
              <w:rPr>
                <w:rFonts w:ascii="Arial Narrow" w:hAnsi="Arial Narrow" w:cs="Open Sans"/>
                <w:color w:val="333333"/>
                <w:sz w:val="20"/>
                <w:szCs w:val="20"/>
              </w:rPr>
              <w:t xml:space="preserve"> and returning to pegcetacoplan treatment for reasons other than post pregnancy</w:t>
            </w:r>
          </w:p>
        </w:tc>
      </w:tr>
      <w:tr w:rsidR="00243C12" w:rsidRPr="00243C12" w14:paraId="1CD92613" w14:textId="77777777" w:rsidTr="000835B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0E321664" w14:textId="77777777" w:rsidR="00243C12" w:rsidRPr="00243C12" w:rsidRDefault="00243C12" w:rsidP="000835B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3291C256" w14:textId="77777777" w:rsidR="00243C12" w:rsidRPr="00243C12" w:rsidRDefault="00243C12" w:rsidP="000835B5">
            <w:pPr>
              <w:rPr>
                <w:rFonts w:ascii="Arial Narrow" w:hAnsi="Arial Narrow" w:cs="Open Sans"/>
                <w:color w:val="333333"/>
                <w:sz w:val="20"/>
                <w:szCs w:val="20"/>
              </w:rPr>
            </w:pPr>
            <w:r w:rsidRPr="00243C12">
              <w:rPr>
                <w:rFonts w:ascii="Arial Narrow" w:hAnsi="Arial Narrow" w:cs="Open Sans"/>
                <w:b/>
                <w:bCs/>
                <w:color w:val="333333"/>
                <w:sz w:val="20"/>
                <w:szCs w:val="20"/>
                <w:bdr w:val="none" w:sz="0" w:space="0" w:color="auto" w:frame="1"/>
              </w:rPr>
              <w:t>AND</w:t>
            </w:r>
          </w:p>
        </w:tc>
      </w:tr>
      <w:tr w:rsidR="00243C12" w:rsidRPr="00243C12" w14:paraId="0F1798FC" w14:textId="77777777" w:rsidTr="000835B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51966FA8" w14:textId="48F9B532" w:rsidR="00243C12" w:rsidRPr="00243C12" w:rsidRDefault="00243C12" w:rsidP="000835B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1346682F" w14:textId="77777777" w:rsidR="00243C12" w:rsidRPr="00243C12" w:rsidRDefault="00243C12" w:rsidP="000835B5">
            <w:pPr>
              <w:rPr>
                <w:rFonts w:ascii="Arial Narrow" w:hAnsi="Arial Narrow" w:cs="Open Sans"/>
                <w:color w:val="333333"/>
                <w:sz w:val="20"/>
                <w:szCs w:val="20"/>
              </w:rPr>
            </w:pPr>
            <w:r w:rsidRPr="00243C12">
              <w:rPr>
                <w:rFonts w:ascii="Arial Narrow" w:hAnsi="Arial Narrow" w:cs="Open Sans"/>
                <w:b/>
                <w:bCs/>
                <w:color w:val="333333"/>
                <w:sz w:val="20"/>
                <w:szCs w:val="20"/>
                <w:bdr w:val="none" w:sz="0" w:space="0" w:color="auto" w:frame="1"/>
              </w:rPr>
              <w:t>Clinical criteria:</w:t>
            </w:r>
          </w:p>
        </w:tc>
      </w:tr>
      <w:tr w:rsidR="00243C12" w:rsidRPr="00243C12" w14:paraId="304D163C" w14:textId="77777777" w:rsidTr="000835B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1754C115" w14:textId="2EA91A21" w:rsidR="00243C12" w:rsidRPr="00243C12" w:rsidRDefault="00243C12" w:rsidP="000835B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29800BB0" w14:textId="77777777" w:rsidR="00243C12" w:rsidRPr="00243C12" w:rsidRDefault="00243C12" w:rsidP="000835B5">
            <w:pPr>
              <w:rPr>
                <w:rFonts w:ascii="Arial Narrow" w:hAnsi="Arial Narrow" w:cs="Open Sans"/>
                <w:color w:val="333333"/>
                <w:sz w:val="20"/>
                <w:szCs w:val="20"/>
              </w:rPr>
            </w:pPr>
            <w:r w:rsidRPr="00243C12">
              <w:rPr>
                <w:rFonts w:ascii="Arial Narrow" w:hAnsi="Arial Narrow" w:cs="Open Sans"/>
                <w:color w:val="333333"/>
                <w:sz w:val="20"/>
                <w:szCs w:val="20"/>
              </w:rPr>
              <w:t>Patient must have experienced clinical improvement as a result of treatment with this drug; or</w:t>
            </w:r>
          </w:p>
        </w:tc>
      </w:tr>
      <w:tr w:rsidR="00243C12" w:rsidRPr="00243C12" w14:paraId="4BA36203" w14:textId="77777777" w:rsidTr="000835B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185AD796" w14:textId="285C2B19" w:rsidR="00243C12" w:rsidRPr="00243C12" w:rsidRDefault="00243C12" w:rsidP="000835B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700D5C86" w14:textId="77777777" w:rsidR="00243C12" w:rsidRPr="00243C12" w:rsidRDefault="00243C12" w:rsidP="000835B5">
            <w:pPr>
              <w:rPr>
                <w:rFonts w:ascii="Arial Narrow" w:hAnsi="Arial Narrow" w:cs="Open Sans"/>
                <w:color w:val="333333"/>
                <w:sz w:val="20"/>
                <w:szCs w:val="20"/>
              </w:rPr>
            </w:pPr>
            <w:r w:rsidRPr="00243C12">
              <w:rPr>
                <w:rFonts w:ascii="Arial Narrow" w:hAnsi="Arial Narrow" w:cs="Open Sans"/>
                <w:color w:val="333333"/>
                <w:sz w:val="20"/>
                <w:szCs w:val="20"/>
              </w:rPr>
              <w:t>Patient must have experienced a stabilisation of the condition as a result of treatment with this drug</w:t>
            </w:r>
          </w:p>
        </w:tc>
      </w:tr>
      <w:tr w:rsidR="00243C12" w:rsidRPr="00243C12" w14:paraId="7ECAA65D" w14:textId="77777777" w:rsidTr="00CD1203">
        <w:tc>
          <w:tcPr>
            <w:tcW w:w="1271" w:type="dxa"/>
            <w:tcBorders>
              <w:top w:val="single" w:sz="4" w:space="0" w:color="auto"/>
              <w:left w:val="single" w:sz="4" w:space="0" w:color="auto"/>
              <w:bottom w:val="single" w:sz="4" w:space="0" w:color="auto"/>
              <w:right w:val="single" w:sz="4" w:space="0" w:color="auto"/>
            </w:tcBorders>
          </w:tcPr>
          <w:p w14:paraId="55F3E521" w14:textId="77777777" w:rsidR="00243C12" w:rsidRPr="00243C12" w:rsidRDefault="00243C12" w:rsidP="000835B5">
            <w:pPr>
              <w:jc w:val="center"/>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hideMark/>
          </w:tcPr>
          <w:p w14:paraId="08AA0D3E" w14:textId="77777777" w:rsidR="00243C12" w:rsidRPr="00243C12" w:rsidRDefault="00243C12" w:rsidP="000835B5">
            <w:pPr>
              <w:rPr>
                <w:rFonts w:ascii="Arial Narrow" w:hAnsi="Arial Narrow" w:cs="Open Sans"/>
                <w:color w:val="333333"/>
                <w:sz w:val="20"/>
                <w:szCs w:val="20"/>
              </w:rPr>
            </w:pPr>
            <w:r w:rsidRPr="00243C12">
              <w:rPr>
                <w:rFonts w:ascii="Arial Narrow" w:hAnsi="Arial Narrow" w:cs="Open Sans"/>
                <w:b/>
                <w:bCs/>
                <w:color w:val="333333"/>
                <w:sz w:val="20"/>
                <w:szCs w:val="20"/>
                <w:bdr w:val="none" w:sz="0" w:space="0" w:color="auto" w:frame="1"/>
              </w:rPr>
              <w:t>AND</w:t>
            </w:r>
          </w:p>
        </w:tc>
      </w:tr>
      <w:tr w:rsidR="00243C12" w:rsidRPr="00243C12" w14:paraId="27ED4196" w14:textId="77777777" w:rsidTr="00CD1203">
        <w:tc>
          <w:tcPr>
            <w:tcW w:w="1271" w:type="dxa"/>
            <w:tcBorders>
              <w:top w:val="single" w:sz="4" w:space="0" w:color="auto"/>
              <w:left w:val="single" w:sz="4" w:space="0" w:color="auto"/>
              <w:bottom w:val="single" w:sz="4" w:space="0" w:color="auto"/>
              <w:right w:val="single" w:sz="4" w:space="0" w:color="auto"/>
            </w:tcBorders>
          </w:tcPr>
          <w:p w14:paraId="3F5D2962" w14:textId="72EE2004" w:rsidR="00243C12" w:rsidRPr="00243C12" w:rsidRDefault="00243C12" w:rsidP="000835B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hideMark/>
          </w:tcPr>
          <w:p w14:paraId="74096825" w14:textId="77777777" w:rsidR="00243C12" w:rsidRPr="00243C12" w:rsidRDefault="00243C12" w:rsidP="000835B5">
            <w:pPr>
              <w:textAlignment w:val="baseline"/>
              <w:rPr>
                <w:rFonts w:ascii="Arial Narrow" w:hAnsi="Arial Narrow" w:cs="Open Sans"/>
                <w:color w:val="333333"/>
                <w:sz w:val="20"/>
                <w:szCs w:val="20"/>
              </w:rPr>
            </w:pPr>
            <w:r w:rsidRPr="00243C12">
              <w:rPr>
                <w:rFonts w:ascii="Arial Narrow" w:hAnsi="Arial Narrow" w:cs="Open Sans"/>
                <w:b/>
                <w:bCs/>
                <w:color w:val="333333"/>
                <w:sz w:val="20"/>
                <w:szCs w:val="20"/>
                <w:bdr w:val="none" w:sz="0" w:space="0" w:color="auto" w:frame="1"/>
              </w:rPr>
              <w:t>Clinical criteria:</w:t>
            </w:r>
          </w:p>
        </w:tc>
      </w:tr>
      <w:tr w:rsidR="00243C12" w:rsidRPr="00243C12" w14:paraId="75DD18BC" w14:textId="77777777" w:rsidTr="00CD1203">
        <w:tc>
          <w:tcPr>
            <w:tcW w:w="1271" w:type="dxa"/>
            <w:tcBorders>
              <w:top w:val="single" w:sz="4" w:space="0" w:color="auto"/>
              <w:left w:val="single" w:sz="4" w:space="0" w:color="auto"/>
              <w:bottom w:val="single" w:sz="4" w:space="0" w:color="auto"/>
              <w:right w:val="single" w:sz="4" w:space="0" w:color="auto"/>
            </w:tcBorders>
          </w:tcPr>
          <w:p w14:paraId="53F9F1EE" w14:textId="344F33AA" w:rsidR="00243C12" w:rsidRPr="00243C12" w:rsidRDefault="00243C12" w:rsidP="000835B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hideMark/>
          </w:tcPr>
          <w:p w14:paraId="36C31A84" w14:textId="77777777" w:rsidR="00243C12" w:rsidRPr="00243C12" w:rsidRDefault="00243C12" w:rsidP="000835B5">
            <w:pPr>
              <w:rPr>
                <w:rFonts w:ascii="Arial Narrow" w:hAnsi="Arial Narrow" w:cs="Open Sans"/>
                <w:color w:val="333333"/>
                <w:sz w:val="20"/>
                <w:szCs w:val="20"/>
              </w:rPr>
            </w:pPr>
            <w:r w:rsidRPr="00243C12">
              <w:rPr>
                <w:rFonts w:ascii="Arial Narrow" w:hAnsi="Arial Narrow" w:cs="Open Sans"/>
                <w:color w:val="333333"/>
                <w:sz w:val="20"/>
                <w:szCs w:val="20"/>
              </w:rPr>
              <w:t>The treatment must be in combination with one PBS-subsidised C5 inhibitor for a period of 4 weeks during initiation of therapy</w:t>
            </w:r>
          </w:p>
        </w:tc>
      </w:tr>
      <w:tr w:rsidR="00243C12" w:rsidRPr="00243C12" w14:paraId="08F2E3F4" w14:textId="77777777" w:rsidTr="000835B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3E0ADBE2" w14:textId="77777777" w:rsidR="00243C12" w:rsidRPr="00243C12" w:rsidRDefault="00243C12" w:rsidP="000835B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41A2430B" w14:textId="77777777" w:rsidR="00243C12" w:rsidRPr="00243C12" w:rsidRDefault="00243C12" w:rsidP="000835B5">
            <w:pPr>
              <w:rPr>
                <w:rFonts w:ascii="Arial Narrow" w:hAnsi="Arial Narrow" w:cs="Open Sans"/>
                <w:color w:val="333333"/>
                <w:sz w:val="20"/>
                <w:szCs w:val="20"/>
              </w:rPr>
            </w:pPr>
          </w:p>
        </w:tc>
      </w:tr>
      <w:tr w:rsidR="00243C12" w:rsidRPr="00243C12" w14:paraId="164F7144" w14:textId="77777777" w:rsidTr="00CD1203">
        <w:tc>
          <w:tcPr>
            <w:tcW w:w="1271" w:type="dxa"/>
            <w:tcBorders>
              <w:top w:val="single" w:sz="4" w:space="0" w:color="auto"/>
              <w:left w:val="single" w:sz="4" w:space="0" w:color="auto"/>
              <w:bottom w:val="single" w:sz="4" w:space="0" w:color="auto"/>
              <w:right w:val="single" w:sz="4" w:space="0" w:color="auto"/>
            </w:tcBorders>
          </w:tcPr>
          <w:p w14:paraId="691FAAC8" w14:textId="5D7DBE1F" w:rsidR="00243C12" w:rsidRPr="00243C12" w:rsidRDefault="00243C12" w:rsidP="000835B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hideMark/>
          </w:tcPr>
          <w:p w14:paraId="7EE79BC3" w14:textId="77777777" w:rsidR="00243C12" w:rsidRPr="00243C12" w:rsidRDefault="00243C12" w:rsidP="000835B5">
            <w:pPr>
              <w:textAlignment w:val="baseline"/>
              <w:rPr>
                <w:rFonts w:ascii="Arial Narrow" w:hAnsi="Arial Narrow" w:cs="Open Sans"/>
                <w:color w:val="333333"/>
                <w:sz w:val="20"/>
                <w:szCs w:val="20"/>
              </w:rPr>
            </w:pPr>
            <w:r w:rsidRPr="00243C12">
              <w:rPr>
                <w:rFonts w:ascii="Arial Narrow" w:hAnsi="Arial Narrow" w:cs="Open Sans"/>
                <w:b/>
                <w:bCs/>
                <w:color w:val="333333"/>
                <w:sz w:val="20"/>
                <w:szCs w:val="20"/>
                <w:bdr w:val="none" w:sz="0" w:space="0" w:color="auto" w:frame="1"/>
              </w:rPr>
              <w:t>Treatment criteria:</w:t>
            </w:r>
          </w:p>
        </w:tc>
      </w:tr>
      <w:tr w:rsidR="00243C12" w:rsidRPr="00243C12" w14:paraId="10BBA812" w14:textId="77777777" w:rsidTr="00CD1203">
        <w:tc>
          <w:tcPr>
            <w:tcW w:w="1271" w:type="dxa"/>
            <w:tcBorders>
              <w:top w:val="single" w:sz="4" w:space="0" w:color="auto"/>
              <w:left w:val="single" w:sz="4" w:space="0" w:color="auto"/>
              <w:bottom w:val="single" w:sz="4" w:space="0" w:color="auto"/>
              <w:right w:val="single" w:sz="4" w:space="0" w:color="auto"/>
            </w:tcBorders>
          </w:tcPr>
          <w:p w14:paraId="00B90710" w14:textId="3BF3A266" w:rsidR="00243C12" w:rsidRPr="00243C12" w:rsidRDefault="00243C12" w:rsidP="000835B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hideMark/>
          </w:tcPr>
          <w:p w14:paraId="55509D9E" w14:textId="77777777" w:rsidR="00243C12" w:rsidRPr="00243C12" w:rsidRDefault="00243C12" w:rsidP="000835B5">
            <w:pPr>
              <w:rPr>
                <w:rFonts w:ascii="Arial Narrow" w:hAnsi="Arial Narrow" w:cs="Open Sans"/>
                <w:color w:val="333333"/>
                <w:sz w:val="20"/>
                <w:szCs w:val="20"/>
              </w:rPr>
            </w:pPr>
            <w:r w:rsidRPr="00243C12">
              <w:rPr>
                <w:rFonts w:ascii="Arial Narrow" w:hAnsi="Arial Narrow" w:cs="Open Sans"/>
                <w:color w:val="333333"/>
                <w:sz w:val="20"/>
                <w:szCs w:val="20"/>
              </w:rPr>
              <w:t>Must be treated by a haematologist; or</w:t>
            </w:r>
          </w:p>
        </w:tc>
      </w:tr>
      <w:tr w:rsidR="00243C12" w:rsidRPr="00243C12" w14:paraId="71AE9E8A" w14:textId="77777777" w:rsidTr="000835B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0A2B682D" w14:textId="0CA9F58E" w:rsidR="00243C12" w:rsidRPr="00243C12" w:rsidRDefault="00243C12" w:rsidP="000835B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3E482B36" w14:textId="77777777" w:rsidR="00243C12" w:rsidRPr="00243C12" w:rsidRDefault="00243C12" w:rsidP="000835B5">
            <w:pPr>
              <w:rPr>
                <w:rFonts w:ascii="Arial Narrow" w:hAnsi="Arial Narrow" w:cs="Open Sans"/>
                <w:color w:val="333333"/>
                <w:sz w:val="20"/>
                <w:szCs w:val="20"/>
              </w:rPr>
            </w:pPr>
            <w:r w:rsidRPr="00243C12">
              <w:rPr>
                <w:rFonts w:ascii="Arial Narrow" w:hAnsi="Arial Narrow" w:cs="Open Sans"/>
                <w:color w:val="333333"/>
                <w:sz w:val="20"/>
                <w:szCs w:val="20"/>
              </w:rPr>
              <w:t>Must be treated by a non-specialist medical physician who has consulted a haematologist on the patient’s drug treatment details</w:t>
            </w:r>
          </w:p>
        </w:tc>
      </w:tr>
      <w:tr w:rsidR="00243C12" w:rsidRPr="00243C12" w14:paraId="67F11BBF" w14:textId="77777777" w:rsidTr="000835B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530511DD" w14:textId="77777777" w:rsidR="00243C12" w:rsidRPr="00243C12" w:rsidRDefault="00243C12" w:rsidP="000835B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48B1D56" w14:textId="77777777" w:rsidR="00243C12" w:rsidRPr="00243C12" w:rsidRDefault="00243C12" w:rsidP="000835B5">
            <w:pPr>
              <w:rPr>
                <w:rFonts w:ascii="Arial Narrow" w:hAnsi="Arial Narrow" w:cs="Open Sans"/>
                <w:color w:val="333333"/>
                <w:sz w:val="20"/>
                <w:szCs w:val="20"/>
              </w:rPr>
            </w:pPr>
          </w:p>
        </w:tc>
      </w:tr>
      <w:tr w:rsidR="00243C12" w:rsidRPr="00243C12" w14:paraId="5485FF72" w14:textId="77777777" w:rsidTr="000835B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27C24E5F" w14:textId="6F3DFB89" w:rsidR="00243C12" w:rsidRPr="00243C12" w:rsidRDefault="00243C12" w:rsidP="000835B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64456023" w14:textId="77777777" w:rsidR="00243C12" w:rsidRPr="00243C12" w:rsidRDefault="00243C12" w:rsidP="000835B5">
            <w:pPr>
              <w:rPr>
                <w:rFonts w:ascii="Arial Narrow" w:hAnsi="Arial Narrow" w:cs="Open Sans"/>
                <w:b/>
                <w:bCs/>
                <w:color w:val="333333"/>
                <w:sz w:val="20"/>
                <w:szCs w:val="20"/>
              </w:rPr>
            </w:pPr>
            <w:r w:rsidRPr="00243C12">
              <w:rPr>
                <w:rFonts w:ascii="Arial Narrow" w:hAnsi="Arial Narrow" w:cs="Open Sans"/>
                <w:b/>
                <w:bCs/>
                <w:color w:val="333333"/>
                <w:sz w:val="20"/>
                <w:szCs w:val="20"/>
              </w:rPr>
              <w:t>Population criteria:</w:t>
            </w:r>
          </w:p>
        </w:tc>
      </w:tr>
      <w:tr w:rsidR="00243C12" w:rsidRPr="00243C12" w14:paraId="5B70D907" w14:textId="77777777" w:rsidTr="000835B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33A5A55C" w14:textId="37E7A464" w:rsidR="00243C12" w:rsidRPr="00243C12" w:rsidRDefault="00243C12" w:rsidP="000835B5">
            <w:pPr>
              <w:jc w:val="center"/>
              <w:textAlignment w:val="baseline"/>
              <w:rPr>
                <w:rFonts w:ascii="Arial Narrow" w:hAnsi="Arial Narrow"/>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vAlign w:val="center"/>
          </w:tcPr>
          <w:p w14:paraId="74C5984E" w14:textId="77777777" w:rsidR="00243C12" w:rsidRPr="00243C12" w:rsidRDefault="00243C12" w:rsidP="000835B5">
            <w:pPr>
              <w:rPr>
                <w:rFonts w:ascii="Arial Narrow" w:hAnsi="Arial Narrow"/>
                <w:color w:val="333333"/>
                <w:sz w:val="20"/>
                <w:szCs w:val="20"/>
              </w:rPr>
            </w:pPr>
            <w:r w:rsidRPr="00243C12">
              <w:rPr>
                <w:rFonts w:ascii="Arial Narrow" w:hAnsi="Arial Narrow"/>
                <w:color w:val="333333"/>
                <w:sz w:val="20"/>
                <w:szCs w:val="20"/>
              </w:rPr>
              <w:t>Patient must be at least 18 years of age</w:t>
            </w:r>
          </w:p>
        </w:tc>
      </w:tr>
      <w:tr w:rsidR="00243C12" w:rsidRPr="00243C12" w14:paraId="4C16BC53" w14:textId="77777777" w:rsidTr="000835B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1342C294" w14:textId="77777777" w:rsidR="00243C12" w:rsidRPr="00243C12" w:rsidRDefault="00243C12" w:rsidP="000835B5">
            <w:pPr>
              <w:jc w:val="center"/>
              <w:textAlignment w:val="baseline"/>
              <w:rPr>
                <w:rFonts w:ascii="Arial Narrow" w:hAnsi="Arial Narrow"/>
                <w:i/>
                <w:iC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vAlign w:val="center"/>
          </w:tcPr>
          <w:p w14:paraId="032F63DD" w14:textId="77777777" w:rsidR="00243C12" w:rsidRPr="00243C12" w:rsidRDefault="00243C12" w:rsidP="000835B5">
            <w:pPr>
              <w:rPr>
                <w:rFonts w:ascii="Arial Narrow" w:hAnsi="Arial Narrow"/>
                <w:b/>
                <w:bCs/>
                <w:color w:val="333333"/>
                <w:sz w:val="20"/>
                <w:szCs w:val="20"/>
              </w:rPr>
            </w:pPr>
          </w:p>
        </w:tc>
      </w:tr>
      <w:tr w:rsidR="00243C12" w:rsidRPr="00243C12" w14:paraId="438487E8" w14:textId="77777777" w:rsidTr="000835B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1C26F60D" w14:textId="72CB3406" w:rsidR="00243C12" w:rsidRPr="00243C12" w:rsidRDefault="00243C12" w:rsidP="000835B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1DBA0028" w14:textId="77777777" w:rsidR="00243C12" w:rsidRPr="00243C12" w:rsidRDefault="00243C12" w:rsidP="000835B5">
            <w:pPr>
              <w:textAlignment w:val="baseline"/>
              <w:rPr>
                <w:rFonts w:ascii="Arial Narrow" w:hAnsi="Arial Narrow" w:cs="Open Sans"/>
                <w:color w:val="333333"/>
                <w:sz w:val="20"/>
                <w:szCs w:val="20"/>
              </w:rPr>
            </w:pPr>
            <w:r w:rsidRPr="00243C12">
              <w:rPr>
                <w:rFonts w:ascii="Arial Narrow" w:hAnsi="Arial Narrow" w:cs="Open Sans"/>
                <w:b/>
                <w:bCs/>
                <w:color w:val="333333"/>
                <w:sz w:val="20"/>
                <w:szCs w:val="20"/>
                <w:bdr w:val="none" w:sz="0" w:space="0" w:color="auto" w:frame="1"/>
              </w:rPr>
              <w:t>Prescribing Instructions:</w:t>
            </w:r>
          </w:p>
          <w:p w14:paraId="03A4B130" w14:textId="77777777" w:rsidR="00243C12" w:rsidRPr="00243C12" w:rsidRDefault="00243C12" w:rsidP="000835B5">
            <w:pPr>
              <w:textAlignment w:val="baseline"/>
              <w:rPr>
                <w:rFonts w:ascii="Arial Narrow" w:hAnsi="Arial Narrow" w:cs="Open Sans"/>
                <w:strike/>
                <w:color w:val="333333"/>
                <w:sz w:val="20"/>
                <w:szCs w:val="20"/>
              </w:rPr>
            </w:pPr>
            <w:r w:rsidRPr="00243C12">
              <w:rPr>
                <w:rFonts w:ascii="Arial Narrow" w:hAnsi="Arial Narrow" w:cs="Open Sans"/>
                <w:strike/>
                <w:color w:val="333333"/>
                <w:sz w:val="20"/>
                <w:szCs w:val="20"/>
              </w:rPr>
              <w:t>The authority application must be made in writing and must include:</w:t>
            </w:r>
          </w:p>
          <w:p w14:paraId="602E29D2" w14:textId="77777777" w:rsidR="00243C12" w:rsidRPr="00243C12" w:rsidRDefault="00243C12" w:rsidP="000835B5">
            <w:pPr>
              <w:textAlignment w:val="baseline"/>
              <w:rPr>
                <w:rFonts w:ascii="Arial Narrow" w:hAnsi="Arial Narrow" w:cs="Open Sans"/>
                <w:strike/>
                <w:color w:val="333333"/>
                <w:sz w:val="20"/>
                <w:szCs w:val="20"/>
              </w:rPr>
            </w:pPr>
            <w:r w:rsidRPr="00243C12">
              <w:rPr>
                <w:rFonts w:ascii="Arial Narrow" w:hAnsi="Arial Narrow" w:cs="Open Sans"/>
                <w:strike/>
                <w:color w:val="333333"/>
                <w:sz w:val="20"/>
                <w:szCs w:val="20"/>
              </w:rPr>
              <w:t>(1) a completed authority prescription form; and</w:t>
            </w:r>
          </w:p>
          <w:p w14:paraId="66073DA5" w14:textId="77777777" w:rsidR="00243C12" w:rsidRPr="00243C12" w:rsidRDefault="00243C12" w:rsidP="000835B5">
            <w:pPr>
              <w:textAlignment w:val="baseline"/>
              <w:rPr>
                <w:rFonts w:ascii="Arial Narrow" w:hAnsi="Arial Narrow" w:cs="Open Sans"/>
                <w:strike/>
                <w:color w:val="333333"/>
                <w:sz w:val="20"/>
                <w:szCs w:val="20"/>
              </w:rPr>
            </w:pPr>
            <w:r w:rsidRPr="00243C12">
              <w:rPr>
                <w:rFonts w:ascii="Arial Narrow" w:hAnsi="Arial Narrow" w:cs="Open Sans"/>
                <w:strike/>
                <w:color w:val="333333"/>
                <w:sz w:val="20"/>
                <w:szCs w:val="20"/>
              </w:rPr>
              <w:t>(2) a completed authority application form relevant to the indication and treatment phase (the latest version is located on the website specified in the Administrative Advice).</w:t>
            </w:r>
          </w:p>
          <w:p w14:paraId="3ED4D369" w14:textId="77777777" w:rsidR="00243C12" w:rsidRPr="00243C12" w:rsidRDefault="00243C12" w:rsidP="000835B5">
            <w:pPr>
              <w:textAlignment w:val="baseline"/>
              <w:rPr>
                <w:rFonts w:ascii="Arial Narrow" w:hAnsi="Arial Narrow" w:cs="Open Sans"/>
                <w:strike/>
                <w:color w:val="333333"/>
                <w:sz w:val="20"/>
                <w:szCs w:val="20"/>
              </w:rPr>
            </w:pPr>
          </w:p>
          <w:p w14:paraId="05BF2F47" w14:textId="77777777" w:rsidR="00243C12" w:rsidRPr="00243C12" w:rsidRDefault="00243C12" w:rsidP="000835B5">
            <w:pPr>
              <w:keepNext/>
              <w:keepLines/>
              <w:rPr>
                <w:rFonts w:ascii="Arial Narrow" w:hAnsi="Arial Narrow"/>
                <w:i/>
                <w:iCs/>
                <w:sz w:val="20"/>
                <w:szCs w:val="20"/>
              </w:rPr>
            </w:pPr>
            <w:r w:rsidRPr="00243C12">
              <w:rPr>
                <w:rFonts w:ascii="Arial Narrow" w:hAnsi="Arial Narrow"/>
                <w:i/>
                <w:iCs/>
                <w:sz w:val="20"/>
                <w:szCs w:val="20"/>
              </w:rPr>
              <w:t>The authority application must be made in writing and must include:</w:t>
            </w:r>
          </w:p>
          <w:p w14:paraId="128558E3" w14:textId="77777777" w:rsidR="00243C12" w:rsidRPr="00243C12" w:rsidRDefault="00243C12" w:rsidP="000835B5">
            <w:pPr>
              <w:keepNext/>
              <w:keepLines/>
              <w:rPr>
                <w:rFonts w:ascii="Arial Narrow" w:hAnsi="Arial Narrow"/>
                <w:i/>
                <w:iCs/>
                <w:sz w:val="20"/>
                <w:szCs w:val="20"/>
              </w:rPr>
            </w:pPr>
            <w:r w:rsidRPr="00243C12">
              <w:rPr>
                <w:rFonts w:ascii="Arial Narrow" w:hAnsi="Arial Narrow"/>
                <w:i/>
                <w:iCs/>
                <w:sz w:val="20"/>
                <w:szCs w:val="20"/>
              </w:rPr>
              <w:t xml:space="preserve">(1) </w:t>
            </w:r>
            <w:r w:rsidRPr="00132F2D">
              <w:rPr>
                <w:rFonts w:ascii="Arial Narrow" w:hAnsi="Arial Narrow"/>
                <w:i/>
                <w:iCs/>
                <w:sz w:val="20"/>
                <w:szCs w:val="20"/>
              </w:rPr>
              <w:t>details of the proposed prescription</w:t>
            </w:r>
            <w:r w:rsidRPr="00243C12">
              <w:rPr>
                <w:rFonts w:ascii="Arial Narrow" w:hAnsi="Arial Narrow"/>
                <w:i/>
                <w:iCs/>
                <w:sz w:val="20"/>
                <w:szCs w:val="20"/>
              </w:rPr>
              <w:t>; and</w:t>
            </w:r>
          </w:p>
          <w:p w14:paraId="12B4F76B" w14:textId="14D39733" w:rsidR="00243C12" w:rsidRPr="001864FE" w:rsidRDefault="00243C12" w:rsidP="001864FE">
            <w:pPr>
              <w:textAlignment w:val="baseline"/>
              <w:rPr>
                <w:rFonts w:ascii="Arial Narrow" w:hAnsi="Arial Narrow" w:cs="Open Sans"/>
                <w:i/>
                <w:iCs/>
                <w:color w:val="333333"/>
                <w:sz w:val="20"/>
                <w:szCs w:val="20"/>
              </w:rPr>
            </w:pPr>
            <w:r w:rsidRPr="00243C12">
              <w:rPr>
                <w:rFonts w:ascii="Arial Narrow" w:hAnsi="Arial Narrow"/>
                <w:i/>
                <w:iCs/>
                <w:sz w:val="20"/>
                <w:szCs w:val="20"/>
              </w:rPr>
              <w:t>(2) a completed authority application form relevant to the indication and treatment phase (the latest version is located on the website specified in the Administrative Advice).</w:t>
            </w:r>
          </w:p>
        </w:tc>
      </w:tr>
      <w:tr w:rsidR="00243C12" w:rsidRPr="00243C12" w14:paraId="33F879E8" w14:textId="77777777" w:rsidTr="000835B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4E5EA66C" w14:textId="7897AECE" w:rsidR="00243C12" w:rsidRPr="00243C12" w:rsidRDefault="00243C12" w:rsidP="000835B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20236097" w14:textId="77777777" w:rsidR="00243C12" w:rsidRPr="00243C12" w:rsidRDefault="00243C12" w:rsidP="000835B5">
            <w:pPr>
              <w:textAlignment w:val="baseline"/>
              <w:rPr>
                <w:rFonts w:ascii="Arial Narrow" w:hAnsi="Arial Narrow" w:cs="Open Sans"/>
                <w:b/>
                <w:bCs/>
                <w:color w:val="333333"/>
                <w:sz w:val="20"/>
                <w:szCs w:val="20"/>
                <w:bdr w:val="none" w:sz="0" w:space="0" w:color="auto" w:frame="1"/>
              </w:rPr>
            </w:pPr>
            <w:r w:rsidRPr="00243C12">
              <w:rPr>
                <w:rFonts w:ascii="Arial Narrow" w:hAnsi="Arial Narrow" w:cs="Open Sans"/>
                <w:b/>
                <w:bCs/>
                <w:color w:val="333333"/>
                <w:sz w:val="20"/>
                <w:szCs w:val="20"/>
                <w:bdr w:val="none" w:sz="0" w:space="0" w:color="auto" w:frame="1"/>
              </w:rPr>
              <w:t>Prescribing Instructions:</w:t>
            </w:r>
          </w:p>
          <w:p w14:paraId="083D5527" w14:textId="77777777" w:rsidR="00243C12" w:rsidRPr="00243C12" w:rsidRDefault="00243C12" w:rsidP="000835B5">
            <w:pPr>
              <w:textAlignment w:val="baseline"/>
              <w:rPr>
                <w:rFonts w:ascii="Arial Narrow" w:hAnsi="Arial Narrow" w:cs="Open Sans"/>
                <w:color w:val="333333"/>
                <w:sz w:val="20"/>
                <w:szCs w:val="20"/>
                <w:bdr w:val="none" w:sz="0" w:space="0" w:color="auto" w:frame="1"/>
              </w:rPr>
            </w:pPr>
            <w:r w:rsidRPr="00243C12">
              <w:rPr>
                <w:rFonts w:ascii="Arial Narrow" w:hAnsi="Arial Narrow" w:cs="Open Sans"/>
                <w:color w:val="333333"/>
                <w:sz w:val="20"/>
                <w:szCs w:val="20"/>
                <w:bdr w:val="none" w:sz="0" w:space="0" w:color="auto" w:frame="1"/>
              </w:rPr>
              <w:lastRenderedPageBreak/>
              <w:t>At the time of the authority application, medical practitioners must request the appropriate number of vials for 4 weeks supply per dispensing as per the Product Information.</w:t>
            </w:r>
          </w:p>
        </w:tc>
      </w:tr>
      <w:tr w:rsidR="00243C12" w:rsidRPr="00243C12" w14:paraId="18FAEA3E" w14:textId="77777777" w:rsidTr="000835B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12E1E213" w14:textId="3E4DF8F4" w:rsidR="00243C12" w:rsidRPr="00243C12" w:rsidRDefault="00243C12" w:rsidP="000835B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7EAAB6B5" w14:textId="77777777" w:rsidR="00243C12" w:rsidRPr="00243C12" w:rsidRDefault="00243C12" w:rsidP="000835B5">
            <w:pPr>
              <w:textAlignment w:val="baseline"/>
              <w:rPr>
                <w:rFonts w:ascii="Arial Narrow" w:hAnsi="Arial Narrow" w:cs="Open Sans"/>
                <w:b/>
                <w:bCs/>
                <w:color w:val="333333"/>
                <w:sz w:val="20"/>
                <w:szCs w:val="20"/>
                <w:bdr w:val="none" w:sz="0" w:space="0" w:color="auto" w:frame="1"/>
              </w:rPr>
            </w:pPr>
            <w:r w:rsidRPr="00243C12">
              <w:rPr>
                <w:rFonts w:ascii="Arial Narrow" w:hAnsi="Arial Narrow" w:cs="Open Sans"/>
                <w:b/>
                <w:bCs/>
                <w:color w:val="333333"/>
                <w:sz w:val="20"/>
                <w:szCs w:val="20"/>
                <w:bdr w:val="none" w:sz="0" w:space="0" w:color="auto" w:frame="1"/>
              </w:rPr>
              <w:t>Prescribing Instructions:</w:t>
            </w:r>
          </w:p>
          <w:p w14:paraId="76304CB7" w14:textId="77777777" w:rsidR="00243C12" w:rsidRPr="00243C12" w:rsidRDefault="00243C12" w:rsidP="000835B5">
            <w:pPr>
              <w:textAlignment w:val="baseline"/>
              <w:rPr>
                <w:rFonts w:ascii="Arial Narrow" w:hAnsi="Arial Narrow" w:cs="Open Sans"/>
                <w:color w:val="333333"/>
                <w:sz w:val="20"/>
                <w:szCs w:val="20"/>
                <w:bdr w:val="none" w:sz="0" w:space="0" w:color="auto" w:frame="1"/>
              </w:rPr>
            </w:pPr>
            <w:r w:rsidRPr="00243C12">
              <w:rPr>
                <w:rFonts w:ascii="Arial Narrow" w:hAnsi="Arial Narrow" w:cs="Open Sans"/>
                <w:color w:val="333333"/>
                <w:sz w:val="20"/>
                <w:szCs w:val="20"/>
                <w:bdr w:val="none" w:sz="0" w:space="0" w:color="auto" w:frame="1"/>
              </w:rPr>
              <w:t>At the time of the authority application, details (result and date of result) of the following monitoring requirements must be provided:</w:t>
            </w:r>
          </w:p>
          <w:p w14:paraId="35FBF833" w14:textId="77777777" w:rsidR="00243C12" w:rsidRPr="00243C12" w:rsidRDefault="00243C12" w:rsidP="000835B5">
            <w:pPr>
              <w:textAlignment w:val="baseline"/>
              <w:rPr>
                <w:rFonts w:ascii="Arial Narrow" w:hAnsi="Arial Narrow" w:cs="Open Sans"/>
                <w:color w:val="333333"/>
                <w:sz w:val="20"/>
                <w:szCs w:val="20"/>
                <w:bdr w:val="none" w:sz="0" w:space="0" w:color="auto" w:frame="1"/>
              </w:rPr>
            </w:pPr>
            <w:r w:rsidRPr="00243C12">
              <w:rPr>
                <w:rFonts w:ascii="Arial Narrow" w:hAnsi="Arial Narrow" w:cs="Open Sans"/>
                <w:color w:val="333333"/>
                <w:sz w:val="20"/>
                <w:szCs w:val="20"/>
                <w:bdr w:val="none" w:sz="0" w:space="0" w:color="auto" w:frame="1"/>
              </w:rPr>
              <w:t>(i) Haemoglobin (g/L)</w:t>
            </w:r>
          </w:p>
          <w:p w14:paraId="1E6D8FC6" w14:textId="77777777" w:rsidR="00243C12" w:rsidRPr="00243C12" w:rsidRDefault="00243C12" w:rsidP="000835B5">
            <w:pPr>
              <w:textAlignment w:val="baseline"/>
              <w:rPr>
                <w:rFonts w:ascii="Arial Narrow" w:hAnsi="Arial Narrow" w:cs="Open Sans"/>
                <w:color w:val="333333"/>
                <w:sz w:val="20"/>
                <w:szCs w:val="20"/>
                <w:bdr w:val="none" w:sz="0" w:space="0" w:color="auto" w:frame="1"/>
              </w:rPr>
            </w:pPr>
            <w:r w:rsidRPr="00243C12">
              <w:rPr>
                <w:rFonts w:ascii="Arial Narrow" w:hAnsi="Arial Narrow" w:cs="Open Sans"/>
                <w:color w:val="333333"/>
                <w:sz w:val="20"/>
                <w:szCs w:val="20"/>
                <w:bdr w:val="none" w:sz="0" w:space="0" w:color="auto" w:frame="1"/>
              </w:rPr>
              <w:t>(ii) Platelets (x109/L)</w:t>
            </w:r>
          </w:p>
          <w:p w14:paraId="6C317133" w14:textId="77777777" w:rsidR="00243C12" w:rsidRPr="00243C12" w:rsidRDefault="00243C12" w:rsidP="000835B5">
            <w:pPr>
              <w:textAlignment w:val="baseline"/>
              <w:rPr>
                <w:rFonts w:ascii="Arial Narrow" w:hAnsi="Arial Narrow" w:cs="Open Sans"/>
                <w:color w:val="333333"/>
                <w:sz w:val="20"/>
                <w:szCs w:val="20"/>
                <w:bdr w:val="none" w:sz="0" w:space="0" w:color="auto" w:frame="1"/>
              </w:rPr>
            </w:pPr>
            <w:r w:rsidRPr="00243C12">
              <w:rPr>
                <w:rFonts w:ascii="Arial Narrow" w:hAnsi="Arial Narrow" w:cs="Open Sans"/>
                <w:color w:val="333333"/>
                <w:sz w:val="20"/>
                <w:szCs w:val="20"/>
                <w:bdr w:val="none" w:sz="0" w:space="0" w:color="auto" w:frame="1"/>
              </w:rPr>
              <w:t>(iii) White Cell Count (x109/L)</w:t>
            </w:r>
          </w:p>
          <w:p w14:paraId="3FD09C4D" w14:textId="77777777" w:rsidR="00243C12" w:rsidRPr="00243C12" w:rsidRDefault="00243C12" w:rsidP="000835B5">
            <w:pPr>
              <w:textAlignment w:val="baseline"/>
              <w:rPr>
                <w:rFonts w:ascii="Arial Narrow" w:hAnsi="Arial Narrow" w:cs="Open Sans"/>
                <w:color w:val="333333"/>
                <w:sz w:val="20"/>
                <w:szCs w:val="20"/>
                <w:bdr w:val="none" w:sz="0" w:space="0" w:color="auto" w:frame="1"/>
              </w:rPr>
            </w:pPr>
            <w:r w:rsidRPr="00243C12">
              <w:rPr>
                <w:rFonts w:ascii="Arial Narrow" w:hAnsi="Arial Narrow" w:cs="Open Sans"/>
                <w:color w:val="333333"/>
                <w:sz w:val="20"/>
                <w:szCs w:val="20"/>
                <w:bdr w:val="none" w:sz="0" w:space="0" w:color="auto" w:frame="1"/>
              </w:rPr>
              <w:t>(iv) Reticulocytes (x109/L)</w:t>
            </w:r>
          </w:p>
          <w:p w14:paraId="410909AB" w14:textId="77777777" w:rsidR="00243C12" w:rsidRPr="00243C12" w:rsidRDefault="00243C12" w:rsidP="000835B5">
            <w:pPr>
              <w:textAlignment w:val="baseline"/>
              <w:rPr>
                <w:rFonts w:ascii="Arial Narrow" w:hAnsi="Arial Narrow" w:cs="Open Sans"/>
                <w:color w:val="333333"/>
                <w:sz w:val="20"/>
                <w:szCs w:val="20"/>
                <w:bdr w:val="none" w:sz="0" w:space="0" w:color="auto" w:frame="1"/>
              </w:rPr>
            </w:pPr>
            <w:r w:rsidRPr="00243C12">
              <w:rPr>
                <w:rFonts w:ascii="Arial Narrow" w:hAnsi="Arial Narrow" w:cs="Open Sans"/>
                <w:color w:val="333333"/>
                <w:sz w:val="20"/>
                <w:szCs w:val="20"/>
                <w:bdr w:val="none" w:sz="0" w:space="0" w:color="auto" w:frame="1"/>
              </w:rPr>
              <w:t>(v) Neutrophils (x109/L)</w:t>
            </w:r>
          </w:p>
          <w:p w14:paraId="12C4BAD8" w14:textId="77777777" w:rsidR="00243C12" w:rsidRPr="00243C12" w:rsidRDefault="00243C12" w:rsidP="000835B5">
            <w:pPr>
              <w:textAlignment w:val="baseline"/>
              <w:rPr>
                <w:rFonts w:ascii="Arial Narrow" w:hAnsi="Arial Narrow" w:cs="Open Sans"/>
                <w:color w:val="333333"/>
                <w:sz w:val="20"/>
                <w:szCs w:val="20"/>
                <w:bdr w:val="none" w:sz="0" w:space="0" w:color="auto" w:frame="1"/>
              </w:rPr>
            </w:pPr>
            <w:r w:rsidRPr="00243C12">
              <w:rPr>
                <w:rFonts w:ascii="Arial Narrow" w:hAnsi="Arial Narrow" w:cs="Open Sans"/>
                <w:color w:val="333333"/>
                <w:sz w:val="20"/>
                <w:szCs w:val="20"/>
                <w:bdr w:val="none" w:sz="0" w:space="0" w:color="auto" w:frame="1"/>
              </w:rPr>
              <w:t>(vi) Granulocyte clone size (%)</w:t>
            </w:r>
          </w:p>
          <w:p w14:paraId="20409C27" w14:textId="77777777" w:rsidR="00243C12" w:rsidRPr="00243C12" w:rsidRDefault="00243C12" w:rsidP="000835B5">
            <w:pPr>
              <w:textAlignment w:val="baseline"/>
              <w:rPr>
                <w:rFonts w:ascii="Arial Narrow" w:hAnsi="Arial Narrow" w:cs="Open Sans"/>
                <w:color w:val="333333"/>
                <w:sz w:val="20"/>
                <w:szCs w:val="20"/>
                <w:bdr w:val="none" w:sz="0" w:space="0" w:color="auto" w:frame="1"/>
              </w:rPr>
            </w:pPr>
            <w:r w:rsidRPr="00243C12">
              <w:rPr>
                <w:rFonts w:ascii="Arial Narrow" w:hAnsi="Arial Narrow" w:cs="Open Sans"/>
                <w:color w:val="333333"/>
                <w:sz w:val="20"/>
                <w:szCs w:val="20"/>
                <w:bdr w:val="none" w:sz="0" w:space="0" w:color="auto" w:frame="1"/>
              </w:rPr>
              <w:t>(vii) Lactate Dehydrogenase (LDH)</w:t>
            </w:r>
          </w:p>
          <w:p w14:paraId="69B35A09" w14:textId="77777777" w:rsidR="00243C12" w:rsidRPr="00243C12" w:rsidRDefault="00243C12" w:rsidP="000835B5">
            <w:pPr>
              <w:textAlignment w:val="baseline"/>
              <w:rPr>
                <w:rFonts w:ascii="Arial Narrow" w:hAnsi="Arial Narrow" w:cs="Open Sans"/>
                <w:color w:val="333333"/>
                <w:sz w:val="20"/>
                <w:szCs w:val="20"/>
                <w:bdr w:val="none" w:sz="0" w:space="0" w:color="auto" w:frame="1"/>
              </w:rPr>
            </w:pPr>
            <w:r w:rsidRPr="00243C12">
              <w:rPr>
                <w:rFonts w:ascii="Arial Narrow" w:hAnsi="Arial Narrow" w:cs="Open Sans"/>
                <w:color w:val="333333"/>
                <w:sz w:val="20"/>
                <w:szCs w:val="20"/>
                <w:bdr w:val="none" w:sz="0" w:space="0" w:color="auto" w:frame="1"/>
              </w:rPr>
              <w:t>(viii) the upper limit of normal (ULN) for LDH as quoted by the reporting laboratory</w:t>
            </w:r>
          </w:p>
          <w:p w14:paraId="2091EB41" w14:textId="77777777" w:rsidR="00243C12" w:rsidRPr="00243C12" w:rsidRDefault="00243C12" w:rsidP="000835B5">
            <w:pPr>
              <w:textAlignment w:val="baseline"/>
              <w:rPr>
                <w:rFonts w:ascii="Arial Narrow" w:hAnsi="Arial Narrow" w:cs="Open Sans"/>
                <w:b/>
                <w:bCs/>
                <w:color w:val="333333"/>
                <w:sz w:val="20"/>
                <w:szCs w:val="20"/>
                <w:bdr w:val="none" w:sz="0" w:space="0" w:color="auto" w:frame="1"/>
              </w:rPr>
            </w:pPr>
            <w:r w:rsidRPr="00243C12">
              <w:rPr>
                <w:rFonts w:ascii="Arial Narrow" w:hAnsi="Arial Narrow" w:cs="Open Sans"/>
                <w:color w:val="333333"/>
                <w:sz w:val="20"/>
                <w:szCs w:val="20"/>
                <w:bdr w:val="none" w:sz="0" w:space="0" w:color="auto" w:frame="1"/>
              </w:rPr>
              <w:t>(ix) the LDH:ULN ratio (in figures, rounded to one decimal place)</w:t>
            </w:r>
          </w:p>
        </w:tc>
      </w:tr>
      <w:tr w:rsidR="00243C12" w:rsidRPr="00243C12" w14:paraId="04F7886E" w14:textId="77777777" w:rsidTr="000835B5">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1271" w:type="dxa"/>
            <w:tcBorders>
              <w:top w:val="single" w:sz="4" w:space="0" w:color="auto"/>
              <w:left w:val="single" w:sz="4" w:space="0" w:color="auto"/>
              <w:bottom w:val="single" w:sz="4" w:space="0" w:color="auto"/>
              <w:right w:val="single" w:sz="4" w:space="0" w:color="auto"/>
            </w:tcBorders>
          </w:tcPr>
          <w:p w14:paraId="6CF906E4" w14:textId="77777777" w:rsidR="00243C12" w:rsidRPr="00243C12" w:rsidRDefault="00243C12" w:rsidP="000835B5">
            <w:pPr>
              <w:jc w:val="center"/>
              <w:textAlignment w:val="baseline"/>
              <w:rPr>
                <w:rFonts w:ascii="Arial Narrow" w:hAnsi="Arial Narrow" w:cs="Open Sans"/>
                <w:color w:val="333333"/>
                <w:sz w:val="20"/>
                <w:szCs w:val="20"/>
              </w:rPr>
            </w:pPr>
          </w:p>
          <w:p w14:paraId="288A45C7" w14:textId="50548D7E" w:rsidR="00243C12" w:rsidRPr="00243C12" w:rsidRDefault="00243C12" w:rsidP="000835B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5BA39AF7" w14:textId="77777777" w:rsidR="00243C12" w:rsidRPr="00243C12" w:rsidRDefault="00243C12" w:rsidP="000835B5">
            <w:pPr>
              <w:textAlignment w:val="baseline"/>
              <w:rPr>
                <w:rFonts w:ascii="Arial Narrow" w:hAnsi="Arial Narrow" w:cs="Open Sans"/>
                <w:color w:val="333333"/>
                <w:sz w:val="20"/>
                <w:szCs w:val="20"/>
              </w:rPr>
            </w:pPr>
            <w:r w:rsidRPr="00243C12">
              <w:rPr>
                <w:rFonts w:ascii="Arial Narrow" w:hAnsi="Arial Narrow" w:cs="Open Sans"/>
                <w:b/>
                <w:bCs/>
                <w:color w:val="333333"/>
                <w:sz w:val="20"/>
                <w:szCs w:val="20"/>
                <w:bdr w:val="none" w:sz="0" w:space="0" w:color="auto" w:frame="1"/>
              </w:rPr>
              <w:t>Prescribing Instructions:</w:t>
            </w:r>
          </w:p>
          <w:p w14:paraId="2E7CCDFF" w14:textId="77777777" w:rsidR="00243C12" w:rsidRPr="00243C12" w:rsidRDefault="00243C12" w:rsidP="000835B5">
            <w:pPr>
              <w:rPr>
                <w:rFonts w:ascii="Arial Narrow" w:hAnsi="Arial Narrow" w:cs="Open Sans"/>
                <w:color w:val="333333"/>
                <w:sz w:val="20"/>
                <w:szCs w:val="20"/>
              </w:rPr>
            </w:pPr>
            <w:r w:rsidRPr="00243C12">
              <w:rPr>
                <w:rFonts w:ascii="Arial Narrow" w:hAnsi="Arial Narrow"/>
                <w:color w:val="333333"/>
                <w:sz w:val="20"/>
                <w:szCs w:val="20"/>
              </w:rPr>
              <w:t>For the purposes of family planning, patient may qualify under this treatment phase more than once. To return to pegcetacoplan treatment for reasons other than post pregnancy, patient may qualify under this treatment phase once only in any 12 consecutive months. Where long-term continuing PBS-subsidised treatment with pegcetacoplan is planned, a 'Returning' patient must proceed under the 'Subsequent Continuing Treatment' criteria of pegcetacoplan.</w:t>
            </w:r>
          </w:p>
        </w:tc>
      </w:tr>
    </w:tbl>
    <w:p w14:paraId="64183672" w14:textId="77777777" w:rsidR="00243C12" w:rsidRDefault="00243C12" w:rsidP="00243C12">
      <w:pPr>
        <w:widowControl w:val="0"/>
        <w:spacing w:after="120"/>
        <w:ind w:left="720"/>
        <w:contextualSpacing/>
        <w:jc w:val="left"/>
        <w:rPr>
          <w:bCs/>
          <w:lang w:eastAsia="en-US"/>
        </w:rPr>
      </w:pPr>
    </w:p>
    <w:p w14:paraId="249681D6" w14:textId="4B0D9BA0" w:rsidR="002C6140" w:rsidRPr="005D3EEB" w:rsidRDefault="002C6140" w:rsidP="007F4886">
      <w:pPr>
        <w:widowControl w:val="0"/>
        <w:numPr>
          <w:ilvl w:val="1"/>
          <w:numId w:val="1"/>
        </w:numPr>
        <w:spacing w:after="120"/>
        <w:ind w:left="720" w:hanging="720"/>
        <w:contextualSpacing/>
        <w:rPr>
          <w:bCs/>
          <w:lang w:eastAsia="en-US"/>
        </w:rPr>
      </w:pPr>
      <w:r w:rsidRPr="005D3EEB">
        <w:rPr>
          <w:bCs/>
          <w:lang w:eastAsia="en-US"/>
        </w:rPr>
        <w:t>Flow on changes to the following ravulizumab, eculizumab and pegcetacoplan restrictions for PNH:</w:t>
      </w:r>
      <w:bookmarkEnd w:id="72"/>
      <w:r w:rsidRPr="005D3EEB">
        <w:rPr>
          <w:bCs/>
          <w:lang w:eastAsia="en-US"/>
        </w:rPr>
        <w:t xml:space="preserve"> </w:t>
      </w:r>
    </w:p>
    <w:p w14:paraId="3CFFAE82" w14:textId="77777777" w:rsidR="002C6140" w:rsidRPr="005D3EEB" w:rsidRDefault="002C6140" w:rsidP="007F4886">
      <w:pPr>
        <w:pStyle w:val="COMexecsummbulletlist"/>
        <w:ind w:left="1134"/>
      </w:pPr>
      <w:r w:rsidRPr="005D3EEB">
        <w:t>Item codes: Eculizumab : 12840T, 12864C, 12877R, 12896R, 12899X, 12900Y</w:t>
      </w:r>
    </w:p>
    <w:p w14:paraId="37D67ACF" w14:textId="77777777" w:rsidR="002C6140" w:rsidRPr="005D3EEB" w:rsidRDefault="002C6140" w:rsidP="007F4886">
      <w:pPr>
        <w:pStyle w:val="COMexecsummbulletlist"/>
        <w:ind w:left="1134"/>
      </w:pPr>
      <w:r w:rsidRPr="005D3EEB">
        <w:t>Item codes: Ravulizumab: 12856P, 12883C, 12897T, 12901B, 12841W, 12884D, 12895Q, 12898W</w:t>
      </w:r>
    </w:p>
    <w:p w14:paraId="3A3218E9" w14:textId="77777777" w:rsidR="002C6140" w:rsidRPr="005D3EEB" w:rsidRDefault="002C6140" w:rsidP="007F4886">
      <w:pPr>
        <w:pStyle w:val="COMexecsummbulletlist"/>
        <w:ind w:left="1134"/>
      </w:pPr>
      <w:r w:rsidRPr="005D3EEB">
        <w:t>Item codes: Pegcetacoplan: 13185Y, 13197N (first and subsequent continuing treatment phases)</w:t>
      </w:r>
    </w:p>
    <w:p w14:paraId="2EF287F3" w14:textId="0822C953" w:rsidR="002C6140" w:rsidRPr="005D3EEB" w:rsidRDefault="002C6140" w:rsidP="007F4886">
      <w:pPr>
        <w:widowControl w:val="0"/>
        <w:spacing w:after="120"/>
        <w:ind w:left="720"/>
        <w:contextualSpacing/>
        <w:rPr>
          <w:bCs/>
          <w:lang w:eastAsia="en-US"/>
        </w:rPr>
      </w:pPr>
      <w:r w:rsidRPr="005D3EEB">
        <w:rPr>
          <w:bCs/>
          <w:lang w:eastAsia="en-US"/>
        </w:rPr>
        <w:t xml:space="preserve">to change the clinical criterion Concept ID: 29991 and 29988 to avoid further addition of medicines’ names </w:t>
      </w:r>
      <w:r w:rsidR="009651D9">
        <w:rPr>
          <w:bCs/>
          <w:lang w:eastAsia="en-US"/>
        </w:rPr>
        <w:t>as they</w:t>
      </w:r>
      <w:r w:rsidRPr="005D3EEB">
        <w:rPr>
          <w:bCs/>
          <w:lang w:eastAsia="en-US"/>
        </w:rPr>
        <w:t xml:space="preserve"> g</w:t>
      </w:r>
      <w:r w:rsidR="009651D9">
        <w:rPr>
          <w:bCs/>
          <w:lang w:eastAsia="en-US"/>
        </w:rPr>
        <w:t>e</w:t>
      </w:r>
      <w:r w:rsidRPr="005D3EEB">
        <w:rPr>
          <w:bCs/>
          <w:lang w:eastAsia="en-US"/>
        </w:rPr>
        <w:t>t recommended for PNH. The concepts will change from</w:t>
      </w:r>
      <w:r w:rsidR="009651D9">
        <w:rPr>
          <w:bCs/>
          <w:lang w:eastAsia="en-US"/>
        </w:rPr>
        <w:t xml:space="preserve"> either</w:t>
      </w:r>
      <w:r w:rsidRPr="005D3EEB">
        <w:rPr>
          <w:bCs/>
          <w:lang w:eastAsia="en-US"/>
        </w:rPr>
        <w:t xml:space="preserve">: </w:t>
      </w:r>
    </w:p>
    <w:p w14:paraId="29563EEF" w14:textId="77777777" w:rsidR="002C6140" w:rsidRPr="005D3EEB" w:rsidRDefault="002C6140" w:rsidP="005D3EEB">
      <w:pPr>
        <w:ind w:left="720" w:hanging="360"/>
        <w:rPr>
          <w:rFonts w:cstheme="minorHAnsi"/>
        </w:rPr>
      </w:pPr>
    </w:p>
    <w:tbl>
      <w:tblPr>
        <w:tblStyle w:val="TableGridLight1"/>
        <w:tblW w:w="8926" w:type="dxa"/>
        <w:tblLayout w:type="fixed"/>
        <w:tblLook w:val="04A0" w:firstRow="1" w:lastRow="0" w:firstColumn="1" w:lastColumn="0" w:noHBand="0" w:noVBand="1"/>
      </w:tblPr>
      <w:tblGrid>
        <w:gridCol w:w="1129"/>
        <w:gridCol w:w="7797"/>
      </w:tblGrid>
      <w:tr w:rsidR="002C6140" w:rsidRPr="00851940" w14:paraId="68028B76" w14:textId="77777777" w:rsidTr="00BF35A5">
        <w:trPr>
          <w:trHeight w:val="147"/>
        </w:trPr>
        <w:tc>
          <w:tcPr>
            <w:tcW w:w="1129" w:type="dxa"/>
            <w:tcBorders>
              <w:top w:val="single" w:sz="4" w:space="0" w:color="auto"/>
              <w:left w:val="single" w:sz="4" w:space="0" w:color="auto"/>
              <w:bottom w:val="single" w:sz="4" w:space="0" w:color="auto"/>
              <w:right w:val="single" w:sz="4" w:space="0" w:color="auto"/>
            </w:tcBorders>
            <w:hideMark/>
          </w:tcPr>
          <w:p w14:paraId="6CB91F81" w14:textId="56C50758" w:rsidR="002C6140" w:rsidRPr="00851940" w:rsidRDefault="002C6140" w:rsidP="00BF35A5">
            <w:pPr>
              <w:textAlignment w:val="baseline"/>
              <w:rPr>
                <w:rFonts w:ascii="Arial Narrow" w:hAnsi="Arial Narrow" w:cs="Open Sans"/>
                <w:color w:val="333333"/>
                <w:sz w:val="18"/>
                <w:szCs w:val="18"/>
              </w:rPr>
            </w:pPr>
          </w:p>
        </w:tc>
        <w:tc>
          <w:tcPr>
            <w:tcW w:w="7797" w:type="dxa"/>
            <w:tcBorders>
              <w:top w:val="single" w:sz="4" w:space="0" w:color="auto"/>
              <w:left w:val="single" w:sz="4" w:space="0" w:color="auto"/>
              <w:bottom w:val="single" w:sz="4" w:space="0" w:color="auto"/>
              <w:right w:val="single" w:sz="4" w:space="0" w:color="auto"/>
            </w:tcBorders>
            <w:hideMark/>
          </w:tcPr>
          <w:p w14:paraId="14FA790C" w14:textId="77777777" w:rsidR="002C6140" w:rsidRPr="00851940" w:rsidRDefault="002C6140" w:rsidP="00BF35A5">
            <w:pPr>
              <w:rPr>
                <w:rFonts w:ascii="Arial Narrow" w:hAnsi="Arial Narrow" w:cs="Open Sans"/>
                <w:strike/>
                <w:color w:val="333333"/>
                <w:sz w:val="18"/>
                <w:szCs w:val="18"/>
              </w:rPr>
            </w:pPr>
            <w:r w:rsidRPr="00851940">
              <w:rPr>
                <w:rFonts w:ascii="Arial Narrow" w:hAnsi="Arial Narrow" w:cs="Open Sans"/>
                <w:strike/>
                <w:color w:val="333333"/>
                <w:sz w:val="18"/>
                <w:szCs w:val="18"/>
              </w:rPr>
              <w:t>The treatment must not be in combination with any of (i) another Complement 5 (C5) inhibitor, (ii) pegcetacoplan</w:t>
            </w:r>
          </w:p>
        </w:tc>
      </w:tr>
    </w:tbl>
    <w:p w14:paraId="44AD205C" w14:textId="77777777" w:rsidR="002C6140" w:rsidRPr="00851940" w:rsidRDefault="002C6140" w:rsidP="002C6140">
      <w:pPr>
        <w:rPr>
          <w:rFonts w:asciiTheme="minorHAnsi" w:hAnsiTheme="minorHAnsi" w:cstheme="minorHAnsi"/>
          <w:b/>
          <w:bCs/>
          <w:sz w:val="22"/>
          <w:szCs w:val="22"/>
        </w:rPr>
      </w:pPr>
    </w:p>
    <w:tbl>
      <w:tblPr>
        <w:tblStyle w:val="TableGridLight1"/>
        <w:tblW w:w="8926" w:type="dxa"/>
        <w:tblLayout w:type="fixed"/>
        <w:tblLook w:val="04A0" w:firstRow="1" w:lastRow="0" w:firstColumn="1" w:lastColumn="0" w:noHBand="0" w:noVBand="1"/>
      </w:tblPr>
      <w:tblGrid>
        <w:gridCol w:w="1129"/>
        <w:gridCol w:w="7797"/>
      </w:tblGrid>
      <w:tr w:rsidR="002C6140" w:rsidRPr="00851940" w14:paraId="6ED5DCD8" w14:textId="77777777" w:rsidTr="00BF35A5">
        <w:trPr>
          <w:trHeight w:val="147"/>
        </w:trPr>
        <w:tc>
          <w:tcPr>
            <w:tcW w:w="1129" w:type="dxa"/>
            <w:tcBorders>
              <w:top w:val="single" w:sz="4" w:space="0" w:color="auto"/>
              <w:left w:val="single" w:sz="4" w:space="0" w:color="auto"/>
              <w:bottom w:val="single" w:sz="4" w:space="0" w:color="auto"/>
              <w:right w:val="single" w:sz="4" w:space="0" w:color="auto"/>
            </w:tcBorders>
            <w:hideMark/>
          </w:tcPr>
          <w:p w14:paraId="40BF31E1" w14:textId="5FB79C60" w:rsidR="002C6140" w:rsidRPr="00851940" w:rsidRDefault="002C6140" w:rsidP="00BF35A5">
            <w:pPr>
              <w:textAlignment w:val="baseline"/>
              <w:rPr>
                <w:rFonts w:ascii="Arial Narrow" w:hAnsi="Arial Narrow" w:cs="Open Sans"/>
                <w:color w:val="333333"/>
                <w:sz w:val="18"/>
                <w:szCs w:val="18"/>
              </w:rPr>
            </w:pPr>
          </w:p>
        </w:tc>
        <w:tc>
          <w:tcPr>
            <w:tcW w:w="7797" w:type="dxa"/>
            <w:tcBorders>
              <w:top w:val="single" w:sz="4" w:space="0" w:color="auto"/>
              <w:left w:val="single" w:sz="4" w:space="0" w:color="auto"/>
              <w:bottom w:val="single" w:sz="4" w:space="0" w:color="auto"/>
              <w:right w:val="single" w:sz="4" w:space="0" w:color="auto"/>
            </w:tcBorders>
            <w:hideMark/>
          </w:tcPr>
          <w:p w14:paraId="01E95105" w14:textId="77777777" w:rsidR="002C6140" w:rsidRPr="00851940" w:rsidRDefault="002C6140" w:rsidP="00BF35A5">
            <w:pPr>
              <w:rPr>
                <w:rFonts w:ascii="Arial Narrow" w:hAnsi="Arial Narrow" w:cs="Open Sans"/>
                <w:strike/>
                <w:color w:val="333333"/>
                <w:sz w:val="18"/>
                <w:szCs w:val="18"/>
              </w:rPr>
            </w:pPr>
            <w:r w:rsidRPr="00851940">
              <w:rPr>
                <w:rFonts w:ascii="Arial Narrow" w:hAnsi="Arial Narrow" w:cs="Open Sans"/>
                <w:strike/>
                <w:color w:val="333333"/>
                <w:sz w:val="18"/>
                <w:szCs w:val="18"/>
              </w:rPr>
              <w:t>The treatment must not be in combination with a Complement 5 (C5) inhibitor</w:t>
            </w:r>
          </w:p>
        </w:tc>
      </w:tr>
    </w:tbl>
    <w:p w14:paraId="40A716DE" w14:textId="77777777" w:rsidR="002C6140" w:rsidRPr="00851940" w:rsidRDefault="002C6140" w:rsidP="002C6140">
      <w:pPr>
        <w:rPr>
          <w:rFonts w:asciiTheme="minorHAnsi" w:hAnsiTheme="minorHAnsi" w:cstheme="minorHAnsi"/>
          <w:b/>
          <w:bCs/>
          <w:sz w:val="22"/>
          <w:szCs w:val="22"/>
        </w:rPr>
      </w:pPr>
      <w:r w:rsidRPr="00851940">
        <w:rPr>
          <w:rFonts w:asciiTheme="minorHAnsi" w:hAnsiTheme="minorHAnsi" w:cstheme="minorHAnsi"/>
          <w:b/>
          <w:bCs/>
          <w:sz w:val="22"/>
          <w:szCs w:val="22"/>
        </w:rPr>
        <w:t>to:</w:t>
      </w:r>
    </w:p>
    <w:tbl>
      <w:tblPr>
        <w:tblStyle w:val="TableGridLight1"/>
        <w:tblW w:w="8926" w:type="dxa"/>
        <w:tblLayout w:type="fixed"/>
        <w:tblLook w:val="04A0" w:firstRow="1" w:lastRow="0" w:firstColumn="1" w:lastColumn="0" w:noHBand="0" w:noVBand="1"/>
      </w:tblPr>
      <w:tblGrid>
        <w:gridCol w:w="1129"/>
        <w:gridCol w:w="7797"/>
      </w:tblGrid>
      <w:tr w:rsidR="002C6140" w:rsidRPr="00851940" w14:paraId="7D7E2731" w14:textId="77777777" w:rsidTr="00BF35A5">
        <w:trPr>
          <w:trHeight w:val="147"/>
        </w:trPr>
        <w:tc>
          <w:tcPr>
            <w:tcW w:w="1129" w:type="dxa"/>
            <w:tcBorders>
              <w:top w:val="single" w:sz="4" w:space="0" w:color="auto"/>
              <w:left w:val="single" w:sz="4" w:space="0" w:color="auto"/>
              <w:bottom w:val="single" w:sz="4" w:space="0" w:color="auto"/>
              <w:right w:val="single" w:sz="4" w:space="0" w:color="auto"/>
            </w:tcBorders>
            <w:hideMark/>
          </w:tcPr>
          <w:p w14:paraId="652523E7" w14:textId="21F6EDD0" w:rsidR="002C6140" w:rsidRPr="00132F2D" w:rsidRDefault="002C6140" w:rsidP="00BF35A5">
            <w:pPr>
              <w:textAlignment w:val="baseline"/>
              <w:rPr>
                <w:rFonts w:ascii="Arial Narrow" w:hAnsi="Arial Narrow" w:cs="Open Sans"/>
                <w:i/>
                <w:iCs/>
                <w:color w:val="333333"/>
                <w:sz w:val="20"/>
                <w:szCs w:val="20"/>
              </w:rPr>
            </w:pPr>
          </w:p>
        </w:tc>
        <w:tc>
          <w:tcPr>
            <w:tcW w:w="7797" w:type="dxa"/>
            <w:tcBorders>
              <w:top w:val="single" w:sz="4" w:space="0" w:color="auto"/>
              <w:left w:val="single" w:sz="4" w:space="0" w:color="auto"/>
              <w:bottom w:val="single" w:sz="4" w:space="0" w:color="auto"/>
              <w:right w:val="single" w:sz="4" w:space="0" w:color="auto"/>
            </w:tcBorders>
            <w:hideMark/>
          </w:tcPr>
          <w:p w14:paraId="5CDF4C47" w14:textId="77777777" w:rsidR="002C6140" w:rsidRPr="00132F2D" w:rsidRDefault="002C6140" w:rsidP="00BF35A5">
            <w:pPr>
              <w:rPr>
                <w:rFonts w:ascii="Arial Narrow" w:hAnsi="Arial Narrow" w:cs="Open Sans"/>
                <w:i/>
                <w:iCs/>
                <w:color w:val="333333"/>
                <w:sz w:val="20"/>
                <w:szCs w:val="20"/>
              </w:rPr>
            </w:pPr>
            <w:r w:rsidRPr="00132F2D">
              <w:rPr>
                <w:rFonts w:ascii="Arial Narrow" w:hAnsi="Arial Narrow" w:cs="Open Sans"/>
                <w:i/>
                <w:iCs/>
                <w:color w:val="333333"/>
                <w:sz w:val="20"/>
                <w:szCs w:val="20"/>
              </w:rPr>
              <w:t>The treatment must be the sole PBS-subsidised therapy for this condition.</w:t>
            </w:r>
          </w:p>
        </w:tc>
      </w:tr>
    </w:tbl>
    <w:p w14:paraId="5B27E069" w14:textId="17692D0D" w:rsidR="002C6140" w:rsidRPr="005D3EEB" w:rsidRDefault="002C6140" w:rsidP="007F4886">
      <w:pPr>
        <w:widowControl w:val="0"/>
        <w:numPr>
          <w:ilvl w:val="1"/>
          <w:numId w:val="1"/>
        </w:numPr>
        <w:spacing w:after="120"/>
        <w:ind w:left="720" w:hanging="720"/>
        <w:contextualSpacing/>
        <w:rPr>
          <w:bCs/>
          <w:lang w:eastAsia="en-US"/>
        </w:rPr>
      </w:pPr>
      <w:bookmarkStart w:id="73" w:name="_Ref172540721"/>
      <w:r w:rsidRPr="005D3EEB">
        <w:rPr>
          <w:bCs/>
          <w:lang w:eastAsia="en-US"/>
        </w:rPr>
        <w:t>Flow on changes to all ravulizumab, eculizumab and pegcetacoplan restrictions for PNH:</w:t>
      </w:r>
      <w:bookmarkEnd w:id="73"/>
      <w:r w:rsidRPr="005D3EEB">
        <w:rPr>
          <w:bCs/>
          <w:lang w:eastAsia="en-US"/>
        </w:rPr>
        <w:t xml:space="preserve"> </w:t>
      </w:r>
    </w:p>
    <w:p w14:paraId="23D8F982" w14:textId="77777777" w:rsidR="002C6140" w:rsidRPr="005D3EEB" w:rsidRDefault="002C6140" w:rsidP="007F4886">
      <w:pPr>
        <w:pStyle w:val="COMexecsummbulletlist"/>
        <w:ind w:left="1134"/>
      </w:pPr>
      <w:r w:rsidRPr="005D3EEB">
        <w:t>Item codes: Eculizumab : 12840T, 12864C, 12877R, 12896R, 12899X, 12900Y</w:t>
      </w:r>
    </w:p>
    <w:p w14:paraId="55E8B024" w14:textId="77777777" w:rsidR="002C6140" w:rsidRPr="005D3EEB" w:rsidRDefault="002C6140" w:rsidP="007F4886">
      <w:pPr>
        <w:pStyle w:val="COMexecsummbulletlist"/>
        <w:ind w:left="1134"/>
      </w:pPr>
      <w:r w:rsidRPr="005D3EEB">
        <w:t>Item codes: Ravulizumab: 12856P, 12883C, 12897T, 12901B, 12841W, 12884D, 12895Q, 12898W</w:t>
      </w:r>
    </w:p>
    <w:p w14:paraId="5ABA2C98" w14:textId="77777777" w:rsidR="002C6140" w:rsidRPr="005D3EEB" w:rsidRDefault="002C6140" w:rsidP="007F4886">
      <w:pPr>
        <w:pStyle w:val="COMexecsummbulletlist"/>
        <w:ind w:left="1134"/>
      </w:pPr>
      <w:r w:rsidRPr="005D3EEB">
        <w:t xml:space="preserve">Item codes: Pegcetacoplan: 13196M, 13191G, 13180Q, 13175K, 13185Y, 13197N </w:t>
      </w:r>
    </w:p>
    <w:p w14:paraId="334DA30E" w14:textId="77777777" w:rsidR="002C6140" w:rsidRPr="005D3EEB" w:rsidRDefault="002C6140" w:rsidP="007F4886">
      <w:pPr>
        <w:widowControl w:val="0"/>
        <w:spacing w:after="120"/>
        <w:ind w:left="720"/>
        <w:contextualSpacing/>
        <w:rPr>
          <w:bCs/>
          <w:lang w:eastAsia="en-US"/>
        </w:rPr>
      </w:pPr>
      <w:r w:rsidRPr="005D3EEB">
        <w:rPr>
          <w:bCs/>
          <w:lang w:eastAsia="en-US"/>
        </w:rPr>
        <w:t>change in concept ID: 27164 that includes completed authority prescription form(s);</w:t>
      </w:r>
    </w:p>
    <w:p w14:paraId="44750FC6" w14:textId="77777777" w:rsidR="002C6140" w:rsidRDefault="002C6140" w:rsidP="007F4886">
      <w:pPr>
        <w:widowControl w:val="0"/>
        <w:spacing w:after="120"/>
        <w:ind w:left="720"/>
        <w:contextualSpacing/>
        <w:rPr>
          <w:bCs/>
          <w:lang w:eastAsia="en-US"/>
        </w:rPr>
      </w:pPr>
      <w:r w:rsidRPr="005D3EEB">
        <w:rPr>
          <w:bCs/>
          <w:lang w:eastAsia="en-US"/>
        </w:rPr>
        <w:t>to concept ID: 32530 that includes details of the proposed prescription.</w:t>
      </w:r>
    </w:p>
    <w:p w14:paraId="017A09CB" w14:textId="77777777" w:rsidR="005D3EEB" w:rsidRPr="005D3EEB" w:rsidRDefault="005D3EEB" w:rsidP="005D3EEB">
      <w:pPr>
        <w:widowControl w:val="0"/>
        <w:spacing w:after="120"/>
        <w:ind w:left="720"/>
        <w:contextualSpacing/>
        <w:jc w:val="left"/>
        <w:rPr>
          <w:bCs/>
          <w:lang w:eastAsia="en-US"/>
        </w:rPr>
      </w:pPr>
    </w:p>
    <w:tbl>
      <w:tblPr>
        <w:tblStyle w:val="TableGridLight1"/>
        <w:tblW w:w="8926" w:type="dxa"/>
        <w:tblLayout w:type="fixed"/>
        <w:tblLook w:val="04A0" w:firstRow="1" w:lastRow="0" w:firstColumn="1" w:lastColumn="0" w:noHBand="0" w:noVBand="1"/>
      </w:tblPr>
      <w:tblGrid>
        <w:gridCol w:w="1271"/>
        <w:gridCol w:w="7655"/>
      </w:tblGrid>
      <w:tr w:rsidR="002C6140" w:rsidRPr="0083756B" w14:paraId="45DA921F" w14:textId="77777777" w:rsidTr="00BF35A5">
        <w:tc>
          <w:tcPr>
            <w:tcW w:w="1271" w:type="dxa"/>
            <w:tcBorders>
              <w:top w:val="single" w:sz="4" w:space="0" w:color="auto"/>
              <w:left w:val="single" w:sz="4" w:space="0" w:color="auto"/>
              <w:bottom w:val="single" w:sz="4" w:space="0" w:color="auto"/>
              <w:right w:val="single" w:sz="4" w:space="0" w:color="auto"/>
            </w:tcBorders>
          </w:tcPr>
          <w:p w14:paraId="6085DE76" w14:textId="111CCAE4" w:rsidR="002C6140" w:rsidRPr="00BB6E54" w:rsidRDefault="002C6140" w:rsidP="00BF35A5">
            <w:pPr>
              <w:jc w:val="center"/>
              <w:textAlignment w:val="baseline"/>
              <w:rPr>
                <w:rFonts w:ascii="Arial Narrow" w:hAnsi="Arial Narrow" w:cs="Open Sans"/>
                <w:color w:val="333333"/>
                <w:sz w:val="20"/>
                <w:szCs w:val="20"/>
              </w:rPr>
            </w:pPr>
          </w:p>
        </w:tc>
        <w:tc>
          <w:tcPr>
            <w:tcW w:w="7655" w:type="dxa"/>
            <w:tcBorders>
              <w:top w:val="single" w:sz="4" w:space="0" w:color="auto"/>
              <w:left w:val="single" w:sz="4" w:space="0" w:color="auto"/>
              <w:bottom w:val="single" w:sz="4" w:space="0" w:color="auto"/>
              <w:right w:val="single" w:sz="4" w:space="0" w:color="auto"/>
            </w:tcBorders>
          </w:tcPr>
          <w:p w14:paraId="0AB44869" w14:textId="77777777" w:rsidR="002C6140" w:rsidRPr="00BB6E54" w:rsidRDefault="002C6140" w:rsidP="00BF35A5">
            <w:pPr>
              <w:textAlignment w:val="baseline"/>
              <w:rPr>
                <w:rFonts w:ascii="Arial Narrow" w:hAnsi="Arial Narrow" w:cs="Open Sans"/>
                <w:color w:val="333333"/>
                <w:sz w:val="20"/>
                <w:szCs w:val="20"/>
              </w:rPr>
            </w:pPr>
            <w:r w:rsidRPr="00BB6E54">
              <w:rPr>
                <w:rFonts w:ascii="Arial Narrow" w:hAnsi="Arial Narrow" w:cs="Open Sans"/>
                <w:b/>
                <w:bCs/>
                <w:color w:val="333333"/>
                <w:sz w:val="20"/>
                <w:szCs w:val="20"/>
                <w:bdr w:val="none" w:sz="0" w:space="0" w:color="auto" w:frame="1"/>
              </w:rPr>
              <w:t>Prescribing Instructions:</w:t>
            </w:r>
          </w:p>
          <w:p w14:paraId="414A9B11" w14:textId="77777777" w:rsidR="002C6140" w:rsidRPr="00BB6E54" w:rsidRDefault="002C6140" w:rsidP="00BF35A5">
            <w:pPr>
              <w:textAlignment w:val="baseline"/>
              <w:rPr>
                <w:rFonts w:ascii="Arial Narrow" w:hAnsi="Arial Narrow" w:cs="Open Sans"/>
                <w:strike/>
                <w:color w:val="333333"/>
                <w:sz w:val="20"/>
                <w:szCs w:val="20"/>
              </w:rPr>
            </w:pPr>
            <w:r w:rsidRPr="00BB6E54">
              <w:rPr>
                <w:rFonts w:ascii="Arial Narrow" w:hAnsi="Arial Narrow" w:cs="Open Sans"/>
                <w:strike/>
                <w:color w:val="333333"/>
                <w:sz w:val="20"/>
                <w:szCs w:val="20"/>
              </w:rPr>
              <w:t>The authority application must be made in writing and must include:</w:t>
            </w:r>
          </w:p>
          <w:p w14:paraId="662BBA7C" w14:textId="77777777" w:rsidR="002C6140" w:rsidRPr="00BB6E54" w:rsidRDefault="002C6140" w:rsidP="00BF35A5">
            <w:pPr>
              <w:textAlignment w:val="baseline"/>
              <w:rPr>
                <w:rFonts w:ascii="Arial Narrow" w:hAnsi="Arial Narrow" w:cs="Open Sans"/>
                <w:strike/>
                <w:color w:val="333333"/>
                <w:sz w:val="20"/>
                <w:szCs w:val="20"/>
              </w:rPr>
            </w:pPr>
            <w:r w:rsidRPr="00BB6E54">
              <w:rPr>
                <w:rFonts w:ascii="Arial Narrow" w:hAnsi="Arial Narrow" w:cs="Open Sans"/>
                <w:strike/>
                <w:color w:val="333333"/>
                <w:sz w:val="20"/>
                <w:szCs w:val="20"/>
              </w:rPr>
              <w:t>(1) a completed authority prescription form; and</w:t>
            </w:r>
          </w:p>
          <w:p w14:paraId="369E02AF" w14:textId="77777777" w:rsidR="002C6140" w:rsidRPr="00BB6E54" w:rsidRDefault="002C6140" w:rsidP="00BF35A5">
            <w:pPr>
              <w:textAlignment w:val="baseline"/>
              <w:rPr>
                <w:rFonts w:ascii="Arial Narrow" w:hAnsi="Arial Narrow" w:cs="Open Sans"/>
                <w:strike/>
                <w:color w:val="333333"/>
                <w:sz w:val="20"/>
                <w:szCs w:val="20"/>
              </w:rPr>
            </w:pPr>
            <w:r w:rsidRPr="00BB6E54">
              <w:rPr>
                <w:rFonts w:ascii="Arial Narrow" w:hAnsi="Arial Narrow" w:cs="Open Sans"/>
                <w:strike/>
                <w:color w:val="333333"/>
                <w:sz w:val="20"/>
                <w:szCs w:val="20"/>
              </w:rPr>
              <w:t>(2) a completed authority application form relevant to the indication and treatment phase (the latest version is located on the website specified in the Administrative Advice).</w:t>
            </w:r>
          </w:p>
          <w:p w14:paraId="66D9D308" w14:textId="77777777" w:rsidR="002C6140" w:rsidRPr="00BB6E54" w:rsidRDefault="002C6140" w:rsidP="00BF35A5">
            <w:pPr>
              <w:textAlignment w:val="baseline"/>
              <w:rPr>
                <w:rFonts w:ascii="Arial Narrow" w:hAnsi="Arial Narrow" w:cs="Open Sans"/>
                <w:strike/>
                <w:color w:val="333333"/>
                <w:sz w:val="20"/>
                <w:szCs w:val="20"/>
              </w:rPr>
            </w:pPr>
          </w:p>
          <w:p w14:paraId="4D81C37B" w14:textId="77777777" w:rsidR="002C6140" w:rsidRPr="00BB6E54" w:rsidRDefault="002C6140" w:rsidP="00BF35A5">
            <w:pPr>
              <w:keepNext/>
              <w:keepLines/>
              <w:rPr>
                <w:rFonts w:ascii="Arial Narrow" w:hAnsi="Arial Narrow"/>
                <w:i/>
                <w:iCs/>
                <w:sz w:val="20"/>
                <w:szCs w:val="20"/>
              </w:rPr>
            </w:pPr>
            <w:r w:rsidRPr="00BB6E54">
              <w:rPr>
                <w:rFonts w:ascii="Arial Narrow" w:hAnsi="Arial Narrow"/>
                <w:i/>
                <w:iCs/>
                <w:sz w:val="20"/>
                <w:szCs w:val="20"/>
              </w:rPr>
              <w:t>The authority application must be made in writing and must include:</w:t>
            </w:r>
          </w:p>
          <w:p w14:paraId="06351CE7" w14:textId="77777777" w:rsidR="002C6140" w:rsidRPr="00BB6E54" w:rsidRDefault="002C6140" w:rsidP="00BF35A5">
            <w:pPr>
              <w:keepNext/>
              <w:keepLines/>
              <w:rPr>
                <w:rFonts w:ascii="Arial Narrow" w:hAnsi="Arial Narrow"/>
                <w:i/>
                <w:iCs/>
                <w:sz w:val="20"/>
                <w:szCs w:val="20"/>
              </w:rPr>
            </w:pPr>
            <w:r w:rsidRPr="00BB6E54">
              <w:rPr>
                <w:rFonts w:ascii="Arial Narrow" w:hAnsi="Arial Narrow"/>
                <w:i/>
                <w:iCs/>
                <w:sz w:val="20"/>
                <w:szCs w:val="20"/>
              </w:rPr>
              <w:t xml:space="preserve">(1) </w:t>
            </w:r>
            <w:r w:rsidRPr="00132F2D">
              <w:rPr>
                <w:rFonts w:ascii="Arial Narrow" w:hAnsi="Arial Narrow"/>
                <w:i/>
                <w:iCs/>
                <w:sz w:val="20"/>
                <w:szCs w:val="20"/>
              </w:rPr>
              <w:t>details of the proposed prescription</w:t>
            </w:r>
            <w:r w:rsidRPr="009651D9">
              <w:rPr>
                <w:rFonts w:ascii="Arial Narrow" w:hAnsi="Arial Narrow"/>
                <w:i/>
                <w:iCs/>
                <w:sz w:val="20"/>
                <w:szCs w:val="20"/>
              </w:rPr>
              <w:t>;</w:t>
            </w:r>
            <w:r w:rsidRPr="00BB6E54">
              <w:rPr>
                <w:rFonts w:ascii="Arial Narrow" w:hAnsi="Arial Narrow"/>
                <w:i/>
                <w:iCs/>
                <w:sz w:val="20"/>
                <w:szCs w:val="20"/>
              </w:rPr>
              <w:t xml:space="preserve"> and</w:t>
            </w:r>
          </w:p>
          <w:p w14:paraId="7D29C0E8" w14:textId="41D66A84" w:rsidR="002C6140" w:rsidRPr="00BB6E54" w:rsidRDefault="002C6140" w:rsidP="005D3EEB">
            <w:pPr>
              <w:textAlignment w:val="baseline"/>
              <w:rPr>
                <w:rFonts w:ascii="Arial Narrow" w:hAnsi="Arial Narrow" w:cs="Open Sans"/>
                <w:i/>
                <w:iCs/>
                <w:color w:val="333333"/>
                <w:sz w:val="20"/>
                <w:szCs w:val="20"/>
              </w:rPr>
            </w:pPr>
            <w:r w:rsidRPr="00BB6E54">
              <w:rPr>
                <w:rFonts w:ascii="Arial Narrow" w:hAnsi="Arial Narrow"/>
                <w:i/>
                <w:iCs/>
                <w:sz w:val="20"/>
                <w:szCs w:val="20"/>
              </w:rPr>
              <w:t>(2) a completed authority application form relevant to the indication and treatment phase (the latest version is located on the website specified in the Administrative Advice).</w:t>
            </w:r>
          </w:p>
        </w:tc>
      </w:tr>
    </w:tbl>
    <w:bookmarkEnd w:id="68"/>
    <w:p w14:paraId="46EF28A2" w14:textId="74991DBD" w:rsidR="00753B29" w:rsidRDefault="002E5A07" w:rsidP="00CD1203">
      <w:pPr>
        <w:pStyle w:val="3-BodyText"/>
        <w:spacing w:before="120"/>
        <w:ind w:left="0" w:firstLine="0"/>
        <w:rPr>
          <w:b/>
          <w:bCs/>
          <w:i/>
          <w:iCs/>
        </w:rPr>
      </w:pPr>
      <w:r w:rsidRPr="002E5A07">
        <w:rPr>
          <w:b/>
          <w:bCs/>
          <w:i/>
          <w:iCs/>
        </w:rPr>
        <w:t>This restriction may be subject to further review. Should there be any changes made to the restriction the sponsor will be informed.</w:t>
      </w:r>
    </w:p>
    <w:p w14:paraId="3B849CD6" w14:textId="0D8011CC" w:rsidR="00261A4D" w:rsidRPr="00261A4D" w:rsidRDefault="00261A4D" w:rsidP="00261A4D">
      <w:pPr>
        <w:keepNext/>
        <w:numPr>
          <w:ilvl w:val="0"/>
          <w:numId w:val="1"/>
        </w:numPr>
        <w:spacing w:before="240" w:after="120"/>
        <w:jc w:val="left"/>
        <w:outlineLvl w:val="0"/>
        <w:rPr>
          <w:rFonts w:asciiTheme="minorHAnsi" w:hAnsiTheme="minorHAnsi"/>
          <w:b/>
          <w:bCs/>
          <w:snapToGrid w:val="0"/>
          <w:sz w:val="32"/>
          <w:szCs w:val="32"/>
          <w:lang w:val="en-GB"/>
        </w:rPr>
      </w:pPr>
      <w:r w:rsidRPr="00261A4D">
        <w:rPr>
          <w:rFonts w:asciiTheme="minorHAnsi" w:hAnsiTheme="minorHAnsi"/>
          <w:b/>
          <w:bCs/>
          <w:snapToGrid w:val="0"/>
          <w:sz w:val="32"/>
          <w:szCs w:val="32"/>
        </w:rPr>
        <w:t>Context for Decision</w:t>
      </w:r>
    </w:p>
    <w:p w14:paraId="69819C3A" w14:textId="77777777" w:rsidR="00261A4D" w:rsidRPr="00261A4D" w:rsidRDefault="00261A4D" w:rsidP="00261A4D">
      <w:pPr>
        <w:spacing w:after="120"/>
        <w:ind w:left="720"/>
        <w:rPr>
          <w:rFonts w:asciiTheme="minorHAnsi" w:hAnsiTheme="minorHAnsi"/>
          <w:bCs/>
          <w:lang w:val="en-GB"/>
        </w:rPr>
      </w:pPr>
      <w:r w:rsidRPr="00261A4D">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C534FC9" w14:textId="77777777" w:rsidR="00261A4D" w:rsidRPr="00261A4D" w:rsidRDefault="00261A4D" w:rsidP="00261A4D">
      <w:pPr>
        <w:keepNext/>
        <w:numPr>
          <w:ilvl w:val="0"/>
          <w:numId w:val="1"/>
        </w:numPr>
        <w:spacing w:before="240" w:after="120"/>
        <w:jc w:val="left"/>
        <w:outlineLvl w:val="0"/>
        <w:rPr>
          <w:rFonts w:asciiTheme="minorHAnsi" w:hAnsiTheme="minorHAnsi"/>
          <w:b/>
          <w:snapToGrid w:val="0"/>
          <w:sz w:val="32"/>
          <w:szCs w:val="32"/>
        </w:rPr>
      </w:pPr>
      <w:r w:rsidRPr="00261A4D">
        <w:rPr>
          <w:rFonts w:asciiTheme="minorHAnsi" w:hAnsiTheme="minorHAnsi"/>
          <w:b/>
          <w:snapToGrid w:val="0"/>
          <w:sz w:val="32"/>
          <w:szCs w:val="32"/>
        </w:rPr>
        <w:t>Sponsor’s Comment</w:t>
      </w:r>
    </w:p>
    <w:p w14:paraId="18122D24" w14:textId="05377237" w:rsidR="00261A4D" w:rsidRPr="00974DAA" w:rsidRDefault="00261A4D" w:rsidP="00974DAA">
      <w:pPr>
        <w:spacing w:after="120" w:line="276" w:lineRule="auto"/>
        <w:ind w:left="720"/>
        <w:rPr>
          <w:rFonts w:asciiTheme="minorHAnsi" w:eastAsiaTheme="minorHAnsi" w:hAnsiTheme="minorHAnsi"/>
          <w:bCs/>
          <w:szCs w:val="22"/>
          <w:lang w:eastAsia="en-US"/>
        </w:rPr>
      </w:pPr>
      <w:r w:rsidRPr="00261A4D">
        <w:rPr>
          <w:rFonts w:asciiTheme="minorHAnsi" w:eastAsiaTheme="minorHAnsi" w:hAnsiTheme="minorHAnsi"/>
          <w:bCs/>
          <w:szCs w:val="22"/>
          <w:lang w:eastAsia="en-US"/>
        </w:rPr>
        <w:t>The sponsor had no comment.</w:t>
      </w:r>
    </w:p>
    <w:sectPr w:rsidR="00261A4D" w:rsidRPr="00974DAA" w:rsidSect="0025780C">
      <w:headerReference w:type="even" r:id="rId9"/>
      <w:headerReference w:type="default" r:id="rId10"/>
      <w:footerReference w:type="even" r:id="rId11"/>
      <w:footerReference w:type="default" r:id="rId12"/>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01183" w14:textId="77777777" w:rsidR="00D87695" w:rsidRDefault="00D87695" w:rsidP="00124A51">
      <w:r>
        <w:separator/>
      </w:r>
    </w:p>
    <w:p w14:paraId="461CBE4F" w14:textId="77777777" w:rsidR="00D87695" w:rsidRDefault="00D87695"/>
    <w:p w14:paraId="57BDAFDE" w14:textId="77777777" w:rsidR="00D87695" w:rsidRDefault="00D87695"/>
  </w:endnote>
  <w:endnote w:type="continuationSeparator" w:id="0">
    <w:p w14:paraId="5607F0F5" w14:textId="77777777" w:rsidR="00D87695" w:rsidRDefault="00D87695" w:rsidP="00124A51">
      <w:r>
        <w:continuationSeparator/>
      </w:r>
    </w:p>
    <w:p w14:paraId="09B3BA41" w14:textId="77777777" w:rsidR="00D87695" w:rsidRDefault="00D87695"/>
    <w:p w14:paraId="4EFCFB85" w14:textId="77777777" w:rsidR="00D87695" w:rsidRDefault="00D87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21D7" w14:textId="715785BB" w:rsidR="00D843F2" w:rsidRDefault="00D843F2"/>
  <w:p w14:paraId="12A7165C" w14:textId="77777777" w:rsidR="00833323" w:rsidRDefault="008333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67DAD566" w:rsidR="00D843F2" w:rsidRDefault="00D843F2" w:rsidP="00753B29">
    <w:pPr>
      <w:jc w:val="center"/>
    </w:pPr>
  </w:p>
  <w:p w14:paraId="0610A181" w14:textId="044C0CF1" w:rsidR="00833323" w:rsidRDefault="002E7F91" w:rsidP="00B430EA">
    <w:pPr>
      <w:jc w:val="center"/>
    </w:pPr>
    <w:sdt>
      <w:sdtPr>
        <w:id w:val="1036156457"/>
        <w:docPartObj>
          <w:docPartGallery w:val="Page Numbers (Bottom of Page)"/>
          <w:docPartUnique/>
        </w:docPartObj>
      </w:sdtPr>
      <w:sdtEndPr>
        <w:rPr>
          <w:noProof/>
        </w:rPr>
      </w:sdtEndPr>
      <w:sdtContent>
        <w:r w:rsidR="00D843F2" w:rsidRPr="009929EF">
          <w:rPr>
            <w:b/>
            <w:bCs/>
          </w:rPr>
          <w:fldChar w:fldCharType="begin"/>
        </w:r>
        <w:r w:rsidR="00D843F2" w:rsidRPr="009929EF">
          <w:rPr>
            <w:b/>
            <w:bCs/>
          </w:rPr>
          <w:instrText xml:space="preserve"> PAGE   \* MERGEFORMAT </w:instrText>
        </w:r>
        <w:r w:rsidR="00D843F2" w:rsidRPr="009929EF">
          <w:rPr>
            <w:b/>
            <w:bCs/>
          </w:rPr>
          <w:fldChar w:fldCharType="separate"/>
        </w:r>
        <w:r w:rsidR="00D843F2" w:rsidRPr="009929EF">
          <w:rPr>
            <w:b/>
            <w:bCs/>
            <w:noProof/>
          </w:rPr>
          <w:t>2</w:t>
        </w:r>
        <w:r w:rsidR="00D843F2" w:rsidRPr="009929EF">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44E04" w14:textId="77777777" w:rsidR="00D87695" w:rsidRDefault="00D87695" w:rsidP="00124A51">
      <w:r>
        <w:separator/>
      </w:r>
    </w:p>
    <w:p w14:paraId="19819F56" w14:textId="77777777" w:rsidR="00D87695" w:rsidRDefault="00D87695"/>
    <w:p w14:paraId="1CCA5C58" w14:textId="77777777" w:rsidR="00D87695" w:rsidRDefault="00D87695"/>
  </w:footnote>
  <w:footnote w:type="continuationSeparator" w:id="0">
    <w:p w14:paraId="70DA5083" w14:textId="77777777" w:rsidR="00D87695" w:rsidRDefault="00D87695" w:rsidP="00124A51">
      <w:r>
        <w:continuationSeparator/>
      </w:r>
    </w:p>
    <w:p w14:paraId="024FB34B" w14:textId="77777777" w:rsidR="00D87695" w:rsidRDefault="00D87695"/>
    <w:p w14:paraId="469E07E8" w14:textId="77777777" w:rsidR="00D87695" w:rsidRDefault="00D876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F1A5" w14:textId="11DA2EE1" w:rsidR="00D843F2" w:rsidRDefault="00D843F2"/>
  <w:p w14:paraId="63B79AA0" w14:textId="77777777" w:rsidR="00833323" w:rsidRDefault="008333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0F73E40B" w:rsidR="00D843F2" w:rsidRPr="00570ABC" w:rsidRDefault="00D76B4F" w:rsidP="003C2DE2">
    <w:pPr>
      <w:jc w:val="center"/>
      <w:rPr>
        <w:rFonts w:asciiTheme="minorHAnsi" w:hAnsiTheme="minorHAnsi"/>
        <w:i/>
      </w:rPr>
    </w:pPr>
    <w:r w:rsidRPr="00570ABC">
      <w:rPr>
        <w:rFonts w:asciiTheme="minorHAnsi" w:hAnsiTheme="minorHAnsi"/>
        <w:i/>
      </w:rPr>
      <w:t xml:space="preserve">Public Summary Document </w:t>
    </w:r>
    <w:r w:rsidR="009929EF" w:rsidRPr="00570ABC">
      <w:rPr>
        <w:rFonts w:asciiTheme="minorHAnsi" w:hAnsiTheme="minorHAnsi"/>
        <w:i/>
      </w:rPr>
      <w:t xml:space="preserve">- </w:t>
    </w:r>
    <w:r w:rsidR="00EB6886" w:rsidRPr="00570ABC">
      <w:rPr>
        <w:rFonts w:asciiTheme="minorHAnsi" w:hAnsiTheme="minorHAnsi"/>
        <w:i/>
      </w:rPr>
      <w:t>July</w:t>
    </w:r>
    <w:r w:rsidR="00D843F2" w:rsidRPr="00570ABC">
      <w:rPr>
        <w:rFonts w:asciiTheme="minorHAnsi" w:hAnsiTheme="minorHAnsi"/>
        <w:i/>
      </w:rPr>
      <w:t xml:space="preserve"> 202</w:t>
    </w:r>
    <w:r w:rsidR="00EB6886" w:rsidRPr="00570ABC">
      <w:rPr>
        <w:rFonts w:asciiTheme="minorHAnsi" w:hAnsiTheme="minorHAnsi"/>
        <w:i/>
      </w:rPr>
      <w:t>4</w:t>
    </w:r>
    <w:r w:rsidR="00D843F2" w:rsidRPr="00570ABC">
      <w:rPr>
        <w:rFonts w:asciiTheme="minorHAnsi" w:hAnsiTheme="minorHAnsi"/>
        <w:i/>
      </w:rPr>
      <w:t xml:space="preserve"> PBAC Meeting</w:t>
    </w:r>
  </w:p>
  <w:p w14:paraId="1EE0E4B2" w14:textId="77777777" w:rsidR="00833323" w:rsidRDefault="008333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E4BD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27327A"/>
    <w:multiLevelType w:val="hybridMultilevel"/>
    <w:tmpl w:val="51FA5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40474B"/>
    <w:multiLevelType w:val="hybridMultilevel"/>
    <w:tmpl w:val="C02AABC4"/>
    <w:lvl w:ilvl="0" w:tplc="14E2A5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B219F8"/>
    <w:multiLevelType w:val="hybridMultilevel"/>
    <w:tmpl w:val="6CA0CEB4"/>
    <w:lvl w:ilvl="0" w:tplc="4F38898A">
      <w:start w:val="1"/>
      <w:numFmt w:val="bullet"/>
      <w:pStyle w:val="COMexecsummmainissue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B6274A"/>
    <w:multiLevelType w:val="hybridMultilevel"/>
    <w:tmpl w:val="399A2208"/>
    <w:lvl w:ilvl="0" w:tplc="CFF6B4E2">
      <w:start w:val="1"/>
      <w:numFmt w:val="decimal"/>
      <w:lvlText w:val="%1."/>
      <w:lvlJc w:val="left"/>
      <w:pPr>
        <w:ind w:left="4754" w:hanging="360"/>
      </w:pPr>
      <w:rPr>
        <w:rFonts w:hint="default"/>
        <w:i w:val="0"/>
        <w:iCs/>
        <w:color w:val="auto"/>
      </w:rPr>
    </w:lvl>
    <w:lvl w:ilvl="1" w:tplc="0C090019">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167E24"/>
    <w:multiLevelType w:val="hybridMultilevel"/>
    <w:tmpl w:val="197A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6F4838"/>
    <w:multiLevelType w:val="hybridMultilevel"/>
    <w:tmpl w:val="772AF5FC"/>
    <w:lvl w:ilvl="0" w:tplc="07EC2CC2">
      <w:start w:val="2"/>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442297"/>
    <w:multiLevelType w:val="hybridMultilevel"/>
    <w:tmpl w:val="E6FE4E00"/>
    <w:lvl w:ilvl="0" w:tplc="C324F4FC">
      <w:start w:val="1"/>
      <w:numFmt w:val="bullet"/>
      <w:pStyle w:val="zz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D67A6"/>
    <w:multiLevelType w:val="hybridMultilevel"/>
    <w:tmpl w:val="FAB8EED8"/>
    <w:lvl w:ilvl="0" w:tplc="8708BEC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B87782"/>
    <w:multiLevelType w:val="hybridMultilevel"/>
    <w:tmpl w:val="F668A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AFA3C06"/>
    <w:multiLevelType w:val="hybridMultilevel"/>
    <w:tmpl w:val="90BCF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15A5651"/>
    <w:multiLevelType w:val="hybridMultilevel"/>
    <w:tmpl w:val="5C1AB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4D033C"/>
    <w:multiLevelType w:val="multilevel"/>
    <w:tmpl w:val="45FC285E"/>
    <w:lvl w:ilvl="0">
      <w:start w:val="1"/>
      <w:numFmt w:val="decimal"/>
      <w:pStyle w:val="COMH1numbered"/>
      <w:lvlText w:val="%1"/>
      <w:lvlJc w:val="left"/>
      <w:pPr>
        <w:ind w:left="720" w:hanging="720"/>
      </w:pPr>
      <w:rPr>
        <w:rFonts w:hint="default"/>
        <w:b/>
      </w:rPr>
    </w:lvl>
    <w:lvl w:ilvl="1">
      <w:start w:val="1"/>
      <w:numFmt w:val="decimal"/>
      <w:pStyle w:val="COMexecsumnumberedpara"/>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CC02F1"/>
    <w:multiLevelType w:val="hybridMultilevel"/>
    <w:tmpl w:val="00E2280C"/>
    <w:lvl w:ilvl="0" w:tplc="7C5686EE">
      <w:start w:val="2"/>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23" w15:restartNumberingAfterBreak="0">
    <w:nsid w:val="7F9C4FF6"/>
    <w:multiLevelType w:val="multilevel"/>
    <w:tmpl w:val="AE20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869416">
    <w:abstractNumId w:val="20"/>
  </w:num>
  <w:num w:numId="2" w16cid:durableId="1740515427">
    <w:abstractNumId w:val="12"/>
  </w:num>
  <w:num w:numId="3" w16cid:durableId="1215312277">
    <w:abstractNumId w:val="13"/>
  </w:num>
  <w:num w:numId="4" w16cid:durableId="1123233462">
    <w:abstractNumId w:val="0"/>
  </w:num>
  <w:num w:numId="5" w16cid:durableId="712847743">
    <w:abstractNumId w:val="20"/>
  </w:num>
  <w:num w:numId="6" w16cid:durableId="170100366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6599140">
    <w:abstractNumId w:val="5"/>
  </w:num>
  <w:num w:numId="8" w16cid:durableId="1279095965">
    <w:abstractNumId w:val="11"/>
  </w:num>
  <w:num w:numId="9" w16cid:durableId="1755780064">
    <w:abstractNumId w:val="3"/>
  </w:num>
  <w:num w:numId="10" w16cid:durableId="935407003">
    <w:abstractNumId w:val="15"/>
  </w:num>
  <w:num w:numId="11" w16cid:durableId="1148786101">
    <w:abstractNumId w:val="19"/>
  </w:num>
  <w:num w:numId="12" w16cid:durableId="2117291260">
    <w:abstractNumId w:val="10"/>
  </w:num>
  <w:num w:numId="13" w16cid:durableId="1458184969">
    <w:abstractNumId w:val="21"/>
  </w:num>
  <w:num w:numId="14" w16cid:durableId="1340355597">
    <w:abstractNumId w:val="7"/>
  </w:num>
  <w:num w:numId="15" w16cid:durableId="476847926">
    <w:abstractNumId w:val="22"/>
  </w:num>
  <w:num w:numId="16" w16cid:durableId="1526333890">
    <w:abstractNumId w:val="14"/>
  </w:num>
  <w:num w:numId="17" w16cid:durableId="314601850">
    <w:abstractNumId w:val="2"/>
  </w:num>
  <w:num w:numId="18" w16cid:durableId="440762266">
    <w:abstractNumId w:val="1"/>
  </w:num>
  <w:num w:numId="19" w16cid:durableId="338586457">
    <w:abstractNumId w:val="8"/>
  </w:num>
  <w:num w:numId="20" w16cid:durableId="114107678">
    <w:abstractNumId w:val="9"/>
  </w:num>
  <w:num w:numId="21" w16cid:durableId="696153043">
    <w:abstractNumId w:val="6"/>
  </w:num>
  <w:num w:numId="22" w16cid:durableId="129744317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1185236">
    <w:abstractNumId w:val="18"/>
  </w:num>
  <w:num w:numId="24" w16cid:durableId="288171191">
    <w:abstractNumId w:val="17"/>
  </w:num>
  <w:num w:numId="25" w16cid:durableId="917641882">
    <w:abstractNumId w:val="13"/>
  </w:num>
  <w:num w:numId="26" w16cid:durableId="1949118052">
    <w:abstractNumId w:val="20"/>
  </w:num>
  <w:num w:numId="27" w16cid:durableId="1799567375">
    <w:abstractNumId w:val="13"/>
  </w:num>
  <w:num w:numId="28" w16cid:durableId="2116703725">
    <w:abstractNumId w:val="13"/>
  </w:num>
  <w:num w:numId="29" w16cid:durableId="1167328499">
    <w:abstractNumId w:val="13"/>
  </w:num>
  <w:num w:numId="30" w16cid:durableId="787550254">
    <w:abstractNumId w:val="13"/>
  </w:num>
  <w:num w:numId="31" w16cid:durableId="319962829">
    <w:abstractNumId w:val="13"/>
  </w:num>
  <w:num w:numId="32" w16cid:durableId="1026448123">
    <w:abstractNumId w:val="13"/>
  </w:num>
  <w:num w:numId="33" w16cid:durableId="1353528237">
    <w:abstractNumId w:val="13"/>
  </w:num>
  <w:num w:numId="34" w16cid:durableId="469203451">
    <w:abstractNumId w:val="13"/>
  </w:num>
  <w:num w:numId="35" w16cid:durableId="1211501380">
    <w:abstractNumId w:val="23"/>
  </w:num>
  <w:num w:numId="36" w16cid:durableId="1765687203">
    <w:abstractNumId w:val="4"/>
  </w:num>
  <w:num w:numId="37" w16cid:durableId="980114032">
    <w:abstractNumId w:val="13"/>
  </w:num>
  <w:num w:numId="38" w16cid:durableId="1078165471">
    <w:abstractNumId w:val="13"/>
  </w:num>
  <w:num w:numId="39" w16cid:durableId="1636829972">
    <w:abstractNumId w:val="13"/>
  </w:num>
  <w:num w:numId="40" w16cid:durableId="1912307344">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9"/>
    <w:rsid w:val="00000270"/>
    <w:rsid w:val="00000790"/>
    <w:rsid w:val="000008FA"/>
    <w:rsid w:val="00000FBE"/>
    <w:rsid w:val="0000110B"/>
    <w:rsid w:val="00002BD2"/>
    <w:rsid w:val="00003499"/>
    <w:rsid w:val="000039B7"/>
    <w:rsid w:val="00004DDB"/>
    <w:rsid w:val="000056B9"/>
    <w:rsid w:val="000056EE"/>
    <w:rsid w:val="00005A67"/>
    <w:rsid w:val="0000639A"/>
    <w:rsid w:val="00006623"/>
    <w:rsid w:val="00006A90"/>
    <w:rsid w:val="00006FA4"/>
    <w:rsid w:val="0000752B"/>
    <w:rsid w:val="00007A24"/>
    <w:rsid w:val="000103D0"/>
    <w:rsid w:val="0001127E"/>
    <w:rsid w:val="00011A4D"/>
    <w:rsid w:val="00012268"/>
    <w:rsid w:val="000126F9"/>
    <w:rsid w:val="00012EE0"/>
    <w:rsid w:val="00013247"/>
    <w:rsid w:val="00013772"/>
    <w:rsid w:val="000137B9"/>
    <w:rsid w:val="000149F4"/>
    <w:rsid w:val="00015886"/>
    <w:rsid w:val="00015D19"/>
    <w:rsid w:val="000162EF"/>
    <w:rsid w:val="0001787A"/>
    <w:rsid w:val="00017E95"/>
    <w:rsid w:val="000200AA"/>
    <w:rsid w:val="000201F7"/>
    <w:rsid w:val="00020433"/>
    <w:rsid w:val="000207C9"/>
    <w:rsid w:val="0002225F"/>
    <w:rsid w:val="00022748"/>
    <w:rsid w:val="0002287A"/>
    <w:rsid w:val="000234A4"/>
    <w:rsid w:val="000236A8"/>
    <w:rsid w:val="00023763"/>
    <w:rsid w:val="00023AB6"/>
    <w:rsid w:val="00023B90"/>
    <w:rsid w:val="00023B9C"/>
    <w:rsid w:val="00024A97"/>
    <w:rsid w:val="00024EB5"/>
    <w:rsid w:val="00024F51"/>
    <w:rsid w:val="00025C04"/>
    <w:rsid w:val="00026A61"/>
    <w:rsid w:val="000274B8"/>
    <w:rsid w:val="0002786D"/>
    <w:rsid w:val="00027B01"/>
    <w:rsid w:val="00031F45"/>
    <w:rsid w:val="00032192"/>
    <w:rsid w:val="000323E7"/>
    <w:rsid w:val="00032E8D"/>
    <w:rsid w:val="000331D9"/>
    <w:rsid w:val="00033403"/>
    <w:rsid w:val="00033863"/>
    <w:rsid w:val="0003405F"/>
    <w:rsid w:val="00034727"/>
    <w:rsid w:val="000347F0"/>
    <w:rsid w:val="00035DC0"/>
    <w:rsid w:val="0003658E"/>
    <w:rsid w:val="00036829"/>
    <w:rsid w:val="0003789E"/>
    <w:rsid w:val="00037A04"/>
    <w:rsid w:val="00040384"/>
    <w:rsid w:val="00040895"/>
    <w:rsid w:val="000410A0"/>
    <w:rsid w:val="000416E0"/>
    <w:rsid w:val="00042235"/>
    <w:rsid w:val="0004272E"/>
    <w:rsid w:val="00042952"/>
    <w:rsid w:val="000435EE"/>
    <w:rsid w:val="00043C37"/>
    <w:rsid w:val="00044B5C"/>
    <w:rsid w:val="00044BEF"/>
    <w:rsid w:val="00044E12"/>
    <w:rsid w:val="00045017"/>
    <w:rsid w:val="00045A2B"/>
    <w:rsid w:val="00045BC9"/>
    <w:rsid w:val="00046856"/>
    <w:rsid w:val="0004698F"/>
    <w:rsid w:val="00046AAD"/>
    <w:rsid w:val="00046D64"/>
    <w:rsid w:val="000476A2"/>
    <w:rsid w:val="00050772"/>
    <w:rsid w:val="000508C2"/>
    <w:rsid w:val="0005185D"/>
    <w:rsid w:val="000522B9"/>
    <w:rsid w:val="000524E5"/>
    <w:rsid w:val="000530C0"/>
    <w:rsid w:val="0005376E"/>
    <w:rsid w:val="000539D0"/>
    <w:rsid w:val="00054621"/>
    <w:rsid w:val="000546D7"/>
    <w:rsid w:val="00054A8D"/>
    <w:rsid w:val="0005532D"/>
    <w:rsid w:val="00056E7E"/>
    <w:rsid w:val="00056ECF"/>
    <w:rsid w:val="000574EB"/>
    <w:rsid w:val="00057AC8"/>
    <w:rsid w:val="00057F4C"/>
    <w:rsid w:val="000604DF"/>
    <w:rsid w:val="00060845"/>
    <w:rsid w:val="0006189A"/>
    <w:rsid w:val="00062324"/>
    <w:rsid w:val="00064158"/>
    <w:rsid w:val="00065310"/>
    <w:rsid w:val="000653B5"/>
    <w:rsid w:val="00066020"/>
    <w:rsid w:val="00066360"/>
    <w:rsid w:val="00066478"/>
    <w:rsid w:val="00066AF8"/>
    <w:rsid w:val="00067E58"/>
    <w:rsid w:val="00067EF7"/>
    <w:rsid w:val="00071248"/>
    <w:rsid w:val="0007159D"/>
    <w:rsid w:val="00071F2B"/>
    <w:rsid w:val="000720B9"/>
    <w:rsid w:val="000722AF"/>
    <w:rsid w:val="0007317D"/>
    <w:rsid w:val="000737F7"/>
    <w:rsid w:val="00073FFE"/>
    <w:rsid w:val="00074649"/>
    <w:rsid w:val="00074FCE"/>
    <w:rsid w:val="0007672F"/>
    <w:rsid w:val="00076B54"/>
    <w:rsid w:val="00076C60"/>
    <w:rsid w:val="00076CC1"/>
    <w:rsid w:val="000774F0"/>
    <w:rsid w:val="000806F4"/>
    <w:rsid w:val="00080909"/>
    <w:rsid w:val="00080FAC"/>
    <w:rsid w:val="00081247"/>
    <w:rsid w:val="000812CA"/>
    <w:rsid w:val="0008176C"/>
    <w:rsid w:val="000817D0"/>
    <w:rsid w:val="00081E63"/>
    <w:rsid w:val="0008258D"/>
    <w:rsid w:val="00083BA6"/>
    <w:rsid w:val="00083E99"/>
    <w:rsid w:val="00084FA8"/>
    <w:rsid w:val="000856C5"/>
    <w:rsid w:val="00085C31"/>
    <w:rsid w:val="00086BDD"/>
    <w:rsid w:val="00086EA6"/>
    <w:rsid w:val="00086EBA"/>
    <w:rsid w:val="000872BC"/>
    <w:rsid w:val="00087536"/>
    <w:rsid w:val="000902D9"/>
    <w:rsid w:val="000906FF"/>
    <w:rsid w:val="00090C7E"/>
    <w:rsid w:val="000911AC"/>
    <w:rsid w:val="00091617"/>
    <w:rsid w:val="00092600"/>
    <w:rsid w:val="0009262B"/>
    <w:rsid w:val="00093310"/>
    <w:rsid w:val="0009353F"/>
    <w:rsid w:val="0009445C"/>
    <w:rsid w:val="00094D87"/>
    <w:rsid w:val="000950F9"/>
    <w:rsid w:val="00095200"/>
    <w:rsid w:val="00095787"/>
    <w:rsid w:val="00095F9D"/>
    <w:rsid w:val="00095FE5"/>
    <w:rsid w:val="00096284"/>
    <w:rsid w:val="00096BE1"/>
    <w:rsid w:val="00096E53"/>
    <w:rsid w:val="00096F96"/>
    <w:rsid w:val="00097195"/>
    <w:rsid w:val="000976EF"/>
    <w:rsid w:val="000A1BC0"/>
    <w:rsid w:val="000A20A1"/>
    <w:rsid w:val="000A24FE"/>
    <w:rsid w:val="000A2F9E"/>
    <w:rsid w:val="000A30AC"/>
    <w:rsid w:val="000A3E47"/>
    <w:rsid w:val="000A4D01"/>
    <w:rsid w:val="000A4D94"/>
    <w:rsid w:val="000A522B"/>
    <w:rsid w:val="000A6039"/>
    <w:rsid w:val="000A6105"/>
    <w:rsid w:val="000A61F6"/>
    <w:rsid w:val="000A6275"/>
    <w:rsid w:val="000A6759"/>
    <w:rsid w:val="000A7004"/>
    <w:rsid w:val="000A7453"/>
    <w:rsid w:val="000A7D08"/>
    <w:rsid w:val="000B0121"/>
    <w:rsid w:val="000B0670"/>
    <w:rsid w:val="000B0E75"/>
    <w:rsid w:val="000B118B"/>
    <w:rsid w:val="000B1E3F"/>
    <w:rsid w:val="000B22E8"/>
    <w:rsid w:val="000B2DCB"/>
    <w:rsid w:val="000B358F"/>
    <w:rsid w:val="000B367E"/>
    <w:rsid w:val="000B5CE0"/>
    <w:rsid w:val="000B65AD"/>
    <w:rsid w:val="000B65D9"/>
    <w:rsid w:val="000B6CAC"/>
    <w:rsid w:val="000B7165"/>
    <w:rsid w:val="000B72A1"/>
    <w:rsid w:val="000B7612"/>
    <w:rsid w:val="000B7637"/>
    <w:rsid w:val="000B7850"/>
    <w:rsid w:val="000B78AE"/>
    <w:rsid w:val="000B7F25"/>
    <w:rsid w:val="000C1773"/>
    <w:rsid w:val="000C178F"/>
    <w:rsid w:val="000C2EB9"/>
    <w:rsid w:val="000C3DF9"/>
    <w:rsid w:val="000C4B65"/>
    <w:rsid w:val="000C4CF2"/>
    <w:rsid w:val="000C625F"/>
    <w:rsid w:val="000C628A"/>
    <w:rsid w:val="000C6713"/>
    <w:rsid w:val="000C70D3"/>
    <w:rsid w:val="000C72E0"/>
    <w:rsid w:val="000C751B"/>
    <w:rsid w:val="000C76C4"/>
    <w:rsid w:val="000C79E2"/>
    <w:rsid w:val="000D0244"/>
    <w:rsid w:val="000D0592"/>
    <w:rsid w:val="000D0E40"/>
    <w:rsid w:val="000D14C2"/>
    <w:rsid w:val="000D1BFC"/>
    <w:rsid w:val="000D1D5D"/>
    <w:rsid w:val="000D281A"/>
    <w:rsid w:val="000D2848"/>
    <w:rsid w:val="000D326A"/>
    <w:rsid w:val="000D339A"/>
    <w:rsid w:val="000D37C0"/>
    <w:rsid w:val="000D404B"/>
    <w:rsid w:val="000D4895"/>
    <w:rsid w:val="000D4BB7"/>
    <w:rsid w:val="000D4D6B"/>
    <w:rsid w:val="000D4EBB"/>
    <w:rsid w:val="000D51FB"/>
    <w:rsid w:val="000D5DF9"/>
    <w:rsid w:val="000D6CC7"/>
    <w:rsid w:val="000D73B0"/>
    <w:rsid w:val="000E0640"/>
    <w:rsid w:val="000E135D"/>
    <w:rsid w:val="000E18D3"/>
    <w:rsid w:val="000E2039"/>
    <w:rsid w:val="000E2071"/>
    <w:rsid w:val="000E43C2"/>
    <w:rsid w:val="000E478E"/>
    <w:rsid w:val="000E52A8"/>
    <w:rsid w:val="000E65A1"/>
    <w:rsid w:val="000E65A9"/>
    <w:rsid w:val="000E7170"/>
    <w:rsid w:val="000E7311"/>
    <w:rsid w:val="000F00BA"/>
    <w:rsid w:val="000F0EDB"/>
    <w:rsid w:val="000F2A3C"/>
    <w:rsid w:val="000F316A"/>
    <w:rsid w:val="000F3847"/>
    <w:rsid w:val="000F3C74"/>
    <w:rsid w:val="000F3D39"/>
    <w:rsid w:val="000F4BB8"/>
    <w:rsid w:val="000F4FA9"/>
    <w:rsid w:val="000F53FB"/>
    <w:rsid w:val="000F7127"/>
    <w:rsid w:val="000F7B54"/>
    <w:rsid w:val="000F7DE7"/>
    <w:rsid w:val="001000B3"/>
    <w:rsid w:val="00100A97"/>
    <w:rsid w:val="00100C28"/>
    <w:rsid w:val="00100F8A"/>
    <w:rsid w:val="001013DF"/>
    <w:rsid w:val="001023BE"/>
    <w:rsid w:val="00102B02"/>
    <w:rsid w:val="001033BB"/>
    <w:rsid w:val="0010452E"/>
    <w:rsid w:val="00104B6C"/>
    <w:rsid w:val="00104D97"/>
    <w:rsid w:val="00105AE2"/>
    <w:rsid w:val="00105BE5"/>
    <w:rsid w:val="001060C6"/>
    <w:rsid w:val="00106532"/>
    <w:rsid w:val="00106A34"/>
    <w:rsid w:val="00106B80"/>
    <w:rsid w:val="00107571"/>
    <w:rsid w:val="00107A37"/>
    <w:rsid w:val="00107CE9"/>
    <w:rsid w:val="0011032E"/>
    <w:rsid w:val="0011056B"/>
    <w:rsid w:val="00110B9D"/>
    <w:rsid w:val="00111373"/>
    <w:rsid w:val="001114E1"/>
    <w:rsid w:val="00113252"/>
    <w:rsid w:val="0011348B"/>
    <w:rsid w:val="0011418B"/>
    <w:rsid w:val="00115770"/>
    <w:rsid w:val="00115982"/>
    <w:rsid w:val="00115BF1"/>
    <w:rsid w:val="00115D69"/>
    <w:rsid w:val="00115E07"/>
    <w:rsid w:val="0011613A"/>
    <w:rsid w:val="0011621C"/>
    <w:rsid w:val="001163BB"/>
    <w:rsid w:val="00116978"/>
    <w:rsid w:val="00116C53"/>
    <w:rsid w:val="00117FBC"/>
    <w:rsid w:val="001209B4"/>
    <w:rsid w:val="00120A61"/>
    <w:rsid w:val="0012159F"/>
    <w:rsid w:val="00121607"/>
    <w:rsid w:val="0012173E"/>
    <w:rsid w:val="00121799"/>
    <w:rsid w:val="001220EF"/>
    <w:rsid w:val="001222FC"/>
    <w:rsid w:val="00123178"/>
    <w:rsid w:val="00123902"/>
    <w:rsid w:val="00124A51"/>
    <w:rsid w:val="00124CC4"/>
    <w:rsid w:val="00125055"/>
    <w:rsid w:val="0012545D"/>
    <w:rsid w:val="00125658"/>
    <w:rsid w:val="001259E0"/>
    <w:rsid w:val="001263D0"/>
    <w:rsid w:val="00126517"/>
    <w:rsid w:val="00126621"/>
    <w:rsid w:val="0012681E"/>
    <w:rsid w:val="00126A83"/>
    <w:rsid w:val="00126B1D"/>
    <w:rsid w:val="00126EDA"/>
    <w:rsid w:val="001301E9"/>
    <w:rsid w:val="00131D82"/>
    <w:rsid w:val="00132B22"/>
    <w:rsid w:val="00132F2D"/>
    <w:rsid w:val="00133CA8"/>
    <w:rsid w:val="00133D36"/>
    <w:rsid w:val="001348F4"/>
    <w:rsid w:val="00134A26"/>
    <w:rsid w:val="00135937"/>
    <w:rsid w:val="00135992"/>
    <w:rsid w:val="0013599A"/>
    <w:rsid w:val="0013728D"/>
    <w:rsid w:val="00137327"/>
    <w:rsid w:val="001373F6"/>
    <w:rsid w:val="00137645"/>
    <w:rsid w:val="00137B51"/>
    <w:rsid w:val="0014015A"/>
    <w:rsid w:val="0014048D"/>
    <w:rsid w:val="00140E99"/>
    <w:rsid w:val="001417E5"/>
    <w:rsid w:val="00141A24"/>
    <w:rsid w:val="001430FE"/>
    <w:rsid w:val="0014331D"/>
    <w:rsid w:val="00143697"/>
    <w:rsid w:val="00143BC1"/>
    <w:rsid w:val="00143F67"/>
    <w:rsid w:val="00144A54"/>
    <w:rsid w:val="00144C85"/>
    <w:rsid w:val="00144DA3"/>
    <w:rsid w:val="00145234"/>
    <w:rsid w:val="00145540"/>
    <w:rsid w:val="001456B0"/>
    <w:rsid w:val="00145C3C"/>
    <w:rsid w:val="001467D8"/>
    <w:rsid w:val="00146E77"/>
    <w:rsid w:val="00146EA6"/>
    <w:rsid w:val="001470A7"/>
    <w:rsid w:val="0014749D"/>
    <w:rsid w:val="00147B3C"/>
    <w:rsid w:val="00150304"/>
    <w:rsid w:val="00151F3E"/>
    <w:rsid w:val="00152342"/>
    <w:rsid w:val="001529FB"/>
    <w:rsid w:val="00152ABE"/>
    <w:rsid w:val="001533C8"/>
    <w:rsid w:val="00153A6F"/>
    <w:rsid w:val="00153C0E"/>
    <w:rsid w:val="00153C94"/>
    <w:rsid w:val="001547AB"/>
    <w:rsid w:val="00154FE5"/>
    <w:rsid w:val="001552D0"/>
    <w:rsid w:val="00155CE1"/>
    <w:rsid w:val="00156DB2"/>
    <w:rsid w:val="00156E08"/>
    <w:rsid w:val="00156F8F"/>
    <w:rsid w:val="00157130"/>
    <w:rsid w:val="001576B1"/>
    <w:rsid w:val="0016047B"/>
    <w:rsid w:val="00160A4C"/>
    <w:rsid w:val="001625EF"/>
    <w:rsid w:val="0016284F"/>
    <w:rsid w:val="00162913"/>
    <w:rsid w:val="00162E4B"/>
    <w:rsid w:val="001637AB"/>
    <w:rsid w:val="00163E81"/>
    <w:rsid w:val="00163EFF"/>
    <w:rsid w:val="00163F66"/>
    <w:rsid w:val="0016478E"/>
    <w:rsid w:val="00164BEC"/>
    <w:rsid w:val="00165C53"/>
    <w:rsid w:val="00165EC4"/>
    <w:rsid w:val="00165FC2"/>
    <w:rsid w:val="0016604D"/>
    <w:rsid w:val="001661FB"/>
    <w:rsid w:val="001671A0"/>
    <w:rsid w:val="0016767F"/>
    <w:rsid w:val="00167BA5"/>
    <w:rsid w:val="0017001B"/>
    <w:rsid w:val="00170A8F"/>
    <w:rsid w:val="00171A63"/>
    <w:rsid w:val="00172ACD"/>
    <w:rsid w:val="00172FFA"/>
    <w:rsid w:val="00173565"/>
    <w:rsid w:val="0017366C"/>
    <w:rsid w:val="00173B07"/>
    <w:rsid w:val="00173E87"/>
    <w:rsid w:val="00174084"/>
    <w:rsid w:val="001744D3"/>
    <w:rsid w:val="00174787"/>
    <w:rsid w:val="00174B38"/>
    <w:rsid w:val="001751FA"/>
    <w:rsid w:val="0017589B"/>
    <w:rsid w:val="00176BC2"/>
    <w:rsid w:val="00180B4B"/>
    <w:rsid w:val="00181C10"/>
    <w:rsid w:val="00181D8B"/>
    <w:rsid w:val="00181D9C"/>
    <w:rsid w:val="00182ECB"/>
    <w:rsid w:val="001837FF"/>
    <w:rsid w:val="00183F0E"/>
    <w:rsid w:val="001849DA"/>
    <w:rsid w:val="00184B0E"/>
    <w:rsid w:val="00184D59"/>
    <w:rsid w:val="001864FE"/>
    <w:rsid w:val="00186ADD"/>
    <w:rsid w:val="0018752F"/>
    <w:rsid w:val="00191F76"/>
    <w:rsid w:val="00193838"/>
    <w:rsid w:val="001944C4"/>
    <w:rsid w:val="00194AD8"/>
    <w:rsid w:val="00194D1E"/>
    <w:rsid w:val="00195222"/>
    <w:rsid w:val="00195452"/>
    <w:rsid w:val="00196A91"/>
    <w:rsid w:val="001975D8"/>
    <w:rsid w:val="00197757"/>
    <w:rsid w:val="0019797A"/>
    <w:rsid w:val="001A003B"/>
    <w:rsid w:val="001A178E"/>
    <w:rsid w:val="001A22CC"/>
    <w:rsid w:val="001A23A4"/>
    <w:rsid w:val="001A2F96"/>
    <w:rsid w:val="001A3108"/>
    <w:rsid w:val="001A31B3"/>
    <w:rsid w:val="001A3FD5"/>
    <w:rsid w:val="001A43FA"/>
    <w:rsid w:val="001A469C"/>
    <w:rsid w:val="001A47C5"/>
    <w:rsid w:val="001A5716"/>
    <w:rsid w:val="001A59FB"/>
    <w:rsid w:val="001A5E9E"/>
    <w:rsid w:val="001A607C"/>
    <w:rsid w:val="001A62A7"/>
    <w:rsid w:val="001A6354"/>
    <w:rsid w:val="001A6366"/>
    <w:rsid w:val="001A79E2"/>
    <w:rsid w:val="001A7AE8"/>
    <w:rsid w:val="001A7CFA"/>
    <w:rsid w:val="001B05EC"/>
    <w:rsid w:val="001B09F4"/>
    <w:rsid w:val="001B204E"/>
    <w:rsid w:val="001B2372"/>
    <w:rsid w:val="001B3443"/>
    <w:rsid w:val="001B3727"/>
    <w:rsid w:val="001B400A"/>
    <w:rsid w:val="001B43FB"/>
    <w:rsid w:val="001B4D20"/>
    <w:rsid w:val="001B554E"/>
    <w:rsid w:val="001B5C9F"/>
    <w:rsid w:val="001B5FC4"/>
    <w:rsid w:val="001B67BC"/>
    <w:rsid w:val="001B7F1E"/>
    <w:rsid w:val="001B7F84"/>
    <w:rsid w:val="001C0684"/>
    <w:rsid w:val="001C2A9B"/>
    <w:rsid w:val="001C331F"/>
    <w:rsid w:val="001C345A"/>
    <w:rsid w:val="001C392F"/>
    <w:rsid w:val="001C39CB"/>
    <w:rsid w:val="001C3B4A"/>
    <w:rsid w:val="001C3B58"/>
    <w:rsid w:val="001C3DD6"/>
    <w:rsid w:val="001C4299"/>
    <w:rsid w:val="001C4874"/>
    <w:rsid w:val="001C48D7"/>
    <w:rsid w:val="001C4DA0"/>
    <w:rsid w:val="001C560F"/>
    <w:rsid w:val="001C5F94"/>
    <w:rsid w:val="001C6962"/>
    <w:rsid w:val="001C6E66"/>
    <w:rsid w:val="001D06B2"/>
    <w:rsid w:val="001D0923"/>
    <w:rsid w:val="001D0BE3"/>
    <w:rsid w:val="001D0CEC"/>
    <w:rsid w:val="001D1100"/>
    <w:rsid w:val="001D1391"/>
    <w:rsid w:val="001D1614"/>
    <w:rsid w:val="001D1ABF"/>
    <w:rsid w:val="001D1D38"/>
    <w:rsid w:val="001D211F"/>
    <w:rsid w:val="001D2141"/>
    <w:rsid w:val="001D25D7"/>
    <w:rsid w:val="001D2756"/>
    <w:rsid w:val="001D2798"/>
    <w:rsid w:val="001D2EDA"/>
    <w:rsid w:val="001D50B2"/>
    <w:rsid w:val="001D54CA"/>
    <w:rsid w:val="001D6013"/>
    <w:rsid w:val="001D673D"/>
    <w:rsid w:val="001D71F4"/>
    <w:rsid w:val="001D7645"/>
    <w:rsid w:val="001D779B"/>
    <w:rsid w:val="001E0956"/>
    <w:rsid w:val="001E1503"/>
    <w:rsid w:val="001E1B1E"/>
    <w:rsid w:val="001E1E86"/>
    <w:rsid w:val="001E238E"/>
    <w:rsid w:val="001E2483"/>
    <w:rsid w:val="001E25EA"/>
    <w:rsid w:val="001E2B1E"/>
    <w:rsid w:val="001E2CFF"/>
    <w:rsid w:val="001E2F24"/>
    <w:rsid w:val="001E30D4"/>
    <w:rsid w:val="001E34DF"/>
    <w:rsid w:val="001E3661"/>
    <w:rsid w:val="001E38AF"/>
    <w:rsid w:val="001E3A52"/>
    <w:rsid w:val="001E3C12"/>
    <w:rsid w:val="001E3FB5"/>
    <w:rsid w:val="001E42C6"/>
    <w:rsid w:val="001E4A10"/>
    <w:rsid w:val="001E4B4D"/>
    <w:rsid w:val="001E52EB"/>
    <w:rsid w:val="001E6097"/>
    <w:rsid w:val="001E61D2"/>
    <w:rsid w:val="001E620C"/>
    <w:rsid w:val="001E740C"/>
    <w:rsid w:val="001E7C1B"/>
    <w:rsid w:val="001F0169"/>
    <w:rsid w:val="001F1235"/>
    <w:rsid w:val="001F1CB3"/>
    <w:rsid w:val="001F217F"/>
    <w:rsid w:val="001F2A3B"/>
    <w:rsid w:val="001F38B5"/>
    <w:rsid w:val="001F4081"/>
    <w:rsid w:val="001F5D58"/>
    <w:rsid w:val="001F6E44"/>
    <w:rsid w:val="001F6E80"/>
    <w:rsid w:val="001F7361"/>
    <w:rsid w:val="001F78C3"/>
    <w:rsid w:val="00200103"/>
    <w:rsid w:val="0020086C"/>
    <w:rsid w:val="002011B0"/>
    <w:rsid w:val="00203181"/>
    <w:rsid w:val="0020335B"/>
    <w:rsid w:val="00203783"/>
    <w:rsid w:val="0020385F"/>
    <w:rsid w:val="00203864"/>
    <w:rsid w:val="00204C01"/>
    <w:rsid w:val="00205B36"/>
    <w:rsid w:val="002068A0"/>
    <w:rsid w:val="002069D7"/>
    <w:rsid w:val="00207021"/>
    <w:rsid w:val="0020732F"/>
    <w:rsid w:val="00207D00"/>
    <w:rsid w:val="00207F70"/>
    <w:rsid w:val="002105C1"/>
    <w:rsid w:val="00211641"/>
    <w:rsid w:val="002116FD"/>
    <w:rsid w:val="00211E5F"/>
    <w:rsid w:val="00212489"/>
    <w:rsid w:val="00212799"/>
    <w:rsid w:val="00212C0E"/>
    <w:rsid w:val="002139F0"/>
    <w:rsid w:val="00213EF5"/>
    <w:rsid w:val="00214FCB"/>
    <w:rsid w:val="00215868"/>
    <w:rsid w:val="00216BF5"/>
    <w:rsid w:val="00216E50"/>
    <w:rsid w:val="00217054"/>
    <w:rsid w:val="00217395"/>
    <w:rsid w:val="00217F45"/>
    <w:rsid w:val="002234F9"/>
    <w:rsid w:val="00223853"/>
    <w:rsid w:val="00223B49"/>
    <w:rsid w:val="00223D5A"/>
    <w:rsid w:val="0022429C"/>
    <w:rsid w:val="00224B3E"/>
    <w:rsid w:val="00224DD4"/>
    <w:rsid w:val="002258A4"/>
    <w:rsid w:val="00225937"/>
    <w:rsid w:val="00225A26"/>
    <w:rsid w:val="00225D49"/>
    <w:rsid w:val="00227383"/>
    <w:rsid w:val="002278A0"/>
    <w:rsid w:val="00227CE0"/>
    <w:rsid w:val="00227D18"/>
    <w:rsid w:val="00230546"/>
    <w:rsid w:val="00230768"/>
    <w:rsid w:val="002309CC"/>
    <w:rsid w:val="00230ABA"/>
    <w:rsid w:val="00230BFE"/>
    <w:rsid w:val="002315E8"/>
    <w:rsid w:val="00231BA9"/>
    <w:rsid w:val="00231D5F"/>
    <w:rsid w:val="0023209F"/>
    <w:rsid w:val="002326ED"/>
    <w:rsid w:val="00232A88"/>
    <w:rsid w:val="00233384"/>
    <w:rsid w:val="00233852"/>
    <w:rsid w:val="00233C01"/>
    <w:rsid w:val="0023413C"/>
    <w:rsid w:val="002346F0"/>
    <w:rsid w:val="00234AFF"/>
    <w:rsid w:val="0023629D"/>
    <w:rsid w:val="00236D62"/>
    <w:rsid w:val="00237255"/>
    <w:rsid w:val="0023735D"/>
    <w:rsid w:val="00241239"/>
    <w:rsid w:val="00241AFE"/>
    <w:rsid w:val="002424AF"/>
    <w:rsid w:val="00242EA1"/>
    <w:rsid w:val="0024301F"/>
    <w:rsid w:val="002439DC"/>
    <w:rsid w:val="00243C12"/>
    <w:rsid w:val="002441D2"/>
    <w:rsid w:val="00244C32"/>
    <w:rsid w:val="00244DC8"/>
    <w:rsid w:val="0024571D"/>
    <w:rsid w:val="002458BA"/>
    <w:rsid w:val="00245CE9"/>
    <w:rsid w:val="00246267"/>
    <w:rsid w:val="0024636C"/>
    <w:rsid w:val="002467D5"/>
    <w:rsid w:val="00246A01"/>
    <w:rsid w:val="00246E6A"/>
    <w:rsid w:val="00247925"/>
    <w:rsid w:val="002506E7"/>
    <w:rsid w:val="00250B24"/>
    <w:rsid w:val="00251006"/>
    <w:rsid w:val="002524D5"/>
    <w:rsid w:val="00253812"/>
    <w:rsid w:val="00253B1D"/>
    <w:rsid w:val="00254ADF"/>
    <w:rsid w:val="00254DCF"/>
    <w:rsid w:val="0025534B"/>
    <w:rsid w:val="00255493"/>
    <w:rsid w:val="00255BB7"/>
    <w:rsid w:val="00257541"/>
    <w:rsid w:val="0025780C"/>
    <w:rsid w:val="00257A39"/>
    <w:rsid w:val="00257AC4"/>
    <w:rsid w:val="00257BBE"/>
    <w:rsid w:val="00260762"/>
    <w:rsid w:val="00260E49"/>
    <w:rsid w:val="00261A4D"/>
    <w:rsid w:val="00261B8B"/>
    <w:rsid w:val="00261EEF"/>
    <w:rsid w:val="00262A1A"/>
    <w:rsid w:val="00262A87"/>
    <w:rsid w:val="00264010"/>
    <w:rsid w:val="002643DB"/>
    <w:rsid w:val="00264D26"/>
    <w:rsid w:val="0026571C"/>
    <w:rsid w:val="00265786"/>
    <w:rsid w:val="0026592E"/>
    <w:rsid w:val="002663E6"/>
    <w:rsid w:val="002672C5"/>
    <w:rsid w:val="00267642"/>
    <w:rsid w:val="00267AEA"/>
    <w:rsid w:val="00267F28"/>
    <w:rsid w:val="002700E6"/>
    <w:rsid w:val="00270683"/>
    <w:rsid w:val="002716BD"/>
    <w:rsid w:val="00271889"/>
    <w:rsid w:val="002721E8"/>
    <w:rsid w:val="00272707"/>
    <w:rsid w:val="0027294B"/>
    <w:rsid w:val="002729C6"/>
    <w:rsid w:val="00272D69"/>
    <w:rsid w:val="002730D5"/>
    <w:rsid w:val="00273EB4"/>
    <w:rsid w:val="00274031"/>
    <w:rsid w:val="00274682"/>
    <w:rsid w:val="00275158"/>
    <w:rsid w:val="00275530"/>
    <w:rsid w:val="00275C5A"/>
    <w:rsid w:val="00276317"/>
    <w:rsid w:val="00277201"/>
    <w:rsid w:val="00277CCA"/>
    <w:rsid w:val="00280786"/>
    <w:rsid w:val="00280B3C"/>
    <w:rsid w:val="00281014"/>
    <w:rsid w:val="00281674"/>
    <w:rsid w:val="00281D01"/>
    <w:rsid w:val="002822A0"/>
    <w:rsid w:val="00283560"/>
    <w:rsid w:val="0028405E"/>
    <w:rsid w:val="00285BCE"/>
    <w:rsid w:val="0028665D"/>
    <w:rsid w:val="00286A11"/>
    <w:rsid w:val="00286CFA"/>
    <w:rsid w:val="002903E6"/>
    <w:rsid w:val="00290C56"/>
    <w:rsid w:val="00290CEC"/>
    <w:rsid w:val="0029128C"/>
    <w:rsid w:val="00291A69"/>
    <w:rsid w:val="002922D5"/>
    <w:rsid w:val="00292565"/>
    <w:rsid w:val="00292C5C"/>
    <w:rsid w:val="002930C6"/>
    <w:rsid w:val="00293B46"/>
    <w:rsid w:val="002945D9"/>
    <w:rsid w:val="002954AC"/>
    <w:rsid w:val="00296B06"/>
    <w:rsid w:val="00297BB0"/>
    <w:rsid w:val="002A14AB"/>
    <w:rsid w:val="002A1D79"/>
    <w:rsid w:val="002A2ADE"/>
    <w:rsid w:val="002A2F0D"/>
    <w:rsid w:val="002A2F50"/>
    <w:rsid w:val="002A35AD"/>
    <w:rsid w:val="002A3A80"/>
    <w:rsid w:val="002A54AE"/>
    <w:rsid w:val="002A5D6D"/>
    <w:rsid w:val="002A65EB"/>
    <w:rsid w:val="002A6C95"/>
    <w:rsid w:val="002A70FF"/>
    <w:rsid w:val="002A774A"/>
    <w:rsid w:val="002A7943"/>
    <w:rsid w:val="002B05A1"/>
    <w:rsid w:val="002B08EF"/>
    <w:rsid w:val="002B09A4"/>
    <w:rsid w:val="002B0B6D"/>
    <w:rsid w:val="002B153F"/>
    <w:rsid w:val="002B1C1F"/>
    <w:rsid w:val="002B1E37"/>
    <w:rsid w:val="002B2A88"/>
    <w:rsid w:val="002B365E"/>
    <w:rsid w:val="002B3961"/>
    <w:rsid w:val="002B432F"/>
    <w:rsid w:val="002B4AC9"/>
    <w:rsid w:val="002B4B65"/>
    <w:rsid w:val="002B4F35"/>
    <w:rsid w:val="002B61DC"/>
    <w:rsid w:val="002B62B3"/>
    <w:rsid w:val="002B6754"/>
    <w:rsid w:val="002B6CCE"/>
    <w:rsid w:val="002B74FB"/>
    <w:rsid w:val="002C2510"/>
    <w:rsid w:val="002C2775"/>
    <w:rsid w:val="002C27C1"/>
    <w:rsid w:val="002C34F1"/>
    <w:rsid w:val="002C36E3"/>
    <w:rsid w:val="002C3B56"/>
    <w:rsid w:val="002C4417"/>
    <w:rsid w:val="002C5099"/>
    <w:rsid w:val="002C56BF"/>
    <w:rsid w:val="002C5889"/>
    <w:rsid w:val="002C6140"/>
    <w:rsid w:val="002C65D8"/>
    <w:rsid w:val="002C6B4E"/>
    <w:rsid w:val="002C71CE"/>
    <w:rsid w:val="002C74A6"/>
    <w:rsid w:val="002D005D"/>
    <w:rsid w:val="002D007B"/>
    <w:rsid w:val="002D08F8"/>
    <w:rsid w:val="002D0AA9"/>
    <w:rsid w:val="002D30EB"/>
    <w:rsid w:val="002D3469"/>
    <w:rsid w:val="002D3781"/>
    <w:rsid w:val="002D39D1"/>
    <w:rsid w:val="002D3CD9"/>
    <w:rsid w:val="002D3D55"/>
    <w:rsid w:val="002D4B5B"/>
    <w:rsid w:val="002D4E1B"/>
    <w:rsid w:val="002D5631"/>
    <w:rsid w:val="002D577C"/>
    <w:rsid w:val="002D6D95"/>
    <w:rsid w:val="002D76A3"/>
    <w:rsid w:val="002D7832"/>
    <w:rsid w:val="002D7954"/>
    <w:rsid w:val="002E1071"/>
    <w:rsid w:val="002E15B9"/>
    <w:rsid w:val="002E16D0"/>
    <w:rsid w:val="002E2158"/>
    <w:rsid w:val="002E4561"/>
    <w:rsid w:val="002E4AF8"/>
    <w:rsid w:val="002E4F02"/>
    <w:rsid w:val="002E59CA"/>
    <w:rsid w:val="002E5A07"/>
    <w:rsid w:val="002E6155"/>
    <w:rsid w:val="002E62BE"/>
    <w:rsid w:val="002E66B6"/>
    <w:rsid w:val="002E6A2C"/>
    <w:rsid w:val="002E7067"/>
    <w:rsid w:val="002E73EE"/>
    <w:rsid w:val="002E7477"/>
    <w:rsid w:val="002E7722"/>
    <w:rsid w:val="002E7D03"/>
    <w:rsid w:val="002E7F91"/>
    <w:rsid w:val="002F07BA"/>
    <w:rsid w:val="002F08BC"/>
    <w:rsid w:val="002F0DA9"/>
    <w:rsid w:val="002F1014"/>
    <w:rsid w:val="002F1266"/>
    <w:rsid w:val="002F1E3B"/>
    <w:rsid w:val="002F316A"/>
    <w:rsid w:val="002F3C3D"/>
    <w:rsid w:val="002F3EB4"/>
    <w:rsid w:val="002F51AB"/>
    <w:rsid w:val="002F5345"/>
    <w:rsid w:val="002F643C"/>
    <w:rsid w:val="002F6883"/>
    <w:rsid w:val="002F71C0"/>
    <w:rsid w:val="002F74F1"/>
    <w:rsid w:val="002F785B"/>
    <w:rsid w:val="002F78DE"/>
    <w:rsid w:val="002F7F48"/>
    <w:rsid w:val="00301017"/>
    <w:rsid w:val="0030155F"/>
    <w:rsid w:val="003031AC"/>
    <w:rsid w:val="00305458"/>
    <w:rsid w:val="0030558F"/>
    <w:rsid w:val="0030587B"/>
    <w:rsid w:val="00305D80"/>
    <w:rsid w:val="00306026"/>
    <w:rsid w:val="00306D98"/>
    <w:rsid w:val="0030786C"/>
    <w:rsid w:val="00307966"/>
    <w:rsid w:val="0031031A"/>
    <w:rsid w:val="00310688"/>
    <w:rsid w:val="00310981"/>
    <w:rsid w:val="00310ECE"/>
    <w:rsid w:val="00311371"/>
    <w:rsid w:val="0031176C"/>
    <w:rsid w:val="00311D9B"/>
    <w:rsid w:val="003124D9"/>
    <w:rsid w:val="00312594"/>
    <w:rsid w:val="00312A02"/>
    <w:rsid w:val="00312CEA"/>
    <w:rsid w:val="00313BD2"/>
    <w:rsid w:val="00314218"/>
    <w:rsid w:val="003145FC"/>
    <w:rsid w:val="00314618"/>
    <w:rsid w:val="00314D07"/>
    <w:rsid w:val="00315498"/>
    <w:rsid w:val="00315532"/>
    <w:rsid w:val="00315AE1"/>
    <w:rsid w:val="00315EE2"/>
    <w:rsid w:val="00316474"/>
    <w:rsid w:val="0031679A"/>
    <w:rsid w:val="003168A0"/>
    <w:rsid w:val="00316B8B"/>
    <w:rsid w:val="00316F83"/>
    <w:rsid w:val="003171AD"/>
    <w:rsid w:val="00320123"/>
    <w:rsid w:val="003203CD"/>
    <w:rsid w:val="003203F2"/>
    <w:rsid w:val="0032159B"/>
    <w:rsid w:val="003216E8"/>
    <w:rsid w:val="00321B8E"/>
    <w:rsid w:val="00321F85"/>
    <w:rsid w:val="00322107"/>
    <w:rsid w:val="00322355"/>
    <w:rsid w:val="00322846"/>
    <w:rsid w:val="00322A12"/>
    <w:rsid w:val="00323FC3"/>
    <w:rsid w:val="003241D6"/>
    <w:rsid w:val="00324F7D"/>
    <w:rsid w:val="00324FF8"/>
    <w:rsid w:val="0032548D"/>
    <w:rsid w:val="00326DA7"/>
    <w:rsid w:val="003270E4"/>
    <w:rsid w:val="003278C9"/>
    <w:rsid w:val="00330DAA"/>
    <w:rsid w:val="00330F0C"/>
    <w:rsid w:val="00330F5C"/>
    <w:rsid w:val="0033135E"/>
    <w:rsid w:val="0033146E"/>
    <w:rsid w:val="00332B23"/>
    <w:rsid w:val="00333089"/>
    <w:rsid w:val="0033377A"/>
    <w:rsid w:val="003339EA"/>
    <w:rsid w:val="00333D68"/>
    <w:rsid w:val="003366C9"/>
    <w:rsid w:val="0033699E"/>
    <w:rsid w:val="003371B0"/>
    <w:rsid w:val="00337D1B"/>
    <w:rsid w:val="00337EB7"/>
    <w:rsid w:val="003407EA"/>
    <w:rsid w:val="00340DF1"/>
    <w:rsid w:val="003410CA"/>
    <w:rsid w:val="003418A1"/>
    <w:rsid w:val="00342568"/>
    <w:rsid w:val="00342B97"/>
    <w:rsid w:val="00344776"/>
    <w:rsid w:val="00345C43"/>
    <w:rsid w:val="00345C4C"/>
    <w:rsid w:val="00345F45"/>
    <w:rsid w:val="00346490"/>
    <w:rsid w:val="00346B05"/>
    <w:rsid w:val="00350678"/>
    <w:rsid w:val="00350749"/>
    <w:rsid w:val="00351759"/>
    <w:rsid w:val="003517F9"/>
    <w:rsid w:val="00351B53"/>
    <w:rsid w:val="00351BA9"/>
    <w:rsid w:val="003529AF"/>
    <w:rsid w:val="00352F58"/>
    <w:rsid w:val="00353F02"/>
    <w:rsid w:val="00354032"/>
    <w:rsid w:val="00354F64"/>
    <w:rsid w:val="0035620E"/>
    <w:rsid w:val="00356C07"/>
    <w:rsid w:val="003575BE"/>
    <w:rsid w:val="003578DF"/>
    <w:rsid w:val="00360156"/>
    <w:rsid w:val="00360345"/>
    <w:rsid w:val="00360BC3"/>
    <w:rsid w:val="003611AE"/>
    <w:rsid w:val="00361281"/>
    <w:rsid w:val="00361337"/>
    <w:rsid w:val="00361A05"/>
    <w:rsid w:val="003624C4"/>
    <w:rsid w:val="00363B00"/>
    <w:rsid w:val="0036431E"/>
    <w:rsid w:val="00364403"/>
    <w:rsid w:val="00364421"/>
    <w:rsid w:val="0036472D"/>
    <w:rsid w:val="00364A60"/>
    <w:rsid w:val="0036528C"/>
    <w:rsid w:val="003654AC"/>
    <w:rsid w:val="003654EF"/>
    <w:rsid w:val="00365814"/>
    <w:rsid w:val="003662EB"/>
    <w:rsid w:val="00366AB2"/>
    <w:rsid w:val="00366B5C"/>
    <w:rsid w:val="00367FD9"/>
    <w:rsid w:val="00370C39"/>
    <w:rsid w:val="003710CF"/>
    <w:rsid w:val="0037358A"/>
    <w:rsid w:val="00374092"/>
    <w:rsid w:val="00374C33"/>
    <w:rsid w:val="00374FDA"/>
    <w:rsid w:val="003750F6"/>
    <w:rsid w:val="003753F2"/>
    <w:rsid w:val="00375551"/>
    <w:rsid w:val="003757A7"/>
    <w:rsid w:val="00375F86"/>
    <w:rsid w:val="003760D9"/>
    <w:rsid w:val="003760FC"/>
    <w:rsid w:val="0037706B"/>
    <w:rsid w:val="0037757B"/>
    <w:rsid w:val="00380551"/>
    <w:rsid w:val="003823BE"/>
    <w:rsid w:val="0038365C"/>
    <w:rsid w:val="0038369B"/>
    <w:rsid w:val="003837F3"/>
    <w:rsid w:val="00383B78"/>
    <w:rsid w:val="00383F87"/>
    <w:rsid w:val="003844CC"/>
    <w:rsid w:val="00384AD7"/>
    <w:rsid w:val="00385008"/>
    <w:rsid w:val="00385468"/>
    <w:rsid w:val="00385A9D"/>
    <w:rsid w:val="00385CE1"/>
    <w:rsid w:val="00387027"/>
    <w:rsid w:val="00387121"/>
    <w:rsid w:val="00387F4D"/>
    <w:rsid w:val="003902B1"/>
    <w:rsid w:val="003903A8"/>
    <w:rsid w:val="00390CA2"/>
    <w:rsid w:val="00390FBE"/>
    <w:rsid w:val="0039179C"/>
    <w:rsid w:val="00392A4B"/>
    <w:rsid w:val="00393317"/>
    <w:rsid w:val="00393F90"/>
    <w:rsid w:val="0039615C"/>
    <w:rsid w:val="00396896"/>
    <w:rsid w:val="00396FD0"/>
    <w:rsid w:val="0039706A"/>
    <w:rsid w:val="00397629"/>
    <w:rsid w:val="003A03F4"/>
    <w:rsid w:val="003A068A"/>
    <w:rsid w:val="003A1A7A"/>
    <w:rsid w:val="003A2392"/>
    <w:rsid w:val="003A2831"/>
    <w:rsid w:val="003A3812"/>
    <w:rsid w:val="003A3CB6"/>
    <w:rsid w:val="003A3E05"/>
    <w:rsid w:val="003A3ED1"/>
    <w:rsid w:val="003A4088"/>
    <w:rsid w:val="003A44DB"/>
    <w:rsid w:val="003A4757"/>
    <w:rsid w:val="003A4C14"/>
    <w:rsid w:val="003A4D37"/>
    <w:rsid w:val="003A6842"/>
    <w:rsid w:val="003A7609"/>
    <w:rsid w:val="003B0064"/>
    <w:rsid w:val="003B0B47"/>
    <w:rsid w:val="003B0BD3"/>
    <w:rsid w:val="003B1323"/>
    <w:rsid w:val="003B1515"/>
    <w:rsid w:val="003B3147"/>
    <w:rsid w:val="003B33FD"/>
    <w:rsid w:val="003B34A4"/>
    <w:rsid w:val="003B3565"/>
    <w:rsid w:val="003B3971"/>
    <w:rsid w:val="003B55D1"/>
    <w:rsid w:val="003B5B61"/>
    <w:rsid w:val="003B6C7E"/>
    <w:rsid w:val="003B7417"/>
    <w:rsid w:val="003C00A0"/>
    <w:rsid w:val="003C03B6"/>
    <w:rsid w:val="003C12CB"/>
    <w:rsid w:val="003C1654"/>
    <w:rsid w:val="003C1FE5"/>
    <w:rsid w:val="003C2828"/>
    <w:rsid w:val="003C2DE2"/>
    <w:rsid w:val="003C3379"/>
    <w:rsid w:val="003C3410"/>
    <w:rsid w:val="003C4038"/>
    <w:rsid w:val="003C5542"/>
    <w:rsid w:val="003C7C15"/>
    <w:rsid w:val="003C7D19"/>
    <w:rsid w:val="003C7D2F"/>
    <w:rsid w:val="003D05F9"/>
    <w:rsid w:val="003D0718"/>
    <w:rsid w:val="003D0C5A"/>
    <w:rsid w:val="003D12B2"/>
    <w:rsid w:val="003D1828"/>
    <w:rsid w:val="003D1CF2"/>
    <w:rsid w:val="003D1DE4"/>
    <w:rsid w:val="003D1E9A"/>
    <w:rsid w:val="003D2422"/>
    <w:rsid w:val="003D24E8"/>
    <w:rsid w:val="003D2CDA"/>
    <w:rsid w:val="003D35D3"/>
    <w:rsid w:val="003D3701"/>
    <w:rsid w:val="003D39A1"/>
    <w:rsid w:val="003D3F5B"/>
    <w:rsid w:val="003D3FBF"/>
    <w:rsid w:val="003D4A30"/>
    <w:rsid w:val="003D50C0"/>
    <w:rsid w:val="003D52E8"/>
    <w:rsid w:val="003D5ED5"/>
    <w:rsid w:val="003D6532"/>
    <w:rsid w:val="003D6E60"/>
    <w:rsid w:val="003D7452"/>
    <w:rsid w:val="003D750D"/>
    <w:rsid w:val="003D79BB"/>
    <w:rsid w:val="003D7C98"/>
    <w:rsid w:val="003D7D9D"/>
    <w:rsid w:val="003E0543"/>
    <w:rsid w:val="003E0567"/>
    <w:rsid w:val="003E0ECA"/>
    <w:rsid w:val="003E1243"/>
    <w:rsid w:val="003E1BC2"/>
    <w:rsid w:val="003E2E5B"/>
    <w:rsid w:val="003E50DE"/>
    <w:rsid w:val="003E5603"/>
    <w:rsid w:val="003E5C5A"/>
    <w:rsid w:val="003E67DA"/>
    <w:rsid w:val="003E749E"/>
    <w:rsid w:val="003F0BD9"/>
    <w:rsid w:val="003F193D"/>
    <w:rsid w:val="003F1C64"/>
    <w:rsid w:val="003F2D7E"/>
    <w:rsid w:val="003F31D4"/>
    <w:rsid w:val="003F4156"/>
    <w:rsid w:val="003F4E63"/>
    <w:rsid w:val="003F50C6"/>
    <w:rsid w:val="003F51E6"/>
    <w:rsid w:val="003F54F5"/>
    <w:rsid w:val="003F5ADF"/>
    <w:rsid w:val="003F5CAB"/>
    <w:rsid w:val="003F5E85"/>
    <w:rsid w:val="003F6AF7"/>
    <w:rsid w:val="00400B29"/>
    <w:rsid w:val="00401516"/>
    <w:rsid w:val="0040212F"/>
    <w:rsid w:val="00402270"/>
    <w:rsid w:val="0040234E"/>
    <w:rsid w:val="00402812"/>
    <w:rsid w:val="004029B8"/>
    <w:rsid w:val="00402BFA"/>
    <w:rsid w:val="00404805"/>
    <w:rsid w:val="00404E95"/>
    <w:rsid w:val="00405044"/>
    <w:rsid w:val="0040504B"/>
    <w:rsid w:val="004050B4"/>
    <w:rsid w:val="004059F4"/>
    <w:rsid w:val="00405D40"/>
    <w:rsid w:val="00406127"/>
    <w:rsid w:val="004061A1"/>
    <w:rsid w:val="00406A17"/>
    <w:rsid w:val="00406A48"/>
    <w:rsid w:val="00407FE5"/>
    <w:rsid w:val="004101B0"/>
    <w:rsid w:val="00410326"/>
    <w:rsid w:val="00410708"/>
    <w:rsid w:val="004108B9"/>
    <w:rsid w:val="00410EC7"/>
    <w:rsid w:val="00410F4C"/>
    <w:rsid w:val="004119A3"/>
    <w:rsid w:val="00411B39"/>
    <w:rsid w:val="004127A7"/>
    <w:rsid w:val="00412F6A"/>
    <w:rsid w:val="00413A1E"/>
    <w:rsid w:val="00413BA7"/>
    <w:rsid w:val="0041425D"/>
    <w:rsid w:val="00414476"/>
    <w:rsid w:val="00414C2E"/>
    <w:rsid w:val="004151CF"/>
    <w:rsid w:val="004155A9"/>
    <w:rsid w:val="00415E60"/>
    <w:rsid w:val="00416364"/>
    <w:rsid w:val="0041659C"/>
    <w:rsid w:val="00416C0E"/>
    <w:rsid w:val="004170AF"/>
    <w:rsid w:val="004173DC"/>
    <w:rsid w:val="0041748D"/>
    <w:rsid w:val="0042047F"/>
    <w:rsid w:val="00420AA6"/>
    <w:rsid w:val="00420B9F"/>
    <w:rsid w:val="0042192C"/>
    <w:rsid w:val="00422260"/>
    <w:rsid w:val="00422700"/>
    <w:rsid w:val="00422EA4"/>
    <w:rsid w:val="00423303"/>
    <w:rsid w:val="0042413F"/>
    <w:rsid w:val="004248E2"/>
    <w:rsid w:val="00425F50"/>
    <w:rsid w:val="00427222"/>
    <w:rsid w:val="00427761"/>
    <w:rsid w:val="00430889"/>
    <w:rsid w:val="004318C7"/>
    <w:rsid w:val="004319F8"/>
    <w:rsid w:val="00431E55"/>
    <w:rsid w:val="004321F6"/>
    <w:rsid w:val="00432CC9"/>
    <w:rsid w:val="00433044"/>
    <w:rsid w:val="00434088"/>
    <w:rsid w:val="00435157"/>
    <w:rsid w:val="00435622"/>
    <w:rsid w:val="004361B6"/>
    <w:rsid w:val="004375B9"/>
    <w:rsid w:val="004407F1"/>
    <w:rsid w:val="00441767"/>
    <w:rsid w:val="004428D0"/>
    <w:rsid w:val="00442BAB"/>
    <w:rsid w:val="00443CF0"/>
    <w:rsid w:val="00444185"/>
    <w:rsid w:val="004442A2"/>
    <w:rsid w:val="004443A7"/>
    <w:rsid w:val="0044442C"/>
    <w:rsid w:val="00444950"/>
    <w:rsid w:val="00444B21"/>
    <w:rsid w:val="004450CA"/>
    <w:rsid w:val="00445941"/>
    <w:rsid w:val="00445BC3"/>
    <w:rsid w:val="004461A9"/>
    <w:rsid w:val="00446398"/>
    <w:rsid w:val="004464EB"/>
    <w:rsid w:val="0044669A"/>
    <w:rsid w:val="00447D26"/>
    <w:rsid w:val="00447DFC"/>
    <w:rsid w:val="0045080F"/>
    <w:rsid w:val="00451055"/>
    <w:rsid w:val="0045110E"/>
    <w:rsid w:val="0045143E"/>
    <w:rsid w:val="00451B08"/>
    <w:rsid w:val="00453095"/>
    <w:rsid w:val="0045424C"/>
    <w:rsid w:val="00454F92"/>
    <w:rsid w:val="0045584C"/>
    <w:rsid w:val="00455D45"/>
    <w:rsid w:val="004567C3"/>
    <w:rsid w:val="00460ED9"/>
    <w:rsid w:val="004610F4"/>
    <w:rsid w:val="004613C9"/>
    <w:rsid w:val="0046143C"/>
    <w:rsid w:val="0046200A"/>
    <w:rsid w:val="0046400B"/>
    <w:rsid w:val="00464038"/>
    <w:rsid w:val="00464595"/>
    <w:rsid w:val="004658B5"/>
    <w:rsid w:val="00465CE3"/>
    <w:rsid w:val="004673D9"/>
    <w:rsid w:val="004701C9"/>
    <w:rsid w:val="004701CA"/>
    <w:rsid w:val="00470384"/>
    <w:rsid w:val="00470404"/>
    <w:rsid w:val="00471EA5"/>
    <w:rsid w:val="00472683"/>
    <w:rsid w:val="00472A79"/>
    <w:rsid w:val="004736D1"/>
    <w:rsid w:val="00473F19"/>
    <w:rsid w:val="0047525B"/>
    <w:rsid w:val="004755D3"/>
    <w:rsid w:val="00475E22"/>
    <w:rsid w:val="00476181"/>
    <w:rsid w:val="0047720C"/>
    <w:rsid w:val="0048088E"/>
    <w:rsid w:val="00480A29"/>
    <w:rsid w:val="00480C19"/>
    <w:rsid w:val="00480F2B"/>
    <w:rsid w:val="00482720"/>
    <w:rsid w:val="00482D12"/>
    <w:rsid w:val="004835E7"/>
    <w:rsid w:val="00485203"/>
    <w:rsid w:val="004858B6"/>
    <w:rsid w:val="004859E1"/>
    <w:rsid w:val="004862D4"/>
    <w:rsid w:val="004867E2"/>
    <w:rsid w:val="00486C1A"/>
    <w:rsid w:val="004875B1"/>
    <w:rsid w:val="0048790E"/>
    <w:rsid w:val="0049070A"/>
    <w:rsid w:val="00490B17"/>
    <w:rsid w:val="004910C5"/>
    <w:rsid w:val="004916F3"/>
    <w:rsid w:val="00491B3A"/>
    <w:rsid w:val="00492566"/>
    <w:rsid w:val="00492CFD"/>
    <w:rsid w:val="00493558"/>
    <w:rsid w:val="00494207"/>
    <w:rsid w:val="00494DD5"/>
    <w:rsid w:val="004950E5"/>
    <w:rsid w:val="00495B06"/>
    <w:rsid w:val="00495B2C"/>
    <w:rsid w:val="00495B56"/>
    <w:rsid w:val="004962D2"/>
    <w:rsid w:val="004A0822"/>
    <w:rsid w:val="004A09C5"/>
    <w:rsid w:val="004A0DA1"/>
    <w:rsid w:val="004A13D6"/>
    <w:rsid w:val="004A29D1"/>
    <w:rsid w:val="004A2A1D"/>
    <w:rsid w:val="004A3430"/>
    <w:rsid w:val="004A52E9"/>
    <w:rsid w:val="004A55B8"/>
    <w:rsid w:val="004A592E"/>
    <w:rsid w:val="004A59C3"/>
    <w:rsid w:val="004A6040"/>
    <w:rsid w:val="004A61AE"/>
    <w:rsid w:val="004A6597"/>
    <w:rsid w:val="004A6882"/>
    <w:rsid w:val="004A6D35"/>
    <w:rsid w:val="004A7848"/>
    <w:rsid w:val="004A793B"/>
    <w:rsid w:val="004A7E6B"/>
    <w:rsid w:val="004B0092"/>
    <w:rsid w:val="004B0560"/>
    <w:rsid w:val="004B0892"/>
    <w:rsid w:val="004B0DEB"/>
    <w:rsid w:val="004B14F4"/>
    <w:rsid w:val="004B1CB4"/>
    <w:rsid w:val="004B1DC9"/>
    <w:rsid w:val="004B2278"/>
    <w:rsid w:val="004B2945"/>
    <w:rsid w:val="004B2A79"/>
    <w:rsid w:val="004B2CD5"/>
    <w:rsid w:val="004B2F18"/>
    <w:rsid w:val="004B33AA"/>
    <w:rsid w:val="004B3DDB"/>
    <w:rsid w:val="004B4405"/>
    <w:rsid w:val="004B44FD"/>
    <w:rsid w:val="004B478B"/>
    <w:rsid w:val="004B5027"/>
    <w:rsid w:val="004B533A"/>
    <w:rsid w:val="004B5A91"/>
    <w:rsid w:val="004B5CFC"/>
    <w:rsid w:val="004B6F79"/>
    <w:rsid w:val="004B774D"/>
    <w:rsid w:val="004C08DA"/>
    <w:rsid w:val="004C0970"/>
    <w:rsid w:val="004C1352"/>
    <w:rsid w:val="004C13AF"/>
    <w:rsid w:val="004C1C8D"/>
    <w:rsid w:val="004C29E0"/>
    <w:rsid w:val="004C29EF"/>
    <w:rsid w:val="004C2AC2"/>
    <w:rsid w:val="004C30DC"/>
    <w:rsid w:val="004C4984"/>
    <w:rsid w:val="004C4AED"/>
    <w:rsid w:val="004C6B05"/>
    <w:rsid w:val="004C6BA6"/>
    <w:rsid w:val="004C70D7"/>
    <w:rsid w:val="004D039D"/>
    <w:rsid w:val="004D148E"/>
    <w:rsid w:val="004D1886"/>
    <w:rsid w:val="004D2C2D"/>
    <w:rsid w:val="004D2DB3"/>
    <w:rsid w:val="004D3EC8"/>
    <w:rsid w:val="004D69B5"/>
    <w:rsid w:val="004D7227"/>
    <w:rsid w:val="004D787D"/>
    <w:rsid w:val="004D7B5E"/>
    <w:rsid w:val="004E08F0"/>
    <w:rsid w:val="004E0A4F"/>
    <w:rsid w:val="004E0DE7"/>
    <w:rsid w:val="004E0E7F"/>
    <w:rsid w:val="004E0EB8"/>
    <w:rsid w:val="004E126F"/>
    <w:rsid w:val="004E13A4"/>
    <w:rsid w:val="004E18E9"/>
    <w:rsid w:val="004E2174"/>
    <w:rsid w:val="004E2327"/>
    <w:rsid w:val="004E2ADC"/>
    <w:rsid w:val="004E2DA0"/>
    <w:rsid w:val="004E3A34"/>
    <w:rsid w:val="004E3FB5"/>
    <w:rsid w:val="004E43B2"/>
    <w:rsid w:val="004E4DF0"/>
    <w:rsid w:val="004E51AE"/>
    <w:rsid w:val="004E5738"/>
    <w:rsid w:val="004E631C"/>
    <w:rsid w:val="004E6912"/>
    <w:rsid w:val="004E76E3"/>
    <w:rsid w:val="004F0790"/>
    <w:rsid w:val="004F0FD5"/>
    <w:rsid w:val="004F188E"/>
    <w:rsid w:val="004F1D02"/>
    <w:rsid w:val="004F2570"/>
    <w:rsid w:val="004F2623"/>
    <w:rsid w:val="004F2679"/>
    <w:rsid w:val="004F2F21"/>
    <w:rsid w:val="004F36DD"/>
    <w:rsid w:val="004F3DE5"/>
    <w:rsid w:val="004F40AE"/>
    <w:rsid w:val="004F4AC7"/>
    <w:rsid w:val="004F4F76"/>
    <w:rsid w:val="004F5A74"/>
    <w:rsid w:val="004F5DA1"/>
    <w:rsid w:val="004F6088"/>
    <w:rsid w:val="004F6790"/>
    <w:rsid w:val="004F6913"/>
    <w:rsid w:val="004F699B"/>
    <w:rsid w:val="004F7865"/>
    <w:rsid w:val="004F7CA0"/>
    <w:rsid w:val="004F7D26"/>
    <w:rsid w:val="00500582"/>
    <w:rsid w:val="00500E04"/>
    <w:rsid w:val="00501593"/>
    <w:rsid w:val="0050174E"/>
    <w:rsid w:val="005017F0"/>
    <w:rsid w:val="00501854"/>
    <w:rsid w:val="0050214A"/>
    <w:rsid w:val="0050219B"/>
    <w:rsid w:val="00502C98"/>
    <w:rsid w:val="00503885"/>
    <w:rsid w:val="00503F17"/>
    <w:rsid w:val="00503F3A"/>
    <w:rsid w:val="00504863"/>
    <w:rsid w:val="0050547B"/>
    <w:rsid w:val="00505ABB"/>
    <w:rsid w:val="00506928"/>
    <w:rsid w:val="005069C7"/>
    <w:rsid w:val="005077EF"/>
    <w:rsid w:val="005109E0"/>
    <w:rsid w:val="005112FF"/>
    <w:rsid w:val="00511AD5"/>
    <w:rsid w:val="00511DC7"/>
    <w:rsid w:val="00512C91"/>
    <w:rsid w:val="00513C79"/>
    <w:rsid w:val="0051412D"/>
    <w:rsid w:val="005142C5"/>
    <w:rsid w:val="00514DEC"/>
    <w:rsid w:val="0051501B"/>
    <w:rsid w:val="005152B5"/>
    <w:rsid w:val="00515886"/>
    <w:rsid w:val="00515BDB"/>
    <w:rsid w:val="0052008A"/>
    <w:rsid w:val="00520C3A"/>
    <w:rsid w:val="0052123C"/>
    <w:rsid w:val="00521319"/>
    <w:rsid w:val="005214B7"/>
    <w:rsid w:val="005228E2"/>
    <w:rsid w:val="005228EF"/>
    <w:rsid w:val="00522BC8"/>
    <w:rsid w:val="00523C28"/>
    <w:rsid w:val="00524195"/>
    <w:rsid w:val="00524E68"/>
    <w:rsid w:val="0052567F"/>
    <w:rsid w:val="00525F9E"/>
    <w:rsid w:val="0052677B"/>
    <w:rsid w:val="00526835"/>
    <w:rsid w:val="00527163"/>
    <w:rsid w:val="005274DE"/>
    <w:rsid w:val="00527BA1"/>
    <w:rsid w:val="00527F90"/>
    <w:rsid w:val="0053013C"/>
    <w:rsid w:val="005311F2"/>
    <w:rsid w:val="00531297"/>
    <w:rsid w:val="0053176B"/>
    <w:rsid w:val="0053283B"/>
    <w:rsid w:val="00532953"/>
    <w:rsid w:val="00532B69"/>
    <w:rsid w:val="00532C20"/>
    <w:rsid w:val="005330AB"/>
    <w:rsid w:val="00533BB1"/>
    <w:rsid w:val="005341B3"/>
    <w:rsid w:val="00534299"/>
    <w:rsid w:val="005347A2"/>
    <w:rsid w:val="005349F0"/>
    <w:rsid w:val="00535060"/>
    <w:rsid w:val="00535EDE"/>
    <w:rsid w:val="00536010"/>
    <w:rsid w:val="005368C0"/>
    <w:rsid w:val="00536C61"/>
    <w:rsid w:val="00536D50"/>
    <w:rsid w:val="00536F42"/>
    <w:rsid w:val="00537182"/>
    <w:rsid w:val="0054020E"/>
    <w:rsid w:val="0054028B"/>
    <w:rsid w:val="005406A4"/>
    <w:rsid w:val="00541487"/>
    <w:rsid w:val="00541E33"/>
    <w:rsid w:val="00541EDD"/>
    <w:rsid w:val="00542743"/>
    <w:rsid w:val="0054286A"/>
    <w:rsid w:val="00542C2D"/>
    <w:rsid w:val="00542CA4"/>
    <w:rsid w:val="00543336"/>
    <w:rsid w:val="00543465"/>
    <w:rsid w:val="00544590"/>
    <w:rsid w:val="005450C5"/>
    <w:rsid w:val="00545896"/>
    <w:rsid w:val="00545A06"/>
    <w:rsid w:val="005462B9"/>
    <w:rsid w:val="00546441"/>
    <w:rsid w:val="00546648"/>
    <w:rsid w:val="0054783A"/>
    <w:rsid w:val="005478BD"/>
    <w:rsid w:val="005479E3"/>
    <w:rsid w:val="005504CA"/>
    <w:rsid w:val="00550754"/>
    <w:rsid w:val="00550B8A"/>
    <w:rsid w:val="00551985"/>
    <w:rsid w:val="00552959"/>
    <w:rsid w:val="00552BD3"/>
    <w:rsid w:val="005532A0"/>
    <w:rsid w:val="00553D6F"/>
    <w:rsid w:val="00553E9C"/>
    <w:rsid w:val="00554B10"/>
    <w:rsid w:val="00555109"/>
    <w:rsid w:val="0055517C"/>
    <w:rsid w:val="005551C4"/>
    <w:rsid w:val="005552A3"/>
    <w:rsid w:val="00555520"/>
    <w:rsid w:val="00556745"/>
    <w:rsid w:val="00556B35"/>
    <w:rsid w:val="00557081"/>
    <w:rsid w:val="005572BA"/>
    <w:rsid w:val="0055741A"/>
    <w:rsid w:val="00557553"/>
    <w:rsid w:val="00557797"/>
    <w:rsid w:val="005579ED"/>
    <w:rsid w:val="00557D9D"/>
    <w:rsid w:val="005611B7"/>
    <w:rsid w:val="00561452"/>
    <w:rsid w:val="005618D4"/>
    <w:rsid w:val="00561F11"/>
    <w:rsid w:val="0056259E"/>
    <w:rsid w:val="005626C3"/>
    <w:rsid w:val="00562969"/>
    <w:rsid w:val="00562CFD"/>
    <w:rsid w:val="00563AC9"/>
    <w:rsid w:val="00563D1F"/>
    <w:rsid w:val="00564867"/>
    <w:rsid w:val="00565C79"/>
    <w:rsid w:val="00565DF0"/>
    <w:rsid w:val="0056696F"/>
    <w:rsid w:val="00566AC2"/>
    <w:rsid w:val="00567544"/>
    <w:rsid w:val="00567FCE"/>
    <w:rsid w:val="00570387"/>
    <w:rsid w:val="00570ABC"/>
    <w:rsid w:val="00572269"/>
    <w:rsid w:val="0057244A"/>
    <w:rsid w:val="0057258B"/>
    <w:rsid w:val="00572A58"/>
    <w:rsid w:val="00572F26"/>
    <w:rsid w:val="00573D31"/>
    <w:rsid w:val="005750C5"/>
    <w:rsid w:val="005752DE"/>
    <w:rsid w:val="00575D60"/>
    <w:rsid w:val="00575D8D"/>
    <w:rsid w:val="00576889"/>
    <w:rsid w:val="00576972"/>
    <w:rsid w:val="00577248"/>
    <w:rsid w:val="005772FF"/>
    <w:rsid w:val="00580D30"/>
    <w:rsid w:val="00580FF5"/>
    <w:rsid w:val="00581BE4"/>
    <w:rsid w:val="0058231A"/>
    <w:rsid w:val="00582E39"/>
    <w:rsid w:val="00583699"/>
    <w:rsid w:val="00583B87"/>
    <w:rsid w:val="00583C0C"/>
    <w:rsid w:val="00583D50"/>
    <w:rsid w:val="00584509"/>
    <w:rsid w:val="0058494A"/>
    <w:rsid w:val="005858C8"/>
    <w:rsid w:val="00585CDD"/>
    <w:rsid w:val="00586198"/>
    <w:rsid w:val="005862C9"/>
    <w:rsid w:val="0058630A"/>
    <w:rsid w:val="00587058"/>
    <w:rsid w:val="00587423"/>
    <w:rsid w:val="005905C6"/>
    <w:rsid w:val="0059172D"/>
    <w:rsid w:val="00591957"/>
    <w:rsid w:val="00592219"/>
    <w:rsid w:val="0059276D"/>
    <w:rsid w:val="00593608"/>
    <w:rsid w:val="00594CED"/>
    <w:rsid w:val="005963C9"/>
    <w:rsid w:val="0059649D"/>
    <w:rsid w:val="00596B24"/>
    <w:rsid w:val="00597266"/>
    <w:rsid w:val="00597AFB"/>
    <w:rsid w:val="00597BBB"/>
    <w:rsid w:val="00597BF9"/>
    <w:rsid w:val="005A0C11"/>
    <w:rsid w:val="005A1E10"/>
    <w:rsid w:val="005A2485"/>
    <w:rsid w:val="005A2797"/>
    <w:rsid w:val="005A2C46"/>
    <w:rsid w:val="005A2C54"/>
    <w:rsid w:val="005A309A"/>
    <w:rsid w:val="005A373D"/>
    <w:rsid w:val="005A3C6F"/>
    <w:rsid w:val="005A459D"/>
    <w:rsid w:val="005A47AE"/>
    <w:rsid w:val="005A49CA"/>
    <w:rsid w:val="005A5519"/>
    <w:rsid w:val="005A5E0A"/>
    <w:rsid w:val="005A6DCC"/>
    <w:rsid w:val="005A74BF"/>
    <w:rsid w:val="005B0164"/>
    <w:rsid w:val="005B073C"/>
    <w:rsid w:val="005B0B58"/>
    <w:rsid w:val="005B1146"/>
    <w:rsid w:val="005B2F5E"/>
    <w:rsid w:val="005B4C4A"/>
    <w:rsid w:val="005B4E53"/>
    <w:rsid w:val="005B554B"/>
    <w:rsid w:val="005B5857"/>
    <w:rsid w:val="005B58A7"/>
    <w:rsid w:val="005B729D"/>
    <w:rsid w:val="005C0937"/>
    <w:rsid w:val="005C19C4"/>
    <w:rsid w:val="005C1B83"/>
    <w:rsid w:val="005C1C24"/>
    <w:rsid w:val="005C2278"/>
    <w:rsid w:val="005C227B"/>
    <w:rsid w:val="005C2355"/>
    <w:rsid w:val="005C25FF"/>
    <w:rsid w:val="005C2D55"/>
    <w:rsid w:val="005C346B"/>
    <w:rsid w:val="005C3716"/>
    <w:rsid w:val="005C40B5"/>
    <w:rsid w:val="005C4504"/>
    <w:rsid w:val="005C543F"/>
    <w:rsid w:val="005C5ABC"/>
    <w:rsid w:val="005C6C06"/>
    <w:rsid w:val="005D044D"/>
    <w:rsid w:val="005D05CF"/>
    <w:rsid w:val="005D0ABD"/>
    <w:rsid w:val="005D0E27"/>
    <w:rsid w:val="005D18AD"/>
    <w:rsid w:val="005D1B7E"/>
    <w:rsid w:val="005D2032"/>
    <w:rsid w:val="005D26B4"/>
    <w:rsid w:val="005D3359"/>
    <w:rsid w:val="005D3C77"/>
    <w:rsid w:val="005D3EEB"/>
    <w:rsid w:val="005D48CF"/>
    <w:rsid w:val="005D6227"/>
    <w:rsid w:val="005D64F3"/>
    <w:rsid w:val="005D7106"/>
    <w:rsid w:val="005D7613"/>
    <w:rsid w:val="005E02D0"/>
    <w:rsid w:val="005E1840"/>
    <w:rsid w:val="005E1995"/>
    <w:rsid w:val="005E1E96"/>
    <w:rsid w:val="005E2025"/>
    <w:rsid w:val="005E2C5A"/>
    <w:rsid w:val="005E3E20"/>
    <w:rsid w:val="005E4CD6"/>
    <w:rsid w:val="005E4D2B"/>
    <w:rsid w:val="005E5BBC"/>
    <w:rsid w:val="005E5DDE"/>
    <w:rsid w:val="005E6284"/>
    <w:rsid w:val="005E6CBC"/>
    <w:rsid w:val="005E72FF"/>
    <w:rsid w:val="005E73C0"/>
    <w:rsid w:val="005E748D"/>
    <w:rsid w:val="005E799F"/>
    <w:rsid w:val="005F0208"/>
    <w:rsid w:val="005F07ED"/>
    <w:rsid w:val="005F12BD"/>
    <w:rsid w:val="005F1756"/>
    <w:rsid w:val="005F19C2"/>
    <w:rsid w:val="005F23A2"/>
    <w:rsid w:val="005F2706"/>
    <w:rsid w:val="005F358B"/>
    <w:rsid w:val="005F42A1"/>
    <w:rsid w:val="005F4412"/>
    <w:rsid w:val="005F4661"/>
    <w:rsid w:val="005F526C"/>
    <w:rsid w:val="005F57B0"/>
    <w:rsid w:val="005F5E6E"/>
    <w:rsid w:val="005F6A8F"/>
    <w:rsid w:val="005F6BB7"/>
    <w:rsid w:val="005F7588"/>
    <w:rsid w:val="0060027C"/>
    <w:rsid w:val="0060118F"/>
    <w:rsid w:val="0060136D"/>
    <w:rsid w:val="006018F7"/>
    <w:rsid w:val="00601A65"/>
    <w:rsid w:val="0060237F"/>
    <w:rsid w:val="00602B8A"/>
    <w:rsid w:val="00603171"/>
    <w:rsid w:val="00603248"/>
    <w:rsid w:val="006039A8"/>
    <w:rsid w:val="00603DB9"/>
    <w:rsid w:val="00603EA1"/>
    <w:rsid w:val="00605385"/>
    <w:rsid w:val="0060550C"/>
    <w:rsid w:val="00605F34"/>
    <w:rsid w:val="00606FBA"/>
    <w:rsid w:val="00607669"/>
    <w:rsid w:val="006076F4"/>
    <w:rsid w:val="00607AFD"/>
    <w:rsid w:val="00607EC2"/>
    <w:rsid w:val="006113FB"/>
    <w:rsid w:val="006115F0"/>
    <w:rsid w:val="00611B12"/>
    <w:rsid w:val="00612931"/>
    <w:rsid w:val="00612E05"/>
    <w:rsid w:val="00612F8C"/>
    <w:rsid w:val="00612F97"/>
    <w:rsid w:val="0061345D"/>
    <w:rsid w:val="006139EB"/>
    <w:rsid w:val="006152BE"/>
    <w:rsid w:val="0061549B"/>
    <w:rsid w:val="00615BF5"/>
    <w:rsid w:val="00616802"/>
    <w:rsid w:val="006168B9"/>
    <w:rsid w:val="00617B58"/>
    <w:rsid w:val="00617D6B"/>
    <w:rsid w:val="00617E12"/>
    <w:rsid w:val="00620C25"/>
    <w:rsid w:val="00621066"/>
    <w:rsid w:val="00621477"/>
    <w:rsid w:val="00621ADA"/>
    <w:rsid w:val="00622056"/>
    <w:rsid w:val="006232FB"/>
    <w:rsid w:val="0062360B"/>
    <w:rsid w:val="00623AD6"/>
    <w:rsid w:val="00623CFA"/>
    <w:rsid w:val="00623D53"/>
    <w:rsid w:val="00623F7B"/>
    <w:rsid w:val="006240A2"/>
    <w:rsid w:val="00624323"/>
    <w:rsid w:val="00624BD4"/>
    <w:rsid w:val="00625748"/>
    <w:rsid w:val="00625EB8"/>
    <w:rsid w:val="0062614C"/>
    <w:rsid w:val="00627A64"/>
    <w:rsid w:val="00627B84"/>
    <w:rsid w:val="00627BEB"/>
    <w:rsid w:val="006300FC"/>
    <w:rsid w:val="00630836"/>
    <w:rsid w:val="00630D2F"/>
    <w:rsid w:val="00630FBF"/>
    <w:rsid w:val="0063158F"/>
    <w:rsid w:val="0063189D"/>
    <w:rsid w:val="00631D6B"/>
    <w:rsid w:val="00632183"/>
    <w:rsid w:val="00632764"/>
    <w:rsid w:val="00632AA7"/>
    <w:rsid w:val="00632C4A"/>
    <w:rsid w:val="006330A1"/>
    <w:rsid w:val="00633DF1"/>
    <w:rsid w:val="0063479F"/>
    <w:rsid w:val="00634909"/>
    <w:rsid w:val="00634DDB"/>
    <w:rsid w:val="00634E99"/>
    <w:rsid w:val="006350C5"/>
    <w:rsid w:val="006353F0"/>
    <w:rsid w:val="00635503"/>
    <w:rsid w:val="0063575B"/>
    <w:rsid w:val="006357B5"/>
    <w:rsid w:val="006364A1"/>
    <w:rsid w:val="0063678E"/>
    <w:rsid w:val="00636DC2"/>
    <w:rsid w:val="00637959"/>
    <w:rsid w:val="00637BFD"/>
    <w:rsid w:val="00637C5C"/>
    <w:rsid w:val="00640211"/>
    <w:rsid w:val="006403EB"/>
    <w:rsid w:val="0064087B"/>
    <w:rsid w:val="00640D6E"/>
    <w:rsid w:val="00641427"/>
    <w:rsid w:val="0064171E"/>
    <w:rsid w:val="00641C35"/>
    <w:rsid w:val="00641C4E"/>
    <w:rsid w:val="00641FB3"/>
    <w:rsid w:val="006420A8"/>
    <w:rsid w:val="00642497"/>
    <w:rsid w:val="00642A43"/>
    <w:rsid w:val="0064434C"/>
    <w:rsid w:val="00646562"/>
    <w:rsid w:val="006471CC"/>
    <w:rsid w:val="006472FE"/>
    <w:rsid w:val="00647A29"/>
    <w:rsid w:val="0065079F"/>
    <w:rsid w:val="00650DFB"/>
    <w:rsid w:val="00652703"/>
    <w:rsid w:val="00652810"/>
    <w:rsid w:val="00652987"/>
    <w:rsid w:val="00652A28"/>
    <w:rsid w:val="00652BCC"/>
    <w:rsid w:val="006534AA"/>
    <w:rsid w:val="0065379F"/>
    <w:rsid w:val="0065392B"/>
    <w:rsid w:val="00654044"/>
    <w:rsid w:val="006550A7"/>
    <w:rsid w:val="00655369"/>
    <w:rsid w:val="0065555D"/>
    <w:rsid w:val="00655B31"/>
    <w:rsid w:val="00656188"/>
    <w:rsid w:val="0065715A"/>
    <w:rsid w:val="00657DBB"/>
    <w:rsid w:val="006610F1"/>
    <w:rsid w:val="0066194F"/>
    <w:rsid w:val="00661C6B"/>
    <w:rsid w:val="00662313"/>
    <w:rsid w:val="00662D3E"/>
    <w:rsid w:val="00663519"/>
    <w:rsid w:val="00664563"/>
    <w:rsid w:val="00664DD7"/>
    <w:rsid w:val="0066523B"/>
    <w:rsid w:val="00665A51"/>
    <w:rsid w:val="0066625B"/>
    <w:rsid w:val="00667BE3"/>
    <w:rsid w:val="006700DF"/>
    <w:rsid w:val="006704CC"/>
    <w:rsid w:val="00671004"/>
    <w:rsid w:val="00671188"/>
    <w:rsid w:val="006722A3"/>
    <w:rsid w:val="00672646"/>
    <w:rsid w:val="00672D41"/>
    <w:rsid w:val="0067311F"/>
    <w:rsid w:val="0067355B"/>
    <w:rsid w:val="0067431D"/>
    <w:rsid w:val="0067485B"/>
    <w:rsid w:val="00674A1B"/>
    <w:rsid w:val="00674E42"/>
    <w:rsid w:val="006759D0"/>
    <w:rsid w:val="00675A2F"/>
    <w:rsid w:val="00676120"/>
    <w:rsid w:val="00676563"/>
    <w:rsid w:val="00676820"/>
    <w:rsid w:val="00680302"/>
    <w:rsid w:val="00680588"/>
    <w:rsid w:val="00680BCF"/>
    <w:rsid w:val="006813F8"/>
    <w:rsid w:val="006818D7"/>
    <w:rsid w:val="00682112"/>
    <w:rsid w:val="006824FB"/>
    <w:rsid w:val="00682BA6"/>
    <w:rsid w:val="00682FFD"/>
    <w:rsid w:val="0068316E"/>
    <w:rsid w:val="006831E7"/>
    <w:rsid w:val="006834AB"/>
    <w:rsid w:val="006835B2"/>
    <w:rsid w:val="00683C95"/>
    <w:rsid w:val="00685345"/>
    <w:rsid w:val="00685B8E"/>
    <w:rsid w:val="00686957"/>
    <w:rsid w:val="006872BA"/>
    <w:rsid w:val="006875A0"/>
    <w:rsid w:val="00687AFD"/>
    <w:rsid w:val="00690795"/>
    <w:rsid w:val="00690E07"/>
    <w:rsid w:val="00691648"/>
    <w:rsid w:val="006917D7"/>
    <w:rsid w:val="0069434C"/>
    <w:rsid w:val="00694F44"/>
    <w:rsid w:val="0069512C"/>
    <w:rsid w:val="00695CBE"/>
    <w:rsid w:val="00696EF9"/>
    <w:rsid w:val="00696F51"/>
    <w:rsid w:val="006979A5"/>
    <w:rsid w:val="00697A07"/>
    <w:rsid w:val="006A016F"/>
    <w:rsid w:val="006A0501"/>
    <w:rsid w:val="006A08E6"/>
    <w:rsid w:val="006A0DF7"/>
    <w:rsid w:val="006A1888"/>
    <w:rsid w:val="006A2389"/>
    <w:rsid w:val="006A2605"/>
    <w:rsid w:val="006A2C45"/>
    <w:rsid w:val="006A3799"/>
    <w:rsid w:val="006A39A4"/>
    <w:rsid w:val="006A4195"/>
    <w:rsid w:val="006A4321"/>
    <w:rsid w:val="006A43D9"/>
    <w:rsid w:val="006A520E"/>
    <w:rsid w:val="006A523F"/>
    <w:rsid w:val="006A6B99"/>
    <w:rsid w:val="006A72BF"/>
    <w:rsid w:val="006A74A4"/>
    <w:rsid w:val="006A7E5F"/>
    <w:rsid w:val="006B0078"/>
    <w:rsid w:val="006B0A62"/>
    <w:rsid w:val="006B1C03"/>
    <w:rsid w:val="006B2295"/>
    <w:rsid w:val="006B261B"/>
    <w:rsid w:val="006B2C90"/>
    <w:rsid w:val="006B3264"/>
    <w:rsid w:val="006B32F0"/>
    <w:rsid w:val="006B3375"/>
    <w:rsid w:val="006B3453"/>
    <w:rsid w:val="006B35E6"/>
    <w:rsid w:val="006B3796"/>
    <w:rsid w:val="006B39AA"/>
    <w:rsid w:val="006B464F"/>
    <w:rsid w:val="006B465A"/>
    <w:rsid w:val="006B4EDB"/>
    <w:rsid w:val="006B58C6"/>
    <w:rsid w:val="006B6DD0"/>
    <w:rsid w:val="006B7229"/>
    <w:rsid w:val="006B7238"/>
    <w:rsid w:val="006B76AE"/>
    <w:rsid w:val="006B7B8A"/>
    <w:rsid w:val="006B7D10"/>
    <w:rsid w:val="006C0063"/>
    <w:rsid w:val="006C0399"/>
    <w:rsid w:val="006C10DC"/>
    <w:rsid w:val="006C16F3"/>
    <w:rsid w:val="006C1702"/>
    <w:rsid w:val="006C2194"/>
    <w:rsid w:val="006C2A8E"/>
    <w:rsid w:val="006C2DAA"/>
    <w:rsid w:val="006C3255"/>
    <w:rsid w:val="006C3F26"/>
    <w:rsid w:val="006C4957"/>
    <w:rsid w:val="006C5F06"/>
    <w:rsid w:val="006C609F"/>
    <w:rsid w:val="006C7490"/>
    <w:rsid w:val="006C7756"/>
    <w:rsid w:val="006C7777"/>
    <w:rsid w:val="006C7D64"/>
    <w:rsid w:val="006C7D74"/>
    <w:rsid w:val="006D0207"/>
    <w:rsid w:val="006D0D17"/>
    <w:rsid w:val="006D3985"/>
    <w:rsid w:val="006D3C7D"/>
    <w:rsid w:val="006D4659"/>
    <w:rsid w:val="006D47A4"/>
    <w:rsid w:val="006D5094"/>
    <w:rsid w:val="006D53A8"/>
    <w:rsid w:val="006D570E"/>
    <w:rsid w:val="006D5D5F"/>
    <w:rsid w:val="006D62DB"/>
    <w:rsid w:val="006D68FB"/>
    <w:rsid w:val="006D7292"/>
    <w:rsid w:val="006E04B3"/>
    <w:rsid w:val="006E2546"/>
    <w:rsid w:val="006E2868"/>
    <w:rsid w:val="006E28BE"/>
    <w:rsid w:val="006E3C65"/>
    <w:rsid w:val="006E4602"/>
    <w:rsid w:val="006E61A2"/>
    <w:rsid w:val="006E6814"/>
    <w:rsid w:val="006E7C43"/>
    <w:rsid w:val="006F0EB7"/>
    <w:rsid w:val="006F1BE0"/>
    <w:rsid w:val="006F208F"/>
    <w:rsid w:val="006F2DD2"/>
    <w:rsid w:val="006F3057"/>
    <w:rsid w:val="006F306C"/>
    <w:rsid w:val="006F4EF4"/>
    <w:rsid w:val="006F5B48"/>
    <w:rsid w:val="006F5DD0"/>
    <w:rsid w:val="006F63A5"/>
    <w:rsid w:val="006F6791"/>
    <w:rsid w:val="006F7572"/>
    <w:rsid w:val="006F7AD1"/>
    <w:rsid w:val="006F7CAE"/>
    <w:rsid w:val="00700A6F"/>
    <w:rsid w:val="007011BA"/>
    <w:rsid w:val="0070142B"/>
    <w:rsid w:val="0070276E"/>
    <w:rsid w:val="00702F8F"/>
    <w:rsid w:val="007039B9"/>
    <w:rsid w:val="00703F0F"/>
    <w:rsid w:val="0070411C"/>
    <w:rsid w:val="00704340"/>
    <w:rsid w:val="00704D6D"/>
    <w:rsid w:val="00707085"/>
    <w:rsid w:val="007079FC"/>
    <w:rsid w:val="0071000B"/>
    <w:rsid w:val="0071085D"/>
    <w:rsid w:val="00710ACC"/>
    <w:rsid w:val="00711342"/>
    <w:rsid w:val="00711A36"/>
    <w:rsid w:val="00711A76"/>
    <w:rsid w:val="00711FBE"/>
    <w:rsid w:val="007125D3"/>
    <w:rsid w:val="00712F1E"/>
    <w:rsid w:val="00713B1C"/>
    <w:rsid w:val="00714C26"/>
    <w:rsid w:val="0071529C"/>
    <w:rsid w:val="0071561E"/>
    <w:rsid w:val="00715FFD"/>
    <w:rsid w:val="00716C16"/>
    <w:rsid w:val="007170DA"/>
    <w:rsid w:val="007170FA"/>
    <w:rsid w:val="007172AD"/>
    <w:rsid w:val="00717546"/>
    <w:rsid w:val="007179AD"/>
    <w:rsid w:val="007205EE"/>
    <w:rsid w:val="00720801"/>
    <w:rsid w:val="00720815"/>
    <w:rsid w:val="00720832"/>
    <w:rsid w:val="00721854"/>
    <w:rsid w:val="00721EA3"/>
    <w:rsid w:val="007223EC"/>
    <w:rsid w:val="00722B1B"/>
    <w:rsid w:val="0072346B"/>
    <w:rsid w:val="00724163"/>
    <w:rsid w:val="0072416F"/>
    <w:rsid w:val="007241F8"/>
    <w:rsid w:val="007248A9"/>
    <w:rsid w:val="0072512A"/>
    <w:rsid w:val="00725688"/>
    <w:rsid w:val="00725AD9"/>
    <w:rsid w:val="00726EBC"/>
    <w:rsid w:val="007272B0"/>
    <w:rsid w:val="00727C94"/>
    <w:rsid w:val="00727D6B"/>
    <w:rsid w:val="0073057E"/>
    <w:rsid w:val="0073159B"/>
    <w:rsid w:val="00731B0A"/>
    <w:rsid w:val="00731EAE"/>
    <w:rsid w:val="007322E9"/>
    <w:rsid w:val="00732730"/>
    <w:rsid w:val="00733073"/>
    <w:rsid w:val="0073322A"/>
    <w:rsid w:val="00734C7D"/>
    <w:rsid w:val="00735033"/>
    <w:rsid w:val="00735328"/>
    <w:rsid w:val="0073649D"/>
    <w:rsid w:val="0073685B"/>
    <w:rsid w:val="00737398"/>
    <w:rsid w:val="00737710"/>
    <w:rsid w:val="0073781F"/>
    <w:rsid w:val="007378D5"/>
    <w:rsid w:val="00741908"/>
    <w:rsid w:val="00741B08"/>
    <w:rsid w:val="00743C1A"/>
    <w:rsid w:val="007445E9"/>
    <w:rsid w:val="007449BF"/>
    <w:rsid w:val="00744A80"/>
    <w:rsid w:val="00745362"/>
    <w:rsid w:val="007463EF"/>
    <w:rsid w:val="007463FE"/>
    <w:rsid w:val="007465F0"/>
    <w:rsid w:val="00746BC0"/>
    <w:rsid w:val="0075024F"/>
    <w:rsid w:val="007510B4"/>
    <w:rsid w:val="00751CA7"/>
    <w:rsid w:val="00752095"/>
    <w:rsid w:val="00752142"/>
    <w:rsid w:val="0075222E"/>
    <w:rsid w:val="007523F9"/>
    <w:rsid w:val="00752642"/>
    <w:rsid w:val="007530C6"/>
    <w:rsid w:val="00753552"/>
    <w:rsid w:val="0075357E"/>
    <w:rsid w:val="0075364C"/>
    <w:rsid w:val="00753B29"/>
    <w:rsid w:val="00753DD2"/>
    <w:rsid w:val="007544D0"/>
    <w:rsid w:val="007552EE"/>
    <w:rsid w:val="00756C3C"/>
    <w:rsid w:val="007573E8"/>
    <w:rsid w:val="0075751A"/>
    <w:rsid w:val="0075793E"/>
    <w:rsid w:val="00760183"/>
    <w:rsid w:val="007602F6"/>
    <w:rsid w:val="0076032C"/>
    <w:rsid w:val="00760C4E"/>
    <w:rsid w:val="00760F9E"/>
    <w:rsid w:val="00761049"/>
    <w:rsid w:val="007616E6"/>
    <w:rsid w:val="00761C4A"/>
    <w:rsid w:val="007627BE"/>
    <w:rsid w:val="00762B6A"/>
    <w:rsid w:val="007648EE"/>
    <w:rsid w:val="00764F03"/>
    <w:rsid w:val="00765B1A"/>
    <w:rsid w:val="00765DC1"/>
    <w:rsid w:val="0076627B"/>
    <w:rsid w:val="00766A81"/>
    <w:rsid w:val="00770FC8"/>
    <w:rsid w:val="00771DC3"/>
    <w:rsid w:val="00773210"/>
    <w:rsid w:val="0077346A"/>
    <w:rsid w:val="007734AD"/>
    <w:rsid w:val="00774448"/>
    <w:rsid w:val="00775517"/>
    <w:rsid w:val="00777091"/>
    <w:rsid w:val="00777335"/>
    <w:rsid w:val="0078179B"/>
    <w:rsid w:val="00782367"/>
    <w:rsid w:val="007832B9"/>
    <w:rsid w:val="007843F2"/>
    <w:rsid w:val="00784455"/>
    <w:rsid w:val="007846FA"/>
    <w:rsid w:val="00784E28"/>
    <w:rsid w:val="00785A9F"/>
    <w:rsid w:val="007863C8"/>
    <w:rsid w:val="007863EA"/>
    <w:rsid w:val="00786729"/>
    <w:rsid w:val="00787D89"/>
    <w:rsid w:val="00790515"/>
    <w:rsid w:val="00790FEE"/>
    <w:rsid w:val="0079170C"/>
    <w:rsid w:val="007920AF"/>
    <w:rsid w:val="007925DF"/>
    <w:rsid w:val="00792B1C"/>
    <w:rsid w:val="00792DEA"/>
    <w:rsid w:val="00794094"/>
    <w:rsid w:val="00794D4B"/>
    <w:rsid w:val="00795282"/>
    <w:rsid w:val="0079607F"/>
    <w:rsid w:val="007A08AA"/>
    <w:rsid w:val="007A0A12"/>
    <w:rsid w:val="007A11FB"/>
    <w:rsid w:val="007A132D"/>
    <w:rsid w:val="007A1345"/>
    <w:rsid w:val="007A1D2F"/>
    <w:rsid w:val="007A2DDB"/>
    <w:rsid w:val="007A4265"/>
    <w:rsid w:val="007A4D70"/>
    <w:rsid w:val="007A5015"/>
    <w:rsid w:val="007A56AB"/>
    <w:rsid w:val="007A6474"/>
    <w:rsid w:val="007A6ABE"/>
    <w:rsid w:val="007A6E45"/>
    <w:rsid w:val="007A70BA"/>
    <w:rsid w:val="007A7395"/>
    <w:rsid w:val="007A7EDB"/>
    <w:rsid w:val="007B0164"/>
    <w:rsid w:val="007B0D68"/>
    <w:rsid w:val="007B10C8"/>
    <w:rsid w:val="007B10E3"/>
    <w:rsid w:val="007B1207"/>
    <w:rsid w:val="007B251D"/>
    <w:rsid w:val="007B2B87"/>
    <w:rsid w:val="007B2C5F"/>
    <w:rsid w:val="007B2E5D"/>
    <w:rsid w:val="007B314E"/>
    <w:rsid w:val="007B3533"/>
    <w:rsid w:val="007B3BFE"/>
    <w:rsid w:val="007B4F58"/>
    <w:rsid w:val="007B528D"/>
    <w:rsid w:val="007B5668"/>
    <w:rsid w:val="007B63CA"/>
    <w:rsid w:val="007B7366"/>
    <w:rsid w:val="007B77D1"/>
    <w:rsid w:val="007B79B7"/>
    <w:rsid w:val="007C079D"/>
    <w:rsid w:val="007C07C7"/>
    <w:rsid w:val="007C1CD9"/>
    <w:rsid w:val="007C2ABF"/>
    <w:rsid w:val="007C2BF1"/>
    <w:rsid w:val="007C32EF"/>
    <w:rsid w:val="007C361D"/>
    <w:rsid w:val="007C3AF7"/>
    <w:rsid w:val="007C3FFC"/>
    <w:rsid w:val="007C4525"/>
    <w:rsid w:val="007C4805"/>
    <w:rsid w:val="007C4B84"/>
    <w:rsid w:val="007C5B6B"/>
    <w:rsid w:val="007C672A"/>
    <w:rsid w:val="007C70FF"/>
    <w:rsid w:val="007C78D3"/>
    <w:rsid w:val="007C7907"/>
    <w:rsid w:val="007C7C25"/>
    <w:rsid w:val="007D004F"/>
    <w:rsid w:val="007D035F"/>
    <w:rsid w:val="007D06B2"/>
    <w:rsid w:val="007D0B38"/>
    <w:rsid w:val="007D1C22"/>
    <w:rsid w:val="007D20FF"/>
    <w:rsid w:val="007D2A8F"/>
    <w:rsid w:val="007D3015"/>
    <w:rsid w:val="007D3D26"/>
    <w:rsid w:val="007D3F51"/>
    <w:rsid w:val="007D5440"/>
    <w:rsid w:val="007D5C6C"/>
    <w:rsid w:val="007D69EB"/>
    <w:rsid w:val="007D7186"/>
    <w:rsid w:val="007D7438"/>
    <w:rsid w:val="007E08F5"/>
    <w:rsid w:val="007E0A73"/>
    <w:rsid w:val="007E128F"/>
    <w:rsid w:val="007E1E39"/>
    <w:rsid w:val="007E2270"/>
    <w:rsid w:val="007E2AC5"/>
    <w:rsid w:val="007E2F63"/>
    <w:rsid w:val="007E3BF3"/>
    <w:rsid w:val="007E5054"/>
    <w:rsid w:val="007E5671"/>
    <w:rsid w:val="007E5EA1"/>
    <w:rsid w:val="007E6E58"/>
    <w:rsid w:val="007E7E15"/>
    <w:rsid w:val="007F0376"/>
    <w:rsid w:val="007F1017"/>
    <w:rsid w:val="007F2385"/>
    <w:rsid w:val="007F2A91"/>
    <w:rsid w:val="007F2B0F"/>
    <w:rsid w:val="007F2F28"/>
    <w:rsid w:val="007F4443"/>
    <w:rsid w:val="007F4845"/>
    <w:rsid w:val="007F4886"/>
    <w:rsid w:val="007F4A3F"/>
    <w:rsid w:val="007F4A61"/>
    <w:rsid w:val="007F510D"/>
    <w:rsid w:val="007F5255"/>
    <w:rsid w:val="007F56CC"/>
    <w:rsid w:val="007F61C2"/>
    <w:rsid w:val="007F6A03"/>
    <w:rsid w:val="007F6A57"/>
    <w:rsid w:val="007F6D2A"/>
    <w:rsid w:val="007F73BF"/>
    <w:rsid w:val="007F7D21"/>
    <w:rsid w:val="008002A8"/>
    <w:rsid w:val="008003B0"/>
    <w:rsid w:val="0080047E"/>
    <w:rsid w:val="00803141"/>
    <w:rsid w:val="0080366B"/>
    <w:rsid w:val="00804169"/>
    <w:rsid w:val="00804A75"/>
    <w:rsid w:val="00805142"/>
    <w:rsid w:val="00805FCE"/>
    <w:rsid w:val="008060C4"/>
    <w:rsid w:val="00806207"/>
    <w:rsid w:val="00807A8B"/>
    <w:rsid w:val="0081031C"/>
    <w:rsid w:val="0081112A"/>
    <w:rsid w:val="00811383"/>
    <w:rsid w:val="0081208F"/>
    <w:rsid w:val="00812149"/>
    <w:rsid w:val="00812584"/>
    <w:rsid w:val="00812910"/>
    <w:rsid w:val="00812913"/>
    <w:rsid w:val="008129A6"/>
    <w:rsid w:val="00812CAC"/>
    <w:rsid w:val="0081413C"/>
    <w:rsid w:val="008143B8"/>
    <w:rsid w:val="00815C01"/>
    <w:rsid w:val="0081618D"/>
    <w:rsid w:val="00816361"/>
    <w:rsid w:val="008166EF"/>
    <w:rsid w:val="00816FEF"/>
    <w:rsid w:val="00817083"/>
    <w:rsid w:val="00817722"/>
    <w:rsid w:val="00817EAE"/>
    <w:rsid w:val="00820A8C"/>
    <w:rsid w:val="00820AEC"/>
    <w:rsid w:val="00821545"/>
    <w:rsid w:val="008215FB"/>
    <w:rsid w:val="00821BD3"/>
    <w:rsid w:val="008220CC"/>
    <w:rsid w:val="008221BE"/>
    <w:rsid w:val="00823174"/>
    <w:rsid w:val="00823545"/>
    <w:rsid w:val="008243F9"/>
    <w:rsid w:val="00825751"/>
    <w:rsid w:val="008264EB"/>
    <w:rsid w:val="008268CE"/>
    <w:rsid w:val="00826E5C"/>
    <w:rsid w:val="00827C23"/>
    <w:rsid w:val="008316A7"/>
    <w:rsid w:val="0083178A"/>
    <w:rsid w:val="008322A4"/>
    <w:rsid w:val="00833323"/>
    <w:rsid w:val="008335DC"/>
    <w:rsid w:val="00833B05"/>
    <w:rsid w:val="00833EC0"/>
    <w:rsid w:val="00834536"/>
    <w:rsid w:val="00834BC9"/>
    <w:rsid w:val="008353ED"/>
    <w:rsid w:val="00835774"/>
    <w:rsid w:val="008362B4"/>
    <w:rsid w:val="00836940"/>
    <w:rsid w:val="008378BC"/>
    <w:rsid w:val="00840773"/>
    <w:rsid w:val="00840CA2"/>
    <w:rsid w:val="00843067"/>
    <w:rsid w:val="0084374F"/>
    <w:rsid w:val="00843A73"/>
    <w:rsid w:val="00843C32"/>
    <w:rsid w:val="00844543"/>
    <w:rsid w:val="0084463C"/>
    <w:rsid w:val="00844A22"/>
    <w:rsid w:val="00845541"/>
    <w:rsid w:val="00845B1C"/>
    <w:rsid w:val="00846C7D"/>
    <w:rsid w:val="0084758D"/>
    <w:rsid w:val="00847703"/>
    <w:rsid w:val="00847DF5"/>
    <w:rsid w:val="00850A37"/>
    <w:rsid w:val="00851A75"/>
    <w:rsid w:val="0085304B"/>
    <w:rsid w:val="0085309D"/>
    <w:rsid w:val="00854159"/>
    <w:rsid w:val="00855FEC"/>
    <w:rsid w:val="00856380"/>
    <w:rsid w:val="008567F5"/>
    <w:rsid w:val="00856897"/>
    <w:rsid w:val="00856E9A"/>
    <w:rsid w:val="008579EB"/>
    <w:rsid w:val="0086075D"/>
    <w:rsid w:val="00860B4E"/>
    <w:rsid w:val="00862502"/>
    <w:rsid w:val="00862CC1"/>
    <w:rsid w:val="008632DB"/>
    <w:rsid w:val="008633F6"/>
    <w:rsid w:val="0086403D"/>
    <w:rsid w:val="008642A7"/>
    <w:rsid w:val="00864AAF"/>
    <w:rsid w:val="00864F59"/>
    <w:rsid w:val="00864F83"/>
    <w:rsid w:val="00865196"/>
    <w:rsid w:val="008655A0"/>
    <w:rsid w:val="008660D4"/>
    <w:rsid w:val="008662A6"/>
    <w:rsid w:val="00867361"/>
    <w:rsid w:val="00870E1E"/>
    <w:rsid w:val="00871FA9"/>
    <w:rsid w:val="008728E9"/>
    <w:rsid w:val="00877348"/>
    <w:rsid w:val="008775A3"/>
    <w:rsid w:val="0088078D"/>
    <w:rsid w:val="00880B42"/>
    <w:rsid w:val="00880BE1"/>
    <w:rsid w:val="00880DB2"/>
    <w:rsid w:val="00880F5E"/>
    <w:rsid w:val="00880FC0"/>
    <w:rsid w:val="00881AA9"/>
    <w:rsid w:val="00882164"/>
    <w:rsid w:val="0088265A"/>
    <w:rsid w:val="00882874"/>
    <w:rsid w:val="00882E3C"/>
    <w:rsid w:val="0088308A"/>
    <w:rsid w:val="00883787"/>
    <w:rsid w:val="00884F5E"/>
    <w:rsid w:val="008855E4"/>
    <w:rsid w:val="00885A61"/>
    <w:rsid w:val="00886CD2"/>
    <w:rsid w:val="00887733"/>
    <w:rsid w:val="00887AE9"/>
    <w:rsid w:val="00887ECD"/>
    <w:rsid w:val="008907FB"/>
    <w:rsid w:val="00890845"/>
    <w:rsid w:val="00890CF3"/>
    <w:rsid w:val="00891E6F"/>
    <w:rsid w:val="0089275D"/>
    <w:rsid w:val="00892A36"/>
    <w:rsid w:val="00892E39"/>
    <w:rsid w:val="00893239"/>
    <w:rsid w:val="0089330F"/>
    <w:rsid w:val="00894489"/>
    <w:rsid w:val="00894817"/>
    <w:rsid w:val="00894CD6"/>
    <w:rsid w:val="00894E87"/>
    <w:rsid w:val="00894FC3"/>
    <w:rsid w:val="008961AA"/>
    <w:rsid w:val="008963A5"/>
    <w:rsid w:val="00896D5D"/>
    <w:rsid w:val="00896F23"/>
    <w:rsid w:val="00896F33"/>
    <w:rsid w:val="008A086A"/>
    <w:rsid w:val="008A0E86"/>
    <w:rsid w:val="008A24BB"/>
    <w:rsid w:val="008A27D4"/>
    <w:rsid w:val="008A2E50"/>
    <w:rsid w:val="008A2F66"/>
    <w:rsid w:val="008A3158"/>
    <w:rsid w:val="008A3363"/>
    <w:rsid w:val="008A3371"/>
    <w:rsid w:val="008A3C3E"/>
    <w:rsid w:val="008A3CF9"/>
    <w:rsid w:val="008A4584"/>
    <w:rsid w:val="008A5067"/>
    <w:rsid w:val="008A5C37"/>
    <w:rsid w:val="008A6493"/>
    <w:rsid w:val="008A6653"/>
    <w:rsid w:val="008A6AA7"/>
    <w:rsid w:val="008A79DE"/>
    <w:rsid w:val="008A7A25"/>
    <w:rsid w:val="008B0F0D"/>
    <w:rsid w:val="008B1757"/>
    <w:rsid w:val="008B1AC8"/>
    <w:rsid w:val="008B1C33"/>
    <w:rsid w:val="008B2DF8"/>
    <w:rsid w:val="008B36D3"/>
    <w:rsid w:val="008B385F"/>
    <w:rsid w:val="008B3AE4"/>
    <w:rsid w:val="008B4030"/>
    <w:rsid w:val="008B4B6F"/>
    <w:rsid w:val="008B517A"/>
    <w:rsid w:val="008B662A"/>
    <w:rsid w:val="008B6CB1"/>
    <w:rsid w:val="008B72B7"/>
    <w:rsid w:val="008B7992"/>
    <w:rsid w:val="008B7D7E"/>
    <w:rsid w:val="008C0225"/>
    <w:rsid w:val="008C0420"/>
    <w:rsid w:val="008C0875"/>
    <w:rsid w:val="008C0B4F"/>
    <w:rsid w:val="008C0CC8"/>
    <w:rsid w:val="008C12D0"/>
    <w:rsid w:val="008C1CA6"/>
    <w:rsid w:val="008C2E4E"/>
    <w:rsid w:val="008C2F4C"/>
    <w:rsid w:val="008C3A0F"/>
    <w:rsid w:val="008C4A14"/>
    <w:rsid w:val="008C5610"/>
    <w:rsid w:val="008C5739"/>
    <w:rsid w:val="008C5742"/>
    <w:rsid w:val="008C64CC"/>
    <w:rsid w:val="008C653F"/>
    <w:rsid w:val="008C7282"/>
    <w:rsid w:val="008C72DA"/>
    <w:rsid w:val="008C7ECB"/>
    <w:rsid w:val="008D0093"/>
    <w:rsid w:val="008D0173"/>
    <w:rsid w:val="008D0309"/>
    <w:rsid w:val="008D1417"/>
    <w:rsid w:val="008D17C0"/>
    <w:rsid w:val="008D1B4E"/>
    <w:rsid w:val="008D2BD0"/>
    <w:rsid w:val="008D393B"/>
    <w:rsid w:val="008D3AB0"/>
    <w:rsid w:val="008D3B86"/>
    <w:rsid w:val="008D41B8"/>
    <w:rsid w:val="008D43FD"/>
    <w:rsid w:val="008D4525"/>
    <w:rsid w:val="008D4755"/>
    <w:rsid w:val="008D4C3D"/>
    <w:rsid w:val="008D5059"/>
    <w:rsid w:val="008D5680"/>
    <w:rsid w:val="008D743C"/>
    <w:rsid w:val="008E05A7"/>
    <w:rsid w:val="008E0D3C"/>
    <w:rsid w:val="008E1B9E"/>
    <w:rsid w:val="008E3519"/>
    <w:rsid w:val="008E4A26"/>
    <w:rsid w:val="008E5034"/>
    <w:rsid w:val="008E55AB"/>
    <w:rsid w:val="008E56FE"/>
    <w:rsid w:val="008E70C0"/>
    <w:rsid w:val="008E78C2"/>
    <w:rsid w:val="008E7BB4"/>
    <w:rsid w:val="008E7C84"/>
    <w:rsid w:val="008E7F9D"/>
    <w:rsid w:val="008F0233"/>
    <w:rsid w:val="008F06FE"/>
    <w:rsid w:val="008F120A"/>
    <w:rsid w:val="008F2291"/>
    <w:rsid w:val="008F22F6"/>
    <w:rsid w:val="008F235C"/>
    <w:rsid w:val="008F27E0"/>
    <w:rsid w:val="008F2A5A"/>
    <w:rsid w:val="008F2DA4"/>
    <w:rsid w:val="008F2E41"/>
    <w:rsid w:val="008F31C4"/>
    <w:rsid w:val="008F3879"/>
    <w:rsid w:val="008F48EB"/>
    <w:rsid w:val="008F4BDD"/>
    <w:rsid w:val="008F4E5D"/>
    <w:rsid w:val="008F4F0B"/>
    <w:rsid w:val="008F6280"/>
    <w:rsid w:val="008F6454"/>
    <w:rsid w:val="008F6800"/>
    <w:rsid w:val="008F77E6"/>
    <w:rsid w:val="008F78CD"/>
    <w:rsid w:val="00900158"/>
    <w:rsid w:val="00900451"/>
    <w:rsid w:val="0090258A"/>
    <w:rsid w:val="009046C4"/>
    <w:rsid w:val="0090552D"/>
    <w:rsid w:val="00906082"/>
    <w:rsid w:val="009062A5"/>
    <w:rsid w:val="0090677A"/>
    <w:rsid w:val="00907699"/>
    <w:rsid w:val="00910CFD"/>
    <w:rsid w:val="00910FA7"/>
    <w:rsid w:val="009110DE"/>
    <w:rsid w:val="00911272"/>
    <w:rsid w:val="00911339"/>
    <w:rsid w:val="009114E0"/>
    <w:rsid w:val="00912628"/>
    <w:rsid w:val="00912C40"/>
    <w:rsid w:val="00912F39"/>
    <w:rsid w:val="009135D6"/>
    <w:rsid w:val="00913FDC"/>
    <w:rsid w:val="00914C77"/>
    <w:rsid w:val="00915647"/>
    <w:rsid w:val="00915E1F"/>
    <w:rsid w:val="00916342"/>
    <w:rsid w:val="009167A2"/>
    <w:rsid w:val="00916C55"/>
    <w:rsid w:val="00916F8B"/>
    <w:rsid w:val="00920B1C"/>
    <w:rsid w:val="00921ACB"/>
    <w:rsid w:val="00921B56"/>
    <w:rsid w:val="00922347"/>
    <w:rsid w:val="0092296D"/>
    <w:rsid w:val="00922EB0"/>
    <w:rsid w:val="0092359B"/>
    <w:rsid w:val="0092369B"/>
    <w:rsid w:val="00923ED4"/>
    <w:rsid w:val="0092594A"/>
    <w:rsid w:val="00927A5C"/>
    <w:rsid w:val="0093225B"/>
    <w:rsid w:val="009327F2"/>
    <w:rsid w:val="00934988"/>
    <w:rsid w:val="00934AE7"/>
    <w:rsid w:val="009360E7"/>
    <w:rsid w:val="009369B1"/>
    <w:rsid w:val="00937089"/>
    <w:rsid w:val="0093782A"/>
    <w:rsid w:val="00937B70"/>
    <w:rsid w:val="00940233"/>
    <w:rsid w:val="009429FE"/>
    <w:rsid w:val="00944B4A"/>
    <w:rsid w:val="00944F8A"/>
    <w:rsid w:val="009458C9"/>
    <w:rsid w:val="00946931"/>
    <w:rsid w:val="00950960"/>
    <w:rsid w:val="009510A2"/>
    <w:rsid w:val="0095214E"/>
    <w:rsid w:val="00952491"/>
    <w:rsid w:val="009525F2"/>
    <w:rsid w:val="00953204"/>
    <w:rsid w:val="00953257"/>
    <w:rsid w:val="00953DF1"/>
    <w:rsid w:val="009543BB"/>
    <w:rsid w:val="0095474C"/>
    <w:rsid w:val="0095481B"/>
    <w:rsid w:val="009549FE"/>
    <w:rsid w:val="00955588"/>
    <w:rsid w:val="0095685C"/>
    <w:rsid w:val="00956D71"/>
    <w:rsid w:val="00957132"/>
    <w:rsid w:val="0095780C"/>
    <w:rsid w:val="00957CAB"/>
    <w:rsid w:val="00957D92"/>
    <w:rsid w:val="009605A7"/>
    <w:rsid w:val="009608B2"/>
    <w:rsid w:val="009609D1"/>
    <w:rsid w:val="00962CB9"/>
    <w:rsid w:val="00963792"/>
    <w:rsid w:val="00963B08"/>
    <w:rsid w:val="00964312"/>
    <w:rsid w:val="00964E67"/>
    <w:rsid w:val="00964EB3"/>
    <w:rsid w:val="009651D9"/>
    <w:rsid w:val="00965B8A"/>
    <w:rsid w:val="00965EBE"/>
    <w:rsid w:val="00966C8E"/>
    <w:rsid w:val="009674D2"/>
    <w:rsid w:val="00970051"/>
    <w:rsid w:val="0097071F"/>
    <w:rsid w:val="0097076B"/>
    <w:rsid w:val="009717AC"/>
    <w:rsid w:val="00971A45"/>
    <w:rsid w:val="00972888"/>
    <w:rsid w:val="00972E50"/>
    <w:rsid w:val="009738D7"/>
    <w:rsid w:val="00973D28"/>
    <w:rsid w:val="00973E19"/>
    <w:rsid w:val="0097430E"/>
    <w:rsid w:val="009748F2"/>
    <w:rsid w:val="00974A25"/>
    <w:rsid w:val="00974DAA"/>
    <w:rsid w:val="009751C1"/>
    <w:rsid w:val="0097575A"/>
    <w:rsid w:val="00976565"/>
    <w:rsid w:val="0097676B"/>
    <w:rsid w:val="009767A9"/>
    <w:rsid w:val="00977F9F"/>
    <w:rsid w:val="009811F1"/>
    <w:rsid w:val="00981334"/>
    <w:rsid w:val="00981797"/>
    <w:rsid w:val="0098376F"/>
    <w:rsid w:val="00983839"/>
    <w:rsid w:val="00983E57"/>
    <w:rsid w:val="00984AE7"/>
    <w:rsid w:val="00984CD2"/>
    <w:rsid w:val="00985DE2"/>
    <w:rsid w:val="0098675D"/>
    <w:rsid w:val="00987BA4"/>
    <w:rsid w:val="00987C3A"/>
    <w:rsid w:val="00987E23"/>
    <w:rsid w:val="00990824"/>
    <w:rsid w:val="00990E46"/>
    <w:rsid w:val="00991D41"/>
    <w:rsid w:val="009920B4"/>
    <w:rsid w:val="00992684"/>
    <w:rsid w:val="009926E0"/>
    <w:rsid w:val="0099280D"/>
    <w:rsid w:val="009929EF"/>
    <w:rsid w:val="00993776"/>
    <w:rsid w:val="00994128"/>
    <w:rsid w:val="0099451E"/>
    <w:rsid w:val="009955E8"/>
    <w:rsid w:val="009959CA"/>
    <w:rsid w:val="00995B8C"/>
    <w:rsid w:val="00995F24"/>
    <w:rsid w:val="009964F4"/>
    <w:rsid w:val="009965EF"/>
    <w:rsid w:val="00996714"/>
    <w:rsid w:val="00996B1A"/>
    <w:rsid w:val="00996B8A"/>
    <w:rsid w:val="00997B5A"/>
    <w:rsid w:val="009A0A65"/>
    <w:rsid w:val="009A18F6"/>
    <w:rsid w:val="009A25FB"/>
    <w:rsid w:val="009A2DCC"/>
    <w:rsid w:val="009A33AF"/>
    <w:rsid w:val="009A37A8"/>
    <w:rsid w:val="009A3BD8"/>
    <w:rsid w:val="009A3D1B"/>
    <w:rsid w:val="009A41A7"/>
    <w:rsid w:val="009A44C1"/>
    <w:rsid w:val="009A5ABC"/>
    <w:rsid w:val="009A603E"/>
    <w:rsid w:val="009A6054"/>
    <w:rsid w:val="009A669C"/>
    <w:rsid w:val="009A68F9"/>
    <w:rsid w:val="009A7017"/>
    <w:rsid w:val="009A70B2"/>
    <w:rsid w:val="009A7321"/>
    <w:rsid w:val="009A7503"/>
    <w:rsid w:val="009A7944"/>
    <w:rsid w:val="009A7F10"/>
    <w:rsid w:val="009B02C9"/>
    <w:rsid w:val="009B05C0"/>
    <w:rsid w:val="009B18AD"/>
    <w:rsid w:val="009B1C76"/>
    <w:rsid w:val="009B31D1"/>
    <w:rsid w:val="009B367F"/>
    <w:rsid w:val="009B3E26"/>
    <w:rsid w:val="009B44D0"/>
    <w:rsid w:val="009B4837"/>
    <w:rsid w:val="009B523F"/>
    <w:rsid w:val="009B5241"/>
    <w:rsid w:val="009B6149"/>
    <w:rsid w:val="009B6A73"/>
    <w:rsid w:val="009C1271"/>
    <w:rsid w:val="009C1621"/>
    <w:rsid w:val="009C1BDE"/>
    <w:rsid w:val="009C1EB2"/>
    <w:rsid w:val="009C3706"/>
    <w:rsid w:val="009C3749"/>
    <w:rsid w:val="009C39FD"/>
    <w:rsid w:val="009C3A3A"/>
    <w:rsid w:val="009C59FA"/>
    <w:rsid w:val="009C59FE"/>
    <w:rsid w:val="009C6CEA"/>
    <w:rsid w:val="009C76F3"/>
    <w:rsid w:val="009C7B85"/>
    <w:rsid w:val="009D0254"/>
    <w:rsid w:val="009D0303"/>
    <w:rsid w:val="009D036D"/>
    <w:rsid w:val="009D07D2"/>
    <w:rsid w:val="009D099B"/>
    <w:rsid w:val="009D10A0"/>
    <w:rsid w:val="009D1A64"/>
    <w:rsid w:val="009D1B90"/>
    <w:rsid w:val="009D2EA5"/>
    <w:rsid w:val="009D361A"/>
    <w:rsid w:val="009D41E7"/>
    <w:rsid w:val="009D495A"/>
    <w:rsid w:val="009D57AD"/>
    <w:rsid w:val="009D5B91"/>
    <w:rsid w:val="009D691B"/>
    <w:rsid w:val="009D6F20"/>
    <w:rsid w:val="009D6F4F"/>
    <w:rsid w:val="009D787F"/>
    <w:rsid w:val="009D792E"/>
    <w:rsid w:val="009D7A0D"/>
    <w:rsid w:val="009E0DFE"/>
    <w:rsid w:val="009E16CD"/>
    <w:rsid w:val="009E1CDF"/>
    <w:rsid w:val="009E1FD5"/>
    <w:rsid w:val="009E22D0"/>
    <w:rsid w:val="009E31F6"/>
    <w:rsid w:val="009E3809"/>
    <w:rsid w:val="009E40BD"/>
    <w:rsid w:val="009E4C07"/>
    <w:rsid w:val="009E56B3"/>
    <w:rsid w:val="009E60EA"/>
    <w:rsid w:val="009E6AFA"/>
    <w:rsid w:val="009E777F"/>
    <w:rsid w:val="009E7DF3"/>
    <w:rsid w:val="009F0932"/>
    <w:rsid w:val="009F12CD"/>
    <w:rsid w:val="009F1825"/>
    <w:rsid w:val="009F2297"/>
    <w:rsid w:val="009F28B9"/>
    <w:rsid w:val="009F2F61"/>
    <w:rsid w:val="009F395D"/>
    <w:rsid w:val="009F4563"/>
    <w:rsid w:val="009F45C1"/>
    <w:rsid w:val="009F49A3"/>
    <w:rsid w:val="009F59C7"/>
    <w:rsid w:val="009F5D3D"/>
    <w:rsid w:val="009F6120"/>
    <w:rsid w:val="009F73D4"/>
    <w:rsid w:val="009F7B82"/>
    <w:rsid w:val="00A000F8"/>
    <w:rsid w:val="00A00D76"/>
    <w:rsid w:val="00A01184"/>
    <w:rsid w:val="00A01449"/>
    <w:rsid w:val="00A014A0"/>
    <w:rsid w:val="00A02379"/>
    <w:rsid w:val="00A023E2"/>
    <w:rsid w:val="00A0278C"/>
    <w:rsid w:val="00A02C42"/>
    <w:rsid w:val="00A03588"/>
    <w:rsid w:val="00A037C2"/>
    <w:rsid w:val="00A039BB"/>
    <w:rsid w:val="00A03D43"/>
    <w:rsid w:val="00A04380"/>
    <w:rsid w:val="00A04786"/>
    <w:rsid w:val="00A049CE"/>
    <w:rsid w:val="00A05472"/>
    <w:rsid w:val="00A05A8A"/>
    <w:rsid w:val="00A05C32"/>
    <w:rsid w:val="00A0653F"/>
    <w:rsid w:val="00A07167"/>
    <w:rsid w:val="00A0716B"/>
    <w:rsid w:val="00A07202"/>
    <w:rsid w:val="00A0724C"/>
    <w:rsid w:val="00A073BB"/>
    <w:rsid w:val="00A07F0A"/>
    <w:rsid w:val="00A107B3"/>
    <w:rsid w:val="00A10FD4"/>
    <w:rsid w:val="00A11CD0"/>
    <w:rsid w:val="00A12D98"/>
    <w:rsid w:val="00A13574"/>
    <w:rsid w:val="00A13948"/>
    <w:rsid w:val="00A14243"/>
    <w:rsid w:val="00A14637"/>
    <w:rsid w:val="00A152C0"/>
    <w:rsid w:val="00A1555B"/>
    <w:rsid w:val="00A155C5"/>
    <w:rsid w:val="00A15B46"/>
    <w:rsid w:val="00A162C2"/>
    <w:rsid w:val="00A166B7"/>
    <w:rsid w:val="00A16AD8"/>
    <w:rsid w:val="00A17B83"/>
    <w:rsid w:val="00A17C7F"/>
    <w:rsid w:val="00A201E8"/>
    <w:rsid w:val="00A2021E"/>
    <w:rsid w:val="00A2162B"/>
    <w:rsid w:val="00A21C95"/>
    <w:rsid w:val="00A21CCE"/>
    <w:rsid w:val="00A21CF3"/>
    <w:rsid w:val="00A2210E"/>
    <w:rsid w:val="00A2377C"/>
    <w:rsid w:val="00A23BC5"/>
    <w:rsid w:val="00A24813"/>
    <w:rsid w:val="00A2667A"/>
    <w:rsid w:val="00A27AEC"/>
    <w:rsid w:val="00A27ED8"/>
    <w:rsid w:val="00A27F36"/>
    <w:rsid w:val="00A30B72"/>
    <w:rsid w:val="00A313E8"/>
    <w:rsid w:val="00A31CCB"/>
    <w:rsid w:val="00A31CFD"/>
    <w:rsid w:val="00A31D32"/>
    <w:rsid w:val="00A320DB"/>
    <w:rsid w:val="00A32109"/>
    <w:rsid w:val="00A32444"/>
    <w:rsid w:val="00A33216"/>
    <w:rsid w:val="00A346FF"/>
    <w:rsid w:val="00A34B33"/>
    <w:rsid w:val="00A35795"/>
    <w:rsid w:val="00A35D16"/>
    <w:rsid w:val="00A364A9"/>
    <w:rsid w:val="00A374BF"/>
    <w:rsid w:val="00A37A1D"/>
    <w:rsid w:val="00A37BCD"/>
    <w:rsid w:val="00A37C99"/>
    <w:rsid w:val="00A41689"/>
    <w:rsid w:val="00A41CC1"/>
    <w:rsid w:val="00A4207F"/>
    <w:rsid w:val="00A42592"/>
    <w:rsid w:val="00A43C59"/>
    <w:rsid w:val="00A453A2"/>
    <w:rsid w:val="00A45926"/>
    <w:rsid w:val="00A45EB5"/>
    <w:rsid w:val="00A46F1F"/>
    <w:rsid w:val="00A473B4"/>
    <w:rsid w:val="00A47B3A"/>
    <w:rsid w:val="00A47DE6"/>
    <w:rsid w:val="00A5021E"/>
    <w:rsid w:val="00A50ECD"/>
    <w:rsid w:val="00A5155F"/>
    <w:rsid w:val="00A51888"/>
    <w:rsid w:val="00A518F3"/>
    <w:rsid w:val="00A520ED"/>
    <w:rsid w:val="00A5251B"/>
    <w:rsid w:val="00A52729"/>
    <w:rsid w:val="00A52771"/>
    <w:rsid w:val="00A527C8"/>
    <w:rsid w:val="00A52A5B"/>
    <w:rsid w:val="00A532A2"/>
    <w:rsid w:val="00A5356C"/>
    <w:rsid w:val="00A53675"/>
    <w:rsid w:val="00A54884"/>
    <w:rsid w:val="00A55B61"/>
    <w:rsid w:val="00A55E88"/>
    <w:rsid w:val="00A56078"/>
    <w:rsid w:val="00A564D7"/>
    <w:rsid w:val="00A56B6A"/>
    <w:rsid w:val="00A578DC"/>
    <w:rsid w:val="00A57ECD"/>
    <w:rsid w:val="00A6181C"/>
    <w:rsid w:val="00A63842"/>
    <w:rsid w:val="00A63E74"/>
    <w:rsid w:val="00A640E2"/>
    <w:rsid w:val="00A64831"/>
    <w:rsid w:val="00A64D65"/>
    <w:rsid w:val="00A660BD"/>
    <w:rsid w:val="00A66DD5"/>
    <w:rsid w:val="00A6711A"/>
    <w:rsid w:val="00A6725B"/>
    <w:rsid w:val="00A70605"/>
    <w:rsid w:val="00A71E0F"/>
    <w:rsid w:val="00A71F95"/>
    <w:rsid w:val="00A72634"/>
    <w:rsid w:val="00A72DD7"/>
    <w:rsid w:val="00A73134"/>
    <w:rsid w:val="00A7365A"/>
    <w:rsid w:val="00A7383C"/>
    <w:rsid w:val="00A7575B"/>
    <w:rsid w:val="00A76001"/>
    <w:rsid w:val="00A76254"/>
    <w:rsid w:val="00A764AF"/>
    <w:rsid w:val="00A76E79"/>
    <w:rsid w:val="00A777B2"/>
    <w:rsid w:val="00A8049E"/>
    <w:rsid w:val="00A80D45"/>
    <w:rsid w:val="00A82270"/>
    <w:rsid w:val="00A82456"/>
    <w:rsid w:val="00A825D4"/>
    <w:rsid w:val="00A828F6"/>
    <w:rsid w:val="00A82B73"/>
    <w:rsid w:val="00A82CE3"/>
    <w:rsid w:val="00A831E6"/>
    <w:rsid w:val="00A83A8D"/>
    <w:rsid w:val="00A84C8E"/>
    <w:rsid w:val="00A8538A"/>
    <w:rsid w:val="00A853B1"/>
    <w:rsid w:val="00A8558A"/>
    <w:rsid w:val="00A85736"/>
    <w:rsid w:val="00A85C94"/>
    <w:rsid w:val="00A86DF9"/>
    <w:rsid w:val="00A86E8B"/>
    <w:rsid w:val="00A87164"/>
    <w:rsid w:val="00A871A9"/>
    <w:rsid w:val="00A87FF1"/>
    <w:rsid w:val="00A916F2"/>
    <w:rsid w:val="00A91F52"/>
    <w:rsid w:val="00A9240A"/>
    <w:rsid w:val="00A93072"/>
    <w:rsid w:val="00A933ED"/>
    <w:rsid w:val="00A935F9"/>
    <w:rsid w:val="00A938BD"/>
    <w:rsid w:val="00A93953"/>
    <w:rsid w:val="00A9423D"/>
    <w:rsid w:val="00A94732"/>
    <w:rsid w:val="00A959CC"/>
    <w:rsid w:val="00A959D8"/>
    <w:rsid w:val="00A95DFC"/>
    <w:rsid w:val="00A9618E"/>
    <w:rsid w:val="00A9683C"/>
    <w:rsid w:val="00A96B39"/>
    <w:rsid w:val="00A96CBF"/>
    <w:rsid w:val="00A96F1A"/>
    <w:rsid w:val="00A97162"/>
    <w:rsid w:val="00A97EF6"/>
    <w:rsid w:val="00AA0154"/>
    <w:rsid w:val="00AA0C2D"/>
    <w:rsid w:val="00AA113D"/>
    <w:rsid w:val="00AA19E4"/>
    <w:rsid w:val="00AA1AE0"/>
    <w:rsid w:val="00AA230C"/>
    <w:rsid w:val="00AA26F6"/>
    <w:rsid w:val="00AA2A32"/>
    <w:rsid w:val="00AA3CA6"/>
    <w:rsid w:val="00AA51A3"/>
    <w:rsid w:val="00AA62BD"/>
    <w:rsid w:val="00AA6BD5"/>
    <w:rsid w:val="00AA6BD8"/>
    <w:rsid w:val="00AA6C7D"/>
    <w:rsid w:val="00AA7DA9"/>
    <w:rsid w:val="00AA7FD6"/>
    <w:rsid w:val="00AB042A"/>
    <w:rsid w:val="00AB11AD"/>
    <w:rsid w:val="00AB19EF"/>
    <w:rsid w:val="00AB2495"/>
    <w:rsid w:val="00AB2D34"/>
    <w:rsid w:val="00AB3430"/>
    <w:rsid w:val="00AB3768"/>
    <w:rsid w:val="00AB37B9"/>
    <w:rsid w:val="00AB3CED"/>
    <w:rsid w:val="00AB43E2"/>
    <w:rsid w:val="00AB4933"/>
    <w:rsid w:val="00AB4AD1"/>
    <w:rsid w:val="00AB54E7"/>
    <w:rsid w:val="00AB5AB4"/>
    <w:rsid w:val="00AB5AFA"/>
    <w:rsid w:val="00AB5C88"/>
    <w:rsid w:val="00AB5E07"/>
    <w:rsid w:val="00AB789F"/>
    <w:rsid w:val="00AB7CFA"/>
    <w:rsid w:val="00AC1020"/>
    <w:rsid w:val="00AC436F"/>
    <w:rsid w:val="00AC53E8"/>
    <w:rsid w:val="00AC5B42"/>
    <w:rsid w:val="00AC5B48"/>
    <w:rsid w:val="00AC639B"/>
    <w:rsid w:val="00AC6423"/>
    <w:rsid w:val="00AC67FF"/>
    <w:rsid w:val="00AC733C"/>
    <w:rsid w:val="00AC76C3"/>
    <w:rsid w:val="00AC7CC0"/>
    <w:rsid w:val="00AC7FC4"/>
    <w:rsid w:val="00AD02E8"/>
    <w:rsid w:val="00AD0E9C"/>
    <w:rsid w:val="00AD1450"/>
    <w:rsid w:val="00AD15E8"/>
    <w:rsid w:val="00AD1705"/>
    <w:rsid w:val="00AD1762"/>
    <w:rsid w:val="00AD356D"/>
    <w:rsid w:val="00AD4279"/>
    <w:rsid w:val="00AD52F6"/>
    <w:rsid w:val="00AD5BB1"/>
    <w:rsid w:val="00AD5CA0"/>
    <w:rsid w:val="00AD6035"/>
    <w:rsid w:val="00AD6502"/>
    <w:rsid w:val="00AE0695"/>
    <w:rsid w:val="00AE0CB3"/>
    <w:rsid w:val="00AE15B6"/>
    <w:rsid w:val="00AE2A02"/>
    <w:rsid w:val="00AE3E7E"/>
    <w:rsid w:val="00AE570C"/>
    <w:rsid w:val="00AE58F5"/>
    <w:rsid w:val="00AE693F"/>
    <w:rsid w:val="00AE6B5E"/>
    <w:rsid w:val="00AE722D"/>
    <w:rsid w:val="00AE77B9"/>
    <w:rsid w:val="00AE7D0C"/>
    <w:rsid w:val="00AE7E53"/>
    <w:rsid w:val="00AF0F04"/>
    <w:rsid w:val="00AF1315"/>
    <w:rsid w:val="00AF19BF"/>
    <w:rsid w:val="00AF1E7D"/>
    <w:rsid w:val="00AF2DC3"/>
    <w:rsid w:val="00AF31A0"/>
    <w:rsid w:val="00AF6164"/>
    <w:rsid w:val="00AF6202"/>
    <w:rsid w:val="00AF6ACD"/>
    <w:rsid w:val="00AF752D"/>
    <w:rsid w:val="00B000EA"/>
    <w:rsid w:val="00B006A0"/>
    <w:rsid w:val="00B00C30"/>
    <w:rsid w:val="00B016D4"/>
    <w:rsid w:val="00B0217D"/>
    <w:rsid w:val="00B024B8"/>
    <w:rsid w:val="00B033E5"/>
    <w:rsid w:val="00B03A63"/>
    <w:rsid w:val="00B04695"/>
    <w:rsid w:val="00B04A66"/>
    <w:rsid w:val="00B07AB8"/>
    <w:rsid w:val="00B11CAF"/>
    <w:rsid w:val="00B129A4"/>
    <w:rsid w:val="00B14735"/>
    <w:rsid w:val="00B14AE8"/>
    <w:rsid w:val="00B15FB8"/>
    <w:rsid w:val="00B16224"/>
    <w:rsid w:val="00B1708D"/>
    <w:rsid w:val="00B17987"/>
    <w:rsid w:val="00B20188"/>
    <w:rsid w:val="00B201A4"/>
    <w:rsid w:val="00B201D1"/>
    <w:rsid w:val="00B209E8"/>
    <w:rsid w:val="00B2102E"/>
    <w:rsid w:val="00B210AA"/>
    <w:rsid w:val="00B213A6"/>
    <w:rsid w:val="00B21D05"/>
    <w:rsid w:val="00B231BF"/>
    <w:rsid w:val="00B235B0"/>
    <w:rsid w:val="00B2374B"/>
    <w:rsid w:val="00B23753"/>
    <w:rsid w:val="00B23A19"/>
    <w:rsid w:val="00B23B22"/>
    <w:rsid w:val="00B24DF6"/>
    <w:rsid w:val="00B25B9E"/>
    <w:rsid w:val="00B25BE9"/>
    <w:rsid w:val="00B27A61"/>
    <w:rsid w:val="00B302FE"/>
    <w:rsid w:val="00B33039"/>
    <w:rsid w:val="00B3365F"/>
    <w:rsid w:val="00B34A32"/>
    <w:rsid w:val="00B34FE2"/>
    <w:rsid w:val="00B350EA"/>
    <w:rsid w:val="00B35166"/>
    <w:rsid w:val="00B35290"/>
    <w:rsid w:val="00B357D8"/>
    <w:rsid w:val="00B35B8D"/>
    <w:rsid w:val="00B360F4"/>
    <w:rsid w:val="00B36269"/>
    <w:rsid w:val="00B36A00"/>
    <w:rsid w:val="00B36FF8"/>
    <w:rsid w:val="00B371C6"/>
    <w:rsid w:val="00B3792B"/>
    <w:rsid w:val="00B37BFC"/>
    <w:rsid w:val="00B40358"/>
    <w:rsid w:val="00B41614"/>
    <w:rsid w:val="00B42851"/>
    <w:rsid w:val="00B42BD4"/>
    <w:rsid w:val="00B42F80"/>
    <w:rsid w:val="00B430EA"/>
    <w:rsid w:val="00B433AD"/>
    <w:rsid w:val="00B435CB"/>
    <w:rsid w:val="00B43AF7"/>
    <w:rsid w:val="00B44C89"/>
    <w:rsid w:val="00B465EC"/>
    <w:rsid w:val="00B46869"/>
    <w:rsid w:val="00B46DF8"/>
    <w:rsid w:val="00B4711F"/>
    <w:rsid w:val="00B474DE"/>
    <w:rsid w:val="00B479C3"/>
    <w:rsid w:val="00B47F0D"/>
    <w:rsid w:val="00B47FEB"/>
    <w:rsid w:val="00B505C8"/>
    <w:rsid w:val="00B505D6"/>
    <w:rsid w:val="00B50DB8"/>
    <w:rsid w:val="00B50F9C"/>
    <w:rsid w:val="00B5148B"/>
    <w:rsid w:val="00B51689"/>
    <w:rsid w:val="00B52219"/>
    <w:rsid w:val="00B53409"/>
    <w:rsid w:val="00B53654"/>
    <w:rsid w:val="00B5370E"/>
    <w:rsid w:val="00B5388D"/>
    <w:rsid w:val="00B53905"/>
    <w:rsid w:val="00B53A95"/>
    <w:rsid w:val="00B53B26"/>
    <w:rsid w:val="00B546DB"/>
    <w:rsid w:val="00B54ABA"/>
    <w:rsid w:val="00B54B5B"/>
    <w:rsid w:val="00B5562E"/>
    <w:rsid w:val="00B55862"/>
    <w:rsid w:val="00B55D57"/>
    <w:rsid w:val="00B55D65"/>
    <w:rsid w:val="00B561BF"/>
    <w:rsid w:val="00B5627A"/>
    <w:rsid w:val="00B56305"/>
    <w:rsid w:val="00B57000"/>
    <w:rsid w:val="00B570C1"/>
    <w:rsid w:val="00B60939"/>
    <w:rsid w:val="00B60AFD"/>
    <w:rsid w:val="00B616D8"/>
    <w:rsid w:val="00B62715"/>
    <w:rsid w:val="00B62D85"/>
    <w:rsid w:val="00B63785"/>
    <w:rsid w:val="00B64222"/>
    <w:rsid w:val="00B6504C"/>
    <w:rsid w:val="00B65137"/>
    <w:rsid w:val="00B651E8"/>
    <w:rsid w:val="00B65611"/>
    <w:rsid w:val="00B65B43"/>
    <w:rsid w:val="00B66857"/>
    <w:rsid w:val="00B67450"/>
    <w:rsid w:val="00B679DC"/>
    <w:rsid w:val="00B70E8E"/>
    <w:rsid w:val="00B71900"/>
    <w:rsid w:val="00B7249B"/>
    <w:rsid w:val="00B7318C"/>
    <w:rsid w:val="00B74D3C"/>
    <w:rsid w:val="00B750B0"/>
    <w:rsid w:val="00B7578C"/>
    <w:rsid w:val="00B76C92"/>
    <w:rsid w:val="00B76F16"/>
    <w:rsid w:val="00B77020"/>
    <w:rsid w:val="00B77ACF"/>
    <w:rsid w:val="00B80073"/>
    <w:rsid w:val="00B80EFD"/>
    <w:rsid w:val="00B818A4"/>
    <w:rsid w:val="00B81E51"/>
    <w:rsid w:val="00B82888"/>
    <w:rsid w:val="00B832B9"/>
    <w:rsid w:val="00B83739"/>
    <w:rsid w:val="00B84117"/>
    <w:rsid w:val="00B858F0"/>
    <w:rsid w:val="00B85AA2"/>
    <w:rsid w:val="00B85CBA"/>
    <w:rsid w:val="00B8649C"/>
    <w:rsid w:val="00B8690F"/>
    <w:rsid w:val="00B8695D"/>
    <w:rsid w:val="00B86D13"/>
    <w:rsid w:val="00B87F0A"/>
    <w:rsid w:val="00B90CD5"/>
    <w:rsid w:val="00B9131F"/>
    <w:rsid w:val="00B916B1"/>
    <w:rsid w:val="00B91AC1"/>
    <w:rsid w:val="00B91F8D"/>
    <w:rsid w:val="00B92599"/>
    <w:rsid w:val="00B9260B"/>
    <w:rsid w:val="00B92D0B"/>
    <w:rsid w:val="00B93B9D"/>
    <w:rsid w:val="00B94814"/>
    <w:rsid w:val="00B94945"/>
    <w:rsid w:val="00B94A49"/>
    <w:rsid w:val="00B94DD6"/>
    <w:rsid w:val="00B955A8"/>
    <w:rsid w:val="00B95730"/>
    <w:rsid w:val="00B95798"/>
    <w:rsid w:val="00B95855"/>
    <w:rsid w:val="00B9754D"/>
    <w:rsid w:val="00B978BF"/>
    <w:rsid w:val="00B97B68"/>
    <w:rsid w:val="00BA01A1"/>
    <w:rsid w:val="00BA20DB"/>
    <w:rsid w:val="00BA236F"/>
    <w:rsid w:val="00BA2B46"/>
    <w:rsid w:val="00BA317E"/>
    <w:rsid w:val="00BA322D"/>
    <w:rsid w:val="00BA5376"/>
    <w:rsid w:val="00BA6003"/>
    <w:rsid w:val="00BA6231"/>
    <w:rsid w:val="00BA63FA"/>
    <w:rsid w:val="00BA729B"/>
    <w:rsid w:val="00BA78DB"/>
    <w:rsid w:val="00BA7DF1"/>
    <w:rsid w:val="00BB00B3"/>
    <w:rsid w:val="00BB0BDD"/>
    <w:rsid w:val="00BB10C5"/>
    <w:rsid w:val="00BB176C"/>
    <w:rsid w:val="00BB19EE"/>
    <w:rsid w:val="00BB21CE"/>
    <w:rsid w:val="00BB2617"/>
    <w:rsid w:val="00BB2A73"/>
    <w:rsid w:val="00BB3A45"/>
    <w:rsid w:val="00BB4A55"/>
    <w:rsid w:val="00BB4A69"/>
    <w:rsid w:val="00BB4ACC"/>
    <w:rsid w:val="00BB6743"/>
    <w:rsid w:val="00BB6E54"/>
    <w:rsid w:val="00BB703E"/>
    <w:rsid w:val="00BB732D"/>
    <w:rsid w:val="00BB7405"/>
    <w:rsid w:val="00BB76A4"/>
    <w:rsid w:val="00BC1118"/>
    <w:rsid w:val="00BC12F7"/>
    <w:rsid w:val="00BC1C0E"/>
    <w:rsid w:val="00BC2F30"/>
    <w:rsid w:val="00BC30AC"/>
    <w:rsid w:val="00BC3631"/>
    <w:rsid w:val="00BC3A1B"/>
    <w:rsid w:val="00BC3A7F"/>
    <w:rsid w:val="00BC3BD6"/>
    <w:rsid w:val="00BC4996"/>
    <w:rsid w:val="00BC4B01"/>
    <w:rsid w:val="00BC4B69"/>
    <w:rsid w:val="00BC591F"/>
    <w:rsid w:val="00BC6626"/>
    <w:rsid w:val="00BC7C11"/>
    <w:rsid w:val="00BC7D6D"/>
    <w:rsid w:val="00BD2108"/>
    <w:rsid w:val="00BD2372"/>
    <w:rsid w:val="00BD32BE"/>
    <w:rsid w:val="00BD349B"/>
    <w:rsid w:val="00BD3F3C"/>
    <w:rsid w:val="00BD4678"/>
    <w:rsid w:val="00BD48EA"/>
    <w:rsid w:val="00BD4909"/>
    <w:rsid w:val="00BD4E7B"/>
    <w:rsid w:val="00BD51EA"/>
    <w:rsid w:val="00BD5200"/>
    <w:rsid w:val="00BD68A3"/>
    <w:rsid w:val="00BD6938"/>
    <w:rsid w:val="00BD6CF3"/>
    <w:rsid w:val="00BD7F72"/>
    <w:rsid w:val="00BE0534"/>
    <w:rsid w:val="00BE0D78"/>
    <w:rsid w:val="00BE0ECA"/>
    <w:rsid w:val="00BE1BDA"/>
    <w:rsid w:val="00BE2180"/>
    <w:rsid w:val="00BE21F2"/>
    <w:rsid w:val="00BE22F9"/>
    <w:rsid w:val="00BE2550"/>
    <w:rsid w:val="00BE2D68"/>
    <w:rsid w:val="00BE3A74"/>
    <w:rsid w:val="00BE3C1D"/>
    <w:rsid w:val="00BE4275"/>
    <w:rsid w:val="00BE462F"/>
    <w:rsid w:val="00BE466A"/>
    <w:rsid w:val="00BE4F1C"/>
    <w:rsid w:val="00BE522A"/>
    <w:rsid w:val="00BE57B4"/>
    <w:rsid w:val="00BE6AE2"/>
    <w:rsid w:val="00BE6B75"/>
    <w:rsid w:val="00BE73F4"/>
    <w:rsid w:val="00BE75F1"/>
    <w:rsid w:val="00BE7734"/>
    <w:rsid w:val="00BE77CC"/>
    <w:rsid w:val="00BF06AE"/>
    <w:rsid w:val="00BF0F95"/>
    <w:rsid w:val="00BF13C8"/>
    <w:rsid w:val="00BF1B19"/>
    <w:rsid w:val="00BF1B9D"/>
    <w:rsid w:val="00BF2433"/>
    <w:rsid w:val="00BF266C"/>
    <w:rsid w:val="00BF2E6E"/>
    <w:rsid w:val="00BF370C"/>
    <w:rsid w:val="00BF3927"/>
    <w:rsid w:val="00BF4588"/>
    <w:rsid w:val="00BF55BB"/>
    <w:rsid w:val="00BF61C9"/>
    <w:rsid w:val="00BF6C94"/>
    <w:rsid w:val="00BF73EB"/>
    <w:rsid w:val="00C00424"/>
    <w:rsid w:val="00C00B0B"/>
    <w:rsid w:val="00C00B0E"/>
    <w:rsid w:val="00C00BB0"/>
    <w:rsid w:val="00C00E35"/>
    <w:rsid w:val="00C011A8"/>
    <w:rsid w:val="00C019FB"/>
    <w:rsid w:val="00C0227F"/>
    <w:rsid w:val="00C0244B"/>
    <w:rsid w:val="00C030A7"/>
    <w:rsid w:val="00C0341A"/>
    <w:rsid w:val="00C042D3"/>
    <w:rsid w:val="00C04AB3"/>
    <w:rsid w:val="00C06669"/>
    <w:rsid w:val="00C0731F"/>
    <w:rsid w:val="00C07565"/>
    <w:rsid w:val="00C1004C"/>
    <w:rsid w:val="00C10DFF"/>
    <w:rsid w:val="00C113C9"/>
    <w:rsid w:val="00C1179F"/>
    <w:rsid w:val="00C11A56"/>
    <w:rsid w:val="00C12754"/>
    <w:rsid w:val="00C127B9"/>
    <w:rsid w:val="00C128FA"/>
    <w:rsid w:val="00C129C0"/>
    <w:rsid w:val="00C12C14"/>
    <w:rsid w:val="00C134E2"/>
    <w:rsid w:val="00C15652"/>
    <w:rsid w:val="00C15C0F"/>
    <w:rsid w:val="00C15D1F"/>
    <w:rsid w:val="00C15F04"/>
    <w:rsid w:val="00C161FB"/>
    <w:rsid w:val="00C165E1"/>
    <w:rsid w:val="00C17469"/>
    <w:rsid w:val="00C1771F"/>
    <w:rsid w:val="00C179B3"/>
    <w:rsid w:val="00C17E3F"/>
    <w:rsid w:val="00C200AA"/>
    <w:rsid w:val="00C20A7F"/>
    <w:rsid w:val="00C20E86"/>
    <w:rsid w:val="00C2127D"/>
    <w:rsid w:val="00C2141C"/>
    <w:rsid w:val="00C21F39"/>
    <w:rsid w:val="00C227D1"/>
    <w:rsid w:val="00C22E7C"/>
    <w:rsid w:val="00C237ED"/>
    <w:rsid w:val="00C23D6D"/>
    <w:rsid w:val="00C24632"/>
    <w:rsid w:val="00C25418"/>
    <w:rsid w:val="00C2595B"/>
    <w:rsid w:val="00C25D9C"/>
    <w:rsid w:val="00C25D9F"/>
    <w:rsid w:val="00C26F2F"/>
    <w:rsid w:val="00C270EC"/>
    <w:rsid w:val="00C2778B"/>
    <w:rsid w:val="00C27E2F"/>
    <w:rsid w:val="00C27F8A"/>
    <w:rsid w:val="00C302FC"/>
    <w:rsid w:val="00C304AB"/>
    <w:rsid w:val="00C30F13"/>
    <w:rsid w:val="00C314E5"/>
    <w:rsid w:val="00C31649"/>
    <w:rsid w:val="00C32226"/>
    <w:rsid w:val="00C32E88"/>
    <w:rsid w:val="00C339D5"/>
    <w:rsid w:val="00C3434C"/>
    <w:rsid w:val="00C356D4"/>
    <w:rsid w:val="00C36B16"/>
    <w:rsid w:val="00C3713E"/>
    <w:rsid w:val="00C40095"/>
    <w:rsid w:val="00C40385"/>
    <w:rsid w:val="00C40690"/>
    <w:rsid w:val="00C409C1"/>
    <w:rsid w:val="00C41768"/>
    <w:rsid w:val="00C424C6"/>
    <w:rsid w:val="00C43A97"/>
    <w:rsid w:val="00C43C3C"/>
    <w:rsid w:val="00C44246"/>
    <w:rsid w:val="00C44DC3"/>
    <w:rsid w:val="00C4592F"/>
    <w:rsid w:val="00C4608F"/>
    <w:rsid w:val="00C475AA"/>
    <w:rsid w:val="00C47C0F"/>
    <w:rsid w:val="00C47CA2"/>
    <w:rsid w:val="00C47F53"/>
    <w:rsid w:val="00C50C18"/>
    <w:rsid w:val="00C517DE"/>
    <w:rsid w:val="00C5200C"/>
    <w:rsid w:val="00C524E0"/>
    <w:rsid w:val="00C52541"/>
    <w:rsid w:val="00C527C7"/>
    <w:rsid w:val="00C52DBB"/>
    <w:rsid w:val="00C5399F"/>
    <w:rsid w:val="00C53AA9"/>
    <w:rsid w:val="00C53C98"/>
    <w:rsid w:val="00C553AD"/>
    <w:rsid w:val="00C56069"/>
    <w:rsid w:val="00C566C3"/>
    <w:rsid w:val="00C56CF9"/>
    <w:rsid w:val="00C56FCF"/>
    <w:rsid w:val="00C56FE7"/>
    <w:rsid w:val="00C578F7"/>
    <w:rsid w:val="00C57B6C"/>
    <w:rsid w:val="00C6010C"/>
    <w:rsid w:val="00C61764"/>
    <w:rsid w:val="00C61A59"/>
    <w:rsid w:val="00C628A6"/>
    <w:rsid w:val="00C62EBB"/>
    <w:rsid w:val="00C6383D"/>
    <w:rsid w:val="00C638FC"/>
    <w:rsid w:val="00C64178"/>
    <w:rsid w:val="00C64344"/>
    <w:rsid w:val="00C65108"/>
    <w:rsid w:val="00C65576"/>
    <w:rsid w:val="00C66165"/>
    <w:rsid w:val="00C666B3"/>
    <w:rsid w:val="00C7060A"/>
    <w:rsid w:val="00C7151A"/>
    <w:rsid w:val="00C717E3"/>
    <w:rsid w:val="00C71C7E"/>
    <w:rsid w:val="00C71F60"/>
    <w:rsid w:val="00C72241"/>
    <w:rsid w:val="00C739D1"/>
    <w:rsid w:val="00C73B74"/>
    <w:rsid w:val="00C74996"/>
    <w:rsid w:val="00C750C8"/>
    <w:rsid w:val="00C7560F"/>
    <w:rsid w:val="00C7563C"/>
    <w:rsid w:val="00C75C7E"/>
    <w:rsid w:val="00C77664"/>
    <w:rsid w:val="00C8050B"/>
    <w:rsid w:val="00C80A0E"/>
    <w:rsid w:val="00C8112C"/>
    <w:rsid w:val="00C819BE"/>
    <w:rsid w:val="00C8213F"/>
    <w:rsid w:val="00C8303F"/>
    <w:rsid w:val="00C831D0"/>
    <w:rsid w:val="00C83617"/>
    <w:rsid w:val="00C83FB1"/>
    <w:rsid w:val="00C8422F"/>
    <w:rsid w:val="00C84267"/>
    <w:rsid w:val="00C85154"/>
    <w:rsid w:val="00C85A70"/>
    <w:rsid w:val="00C863D6"/>
    <w:rsid w:val="00C8729F"/>
    <w:rsid w:val="00C87337"/>
    <w:rsid w:val="00C87840"/>
    <w:rsid w:val="00C8797A"/>
    <w:rsid w:val="00C87AA9"/>
    <w:rsid w:val="00C87FBD"/>
    <w:rsid w:val="00C900B8"/>
    <w:rsid w:val="00C90197"/>
    <w:rsid w:val="00C901AA"/>
    <w:rsid w:val="00C901D3"/>
    <w:rsid w:val="00C905DD"/>
    <w:rsid w:val="00C90C71"/>
    <w:rsid w:val="00C91FD1"/>
    <w:rsid w:val="00C9287E"/>
    <w:rsid w:val="00C92A3F"/>
    <w:rsid w:val="00C92EE5"/>
    <w:rsid w:val="00C931CF"/>
    <w:rsid w:val="00C938CF"/>
    <w:rsid w:val="00C93B08"/>
    <w:rsid w:val="00C94053"/>
    <w:rsid w:val="00C94E04"/>
    <w:rsid w:val="00C95190"/>
    <w:rsid w:val="00C953C9"/>
    <w:rsid w:val="00C959CC"/>
    <w:rsid w:val="00C959FD"/>
    <w:rsid w:val="00C9624D"/>
    <w:rsid w:val="00C969DA"/>
    <w:rsid w:val="00C9782C"/>
    <w:rsid w:val="00C97D03"/>
    <w:rsid w:val="00CA068F"/>
    <w:rsid w:val="00CA0FB3"/>
    <w:rsid w:val="00CA15D1"/>
    <w:rsid w:val="00CA2C77"/>
    <w:rsid w:val="00CA3F00"/>
    <w:rsid w:val="00CA4191"/>
    <w:rsid w:val="00CA444F"/>
    <w:rsid w:val="00CA486D"/>
    <w:rsid w:val="00CA4EA3"/>
    <w:rsid w:val="00CA4FDB"/>
    <w:rsid w:val="00CA5245"/>
    <w:rsid w:val="00CA6B88"/>
    <w:rsid w:val="00CA71F4"/>
    <w:rsid w:val="00CA7425"/>
    <w:rsid w:val="00CA7B09"/>
    <w:rsid w:val="00CB12A5"/>
    <w:rsid w:val="00CB166D"/>
    <w:rsid w:val="00CB1CAC"/>
    <w:rsid w:val="00CB1E65"/>
    <w:rsid w:val="00CB2506"/>
    <w:rsid w:val="00CB2F2A"/>
    <w:rsid w:val="00CB3EA0"/>
    <w:rsid w:val="00CB4C38"/>
    <w:rsid w:val="00CB5317"/>
    <w:rsid w:val="00CB5442"/>
    <w:rsid w:val="00CB5B1A"/>
    <w:rsid w:val="00CB6266"/>
    <w:rsid w:val="00CB6839"/>
    <w:rsid w:val="00CB6B22"/>
    <w:rsid w:val="00CB6B88"/>
    <w:rsid w:val="00CB7611"/>
    <w:rsid w:val="00CB7956"/>
    <w:rsid w:val="00CB7F5F"/>
    <w:rsid w:val="00CC00D0"/>
    <w:rsid w:val="00CC04C2"/>
    <w:rsid w:val="00CC05B5"/>
    <w:rsid w:val="00CC08A4"/>
    <w:rsid w:val="00CC1B39"/>
    <w:rsid w:val="00CC1BFA"/>
    <w:rsid w:val="00CC1D2B"/>
    <w:rsid w:val="00CC1E1D"/>
    <w:rsid w:val="00CC2E9F"/>
    <w:rsid w:val="00CC34CA"/>
    <w:rsid w:val="00CC35EA"/>
    <w:rsid w:val="00CC3848"/>
    <w:rsid w:val="00CC49A1"/>
    <w:rsid w:val="00CC50DB"/>
    <w:rsid w:val="00CC50EA"/>
    <w:rsid w:val="00CC69E1"/>
    <w:rsid w:val="00CC69E9"/>
    <w:rsid w:val="00CC6D1B"/>
    <w:rsid w:val="00CC6D5E"/>
    <w:rsid w:val="00CD0200"/>
    <w:rsid w:val="00CD1203"/>
    <w:rsid w:val="00CD1E13"/>
    <w:rsid w:val="00CD3F77"/>
    <w:rsid w:val="00CD49B9"/>
    <w:rsid w:val="00CD51FF"/>
    <w:rsid w:val="00CD557B"/>
    <w:rsid w:val="00CD658F"/>
    <w:rsid w:val="00CD6ADC"/>
    <w:rsid w:val="00CD6DDE"/>
    <w:rsid w:val="00CD7193"/>
    <w:rsid w:val="00CE2743"/>
    <w:rsid w:val="00CE3128"/>
    <w:rsid w:val="00CE3663"/>
    <w:rsid w:val="00CE38C8"/>
    <w:rsid w:val="00CE39A4"/>
    <w:rsid w:val="00CE3A54"/>
    <w:rsid w:val="00CE3C55"/>
    <w:rsid w:val="00CE3EF4"/>
    <w:rsid w:val="00CE3F37"/>
    <w:rsid w:val="00CE509E"/>
    <w:rsid w:val="00CE524F"/>
    <w:rsid w:val="00CE58CC"/>
    <w:rsid w:val="00CE61B4"/>
    <w:rsid w:val="00CE6274"/>
    <w:rsid w:val="00CE675B"/>
    <w:rsid w:val="00CE751D"/>
    <w:rsid w:val="00CE77B6"/>
    <w:rsid w:val="00CE7894"/>
    <w:rsid w:val="00CE7C87"/>
    <w:rsid w:val="00CF065B"/>
    <w:rsid w:val="00CF06AE"/>
    <w:rsid w:val="00CF07D8"/>
    <w:rsid w:val="00CF093C"/>
    <w:rsid w:val="00CF1606"/>
    <w:rsid w:val="00CF1968"/>
    <w:rsid w:val="00CF2806"/>
    <w:rsid w:val="00CF2B8D"/>
    <w:rsid w:val="00CF2DAB"/>
    <w:rsid w:val="00CF3286"/>
    <w:rsid w:val="00CF3A1B"/>
    <w:rsid w:val="00CF3EF0"/>
    <w:rsid w:val="00CF4211"/>
    <w:rsid w:val="00CF456B"/>
    <w:rsid w:val="00CF4BB5"/>
    <w:rsid w:val="00CF4BF4"/>
    <w:rsid w:val="00CF5621"/>
    <w:rsid w:val="00CF5646"/>
    <w:rsid w:val="00CF595D"/>
    <w:rsid w:val="00CF5A22"/>
    <w:rsid w:val="00CF7710"/>
    <w:rsid w:val="00D00218"/>
    <w:rsid w:val="00D005B2"/>
    <w:rsid w:val="00D016DB"/>
    <w:rsid w:val="00D0262E"/>
    <w:rsid w:val="00D02848"/>
    <w:rsid w:val="00D02BB4"/>
    <w:rsid w:val="00D03679"/>
    <w:rsid w:val="00D036A0"/>
    <w:rsid w:val="00D045B0"/>
    <w:rsid w:val="00D05630"/>
    <w:rsid w:val="00D057A0"/>
    <w:rsid w:val="00D05E3D"/>
    <w:rsid w:val="00D060CE"/>
    <w:rsid w:val="00D06139"/>
    <w:rsid w:val="00D06D94"/>
    <w:rsid w:val="00D071BB"/>
    <w:rsid w:val="00D07351"/>
    <w:rsid w:val="00D0778E"/>
    <w:rsid w:val="00D07CBD"/>
    <w:rsid w:val="00D07D67"/>
    <w:rsid w:val="00D07E59"/>
    <w:rsid w:val="00D101F4"/>
    <w:rsid w:val="00D10A7C"/>
    <w:rsid w:val="00D110BD"/>
    <w:rsid w:val="00D115FA"/>
    <w:rsid w:val="00D1206C"/>
    <w:rsid w:val="00D134E3"/>
    <w:rsid w:val="00D1350B"/>
    <w:rsid w:val="00D13675"/>
    <w:rsid w:val="00D141E1"/>
    <w:rsid w:val="00D15314"/>
    <w:rsid w:val="00D15A91"/>
    <w:rsid w:val="00D15B48"/>
    <w:rsid w:val="00D15D65"/>
    <w:rsid w:val="00D16454"/>
    <w:rsid w:val="00D17D6C"/>
    <w:rsid w:val="00D17D79"/>
    <w:rsid w:val="00D2155B"/>
    <w:rsid w:val="00D218DA"/>
    <w:rsid w:val="00D2191C"/>
    <w:rsid w:val="00D2214F"/>
    <w:rsid w:val="00D227CF"/>
    <w:rsid w:val="00D22F3C"/>
    <w:rsid w:val="00D23857"/>
    <w:rsid w:val="00D23D11"/>
    <w:rsid w:val="00D23D91"/>
    <w:rsid w:val="00D241B1"/>
    <w:rsid w:val="00D244B6"/>
    <w:rsid w:val="00D24F46"/>
    <w:rsid w:val="00D25E6E"/>
    <w:rsid w:val="00D25F05"/>
    <w:rsid w:val="00D2754D"/>
    <w:rsid w:val="00D276D2"/>
    <w:rsid w:val="00D27A65"/>
    <w:rsid w:val="00D27B27"/>
    <w:rsid w:val="00D27F24"/>
    <w:rsid w:val="00D30D5B"/>
    <w:rsid w:val="00D3169F"/>
    <w:rsid w:val="00D32F8F"/>
    <w:rsid w:val="00D33178"/>
    <w:rsid w:val="00D33BE9"/>
    <w:rsid w:val="00D33F93"/>
    <w:rsid w:val="00D34282"/>
    <w:rsid w:val="00D3541C"/>
    <w:rsid w:val="00D35481"/>
    <w:rsid w:val="00D357FF"/>
    <w:rsid w:val="00D3631F"/>
    <w:rsid w:val="00D410D3"/>
    <w:rsid w:val="00D410E4"/>
    <w:rsid w:val="00D41CC2"/>
    <w:rsid w:val="00D424C7"/>
    <w:rsid w:val="00D42ACD"/>
    <w:rsid w:val="00D42E37"/>
    <w:rsid w:val="00D435B5"/>
    <w:rsid w:val="00D43B2A"/>
    <w:rsid w:val="00D43CF1"/>
    <w:rsid w:val="00D43D83"/>
    <w:rsid w:val="00D451BD"/>
    <w:rsid w:val="00D45260"/>
    <w:rsid w:val="00D455B0"/>
    <w:rsid w:val="00D45E3E"/>
    <w:rsid w:val="00D47575"/>
    <w:rsid w:val="00D477EB"/>
    <w:rsid w:val="00D50E0C"/>
    <w:rsid w:val="00D51DA6"/>
    <w:rsid w:val="00D52318"/>
    <w:rsid w:val="00D5243B"/>
    <w:rsid w:val="00D52DB7"/>
    <w:rsid w:val="00D533EC"/>
    <w:rsid w:val="00D54150"/>
    <w:rsid w:val="00D54ADA"/>
    <w:rsid w:val="00D55BCD"/>
    <w:rsid w:val="00D5602E"/>
    <w:rsid w:val="00D56A95"/>
    <w:rsid w:val="00D6076E"/>
    <w:rsid w:val="00D61890"/>
    <w:rsid w:val="00D61AF2"/>
    <w:rsid w:val="00D626DD"/>
    <w:rsid w:val="00D62921"/>
    <w:rsid w:val="00D62D64"/>
    <w:rsid w:val="00D63645"/>
    <w:rsid w:val="00D650C3"/>
    <w:rsid w:val="00D657E7"/>
    <w:rsid w:val="00D65DAB"/>
    <w:rsid w:val="00D65F47"/>
    <w:rsid w:val="00D66494"/>
    <w:rsid w:val="00D66B24"/>
    <w:rsid w:val="00D66C87"/>
    <w:rsid w:val="00D70292"/>
    <w:rsid w:val="00D70F16"/>
    <w:rsid w:val="00D72147"/>
    <w:rsid w:val="00D72617"/>
    <w:rsid w:val="00D7295C"/>
    <w:rsid w:val="00D72973"/>
    <w:rsid w:val="00D72AA7"/>
    <w:rsid w:val="00D72F57"/>
    <w:rsid w:val="00D72FF0"/>
    <w:rsid w:val="00D7325D"/>
    <w:rsid w:val="00D73652"/>
    <w:rsid w:val="00D7398D"/>
    <w:rsid w:val="00D754CC"/>
    <w:rsid w:val="00D756E0"/>
    <w:rsid w:val="00D76A38"/>
    <w:rsid w:val="00D76A44"/>
    <w:rsid w:val="00D76B4F"/>
    <w:rsid w:val="00D8046E"/>
    <w:rsid w:val="00D80A64"/>
    <w:rsid w:val="00D80F50"/>
    <w:rsid w:val="00D810DA"/>
    <w:rsid w:val="00D813D1"/>
    <w:rsid w:val="00D815EF"/>
    <w:rsid w:val="00D81949"/>
    <w:rsid w:val="00D81F26"/>
    <w:rsid w:val="00D822E2"/>
    <w:rsid w:val="00D8298F"/>
    <w:rsid w:val="00D83819"/>
    <w:rsid w:val="00D83840"/>
    <w:rsid w:val="00D83F3B"/>
    <w:rsid w:val="00D843F2"/>
    <w:rsid w:val="00D860F5"/>
    <w:rsid w:val="00D86231"/>
    <w:rsid w:val="00D86675"/>
    <w:rsid w:val="00D8749B"/>
    <w:rsid w:val="00D87695"/>
    <w:rsid w:val="00D87A6D"/>
    <w:rsid w:val="00D87B65"/>
    <w:rsid w:val="00D87E1B"/>
    <w:rsid w:val="00D900BC"/>
    <w:rsid w:val="00D912AB"/>
    <w:rsid w:val="00D91923"/>
    <w:rsid w:val="00D91FA9"/>
    <w:rsid w:val="00D920F6"/>
    <w:rsid w:val="00D93753"/>
    <w:rsid w:val="00D942DA"/>
    <w:rsid w:val="00D94D45"/>
    <w:rsid w:val="00D94D70"/>
    <w:rsid w:val="00D95065"/>
    <w:rsid w:val="00D95303"/>
    <w:rsid w:val="00D95F45"/>
    <w:rsid w:val="00D9699A"/>
    <w:rsid w:val="00D96ADE"/>
    <w:rsid w:val="00D96D88"/>
    <w:rsid w:val="00D97759"/>
    <w:rsid w:val="00DA176D"/>
    <w:rsid w:val="00DA18ED"/>
    <w:rsid w:val="00DA1A57"/>
    <w:rsid w:val="00DA1F2A"/>
    <w:rsid w:val="00DA25BD"/>
    <w:rsid w:val="00DA2C5B"/>
    <w:rsid w:val="00DA3167"/>
    <w:rsid w:val="00DA3185"/>
    <w:rsid w:val="00DA34CD"/>
    <w:rsid w:val="00DA386C"/>
    <w:rsid w:val="00DA4DC3"/>
    <w:rsid w:val="00DA6010"/>
    <w:rsid w:val="00DA728F"/>
    <w:rsid w:val="00DA77A5"/>
    <w:rsid w:val="00DB0020"/>
    <w:rsid w:val="00DB0E36"/>
    <w:rsid w:val="00DB1B1A"/>
    <w:rsid w:val="00DB32D7"/>
    <w:rsid w:val="00DB370D"/>
    <w:rsid w:val="00DB3DBF"/>
    <w:rsid w:val="00DB484F"/>
    <w:rsid w:val="00DB530A"/>
    <w:rsid w:val="00DB5611"/>
    <w:rsid w:val="00DB5A29"/>
    <w:rsid w:val="00DB6304"/>
    <w:rsid w:val="00DB7B1F"/>
    <w:rsid w:val="00DC04F6"/>
    <w:rsid w:val="00DC0690"/>
    <w:rsid w:val="00DC1744"/>
    <w:rsid w:val="00DC1D65"/>
    <w:rsid w:val="00DC1DAB"/>
    <w:rsid w:val="00DC2078"/>
    <w:rsid w:val="00DC2937"/>
    <w:rsid w:val="00DC2EB3"/>
    <w:rsid w:val="00DC31FA"/>
    <w:rsid w:val="00DC3C57"/>
    <w:rsid w:val="00DC5472"/>
    <w:rsid w:val="00DC5501"/>
    <w:rsid w:val="00DC5B80"/>
    <w:rsid w:val="00DC5DE4"/>
    <w:rsid w:val="00DC7154"/>
    <w:rsid w:val="00DC7E8A"/>
    <w:rsid w:val="00DD0070"/>
    <w:rsid w:val="00DD04D6"/>
    <w:rsid w:val="00DD09A9"/>
    <w:rsid w:val="00DD0F78"/>
    <w:rsid w:val="00DD1EFB"/>
    <w:rsid w:val="00DD273C"/>
    <w:rsid w:val="00DD28F5"/>
    <w:rsid w:val="00DD295D"/>
    <w:rsid w:val="00DD3F28"/>
    <w:rsid w:val="00DD4446"/>
    <w:rsid w:val="00DD4537"/>
    <w:rsid w:val="00DD4E15"/>
    <w:rsid w:val="00DD63C4"/>
    <w:rsid w:val="00DD6807"/>
    <w:rsid w:val="00DD6BDF"/>
    <w:rsid w:val="00DD6BF3"/>
    <w:rsid w:val="00DE0523"/>
    <w:rsid w:val="00DE1058"/>
    <w:rsid w:val="00DE11AC"/>
    <w:rsid w:val="00DE2304"/>
    <w:rsid w:val="00DE3138"/>
    <w:rsid w:val="00DE34CE"/>
    <w:rsid w:val="00DE37F8"/>
    <w:rsid w:val="00DE4000"/>
    <w:rsid w:val="00DE4273"/>
    <w:rsid w:val="00DE45BC"/>
    <w:rsid w:val="00DE48F3"/>
    <w:rsid w:val="00DE4FCB"/>
    <w:rsid w:val="00DE591A"/>
    <w:rsid w:val="00DE5D07"/>
    <w:rsid w:val="00DE617D"/>
    <w:rsid w:val="00DE645B"/>
    <w:rsid w:val="00DE67FE"/>
    <w:rsid w:val="00DE72A7"/>
    <w:rsid w:val="00DE75DD"/>
    <w:rsid w:val="00DE7779"/>
    <w:rsid w:val="00DE7832"/>
    <w:rsid w:val="00DF0745"/>
    <w:rsid w:val="00DF18FC"/>
    <w:rsid w:val="00DF2A72"/>
    <w:rsid w:val="00DF2B5B"/>
    <w:rsid w:val="00DF35B3"/>
    <w:rsid w:val="00DF360D"/>
    <w:rsid w:val="00DF3D56"/>
    <w:rsid w:val="00DF46E2"/>
    <w:rsid w:val="00DF47BF"/>
    <w:rsid w:val="00DF5760"/>
    <w:rsid w:val="00DF5D2B"/>
    <w:rsid w:val="00DF6171"/>
    <w:rsid w:val="00DF6225"/>
    <w:rsid w:val="00DF6276"/>
    <w:rsid w:val="00DF6341"/>
    <w:rsid w:val="00DF7D95"/>
    <w:rsid w:val="00E002F5"/>
    <w:rsid w:val="00E0038E"/>
    <w:rsid w:val="00E00E8E"/>
    <w:rsid w:val="00E01676"/>
    <w:rsid w:val="00E01805"/>
    <w:rsid w:val="00E01C08"/>
    <w:rsid w:val="00E02C54"/>
    <w:rsid w:val="00E02F39"/>
    <w:rsid w:val="00E04EF2"/>
    <w:rsid w:val="00E054CD"/>
    <w:rsid w:val="00E05630"/>
    <w:rsid w:val="00E05F9A"/>
    <w:rsid w:val="00E067D1"/>
    <w:rsid w:val="00E06969"/>
    <w:rsid w:val="00E06DB0"/>
    <w:rsid w:val="00E06DBB"/>
    <w:rsid w:val="00E10149"/>
    <w:rsid w:val="00E108F6"/>
    <w:rsid w:val="00E11340"/>
    <w:rsid w:val="00E114B1"/>
    <w:rsid w:val="00E11B34"/>
    <w:rsid w:val="00E122A1"/>
    <w:rsid w:val="00E128A2"/>
    <w:rsid w:val="00E129D5"/>
    <w:rsid w:val="00E1371A"/>
    <w:rsid w:val="00E13EEF"/>
    <w:rsid w:val="00E142A7"/>
    <w:rsid w:val="00E1469B"/>
    <w:rsid w:val="00E1471C"/>
    <w:rsid w:val="00E157F2"/>
    <w:rsid w:val="00E1588C"/>
    <w:rsid w:val="00E16372"/>
    <w:rsid w:val="00E16AD8"/>
    <w:rsid w:val="00E17099"/>
    <w:rsid w:val="00E1720B"/>
    <w:rsid w:val="00E178B1"/>
    <w:rsid w:val="00E17FFA"/>
    <w:rsid w:val="00E20AFC"/>
    <w:rsid w:val="00E20E4D"/>
    <w:rsid w:val="00E20ED6"/>
    <w:rsid w:val="00E21358"/>
    <w:rsid w:val="00E218DF"/>
    <w:rsid w:val="00E2249B"/>
    <w:rsid w:val="00E22A0D"/>
    <w:rsid w:val="00E23FBB"/>
    <w:rsid w:val="00E244F6"/>
    <w:rsid w:val="00E258DB"/>
    <w:rsid w:val="00E268F5"/>
    <w:rsid w:val="00E2704E"/>
    <w:rsid w:val="00E2771E"/>
    <w:rsid w:val="00E27E90"/>
    <w:rsid w:val="00E311EF"/>
    <w:rsid w:val="00E31E23"/>
    <w:rsid w:val="00E32180"/>
    <w:rsid w:val="00E3220F"/>
    <w:rsid w:val="00E32B10"/>
    <w:rsid w:val="00E331D5"/>
    <w:rsid w:val="00E3373F"/>
    <w:rsid w:val="00E342C2"/>
    <w:rsid w:val="00E347D8"/>
    <w:rsid w:val="00E34948"/>
    <w:rsid w:val="00E35D17"/>
    <w:rsid w:val="00E36B9E"/>
    <w:rsid w:val="00E37308"/>
    <w:rsid w:val="00E37569"/>
    <w:rsid w:val="00E4000F"/>
    <w:rsid w:val="00E401B2"/>
    <w:rsid w:val="00E40CB6"/>
    <w:rsid w:val="00E412C8"/>
    <w:rsid w:val="00E41E30"/>
    <w:rsid w:val="00E42188"/>
    <w:rsid w:val="00E42C3C"/>
    <w:rsid w:val="00E42F73"/>
    <w:rsid w:val="00E43D70"/>
    <w:rsid w:val="00E43FD8"/>
    <w:rsid w:val="00E440BF"/>
    <w:rsid w:val="00E45084"/>
    <w:rsid w:val="00E4641D"/>
    <w:rsid w:val="00E466F3"/>
    <w:rsid w:val="00E467F6"/>
    <w:rsid w:val="00E46EA9"/>
    <w:rsid w:val="00E47B2C"/>
    <w:rsid w:val="00E502FB"/>
    <w:rsid w:val="00E51560"/>
    <w:rsid w:val="00E51821"/>
    <w:rsid w:val="00E51C65"/>
    <w:rsid w:val="00E52644"/>
    <w:rsid w:val="00E527DB"/>
    <w:rsid w:val="00E52AA3"/>
    <w:rsid w:val="00E52F74"/>
    <w:rsid w:val="00E5364D"/>
    <w:rsid w:val="00E53FC8"/>
    <w:rsid w:val="00E5416C"/>
    <w:rsid w:val="00E54347"/>
    <w:rsid w:val="00E55424"/>
    <w:rsid w:val="00E55915"/>
    <w:rsid w:val="00E55BB5"/>
    <w:rsid w:val="00E5663E"/>
    <w:rsid w:val="00E56B36"/>
    <w:rsid w:val="00E56E9F"/>
    <w:rsid w:val="00E57EDC"/>
    <w:rsid w:val="00E611DF"/>
    <w:rsid w:val="00E63333"/>
    <w:rsid w:val="00E633FE"/>
    <w:rsid w:val="00E63CAC"/>
    <w:rsid w:val="00E63CDF"/>
    <w:rsid w:val="00E64B60"/>
    <w:rsid w:val="00E65E79"/>
    <w:rsid w:val="00E66BA2"/>
    <w:rsid w:val="00E66C35"/>
    <w:rsid w:val="00E67416"/>
    <w:rsid w:val="00E676E1"/>
    <w:rsid w:val="00E7062D"/>
    <w:rsid w:val="00E7074A"/>
    <w:rsid w:val="00E70C72"/>
    <w:rsid w:val="00E70E3F"/>
    <w:rsid w:val="00E70EE9"/>
    <w:rsid w:val="00E715DE"/>
    <w:rsid w:val="00E718B6"/>
    <w:rsid w:val="00E72358"/>
    <w:rsid w:val="00E723B7"/>
    <w:rsid w:val="00E723BA"/>
    <w:rsid w:val="00E7285C"/>
    <w:rsid w:val="00E7353C"/>
    <w:rsid w:val="00E73581"/>
    <w:rsid w:val="00E73F52"/>
    <w:rsid w:val="00E74DAF"/>
    <w:rsid w:val="00E7512B"/>
    <w:rsid w:val="00E75DF0"/>
    <w:rsid w:val="00E77594"/>
    <w:rsid w:val="00E77817"/>
    <w:rsid w:val="00E81864"/>
    <w:rsid w:val="00E81A00"/>
    <w:rsid w:val="00E8251F"/>
    <w:rsid w:val="00E833F7"/>
    <w:rsid w:val="00E83BDF"/>
    <w:rsid w:val="00E8457F"/>
    <w:rsid w:val="00E8506B"/>
    <w:rsid w:val="00E8537E"/>
    <w:rsid w:val="00E85604"/>
    <w:rsid w:val="00E85ECA"/>
    <w:rsid w:val="00E86B24"/>
    <w:rsid w:val="00E86E37"/>
    <w:rsid w:val="00E86FCC"/>
    <w:rsid w:val="00E87271"/>
    <w:rsid w:val="00E87A1D"/>
    <w:rsid w:val="00E90872"/>
    <w:rsid w:val="00E9094A"/>
    <w:rsid w:val="00E90964"/>
    <w:rsid w:val="00E911CE"/>
    <w:rsid w:val="00E91D35"/>
    <w:rsid w:val="00E922E9"/>
    <w:rsid w:val="00E926A5"/>
    <w:rsid w:val="00E926C2"/>
    <w:rsid w:val="00E94BF4"/>
    <w:rsid w:val="00E94FF9"/>
    <w:rsid w:val="00E95151"/>
    <w:rsid w:val="00E95230"/>
    <w:rsid w:val="00E952C3"/>
    <w:rsid w:val="00E95788"/>
    <w:rsid w:val="00E962CC"/>
    <w:rsid w:val="00E96345"/>
    <w:rsid w:val="00E979F2"/>
    <w:rsid w:val="00EA17C3"/>
    <w:rsid w:val="00EA1A51"/>
    <w:rsid w:val="00EA2767"/>
    <w:rsid w:val="00EA2CAA"/>
    <w:rsid w:val="00EA2DF4"/>
    <w:rsid w:val="00EA30E9"/>
    <w:rsid w:val="00EA3864"/>
    <w:rsid w:val="00EA51FB"/>
    <w:rsid w:val="00EA56CB"/>
    <w:rsid w:val="00EA6334"/>
    <w:rsid w:val="00EA64D4"/>
    <w:rsid w:val="00EA69D1"/>
    <w:rsid w:val="00EA707B"/>
    <w:rsid w:val="00EA77B3"/>
    <w:rsid w:val="00EA7F1C"/>
    <w:rsid w:val="00EB01EE"/>
    <w:rsid w:val="00EB0635"/>
    <w:rsid w:val="00EB1290"/>
    <w:rsid w:val="00EB138F"/>
    <w:rsid w:val="00EB15B6"/>
    <w:rsid w:val="00EB18AD"/>
    <w:rsid w:val="00EB1C37"/>
    <w:rsid w:val="00EB3D06"/>
    <w:rsid w:val="00EB3EB5"/>
    <w:rsid w:val="00EB4916"/>
    <w:rsid w:val="00EB4988"/>
    <w:rsid w:val="00EB4E58"/>
    <w:rsid w:val="00EB5AC8"/>
    <w:rsid w:val="00EB6886"/>
    <w:rsid w:val="00EB76CD"/>
    <w:rsid w:val="00EB7838"/>
    <w:rsid w:val="00EB78ED"/>
    <w:rsid w:val="00EB7C2D"/>
    <w:rsid w:val="00EC00C9"/>
    <w:rsid w:val="00EC0124"/>
    <w:rsid w:val="00EC03D5"/>
    <w:rsid w:val="00EC0716"/>
    <w:rsid w:val="00EC0DD9"/>
    <w:rsid w:val="00EC0E5A"/>
    <w:rsid w:val="00EC1908"/>
    <w:rsid w:val="00EC249B"/>
    <w:rsid w:val="00EC25EC"/>
    <w:rsid w:val="00EC2649"/>
    <w:rsid w:val="00EC29B4"/>
    <w:rsid w:val="00EC30E1"/>
    <w:rsid w:val="00EC319A"/>
    <w:rsid w:val="00EC31ED"/>
    <w:rsid w:val="00EC34A7"/>
    <w:rsid w:val="00EC37B6"/>
    <w:rsid w:val="00EC3E61"/>
    <w:rsid w:val="00EC402F"/>
    <w:rsid w:val="00EC5836"/>
    <w:rsid w:val="00EC62D4"/>
    <w:rsid w:val="00EC66EB"/>
    <w:rsid w:val="00EC688C"/>
    <w:rsid w:val="00EC6E98"/>
    <w:rsid w:val="00EC7FEF"/>
    <w:rsid w:val="00ED0E69"/>
    <w:rsid w:val="00ED12E3"/>
    <w:rsid w:val="00ED1728"/>
    <w:rsid w:val="00ED2379"/>
    <w:rsid w:val="00ED2D26"/>
    <w:rsid w:val="00ED310C"/>
    <w:rsid w:val="00ED35E0"/>
    <w:rsid w:val="00ED37A9"/>
    <w:rsid w:val="00ED4B04"/>
    <w:rsid w:val="00ED4CEC"/>
    <w:rsid w:val="00ED52CB"/>
    <w:rsid w:val="00ED53FC"/>
    <w:rsid w:val="00ED57EA"/>
    <w:rsid w:val="00ED5BD4"/>
    <w:rsid w:val="00ED5DD3"/>
    <w:rsid w:val="00ED7199"/>
    <w:rsid w:val="00ED7521"/>
    <w:rsid w:val="00ED769E"/>
    <w:rsid w:val="00EE07D3"/>
    <w:rsid w:val="00EE0FB7"/>
    <w:rsid w:val="00EE16D9"/>
    <w:rsid w:val="00EE1996"/>
    <w:rsid w:val="00EE1C01"/>
    <w:rsid w:val="00EE1D18"/>
    <w:rsid w:val="00EE22AF"/>
    <w:rsid w:val="00EE26AC"/>
    <w:rsid w:val="00EE39F8"/>
    <w:rsid w:val="00EE4D52"/>
    <w:rsid w:val="00EE5200"/>
    <w:rsid w:val="00EE5326"/>
    <w:rsid w:val="00EE57B9"/>
    <w:rsid w:val="00EE5EF9"/>
    <w:rsid w:val="00EE79A4"/>
    <w:rsid w:val="00EE7F71"/>
    <w:rsid w:val="00EF0171"/>
    <w:rsid w:val="00EF1B25"/>
    <w:rsid w:val="00EF1C2D"/>
    <w:rsid w:val="00EF1DA0"/>
    <w:rsid w:val="00EF2071"/>
    <w:rsid w:val="00EF2279"/>
    <w:rsid w:val="00EF2426"/>
    <w:rsid w:val="00EF2C66"/>
    <w:rsid w:val="00EF3411"/>
    <w:rsid w:val="00EF362B"/>
    <w:rsid w:val="00EF3AF2"/>
    <w:rsid w:val="00EF4747"/>
    <w:rsid w:val="00EF4BF8"/>
    <w:rsid w:val="00EF4FC1"/>
    <w:rsid w:val="00EF5640"/>
    <w:rsid w:val="00EF6451"/>
    <w:rsid w:val="00EF66F2"/>
    <w:rsid w:val="00F016A6"/>
    <w:rsid w:val="00F017C9"/>
    <w:rsid w:val="00F02006"/>
    <w:rsid w:val="00F02253"/>
    <w:rsid w:val="00F03C2E"/>
    <w:rsid w:val="00F040CD"/>
    <w:rsid w:val="00F04A66"/>
    <w:rsid w:val="00F04B4B"/>
    <w:rsid w:val="00F04C36"/>
    <w:rsid w:val="00F04F8E"/>
    <w:rsid w:val="00F0516C"/>
    <w:rsid w:val="00F05661"/>
    <w:rsid w:val="00F05CAC"/>
    <w:rsid w:val="00F06293"/>
    <w:rsid w:val="00F063C7"/>
    <w:rsid w:val="00F0648C"/>
    <w:rsid w:val="00F06673"/>
    <w:rsid w:val="00F067A2"/>
    <w:rsid w:val="00F07295"/>
    <w:rsid w:val="00F07B9E"/>
    <w:rsid w:val="00F10329"/>
    <w:rsid w:val="00F1036A"/>
    <w:rsid w:val="00F10E85"/>
    <w:rsid w:val="00F1116F"/>
    <w:rsid w:val="00F1263A"/>
    <w:rsid w:val="00F139C5"/>
    <w:rsid w:val="00F13A34"/>
    <w:rsid w:val="00F14764"/>
    <w:rsid w:val="00F156F7"/>
    <w:rsid w:val="00F15B77"/>
    <w:rsid w:val="00F1682F"/>
    <w:rsid w:val="00F17AE4"/>
    <w:rsid w:val="00F17F74"/>
    <w:rsid w:val="00F21236"/>
    <w:rsid w:val="00F21A2F"/>
    <w:rsid w:val="00F239DF"/>
    <w:rsid w:val="00F24837"/>
    <w:rsid w:val="00F24ECB"/>
    <w:rsid w:val="00F2575F"/>
    <w:rsid w:val="00F26CCB"/>
    <w:rsid w:val="00F27565"/>
    <w:rsid w:val="00F2781C"/>
    <w:rsid w:val="00F27912"/>
    <w:rsid w:val="00F27E26"/>
    <w:rsid w:val="00F310D4"/>
    <w:rsid w:val="00F31D5A"/>
    <w:rsid w:val="00F3236B"/>
    <w:rsid w:val="00F33975"/>
    <w:rsid w:val="00F33BA1"/>
    <w:rsid w:val="00F33DE9"/>
    <w:rsid w:val="00F34163"/>
    <w:rsid w:val="00F35E6D"/>
    <w:rsid w:val="00F3619A"/>
    <w:rsid w:val="00F36559"/>
    <w:rsid w:val="00F367AE"/>
    <w:rsid w:val="00F40AAA"/>
    <w:rsid w:val="00F40BA7"/>
    <w:rsid w:val="00F40EAD"/>
    <w:rsid w:val="00F40F9D"/>
    <w:rsid w:val="00F413C7"/>
    <w:rsid w:val="00F41767"/>
    <w:rsid w:val="00F41ACD"/>
    <w:rsid w:val="00F41F02"/>
    <w:rsid w:val="00F426C4"/>
    <w:rsid w:val="00F43AB7"/>
    <w:rsid w:val="00F454C0"/>
    <w:rsid w:val="00F46546"/>
    <w:rsid w:val="00F4674E"/>
    <w:rsid w:val="00F46CB6"/>
    <w:rsid w:val="00F4756D"/>
    <w:rsid w:val="00F4764C"/>
    <w:rsid w:val="00F47DE8"/>
    <w:rsid w:val="00F47F74"/>
    <w:rsid w:val="00F50290"/>
    <w:rsid w:val="00F50A5E"/>
    <w:rsid w:val="00F50CB8"/>
    <w:rsid w:val="00F50EA7"/>
    <w:rsid w:val="00F52414"/>
    <w:rsid w:val="00F52702"/>
    <w:rsid w:val="00F527B5"/>
    <w:rsid w:val="00F542C1"/>
    <w:rsid w:val="00F54D3E"/>
    <w:rsid w:val="00F550E3"/>
    <w:rsid w:val="00F55E73"/>
    <w:rsid w:val="00F55EDA"/>
    <w:rsid w:val="00F56C80"/>
    <w:rsid w:val="00F56ECF"/>
    <w:rsid w:val="00F57586"/>
    <w:rsid w:val="00F57D02"/>
    <w:rsid w:val="00F57D7D"/>
    <w:rsid w:val="00F60092"/>
    <w:rsid w:val="00F61C18"/>
    <w:rsid w:val="00F620CF"/>
    <w:rsid w:val="00F63EA7"/>
    <w:rsid w:val="00F63FF9"/>
    <w:rsid w:val="00F6554A"/>
    <w:rsid w:val="00F656F4"/>
    <w:rsid w:val="00F65F4B"/>
    <w:rsid w:val="00F665F9"/>
    <w:rsid w:val="00F67A69"/>
    <w:rsid w:val="00F67CCB"/>
    <w:rsid w:val="00F67EF5"/>
    <w:rsid w:val="00F70BFF"/>
    <w:rsid w:val="00F70C9D"/>
    <w:rsid w:val="00F7164A"/>
    <w:rsid w:val="00F71DA1"/>
    <w:rsid w:val="00F73AC1"/>
    <w:rsid w:val="00F73E08"/>
    <w:rsid w:val="00F740DA"/>
    <w:rsid w:val="00F74791"/>
    <w:rsid w:val="00F74CD9"/>
    <w:rsid w:val="00F75D86"/>
    <w:rsid w:val="00F75E61"/>
    <w:rsid w:val="00F75EFF"/>
    <w:rsid w:val="00F76955"/>
    <w:rsid w:val="00F77BC3"/>
    <w:rsid w:val="00F805EC"/>
    <w:rsid w:val="00F80690"/>
    <w:rsid w:val="00F80A7B"/>
    <w:rsid w:val="00F80E5D"/>
    <w:rsid w:val="00F81E78"/>
    <w:rsid w:val="00F82A83"/>
    <w:rsid w:val="00F8328A"/>
    <w:rsid w:val="00F83916"/>
    <w:rsid w:val="00F839FC"/>
    <w:rsid w:val="00F846A2"/>
    <w:rsid w:val="00F851CE"/>
    <w:rsid w:val="00F86B83"/>
    <w:rsid w:val="00F86E3E"/>
    <w:rsid w:val="00F9060A"/>
    <w:rsid w:val="00F909C4"/>
    <w:rsid w:val="00F91219"/>
    <w:rsid w:val="00F92017"/>
    <w:rsid w:val="00F92388"/>
    <w:rsid w:val="00F92444"/>
    <w:rsid w:val="00F9286E"/>
    <w:rsid w:val="00F9393E"/>
    <w:rsid w:val="00F93B38"/>
    <w:rsid w:val="00F9572D"/>
    <w:rsid w:val="00F95EDA"/>
    <w:rsid w:val="00F96FD0"/>
    <w:rsid w:val="00F97A78"/>
    <w:rsid w:val="00FA08AC"/>
    <w:rsid w:val="00FA0B20"/>
    <w:rsid w:val="00FA19AF"/>
    <w:rsid w:val="00FA24E7"/>
    <w:rsid w:val="00FA25FC"/>
    <w:rsid w:val="00FA2C35"/>
    <w:rsid w:val="00FA3594"/>
    <w:rsid w:val="00FA4988"/>
    <w:rsid w:val="00FA57B0"/>
    <w:rsid w:val="00FA5EE6"/>
    <w:rsid w:val="00FA6051"/>
    <w:rsid w:val="00FA7032"/>
    <w:rsid w:val="00FA7956"/>
    <w:rsid w:val="00FA7EED"/>
    <w:rsid w:val="00FB00B6"/>
    <w:rsid w:val="00FB0335"/>
    <w:rsid w:val="00FB0501"/>
    <w:rsid w:val="00FB0824"/>
    <w:rsid w:val="00FB0E22"/>
    <w:rsid w:val="00FB0EC8"/>
    <w:rsid w:val="00FB1C21"/>
    <w:rsid w:val="00FB1D9E"/>
    <w:rsid w:val="00FB236B"/>
    <w:rsid w:val="00FB2759"/>
    <w:rsid w:val="00FB2916"/>
    <w:rsid w:val="00FB2FCB"/>
    <w:rsid w:val="00FB3135"/>
    <w:rsid w:val="00FB32D0"/>
    <w:rsid w:val="00FB40BB"/>
    <w:rsid w:val="00FB4C5F"/>
    <w:rsid w:val="00FB4C9C"/>
    <w:rsid w:val="00FB4E06"/>
    <w:rsid w:val="00FB4EA4"/>
    <w:rsid w:val="00FB5824"/>
    <w:rsid w:val="00FB7C55"/>
    <w:rsid w:val="00FC02E7"/>
    <w:rsid w:val="00FC05C8"/>
    <w:rsid w:val="00FC1074"/>
    <w:rsid w:val="00FC1884"/>
    <w:rsid w:val="00FC2073"/>
    <w:rsid w:val="00FC28C7"/>
    <w:rsid w:val="00FC2B11"/>
    <w:rsid w:val="00FC371D"/>
    <w:rsid w:val="00FC5F0B"/>
    <w:rsid w:val="00FC6AD4"/>
    <w:rsid w:val="00FC6F24"/>
    <w:rsid w:val="00FD12F7"/>
    <w:rsid w:val="00FD2100"/>
    <w:rsid w:val="00FD2BC7"/>
    <w:rsid w:val="00FD436C"/>
    <w:rsid w:val="00FD446D"/>
    <w:rsid w:val="00FD4649"/>
    <w:rsid w:val="00FD4ED6"/>
    <w:rsid w:val="00FD4F2C"/>
    <w:rsid w:val="00FD5BD6"/>
    <w:rsid w:val="00FD5BED"/>
    <w:rsid w:val="00FD62ED"/>
    <w:rsid w:val="00FD6394"/>
    <w:rsid w:val="00FD756C"/>
    <w:rsid w:val="00FD7750"/>
    <w:rsid w:val="00FE0576"/>
    <w:rsid w:val="00FE0E6C"/>
    <w:rsid w:val="00FE10D3"/>
    <w:rsid w:val="00FE1CDC"/>
    <w:rsid w:val="00FE1F7E"/>
    <w:rsid w:val="00FE28A4"/>
    <w:rsid w:val="00FE3324"/>
    <w:rsid w:val="00FE4D4B"/>
    <w:rsid w:val="00FE4DC8"/>
    <w:rsid w:val="00FE63DB"/>
    <w:rsid w:val="00FE70C3"/>
    <w:rsid w:val="00FE77A4"/>
    <w:rsid w:val="00FF0177"/>
    <w:rsid w:val="00FF0673"/>
    <w:rsid w:val="00FF1008"/>
    <w:rsid w:val="00FF1A8B"/>
    <w:rsid w:val="00FF2623"/>
    <w:rsid w:val="00FF2AD9"/>
    <w:rsid w:val="00FF359F"/>
    <w:rsid w:val="00FF3D82"/>
    <w:rsid w:val="00FF3DCF"/>
    <w:rsid w:val="00FF492C"/>
    <w:rsid w:val="00FF4A21"/>
    <w:rsid w:val="00FF5AA3"/>
    <w:rsid w:val="00FF5AD8"/>
    <w:rsid w:val="00FF6174"/>
    <w:rsid w:val="00FF6B21"/>
    <w:rsid w:val="00FF738E"/>
    <w:rsid w:val="00FF7C6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next w:val="Normal"/>
    <w:link w:val="Heading2Char"/>
    <w:rsid w:val="00D410E4"/>
    <w:pPr>
      <w:outlineLvl w:val="1"/>
    </w:pPr>
    <w:rPr>
      <w:rFonts w:ascii="Calibri" w:hAnsi="Calibri" w:cs="Arial"/>
      <w:b/>
      <w:i/>
      <w:sz w:val="28"/>
      <w:szCs w:val="24"/>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410E4"/>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execsummbulletlist">
    <w:name w:val="COM exec summ bullet list"/>
    <w:basedOn w:val="ListParagraph"/>
    <w:link w:val="COMexecsummbulletlistChar"/>
    <w:qFormat/>
    <w:rsid w:val="00DB0020"/>
  </w:style>
  <w:style w:type="paragraph" w:customStyle="1" w:styleId="COMexecsummmainissuesbullets">
    <w:name w:val="COM exec summ main issues bullets"/>
    <w:basedOn w:val="ListParagraph"/>
    <w:link w:val="COMexecsummmainissuesbulletsChar"/>
    <w:qFormat/>
    <w:rsid w:val="00023AB6"/>
    <w:pPr>
      <w:numPr>
        <w:numId w:val="7"/>
      </w:numPr>
    </w:pPr>
    <w:rPr>
      <w:color w:val="0066FF"/>
    </w:rPr>
  </w:style>
  <w:style w:type="character" w:customStyle="1" w:styleId="COMexecsummbulletlistChar">
    <w:name w:val="COM exec summ bullet list Char"/>
    <w:basedOn w:val="ListParagraphChar"/>
    <w:link w:val="COMexecsummbulletlist"/>
    <w:rsid w:val="00DB0020"/>
    <w:rPr>
      <w:rFonts w:asciiTheme="minorHAnsi" w:hAnsiTheme="minorHAnsi" w:cs="Arial"/>
      <w:snapToGrid w:val="0"/>
      <w:sz w:val="24"/>
      <w:szCs w:val="24"/>
    </w:rPr>
  </w:style>
  <w:style w:type="paragraph" w:customStyle="1" w:styleId="COMH3">
    <w:name w:val="COM H3"/>
    <w:basedOn w:val="Normal"/>
    <w:next w:val="Normal"/>
    <w:link w:val="COMH3Char"/>
    <w:qFormat/>
    <w:rsid w:val="00910CFD"/>
    <w:pPr>
      <w:keepNext/>
      <w:spacing w:after="240"/>
    </w:pPr>
    <w:rPr>
      <w:b/>
      <w:iCs/>
      <w:sz w:val="28"/>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L,Bullet Point,Bulletr List Paragraph"/>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paragraph" w:styleId="ListBullet">
    <w:name w:val="List Bullet"/>
    <w:aliases w:val="zz List Bullet"/>
    <w:basedOn w:val="Normal"/>
    <w:link w:val="ListBulletChar"/>
    <w:unhideWhenUsed/>
    <w:rsid w:val="00EE1996"/>
    <w:pPr>
      <w:numPr>
        <w:numId w:val="4"/>
      </w:numPr>
      <w:contextualSpacing/>
    </w:p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34"/>
    <w:qFormat/>
    <w:locked/>
    <w:rsid w:val="00BB00B3"/>
    <w:rPr>
      <w:rFonts w:asciiTheme="minorHAnsi" w:hAnsiTheme="minorHAnsi" w:cs="Arial"/>
      <w:snapToGrid w:val="0"/>
      <w:sz w:val="24"/>
      <w:szCs w:val="24"/>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H2-numbered">
    <w:name w:val="COM H2 - numbered"/>
    <w:basedOn w:val="Heading2"/>
    <w:link w:val="COMH2-numberedChar"/>
    <w:qFormat/>
    <w:rsid w:val="00721EA3"/>
    <w:pPr>
      <w:keepNext/>
      <w:spacing w:after="240"/>
    </w:p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customStyle="1" w:styleId="COMexecsummmainissuesbulletsChar">
    <w:name w:val="COM exec summ main issues bullets Char"/>
    <w:basedOn w:val="ListParagraphChar"/>
    <w:link w:val="COMexecsummmainissuesbullets"/>
    <w:rsid w:val="00023AB6"/>
    <w:rPr>
      <w:rFonts w:asciiTheme="minorHAnsi" w:hAnsiTheme="minorHAnsi" w:cs="Arial"/>
      <w:snapToGrid w:val="0"/>
      <w:color w:val="0066FF"/>
      <w:sz w:val="24"/>
      <w:szCs w:val="24"/>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character" w:customStyle="1" w:styleId="COMH2-numberedChar">
    <w:name w:val="COM H2 - numbered Char"/>
    <w:basedOn w:val="Heading2Char"/>
    <w:link w:val="COMH2-numbered"/>
    <w:rsid w:val="00721EA3"/>
    <w:rPr>
      <w:rFonts w:ascii="Calibri" w:hAnsi="Calibri" w:cs="Arial"/>
      <w:b/>
      <w:i/>
      <w:sz w:val="28"/>
      <w:szCs w:val="24"/>
    </w:rPr>
  </w:style>
  <w:style w:type="paragraph" w:customStyle="1" w:styleId="COMH4">
    <w:name w:val="COM H4"/>
    <w:basedOn w:val="Normal"/>
    <w:link w:val="COMH4Char"/>
    <w:qFormat/>
    <w:rsid w:val="00C042D3"/>
    <w:pPr>
      <w:spacing w:after="120"/>
    </w:pPr>
    <w:rPr>
      <w:b/>
      <w:i/>
    </w:rPr>
  </w:style>
  <w:style w:type="character" w:customStyle="1" w:styleId="COMH3Char">
    <w:name w:val="COM H3 Char"/>
    <w:basedOn w:val="DefaultParagraphFont"/>
    <w:link w:val="COMH3"/>
    <w:rsid w:val="00910CFD"/>
    <w:rPr>
      <w:rFonts w:ascii="Calibri" w:hAnsi="Calibri" w:cs="Arial"/>
      <w:b/>
      <w:iCs/>
      <w:sz w:val="28"/>
      <w:szCs w:val="24"/>
    </w:rPr>
  </w:style>
  <w:style w:type="paragraph" w:customStyle="1" w:styleId="COMbodybulletlist">
    <w:name w:val="COM body bullet list"/>
    <w:basedOn w:val="ListBullet"/>
    <w:link w:val="COMbodybulletlistChar"/>
    <w:qFormat/>
    <w:rsid w:val="00894E87"/>
  </w:style>
  <w:style w:type="character" w:customStyle="1" w:styleId="COMH4Char">
    <w:name w:val="COM H4 Char"/>
    <w:basedOn w:val="DefaultParagraphFont"/>
    <w:link w:val="COMH4"/>
    <w:rsid w:val="00C042D3"/>
    <w:rPr>
      <w:rFonts w:ascii="Calibri" w:hAnsi="Calibri" w:cs="Arial"/>
      <w:b/>
      <w:i/>
      <w:sz w:val="24"/>
      <w:szCs w:val="24"/>
    </w:rPr>
  </w:style>
  <w:style w:type="paragraph" w:customStyle="1" w:styleId="zzBulletpoints">
    <w:name w:val="zz Bullet points"/>
    <w:basedOn w:val="ListParagraph"/>
    <w:rsid w:val="00B70E8E"/>
    <w:pPr>
      <w:numPr>
        <w:numId w:val="2"/>
      </w:numPr>
      <w:contextualSpacing/>
    </w:pPr>
  </w:style>
  <w:style w:type="paragraph" w:customStyle="1" w:styleId="COMBody">
    <w:name w:val="COM Body"/>
    <w:basedOn w:val="Normal"/>
    <w:link w:val="COMBodyChar"/>
    <w:qFormat/>
    <w:rsid w:val="00894E87"/>
  </w:style>
  <w:style w:type="character" w:customStyle="1" w:styleId="ListBulletChar">
    <w:name w:val="List Bullet Char"/>
    <w:aliases w:val="zz List Bullet Char"/>
    <w:basedOn w:val="DefaultParagraphFont"/>
    <w:link w:val="ListBullet"/>
    <w:rsid w:val="00894E87"/>
    <w:rPr>
      <w:rFonts w:ascii="Calibri" w:hAnsi="Calibri" w:cs="Arial"/>
      <w:sz w:val="24"/>
      <w:szCs w:val="24"/>
    </w:rPr>
  </w:style>
  <w:style w:type="paragraph" w:styleId="Revision">
    <w:name w:val="Revision"/>
    <w:hidden/>
    <w:uiPriority w:val="99"/>
    <w:semiHidden/>
    <w:rsid w:val="00043C37"/>
    <w:rPr>
      <w:rFonts w:ascii="Arial" w:hAnsi="Arial" w:cs="Arial"/>
      <w:snapToGrid w:val="0"/>
      <w:sz w:val="22"/>
      <w:lang w:eastAsia="en-US"/>
    </w:rPr>
  </w:style>
  <w:style w:type="character" w:customStyle="1" w:styleId="COMbodybulletlistChar">
    <w:name w:val="COM body bullet list Char"/>
    <w:basedOn w:val="ListBulletChar"/>
    <w:link w:val="COMbodybulletlist"/>
    <w:rsid w:val="00894E87"/>
    <w:rPr>
      <w:rFonts w:ascii="Calibri" w:hAnsi="Calibri" w:cs="Arial"/>
      <w:sz w:val="24"/>
      <w:szCs w:val="24"/>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character" w:customStyle="1" w:styleId="COMBodyChar">
    <w:name w:val="COM Body Char"/>
    <w:basedOn w:val="DefaultParagraphFont"/>
    <w:link w:val="COMBody"/>
    <w:rsid w:val="00894E87"/>
    <w:rPr>
      <w:rFonts w:ascii="Calibri" w:hAnsi="Calibri" w:cs="Arial"/>
      <w:sz w:val="24"/>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COMTabletext">
    <w:name w:val="COM Table text"/>
    <w:link w:val="COMTabletextChar"/>
    <w:qFormat/>
    <w:rsid w:val="00EE1996"/>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EE1996"/>
    <w:rPr>
      <w:rFonts w:ascii="Arial Narrow" w:eastAsiaTheme="majorEastAsia" w:hAnsi="Arial Narrow" w:cstheme="majorBidi"/>
      <w:bCs/>
      <w:szCs w:val="24"/>
    </w:rPr>
  </w:style>
  <w:style w:type="paragraph" w:customStyle="1" w:styleId="COMTableheadingrow">
    <w:name w:val="COM Table heading row"/>
    <w:qFormat/>
    <w:rsid w:val="00EE1996"/>
    <w:pPr>
      <w:keepNext/>
    </w:pPr>
    <w:rPr>
      <w:rFonts w:ascii="Arial Narrow" w:eastAsiaTheme="majorEastAsia" w:hAnsi="Arial Narrow"/>
      <w:b/>
      <w:szCs w:val="24"/>
      <w:lang w:val="en-US"/>
    </w:rPr>
  </w:style>
  <w:style w:type="paragraph" w:customStyle="1" w:styleId="COMH1numbered">
    <w:name w:val="COM H1 numbered"/>
    <w:next w:val="Normal"/>
    <w:link w:val="COMH1numberedChar"/>
    <w:qFormat/>
    <w:rsid w:val="00163E81"/>
    <w:pPr>
      <w:keepNext/>
      <w:numPr>
        <w:numId w:val="5"/>
      </w:numPr>
      <w:spacing w:before="240" w:after="120"/>
      <w:outlineLvl w:val="0"/>
    </w:pPr>
    <w:rPr>
      <w:rFonts w:asciiTheme="minorHAnsi" w:hAnsiTheme="minorHAnsi" w:cs="Arial"/>
      <w:b/>
      <w:snapToGrid w:val="0"/>
      <w:sz w:val="32"/>
      <w:szCs w:val="32"/>
    </w:rPr>
  </w:style>
  <w:style w:type="paragraph" w:customStyle="1" w:styleId="COMH1-non-numbered">
    <w:name w:val="COM H1 - non-numbered"/>
    <w:next w:val="Normal"/>
    <w:link w:val="COMH1-non-numberedChar"/>
    <w:qFormat/>
    <w:rsid w:val="00603248"/>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603248"/>
    <w:rPr>
      <w:rFonts w:asciiTheme="minorHAnsi" w:eastAsiaTheme="majorEastAsia" w:hAnsiTheme="minorHAnsi" w:cstheme="majorBidi"/>
      <w:b/>
      <w:spacing w:val="5"/>
      <w:kern w:val="28"/>
      <w:sz w:val="32"/>
      <w:szCs w:val="36"/>
    </w:rPr>
  </w:style>
  <w:style w:type="paragraph" w:customStyle="1" w:styleId="COMtablefigcaption">
    <w:name w:val="COM table/fig caption"/>
    <w:next w:val="COMTableheadingrow"/>
    <w:link w:val="COMtablefigcaptionChar"/>
    <w:qFormat/>
    <w:rsid w:val="005478BD"/>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5478BD"/>
    <w:rPr>
      <w:rFonts w:ascii="Arial Narrow" w:eastAsiaTheme="majorEastAsia" w:hAnsi="Arial Narrow" w:cstheme="majorBidi"/>
      <w:b/>
      <w:bCs/>
      <w:szCs w:val="24"/>
    </w:rPr>
  </w:style>
  <w:style w:type="paragraph" w:customStyle="1" w:styleId="COMexecsumnumberedpara">
    <w:name w:val="COM exec sum numbered para"/>
    <w:basedOn w:val="ListParagraph"/>
    <w:link w:val="COMexecsumnumberedparaChar"/>
    <w:qFormat/>
    <w:rsid w:val="00B5370E"/>
    <w:pPr>
      <w:numPr>
        <w:ilvl w:val="1"/>
        <w:numId w:val="1"/>
      </w:numPr>
      <w:ind w:left="720" w:hanging="720"/>
    </w:pPr>
  </w:style>
  <w:style w:type="character" w:customStyle="1" w:styleId="COMexecsumnumberedparaChar">
    <w:name w:val="COM exec sum numbered para Char"/>
    <w:basedOn w:val="ListParagraphChar"/>
    <w:link w:val="COMexecsumnumberedpara"/>
    <w:rsid w:val="00B5370E"/>
    <w:rPr>
      <w:rFonts w:asciiTheme="minorHAnsi" w:hAnsiTheme="minorHAnsi" w:cs="Arial"/>
      <w:snapToGrid w:val="0"/>
      <w:sz w:val="24"/>
      <w:szCs w:val="24"/>
    </w:rPr>
  </w:style>
  <w:style w:type="paragraph" w:customStyle="1" w:styleId="COMTablefooter">
    <w:name w:val="COM Table footer"/>
    <w:basedOn w:val="Normal"/>
    <w:next w:val="Normal"/>
    <w:link w:val="COMTablefooterChar"/>
    <w:qFormat/>
    <w:rsid w:val="00EC5836"/>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EC5836"/>
    <w:rPr>
      <w:rFonts w:ascii="Arial Narrow" w:hAnsi="Arial Narrow" w:cs="Arial"/>
      <w:snapToGrid w:val="0"/>
      <w:sz w:val="18"/>
      <w:szCs w:val="22"/>
    </w:rPr>
  </w:style>
  <w:style w:type="paragraph" w:customStyle="1" w:styleId="COMH2-non-numbered">
    <w:name w:val="COM H2 - non-numbered"/>
    <w:basedOn w:val="Heading2"/>
    <w:next w:val="Normal"/>
    <w:link w:val="COMH2-non-numbered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COMH2-non-numberedChar">
    <w:name w:val="COM H2 - non-numbered Char"/>
    <w:basedOn w:val="Heading2Char"/>
    <w:link w:val="COMH2-non-numbered"/>
    <w:rsid w:val="00EE1996"/>
    <w:rPr>
      <w:rFonts w:asciiTheme="minorHAnsi" w:eastAsiaTheme="majorEastAsia" w:hAnsiTheme="minorHAnsi" w:cstheme="majorBidi"/>
      <w:b/>
      <w:i/>
      <w:snapToGrid w:val="0"/>
      <w:spacing w:val="5"/>
      <w:kern w:val="28"/>
      <w:sz w:val="28"/>
      <w:szCs w:val="36"/>
      <w:lang w:eastAsia="en-US"/>
    </w:rPr>
  </w:style>
  <w:style w:type="character" w:customStyle="1" w:styleId="COMH1numberedChar">
    <w:name w:val="COM H1 numbered Char"/>
    <w:basedOn w:val="DefaultParagraphFont"/>
    <w:link w:val="COMH1numbered"/>
    <w:rsid w:val="00163E81"/>
    <w:rPr>
      <w:rFonts w:asciiTheme="minorHAnsi" w:hAnsiTheme="minorHAnsi" w:cs="Arial"/>
      <w:b/>
      <w:snapToGrid w:val="0"/>
      <w:sz w:val="32"/>
      <w:szCs w:val="32"/>
    </w:rPr>
  </w:style>
  <w:style w:type="character" w:styleId="CommentReference">
    <w:name w:val="annotation reference"/>
    <w:basedOn w:val="DefaultParagraphFont"/>
    <w:uiPriority w:val="99"/>
    <w:semiHidden/>
    <w:unhideWhenUsed/>
    <w:rsid w:val="00A473B4"/>
    <w:rPr>
      <w:sz w:val="16"/>
      <w:szCs w:val="16"/>
    </w:rPr>
  </w:style>
  <w:style w:type="paragraph" w:styleId="CommentText">
    <w:name w:val="annotation text"/>
    <w:basedOn w:val="Normal"/>
    <w:link w:val="CommentTextChar"/>
    <w:uiPriority w:val="99"/>
    <w:unhideWhenUsed/>
    <w:rsid w:val="00A473B4"/>
    <w:rPr>
      <w:sz w:val="20"/>
      <w:szCs w:val="20"/>
    </w:rPr>
  </w:style>
  <w:style w:type="character" w:customStyle="1" w:styleId="CommentTextChar">
    <w:name w:val="Comment Text Char"/>
    <w:basedOn w:val="DefaultParagraphFont"/>
    <w:link w:val="CommentText"/>
    <w:uiPriority w:val="99"/>
    <w:rsid w:val="00A473B4"/>
    <w:rPr>
      <w:rFonts w:ascii="Calibri" w:hAnsi="Calibri" w:cs="Arial"/>
    </w:rPr>
  </w:style>
  <w:style w:type="paragraph" w:styleId="CommentSubject">
    <w:name w:val="annotation subject"/>
    <w:basedOn w:val="CommentText"/>
    <w:next w:val="CommentText"/>
    <w:link w:val="CommentSubjectChar"/>
    <w:uiPriority w:val="99"/>
    <w:semiHidden/>
    <w:unhideWhenUsed/>
    <w:rsid w:val="00A473B4"/>
    <w:rPr>
      <w:b/>
      <w:bCs/>
    </w:rPr>
  </w:style>
  <w:style w:type="character" w:customStyle="1" w:styleId="CommentSubjectChar">
    <w:name w:val="Comment Subject Char"/>
    <w:basedOn w:val="CommentTextChar"/>
    <w:link w:val="CommentSubject"/>
    <w:uiPriority w:val="99"/>
    <w:semiHidden/>
    <w:rsid w:val="00A473B4"/>
    <w:rPr>
      <w:rFonts w:ascii="Calibri" w:hAnsi="Calibri" w:cs="Arial"/>
      <w:b/>
      <w:bCs/>
    </w:rPr>
  </w:style>
  <w:style w:type="paragraph" w:customStyle="1" w:styleId="TableFooter">
    <w:name w:val="Table Footer"/>
    <w:basedOn w:val="Normal"/>
    <w:link w:val="TableFooterChar"/>
    <w:qFormat/>
    <w:rsid w:val="00C8050B"/>
    <w:pPr>
      <w:widowControl w:val="0"/>
      <w:spacing w:after="120"/>
      <w:contextualSpacing/>
    </w:pPr>
    <w:rPr>
      <w:rFonts w:ascii="Arial Narrow" w:hAnsi="Arial Narrow"/>
      <w:snapToGrid w:val="0"/>
      <w:sz w:val="18"/>
      <w:szCs w:val="20"/>
      <w:lang w:eastAsia="en-US"/>
    </w:rPr>
  </w:style>
  <w:style w:type="character" w:customStyle="1" w:styleId="TableFooterChar">
    <w:name w:val="Table Footer Char"/>
    <w:link w:val="TableFooter"/>
    <w:rsid w:val="00C8050B"/>
    <w:rPr>
      <w:rFonts w:ascii="Arial Narrow" w:hAnsi="Arial Narrow" w:cs="Arial"/>
      <w:snapToGrid w:val="0"/>
      <w:sz w:val="18"/>
      <w:lang w:eastAsia="en-US"/>
    </w:rPr>
  </w:style>
  <w:style w:type="paragraph" w:styleId="Header">
    <w:name w:val="header"/>
    <w:basedOn w:val="Normal"/>
    <w:link w:val="HeaderChar"/>
    <w:uiPriority w:val="99"/>
    <w:unhideWhenUsed/>
    <w:qFormat/>
    <w:rsid w:val="00EB6886"/>
    <w:pPr>
      <w:tabs>
        <w:tab w:val="center" w:pos="4513"/>
        <w:tab w:val="right" w:pos="9026"/>
      </w:tabs>
    </w:pPr>
  </w:style>
  <w:style w:type="character" w:customStyle="1" w:styleId="HeaderChar">
    <w:name w:val="Header Char"/>
    <w:basedOn w:val="DefaultParagraphFont"/>
    <w:link w:val="Header"/>
    <w:uiPriority w:val="99"/>
    <w:rsid w:val="00EB6886"/>
    <w:rPr>
      <w:rFonts w:ascii="Calibri" w:hAnsi="Calibri" w:cs="Arial"/>
      <w:sz w:val="24"/>
      <w:szCs w:val="24"/>
    </w:rPr>
  </w:style>
  <w:style w:type="paragraph" w:styleId="Footer">
    <w:name w:val="footer"/>
    <w:basedOn w:val="Normal"/>
    <w:link w:val="FooterChar"/>
    <w:uiPriority w:val="99"/>
    <w:unhideWhenUsed/>
    <w:rsid w:val="00EB6886"/>
    <w:pPr>
      <w:tabs>
        <w:tab w:val="center" w:pos="4513"/>
        <w:tab w:val="right" w:pos="9026"/>
      </w:tabs>
    </w:pPr>
  </w:style>
  <w:style w:type="character" w:customStyle="1" w:styleId="FooterChar">
    <w:name w:val="Footer Char"/>
    <w:basedOn w:val="DefaultParagraphFont"/>
    <w:link w:val="Footer"/>
    <w:uiPriority w:val="99"/>
    <w:rsid w:val="00EB6886"/>
    <w:rPr>
      <w:rFonts w:ascii="Calibri" w:hAnsi="Calibri" w:cs="Arial"/>
      <w:sz w:val="24"/>
      <w:szCs w:val="24"/>
    </w:rPr>
  </w:style>
  <w:style w:type="paragraph" w:customStyle="1" w:styleId="TableText">
    <w:name w:val="Table Text"/>
    <w:link w:val="TableTextChar"/>
    <w:qFormat/>
    <w:rsid w:val="00887AE9"/>
    <w:pPr>
      <w:keepNext/>
    </w:pPr>
    <w:rPr>
      <w:rFonts w:ascii="Arial Narrow" w:eastAsiaTheme="majorEastAsia" w:hAnsi="Arial Narrow" w:cstheme="majorBidi"/>
      <w:bCs/>
      <w:szCs w:val="24"/>
    </w:rPr>
  </w:style>
  <w:style w:type="paragraph" w:customStyle="1" w:styleId="Tableheadingrow">
    <w:name w:val="Table heading row"/>
    <w:qFormat/>
    <w:rsid w:val="00887AE9"/>
    <w:pPr>
      <w:keepNext/>
    </w:pPr>
    <w:rPr>
      <w:rFonts w:ascii="Arial Narrow" w:eastAsiaTheme="majorEastAsia" w:hAnsi="Arial Narrow"/>
      <w:b/>
      <w:szCs w:val="24"/>
      <w:lang w:val="en-US"/>
    </w:rPr>
  </w:style>
  <w:style w:type="paragraph" w:customStyle="1" w:styleId="TableFigureCaption">
    <w:name w:val="Table/Figure Caption"/>
    <w:next w:val="Tableheadingrow"/>
    <w:link w:val="TableFigureCaptionChar"/>
    <w:qFormat/>
    <w:rsid w:val="00887AE9"/>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887AE9"/>
    <w:rPr>
      <w:rFonts w:ascii="Arial Narrow" w:eastAsiaTheme="majorEastAsia" w:hAnsi="Arial Narrow" w:cstheme="majorBidi"/>
      <w:b/>
      <w:bCs/>
      <w:szCs w:val="24"/>
    </w:rPr>
  </w:style>
  <w:style w:type="paragraph" w:customStyle="1" w:styleId="TableFigureFooter">
    <w:name w:val="Table/Figure Footer"/>
    <w:basedOn w:val="Normal"/>
    <w:link w:val="TableFigureFooterChar"/>
    <w:qFormat/>
    <w:rsid w:val="00887AE9"/>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887AE9"/>
    <w:rPr>
      <w:rFonts w:ascii="Arial Narrow" w:hAnsi="Arial Narrow" w:cs="Arial"/>
      <w:snapToGrid w:val="0"/>
      <w:sz w:val="18"/>
      <w:szCs w:val="22"/>
    </w:rPr>
  </w:style>
  <w:style w:type="character" w:customStyle="1" w:styleId="TableTextChar">
    <w:name w:val="Table Text Char"/>
    <w:basedOn w:val="DefaultParagraphFont"/>
    <w:link w:val="TableText"/>
    <w:rsid w:val="00887AE9"/>
    <w:rPr>
      <w:rFonts w:ascii="Arial Narrow" w:eastAsiaTheme="majorEastAsia" w:hAnsi="Arial Narrow" w:cstheme="majorBidi"/>
      <w:bCs/>
      <w:szCs w:val="24"/>
    </w:rPr>
  </w:style>
  <w:style w:type="character" w:styleId="Hyperlink">
    <w:name w:val="Hyperlink"/>
    <w:basedOn w:val="DefaultParagraphFont"/>
    <w:uiPriority w:val="99"/>
    <w:unhideWhenUsed/>
    <w:rsid w:val="00230BFE"/>
    <w:rPr>
      <w:color w:val="0000FF" w:themeColor="hyperlink"/>
      <w:u w:val="single"/>
    </w:rPr>
  </w:style>
  <w:style w:type="paragraph" w:customStyle="1" w:styleId="5-SubsectionSubheading">
    <w:name w:val="5-Subsection Subheading"/>
    <w:basedOn w:val="Heading3"/>
    <w:next w:val="Normal"/>
    <w:link w:val="5-SubsectionSubheadingChar"/>
    <w:qFormat/>
    <w:rsid w:val="00244C32"/>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244C32"/>
    <w:rPr>
      <w:rFonts w:asciiTheme="minorHAnsi" w:eastAsiaTheme="majorEastAsia" w:hAnsiTheme="minorHAnsi" w:cstheme="majorBidi"/>
      <w:b/>
      <w:color w:val="000000" w:themeColor="text1"/>
      <w:sz w:val="24"/>
      <w:szCs w:val="24"/>
    </w:rPr>
  </w:style>
  <w:style w:type="paragraph" w:styleId="Caption">
    <w:name w:val="caption"/>
    <w:basedOn w:val="Normal"/>
    <w:next w:val="Normal"/>
    <w:unhideWhenUsed/>
    <w:rsid w:val="000056EE"/>
    <w:pPr>
      <w:spacing w:after="200"/>
    </w:pPr>
    <w:rPr>
      <w:i/>
      <w:iCs/>
      <w:color w:val="1F497D" w:themeColor="text2"/>
      <w:sz w:val="18"/>
      <w:szCs w:val="18"/>
    </w:rPr>
  </w:style>
  <w:style w:type="paragraph" w:styleId="NormalWeb">
    <w:name w:val="Normal (Web)"/>
    <w:basedOn w:val="Normal"/>
    <w:uiPriority w:val="99"/>
    <w:unhideWhenUsed/>
    <w:rsid w:val="0033146E"/>
    <w:pPr>
      <w:spacing w:before="100" w:beforeAutospacing="1" w:after="100" w:afterAutospacing="1"/>
      <w:jc w:val="left"/>
    </w:pPr>
    <w:rPr>
      <w:rFonts w:ascii="Times New Roman" w:hAnsi="Times New Roman" w:cs="Times New Roman"/>
    </w:rPr>
  </w:style>
  <w:style w:type="paragraph" w:customStyle="1" w:styleId="PBACHeading1">
    <w:name w:val="PBAC Heading 1"/>
    <w:qFormat/>
    <w:rsid w:val="0025780C"/>
    <w:pPr>
      <w:ind w:left="720" w:hanging="720"/>
      <w:outlineLvl w:val="0"/>
    </w:pPr>
    <w:rPr>
      <w:rFonts w:ascii="Calibri" w:hAnsi="Calibri" w:cs="Calibri"/>
      <w:b/>
      <w:snapToGrid w:val="0"/>
      <w:sz w:val="32"/>
      <w:szCs w:val="32"/>
      <w:lang w:eastAsia="en-US"/>
    </w:rPr>
  </w:style>
  <w:style w:type="paragraph" w:customStyle="1" w:styleId="Default">
    <w:name w:val="Default"/>
    <w:rsid w:val="00627BEB"/>
    <w:pPr>
      <w:autoSpaceDE w:val="0"/>
      <w:autoSpaceDN w:val="0"/>
      <w:adjustRightInd w:val="0"/>
    </w:pPr>
    <w:rPr>
      <w:rFonts w:ascii="Cambria" w:hAnsi="Cambria" w:cs="Cambria"/>
      <w:color w:val="000000"/>
      <w:sz w:val="24"/>
      <w:szCs w:val="24"/>
    </w:rPr>
  </w:style>
  <w:style w:type="paragraph" w:customStyle="1" w:styleId="3-SubsectionHeading">
    <w:name w:val="3-Subsection Heading"/>
    <w:basedOn w:val="Heading2"/>
    <w:next w:val="Normal"/>
    <w:link w:val="3-SubsectionHeadingChar"/>
    <w:qFormat/>
    <w:rsid w:val="00B14AE8"/>
    <w:pPr>
      <w:keepNext/>
      <w:spacing w:before="120" w:after="120"/>
      <w:jc w:val="both"/>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B14AE8"/>
    <w:rPr>
      <w:rFonts w:asciiTheme="minorHAnsi" w:eastAsiaTheme="majorEastAsia" w:hAnsiTheme="minorHAnsi" w:cstheme="majorBidi"/>
      <w:b/>
      <w:i/>
      <w:spacing w:val="5"/>
      <w:kern w:val="28"/>
      <w:sz w:val="28"/>
      <w:szCs w:val="36"/>
      <w:lang w:eastAsia="en-US"/>
    </w:rPr>
  </w:style>
  <w:style w:type="paragraph" w:customStyle="1" w:styleId="2-SectionHeading">
    <w:name w:val="2-Section Heading"/>
    <w:qFormat/>
    <w:rsid w:val="00833323"/>
    <w:pPr>
      <w:keepNext/>
      <w:spacing w:before="240" w:after="120"/>
      <w:ind w:left="720" w:hanging="720"/>
      <w:outlineLvl w:val="0"/>
    </w:pPr>
    <w:rPr>
      <w:rFonts w:asciiTheme="minorHAnsi" w:hAnsiTheme="minorHAnsi" w:cs="Arial"/>
      <w:b/>
      <w:snapToGrid w:val="0"/>
      <w:sz w:val="32"/>
      <w:szCs w:val="32"/>
    </w:rPr>
  </w:style>
  <w:style w:type="paragraph" w:customStyle="1" w:styleId="3-BodyText">
    <w:name w:val="3-Body Text"/>
    <w:basedOn w:val="ListParagraph"/>
    <w:link w:val="3-BodyTextChar"/>
    <w:qFormat/>
    <w:rsid w:val="00833323"/>
    <w:pPr>
      <w:numPr>
        <w:numId w:val="0"/>
      </w:numPr>
      <w:ind w:left="720" w:hanging="720"/>
    </w:pPr>
  </w:style>
  <w:style w:type="character" w:customStyle="1" w:styleId="3-BodyTextChar">
    <w:name w:val="3-Body Text Char"/>
    <w:basedOn w:val="DefaultParagraphFont"/>
    <w:link w:val="3-BodyText"/>
    <w:rsid w:val="00833323"/>
    <w:rPr>
      <w:rFonts w:asciiTheme="minorHAnsi" w:hAnsiTheme="minorHAnsi" w:cs="Arial"/>
      <w:snapToGrid w:val="0"/>
      <w:sz w:val="24"/>
      <w:szCs w:val="24"/>
    </w:rPr>
  </w:style>
  <w:style w:type="paragraph" w:customStyle="1" w:styleId="Tabletitle">
    <w:name w:val="Table title"/>
    <w:basedOn w:val="TableText"/>
    <w:link w:val="TabletitleChar"/>
    <w:qFormat/>
    <w:rsid w:val="00094D87"/>
    <w:pPr>
      <w:keepNext w:val="0"/>
    </w:pPr>
    <w:rPr>
      <w:rFonts w:eastAsia="Calibri" w:cs="Arial"/>
      <w:b/>
      <w:bCs w:val="0"/>
    </w:rPr>
  </w:style>
  <w:style w:type="character" w:customStyle="1" w:styleId="TabletitleChar">
    <w:name w:val="Table title Char"/>
    <w:basedOn w:val="TableTextChar"/>
    <w:link w:val="Tabletitle"/>
    <w:rsid w:val="00094D87"/>
    <w:rPr>
      <w:rFonts w:ascii="Arial Narrow" w:eastAsia="Calibri" w:hAnsi="Arial Narrow" w:cs="Arial"/>
      <w:b/>
      <w:bCs w:val="0"/>
      <w:szCs w:val="24"/>
    </w:rPr>
  </w:style>
  <w:style w:type="table" w:customStyle="1" w:styleId="TableGridLight1">
    <w:name w:val="Table Grid Light1"/>
    <w:basedOn w:val="TableNormal"/>
    <w:next w:val="TableGridLight"/>
    <w:uiPriority w:val="40"/>
    <w:rsid w:val="002C614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2C6140"/>
    <w:rPr>
      <w:rFonts w:eastAsiaTheme="minorHAnsi"/>
      <w:kern w:val="2"/>
      <w:sz w:val="24"/>
      <w:szCs w:val="24"/>
      <w:lang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70552984">
      <w:bodyDiv w:val="1"/>
      <w:marLeft w:val="0"/>
      <w:marRight w:val="0"/>
      <w:marTop w:val="0"/>
      <w:marBottom w:val="0"/>
      <w:divBdr>
        <w:top w:val="none" w:sz="0" w:space="0" w:color="auto"/>
        <w:left w:val="none" w:sz="0" w:space="0" w:color="auto"/>
        <w:bottom w:val="none" w:sz="0" w:space="0" w:color="auto"/>
        <w:right w:val="none" w:sz="0" w:space="0" w:color="auto"/>
      </w:divBdr>
      <w:divsChild>
        <w:div w:id="811826295">
          <w:marLeft w:val="1080"/>
          <w:marRight w:val="0"/>
          <w:marTop w:val="100"/>
          <w:marBottom w:val="0"/>
          <w:divBdr>
            <w:top w:val="none" w:sz="0" w:space="0" w:color="auto"/>
            <w:left w:val="none" w:sz="0" w:space="0" w:color="auto"/>
            <w:bottom w:val="none" w:sz="0" w:space="0" w:color="auto"/>
            <w:right w:val="none" w:sz="0" w:space="0" w:color="auto"/>
          </w:divBdr>
        </w:div>
        <w:div w:id="1962229327">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CB478-A854-4267-B449-FA0AD1EE4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18460</Words>
  <Characters>105222</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2024-10-23T23:34:00Z</dcterms:created>
  <dcterms:modified xsi:type="dcterms:W3CDTF">2024-10-23T23:36:00Z</dcterms:modified>
</cp:coreProperties>
</file>