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7B8F3" w14:textId="487799E2" w:rsidR="00195452" w:rsidRPr="00533F0F" w:rsidRDefault="007553C3" w:rsidP="0084135C">
      <w:pPr>
        <w:pStyle w:val="1-MainHeading"/>
        <w:jc w:val="both"/>
      </w:pPr>
      <w:bookmarkStart w:id="0" w:name="_Toc166768904"/>
      <w:r>
        <w:t>6</w:t>
      </w:r>
      <w:r w:rsidR="00433044" w:rsidRPr="00C12C14">
        <w:t>.</w:t>
      </w:r>
      <w:r>
        <w:t>02</w:t>
      </w:r>
      <w:r w:rsidR="00163F66">
        <w:tab/>
      </w:r>
      <w:r w:rsidR="003065ED">
        <w:t>FARICIMAB</w:t>
      </w:r>
      <w:bookmarkEnd w:id="0"/>
      <w:r w:rsidR="0084135C">
        <w:br/>
      </w:r>
      <w:bookmarkStart w:id="1" w:name="_Toc166768905"/>
      <w:r w:rsidR="003065ED">
        <w:t xml:space="preserve">Solution for intravitreal injection 28.8 mg </w:t>
      </w:r>
      <w:r>
        <w:t>in</w:t>
      </w:r>
      <w:r w:rsidR="003065ED">
        <w:t xml:space="preserve"> 0.24</w:t>
      </w:r>
      <w:r w:rsidR="0084135C">
        <w:t> </w:t>
      </w:r>
      <w:r w:rsidR="003065ED">
        <w:t>mL</w:t>
      </w:r>
      <w:r>
        <w:t xml:space="preserve"> (120</w:t>
      </w:r>
      <w:r w:rsidR="0084135C">
        <w:t> </w:t>
      </w:r>
      <w:r>
        <w:t>mg/mL)</w:t>
      </w:r>
      <w:r w:rsidR="003065ED">
        <w:t>,</w:t>
      </w:r>
      <w:bookmarkEnd w:id="1"/>
      <w:r w:rsidR="0084135C">
        <w:br/>
      </w:r>
      <w:bookmarkStart w:id="2" w:name="_Toc166768906"/>
      <w:r w:rsidR="00BF755D" w:rsidRPr="00BF755D">
        <w:t>Vabysmo®</w:t>
      </w:r>
      <w:r w:rsidR="004A6040" w:rsidRPr="004A6040">
        <w:t>,</w:t>
      </w:r>
      <w:r w:rsidR="004A6040" w:rsidRPr="004A6040">
        <w:br/>
      </w:r>
      <w:r w:rsidR="009C5557" w:rsidRPr="009C5557">
        <w:t>Roche Products Pty Limited.</w:t>
      </w:r>
      <w:bookmarkStart w:id="3" w:name="_Toc22897637"/>
      <w:bookmarkEnd w:id="2"/>
    </w:p>
    <w:p w14:paraId="11C00795" w14:textId="2286B62A" w:rsidR="00B50DB8" w:rsidRPr="00407F2D" w:rsidRDefault="00B50DB8" w:rsidP="00C1160D">
      <w:pPr>
        <w:pStyle w:val="2-SectionHeading"/>
        <w:jc w:val="both"/>
      </w:pPr>
      <w:bookmarkStart w:id="4" w:name="_Toc166768908"/>
      <w:bookmarkEnd w:id="3"/>
      <w:r w:rsidRPr="00407F2D">
        <w:t xml:space="preserve">Purpose of </w:t>
      </w:r>
      <w:r w:rsidR="00CD7193">
        <w:t>s</w:t>
      </w:r>
      <w:r w:rsidR="00BB3A45">
        <w:t>ubmission</w:t>
      </w:r>
      <w:bookmarkEnd w:id="4"/>
    </w:p>
    <w:p w14:paraId="19414AA1" w14:textId="1BBEDBE9" w:rsidR="002C2775" w:rsidRPr="008B1757" w:rsidRDefault="007170DA" w:rsidP="001C2A71">
      <w:pPr>
        <w:pStyle w:val="3-BodyText"/>
      </w:pPr>
      <w:r>
        <w:t xml:space="preserve">The </w:t>
      </w:r>
      <w:r w:rsidR="00F73E08">
        <w:t xml:space="preserve">Category </w:t>
      </w:r>
      <w:r w:rsidR="00CB6218">
        <w:t xml:space="preserve">2 submission </w:t>
      </w:r>
      <w:r w:rsidRPr="004E18E9">
        <w:t>requested</w:t>
      </w:r>
      <w:r w:rsidR="00590F90">
        <w:t xml:space="preserve"> </w:t>
      </w:r>
      <w:r w:rsidR="00D939C3">
        <w:t xml:space="preserve">a </w:t>
      </w:r>
      <w:r w:rsidR="00590F90">
        <w:t>General Schedule</w:t>
      </w:r>
      <w:r w:rsidR="008B1757" w:rsidRPr="004E18E9">
        <w:t>, Authority Required</w:t>
      </w:r>
      <w:r w:rsidR="009820E5">
        <w:t xml:space="preserve"> listing </w:t>
      </w:r>
      <w:r w:rsidR="008B1757" w:rsidRPr="004E18E9">
        <w:t xml:space="preserve">for </w:t>
      </w:r>
      <w:r w:rsidR="009820E5">
        <w:t xml:space="preserve">faricimab </w:t>
      </w:r>
      <w:r w:rsidR="008B1757" w:rsidRPr="004E18E9">
        <w:t xml:space="preserve">for </w:t>
      </w:r>
      <w:r w:rsidR="0050174E" w:rsidRPr="004E18E9">
        <w:t xml:space="preserve">the </w:t>
      </w:r>
      <w:r w:rsidR="008B1757" w:rsidRPr="004E18E9">
        <w:t xml:space="preserve">treatment of </w:t>
      </w:r>
      <w:r w:rsidR="00965272">
        <w:t xml:space="preserve">macular oedema secondary to </w:t>
      </w:r>
      <w:r w:rsidR="009820E5">
        <w:t>retinal vein occlusion (RVO).</w:t>
      </w:r>
    </w:p>
    <w:p w14:paraId="4E9FBCB5" w14:textId="55CF4323" w:rsidR="00C2778B" w:rsidRDefault="005750C5" w:rsidP="001C2A71">
      <w:pPr>
        <w:pStyle w:val="3-BodyText"/>
      </w:pPr>
      <w:r w:rsidRPr="005750C5">
        <w:t>Listing was requested on the basis of a cost-minimisation</w:t>
      </w:r>
      <w:r w:rsidR="001D71F4">
        <w:t xml:space="preserve"> approach</w:t>
      </w:r>
      <w:r w:rsidR="00B9518B">
        <w:t xml:space="preserve"> (CMA)</w:t>
      </w:r>
      <w:r w:rsidRPr="005750C5">
        <w:t xml:space="preserve"> versus</w:t>
      </w:r>
      <w:r>
        <w:t xml:space="preserve"> </w:t>
      </w:r>
      <w:r w:rsidR="009820E5">
        <w:t>aflibercept</w:t>
      </w:r>
      <w:r w:rsidR="00C064E4">
        <w:t xml:space="preserve"> in the proposed target population</w:t>
      </w:r>
      <w:r w:rsidR="008E42E1">
        <w:t xml:space="preserve">. The key </w:t>
      </w:r>
      <w:r w:rsidR="00464146">
        <w:t>components</w:t>
      </w:r>
      <w:r w:rsidR="008E42E1">
        <w:t xml:space="preserve"> of the</w:t>
      </w:r>
      <w:r w:rsidR="00C064E4">
        <w:t xml:space="preserve"> clinical</w:t>
      </w:r>
      <w:r w:rsidR="008E42E1">
        <w:t xml:space="preserve"> issues </w:t>
      </w:r>
      <w:r w:rsidR="00464146">
        <w:t>addressed</w:t>
      </w:r>
      <w:r w:rsidR="008E42E1">
        <w:t xml:space="preserve"> in the submission are summarised in </w:t>
      </w:r>
      <w:r w:rsidR="00BF0CB6">
        <w:fldChar w:fldCharType="begin" w:fldLock="1"/>
      </w:r>
      <w:r w:rsidR="00BF0CB6">
        <w:instrText xml:space="preserve"> REF _Ref162435821 \h </w:instrText>
      </w:r>
      <w:r w:rsidR="001C2A71">
        <w:instrText xml:space="preserve"> \* MERGEFORMAT </w:instrText>
      </w:r>
      <w:r w:rsidR="00BF0CB6">
        <w:fldChar w:fldCharType="separate"/>
      </w:r>
      <w:r w:rsidR="00423F23">
        <w:t xml:space="preserve">Table </w:t>
      </w:r>
      <w:r w:rsidR="00423F23">
        <w:rPr>
          <w:noProof/>
        </w:rPr>
        <w:t>1</w:t>
      </w:r>
      <w:r w:rsidR="00BF0CB6">
        <w:fldChar w:fldCharType="end"/>
      </w:r>
      <w:r w:rsidR="00BF0CB6">
        <w:t>.</w:t>
      </w:r>
    </w:p>
    <w:p w14:paraId="3718DE61" w14:textId="7BB291D5" w:rsidR="008B1757" w:rsidRDefault="00696EF9" w:rsidP="00EA693D">
      <w:pPr>
        <w:pStyle w:val="TableFigureHeading"/>
        <w:keepLines/>
        <w:jc w:val="both"/>
        <w:rPr>
          <w:rStyle w:val="CommentReference"/>
          <w:b/>
          <w:szCs w:val="24"/>
        </w:rPr>
      </w:pPr>
      <w:bookmarkStart w:id="5" w:name="_Ref162435821"/>
      <w:r>
        <w:t xml:space="preserve">Table </w:t>
      </w:r>
      <w:r w:rsidR="001B6BE3">
        <w:fldChar w:fldCharType="begin" w:fldLock="1"/>
      </w:r>
      <w:r w:rsidR="001B6BE3">
        <w:instrText xml:space="preserve"> SEQ Table \* ARABIC </w:instrText>
      </w:r>
      <w:r w:rsidR="001B6BE3">
        <w:fldChar w:fldCharType="separate"/>
      </w:r>
      <w:r w:rsidR="00423F23">
        <w:rPr>
          <w:noProof/>
        </w:rPr>
        <w:t>1</w:t>
      </w:r>
      <w:r w:rsidR="001B6BE3">
        <w:rPr>
          <w:noProof/>
        </w:rPr>
        <w:fldChar w:fldCharType="end"/>
      </w:r>
      <w:bookmarkEnd w:id="5"/>
      <w:r>
        <w:t>:</w:t>
      </w:r>
      <w:r w:rsidR="00BC591F" w:rsidRPr="004A6040">
        <w:rPr>
          <w:rStyle w:val="CommentReference"/>
          <w:b/>
          <w:szCs w:val="24"/>
        </w:rPr>
        <w:t xml:space="preserve"> </w:t>
      </w:r>
      <w:r w:rsidR="008B1757" w:rsidRPr="004A6040">
        <w:rPr>
          <w:rStyle w:val="CommentReference"/>
          <w:b/>
          <w:szCs w:val="24"/>
        </w:rPr>
        <w:t>Key components of the clinical issue addressed by the submission</w:t>
      </w:r>
      <w:r w:rsidR="00B9518B">
        <w:rPr>
          <w:rStyle w:val="CommentReference"/>
          <w:b/>
          <w:szCs w:val="24"/>
        </w:rPr>
        <w:t xml:space="preserve"> </w:t>
      </w:r>
      <w:r w:rsidR="00B9518B" w:rsidRPr="004A6040">
        <w:rPr>
          <w:rStyle w:val="CommentReference"/>
          <w:b/>
          <w:szCs w:val="24"/>
        </w:rPr>
        <w:t>(as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Description w:val="Table 1: Key components of the clinical issue addressed by the submission (as stated in the submission)"/>
      </w:tblPr>
      <w:tblGrid>
        <w:gridCol w:w="1668"/>
        <w:gridCol w:w="7488"/>
      </w:tblGrid>
      <w:tr w:rsidR="006465C6" w:rsidRPr="007E055C" w14:paraId="706BB993" w14:textId="77777777">
        <w:tc>
          <w:tcPr>
            <w:tcW w:w="1668" w:type="dxa"/>
            <w:vAlign w:val="center"/>
          </w:tcPr>
          <w:p w14:paraId="7339A5DC" w14:textId="77777777" w:rsidR="006465C6" w:rsidRPr="007E055C" w:rsidRDefault="006465C6" w:rsidP="00EA693D">
            <w:pPr>
              <w:pStyle w:val="TableFigureHeading"/>
              <w:keepLines/>
              <w:jc w:val="both"/>
              <w:rPr>
                <w:szCs w:val="20"/>
              </w:rPr>
            </w:pPr>
            <w:r w:rsidRPr="007E055C">
              <w:rPr>
                <w:szCs w:val="20"/>
              </w:rPr>
              <w:t>Component</w:t>
            </w:r>
          </w:p>
        </w:tc>
        <w:tc>
          <w:tcPr>
            <w:tcW w:w="7488" w:type="dxa"/>
            <w:vAlign w:val="center"/>
          </w:tcPr>
          <w:p w14:paraId="059CEE39" w14:textId="77777777" w:rsidR="006465C6" w:rsidRPr="007E055C" w:rsidRDefault="006465C6" w:rsidP="00EA693D">
            <w:pPr>
              <w:pStyle w:val="TableFigureHeading"/>
              <w:keepLines/>
              <w:jc w:val="both"/>
              <w:rPr>
                <w:szCs w:val="20"/>
              </w:rPr>
            </w:pPr>
            <w:r w:rsidRPr="007E055C">
              <w:rPr>
                <w:szCs w:val="20"/>
              </w:rPr>
              <w:t>Description</w:t>
            </w:r>
          </w:p>
        </w:tc>
      </w:tr>
      <w:tr w:rsidR="006465C6" w:rsidRPr="007E055C" w14:paraId="5145C6EF" w14:textId="77777777">
        <w:tc>
          <w:tcPr>
            <w:tcW w:w="1668" w:type="dxa"/>
          </w:tcPr>
          <w:p w14:paraId="6FBB376F" w14:textId="77777777" w:rsidR="006465C6" w:rsidRPr="007E055C" w:rsidRDefault="006465C6" w:rsidP="00EA693D">
            <w:pPr>
              <w:pStyle w:val="TableText0"/>
              <w:keepLines/>
              <w:jc w:val="both"/>
              <w:rPr>
                <w:szCs w:val="20"/>
              </w:rPr>
            </w:pPr>
            <w:r w:rsidRPr="007E055C">
              <w:rPr>
                <w:szCs w:val="20"/>
              </w:rPr>
              <w:t>Population</w:t>
            </w:r>
          </w:p>
        </w:tc>
        <w:tc>
          <w:tcPr>
            <w:tcW w:w="7488" w:type="dxa"/>
          </w:tcPr>
          <w:p w14:paraId="7C4A810D" w14:textId="14C1AEB0" w:rsidR="006465C6" w:rsidRPr="007E055C" w:rsidRDefault="006465C6" w:rsidP="00EA693D">
            <w:pPr>
              <w:pStyle w:val="TableText0"/>
              <w:keepLines/>
              <w:jc w:val="both"/>
              <w:rPr>
                <w:szCs w:val="20"/>
              </w:rPr>
            </w:pPr>
            <w:r w:rsidRPr="007E055C">
              <w:rPr>
                <w:szCs w:val="20"/>
              </w:rPr>
              <w:t xml:space="preserve">Patients with </w:t>
            </w:r>
            <w:r w:rsidR="00881D2B">
              <w:rPr>
                <w:szCs w:val="20"/>
              </w:rPr>
              <w:t>retinal vein occlusion</w:t>
            </w:r>
          </w:p>
        </w:tc>
      </w:tr>
      <w:tr w:rsidR="006465C6" w:rsidRPr="007E055C" w14:paraId="55D344F0" w14:textId="77777777">
        <w:tc>
          <w:tcPr>
            <w:tcW w:w="1668" w:type="dxa"/>
          </w:tcPr>
          <w:p w14:paraId="7CED985C" w14:textId="77777777" w:rsidR="006465C6" w:rsidRPr="007E055C" w:rsidRDefault="006465C6" w:rsidP="00EA693D">
            <w:pPr>
              <w:pStyle w:val="TableText0"/>
              <w:keepLines/>
              <w:jc w:val="both"/>
              <w:rPr>
                <w:szCs w:val="20"/>
              </w:rPr>
            </w:pPr>
            <w:r w:rsidRPr="007E055C">
              <w:rPr>
                <w:szCs w:val="20"/>
              </w:rPr>
              <w:t>Intervention</w:t>
            </w:r>
          </w:p>
        </w:tc>
        <w:tc>
          <w:tcPr>
            <w:tcW w:w="7488" w:type="dxa"/>
          </w:tcPr>
          <w:p w14:paraId="41FB03F2" w14:textId="5603C68C" w:rsidR="006465C6" w:rsidRPr="007E055C" w:rsidRDefault="00B9518B" w:rsidP="00EA693D">
            <w:pPr>
              <w:pStyle w:val="TableText0"/>
              <w:keepLines/>
              <w:jc w:val="both"/>
              <w:rPr>
                <w:szCs w:val="20"/>
              </w:rPr>
            </w:pPr>
            <w:r w:rsidRPr="007E055C">
              <w:rPr>
                <w:szCs w:val="20"/>
              </w:rPr>
              <w:t>F</w:t>
            </w:r>
            <w:r w:rsidR="006465C6" w:rsidRPr="007E055C">
              <w:rPr>
                <w:szCs w:val="20"/>
              </w:rPr>
              <w:t>aricimab</w:t>
            </w:r>
          </w:p>
        </w:tc>
      </w:tr>
      <w:tr w:rsidR="006465C6" w:rsidRPr="007E055C" w14:paraId="53FAB72B" w14:textId="77777777">
        <w:tc>
          <w:tcPr>
            <w:tcW w:w="1668" w:type="dxa"/>
          </w:tcPr>
          <w:p w14:paraId="250885DA" w14:textId="77777777" w:rsidR="006465C6" w:rsidRPr="007E055C" w:rsidRDefault="006465C6" w:rsidP="00EA693D">
            <w:pPr>
              <w:pStyle w:val="TableText0"/>
              <w:keepLines/>
              <w:jc w:val="both"/>
              <w:rPr>
                <w:szCs w:val="20"/>
              </w:rPr>
            </w:pPr>
            <w:r w:rsidRPr="007E055C">
              <w:rPr>
                <w:szCs w:val="20"/>
              </w:rPr>
              <w:t>Comparator</w:t>
            </w:r>
          </w:p>
        </w:tc>
        <w:tc>
          <w:tcPr>
            <w:tcW w:w="7488" w:type="dxa"/>
          </w:tcPr>
          <w:p w14:paraId="5303CDCB" w14:textId="515C7336" w:rsidR="006465C6" w:rsidRPr="007E055C" w:rsidRDefault="00B9518B" w:rsidP="00EA693D">
            <w:pPr>
              <w:pStyle w:val="TableText0"/>
              <w:keepLines/>
              <w:jc w:val="both"/>
              <w:rPr>
                <w:szCs w:val="20"/>
              </w:rPr>
            </w:pPr>
            <w:r w:rsidRPr="007E055C">
              <w:rPr>
                <w:szCs w:val="20"/>
              </w:rPr>
              <w:t>A</w:t>
            </w:r>
            <w:r w:rsidR="006465C6" w:rsidRPr="007E055C">
              <w:rPr>
                <w:szCs w:val="20"/>
              </w:rPr>
              <w:t>flibercept</w:t>
            </w:r>
            <w:r w:rsidR="006A1C72">
              <w:rPr>
                <w:szCs w:val="20"/>
              </w:rPr>
              <w:t xml:space="preserve"> 2 mg</w:t>
            </w:r>
          </w:p>
        </w:tc>
      </w:tr>
      <w:tr w:rsidR="006465C6" w:rsidRPr="007E055C" w14:paraId="60DCAE22" w14:textId="77777777">
        <w:tc>
          <w:tcPr>
            <w:tcW w:w="1668" w:type="dxa"/>
          </w:tcPr>
          <w:p w14:paraId="5451BEF7" w14:textId="77777777" w:rsidR="006465C6" w:rsidRPr="007E055C" w:rsidRDefault="006465C6" w:rsidP="00EA693D">
            <w:pPr>
              <w:pStyle w:val="TableText0"/>
              <w:keepLines/>
              <w:jc w:val="both"/>
              <w:rPr>
                <w:szCs w:val="20"/>
              </w:rPr>
            </w:pPr>
            <w:r w:rsidRPr="007E055C">
              <w:rPr>
                <w:szCs w:val="20"/>
              </w:rPr>
              <w:t>Outcomes</w:t>
            </w:r>
          </w:p>
        </w:tc>
        <w:tc>
          <w:tcPr>
            <w:tcW w:w="7488" w:type="dxa"/>
          </w:tcPr>
          <w:p w14:paraId="5F17FB78" w14:textId="7051FFEC" w:rsidR="006465C6" w:rsidRPr="007E055C" w:rsidRDefault="006465C6" w:rsidP="00EA693D">
            <w:pPr>
              <w:pStyle w:val="TableText0"/>
              <w:keepLines/>
              <w:jc w:val="both"/>
              <w:rPr>
                <w:szCs w:val="20"/>
              </w:rPr>
            </w:pPr>
            <w:r w:rsidRPr="007E055C">
              <w:rPr>
                <w:szCs w:val="20"/>
              </w:rPr>
              <w:t xml:space="preserve">Primary efficacy outcome: </w:t>
            </w:r>
            <w:r w:rsidR="00B9518B" w:rsidRPr="007E055C">
              <w:rPr>
                <w:szCs w:val="20"/>
              </w:rPr>
              <w:t>b</w:t>
            </w:r>
            <w:r w:rsidRPr="007E055C">
              <w:rPr>
                <w:szCs w:val="20"/>
              </w:rPr>
              <w:t>est corrected visual acuity</w:t>
            </w:r>
          </w:p>
          <w:p w14:paraId="36172075" w14:textId="7E7E6AAD" w:rsidR="006465C6" w:rsidRPr="007E055C" w:rsidRDefault="006465C6" w:rsidP="00EA693D">
            <w:pPr>
              <w:pStyle w:val="TableText0"/>
              <w:keepLines/>
              <w:jc w:val="both"/>
              <w:rPr>
                <w:szCs w:val="20"/>
              </w:rPr>
            </w:pPr>
            <w:r w:rsidRPr="007E055C">
              <w:rPr>
                <w:szCs w:val="20"/>
              </w:rPr>
              <w:t xml:space="preserve">Secondary / other efficacy outcomes: </w:t>
            </w:r>
            <w:r w:rsidR="00B9518B" w:rsidRPr="007E055C">
              <w:rPr>
                <w:szCs w:val="20"/>
              </w:rPr>
              <w:t>c</w:t>
            </w:r>
            <w:r w:rsidRPr="007E055C">
              <w:rPr>
                <w:szCs w:val="20"/>
              </w:rPr>
              <w:t xml:space="preserve">hange in </w:t>
            </w:r>
            <w:r w:rsidR="00D939C3" w:rsidRPr="007E055C">
              <w:rPr>
                <w:szCs w:val="20"/>
              </w:rPr>
              <w:t>central subfield thickness</w:t>
            </w:r>
            <w:r w:rsidRPr="007E055C">
              <w:rPr>
                <w:szCs w:val="20"/>
              </w:rPr>
              <w:t xml:space="preserve">, macular leakage, </w:t>
            </w:r>
            <w:r w:rsidR="00D939C3" w:rsidRPr="007E055C">
              <w:rPr>
                <w:szCs w:val="20"/>
              </w:rPr>
              <w:t>quality of life</w:t>
            </w:r>
          </w:p>
          <w:p w14:paraId="3044F7A1" w14:textId="77777777" w:rsidR="006465C6" w:rsidRPr="007E055C" w:rsidRDefault="006465C6" w:rsidP="00EA693D">
            <w:pPr>
              <w:pStyle w:val="TableText0"/>
              <w:keepLines/>
              <w:jc w:val="both"/>
              <w:rPr>
                <w:szCs w:val="20"/>
              </w:rPr>
            </w:pPr>
            <w:r w:rsidRPr="007E055C">
              <w:rPr>
                <w:szCs w:val="20"/>
              </w:rPr>
              <w:t>Adverse events (ocular and non-ocular)</w:t>
            </w:r>
          </w:p>
        </w:tc>
      </w:tr>
      <w:tr w:rsidR="006465C6" w:rsidRPr="007E055C" w14:paraId="4FC452C6" w14:textId="77777777" w:rsidTr="001473D5">
        <w:trPr>
          <w:trHeight w:val="235"/>
        </w:trPr>
        <w:tc>
          <w:tcPr>
            <w:tcW w:w="1668" w:type="dxa"/>
          </w:tcPr>
          <w:p w14:paraId="0D11359B" w14:textId="77777777" w:rsidR="006465C6" w:rsidRPr="007E055C" w:rsidRDefault="006465C6" w:rsidP="00EA693D">
            <w:pPr>
              <w:pStyle w:val="TableText0"/>
              <w:keepLines/>
              <w:jc w:val="both"/>
              <w:rPr>
                <w:szCs w:val="20"/>
              </w:rPr>
            </w:pPr>
            <w:r w:rsidRPr="007E055C">
              <w:rPr>
                <w:szCs w:val="20"/>
              </w:rPr>
              <w:t>Clinical claim</w:t>
            </w:r>
          </w:p>
        </w:tc>
        <w:tc>
          <w:tcPr>
            <w:tcW w:w="7488" w:type="dxa"/>
          </w:tcPr>
          <w:p w14:paraId="68423A52" w14:textId="155215DC" w:rsidR="006465C6" w:rsidRPr="007E055C" w:rsidRDefault="006465C6" w:rsidP="00EA693D">
            <w:pPr>
              <w:pStyle w:val="TableText0"/>
              <w:keepLines/>
              <w:jc w:val="both"/>
              <w:rPr>
                <w:szCs w:val="20"/>
              </w:rPr>
            </w:pPr>
            <w:r w:rsidRPr="007E055C">
              <w:rPr>
                <w:szCs w:val="20"/>
              </w:rPr>
              <w:t xml:space="preserve">In patients with RVO, faricimab is non-inferior, in terms of efficacy and safety, </w:t>
            </w:r>
            <w:r w:rsidR="00F6490B" w:rsidRPr="007E055C">
              <w:rPr>
                <w:szCs w:val="20"/>
              </w:rPr>
              <w:t xml:space="preserve">to </w:t>
            </w:r>
            <w:r w:rsidRPr="007E055C">
              <w:rPr>
                <w:szCs w:val="20"/>
              </w:rPr>
              <w:t>aflibercept</w:t>
            </w:r>
          </w:p>
        </w:tc>
      </w:tr>
    </w:tbl>
    <w:p w14:paraId="39A860DA" w14:textId="49B61F26" w:rsidR="006465C6" w:rsidRDefault="00B9518B" w:rsidP="00EA693D">
      <w:pPr>
        <w:pStyle w:val="FooterTableFigure"/>
        <w:keepNext/>
        <w:keepLines/>
        <w:jc w:val="both"/>
      </w:pPr>
      <w:r>
        <w:t xml:space="preserve">Source: Table 1.1, p2 </w:t>
      </w:r>
      <w:r w:rsidRPr="00D13A3E">
        <w:t xml:space="preserve">of the </w:t>
      </w:r>
      <w:r>
        <w:t>submission.</w:t>
      </w:r>
      <w:r w:rsidR="006465C6">
        <w:t xml:space="preserve"> </w:t>
      </w:r>
    </w:p>
    <w:p w14:paraId="6B4AB6C2" w14:textId="76989111" w:rsidR="005C25FF" w:rsidRPr="00407F2D" w:rsidRDefault="005C25FF" w:rsidP="001C2A71">
      <w:pPr>
        <w:pStyle w:val="2-SectionHeading"/>
        <w:jc w:val="both"/>
      </w:pPr>
      <w:bookmarkStart w:id="6" w:name="_Toc166768909"/>
      <w:r w:rsidRPr="00407F2D">
        <w:t>Background</w:t>
      </w:r>
      <w:bookmarkEnd w:id="6"/>
    </w:p>
    <w:p w14:paraId="2C521D6D" w14:textId="314E10E5" w:rsidR="005C25FF" w:rsidRPr="004151CF" w:rsidRDefault="005C25FF" w:rsidP="001C2A71">
      <w:pPr>
        <w:pStyle w:val="4-SubsectionHeading"/>
        <w:jc w:val="both"/>
      </w:pPr>
      <w:bookmarkStart w:id="7" w:name="_Toc22897638"/>
      <w:bookmarkStart w:id="8" w:name="_Toc166768910"/>
      <w:r w:rsidRPr="004151CF">
        <w:t>Registration status</w:t>
      </w:r>
      <w:bookmarkEnd w:id="7"/>
      <w:bookmarkEnd w:id="8"/>
    </w:p>
    <w:p w14:paraId="518F61AE" w14:textId="35A92305" w:rsidR="00220BC2" w:rsidRPr="00853EAE" w:rsidRDefault="00A11EB7" w:rsidP="00F10308">
      <w:pPr>
        <w:pStyle w:val="3-BodyText"/>
      </w:pPr>
      <w:r w:rsidRPr="008C01E3">
        <w:t>The submission was made under the Therapeutic Goods Administration (TGA)/ Pharmaceutical Benefits Advisory Committee (PBAC) parallel process</w:t>
      </w:r>
      <w:r w:rsidR="001473D5">
        <w:t xml:space="preserve"> for “</w:t>
      </w:r>
      <w:r w:rsidR="00D04D41" w:rsidRPr="008C01E3">
        <w:t>macular oedema secondary to RVO</w:t>
      </w:r>
      <w:r w:rsidR="001473D5">
        <w:t>”</w:t>
      </w:r>
      <w:r w:rsidRPr="008C01E3">
        <w:t xml:space="preserve">. </w:t>
      </w:r>
      <w:r w:rsidR="00220BC2">
        <w:t>At the time of the PBAC meeting, the TGA Delegate’s Overview was available.</w:t>
      </w:r>
      <w:r w:rsidR="00EA0F65">
        <w:t xml:space="preserve"> The Delegate requested advice from the Advisory Committee on Medicines (ACM) regarding</w:t>
      </w:r>
      <w:r w:rsidR="000C7E41">
        <w:t xml:space="preserve"> (i) </w:t>
      </w:r>
      <w:r w:rsidR="000C7E41" w:rsidRPr="000C7E41">
        <w:t>inclusion of</w:t>
      </w:r>
      <w:r w:rsidR="005B56ED">
        <w:t xml:space="preserve"> anti-</w:t>
      </w:r>
      <w:r w:rsidR="0033574B" w:rsidRPr="008005EF">
        <w:t>vascular endothelial growth factor</w:t>
      </w:r>
      <w:r w:rsidR="000C7E41" w:rsidRPr="000C7E41">
        <w:t xml:space="preserve"> </w:t>
      </w:r>
      <w:r w:rsidR="0033574B">
        <w:t>(</w:t>
      </w:r>
      <w:r w:rsidR="005B56ED">
        <w:t>anti-</w:t>
      </w:r>
      <w:r w:rsidR="000C7E41" w:rsidRPr="000C7E41">
        <w:t>VEGF</w:t>
      </w:r>
      <w:r w:rsidR="0033574B">
        <w:t>)</w:t>
      </w:r>
      <w:r w:rsidR="000C7E41" w:rsidRPr="000C7E41">
        <w:t xml:space="preserve"> treatment-experienced patients in the indication</w:t>
      </w:r>
      <w:r w:rsidR="000C7E41">
        <w:t>; and (ii) any other issues the ACM deem</w:t>
      </w:r>
      <w:r w:rsidR="00FC4D26">
        <w:t>ed</w:t>
      </w:r>
      <w:r w:rsidR="000C7E41">
        <w:t xml:space="preserve"> relevant. The Delegate stated there was </w:t>
      </w:r>
      <w:r w:rsidR="000C7E41" w:rsidRPr="000C7E41">
        <w:t>no reason, at this time, that the application should not be approved for registration</w:t>
      </w:r>
      <w:r w:rsidR="000C7E41">
        <w:t xml:space="preserve"> for RVO</w:t>
      </w:r>
      <w:r w:rsidR="000C7E41" w:rsidRPr="000C7E41">
        <w:t>.</w:t>
      </w:r>
    </w:p>
    <w:p w14:paraId="5374AD55" w14:textId="0A0DF57C" w:rsidR="005C25FF" w:rsidRDefault="006657E5" w:rsidP="006657E5">
      <w:pPr>
        <w:pStyle w:val="4-SubsectionHeading"/>
      </w:pPr>
      <w:bookmarkStart w:id="9" w:name="_Toc166768911"/>
      <w:r w:rsidRPr="007D1C1C">
        <w:lastRenderedPageBreak/>
        <w:t>Previous consideration</w:t>
      </w:r>
      <w:bookmarkEnd w:id="9"/>
    </w:p>
    <w:p w14:paraId="36D02C82" w14:textId="5F5A99DA" w:rsidR="00C064E4" w:rsidRDefault="006657E5" w:rsidP="001C2A71">
      <w:pPr>
        <w:pStyle w:val="3-BodyText"/>
      </w:pPr>
      <w:r>
        <w:t xml:space="preserve">This is the first consideration of faricimab by the PBAC for </w:t>
      </w:r>
      <w:r w:rsidR="00EA1831">
        <w:t>RVO</w:t>
      </w:r>
      <w:r>
        <w:t xml:space="preserve">. Faricimab is currently listed on the PBS for the treatment of </w:t>
      </w:r>
      <w:r w:rsidR="00246B3E" w:rsidRPr="00404E6D">
        <w:t>n</w:t>
      </w:r>
      <w:r w:rsidR="00246B3E">
        <w:t>eovascular age-related macular degeneration (n</w:t>
      </w:r>
      <w:r w:rsidR="00246B3E" w:rsidRPr="00404E6D">
        <w:t>AMD</w:t>
      </w:r>
      <w:r w:rsidR="00246B3E">
        <w:t>)</w:t>
      </w:r>
      <w:r w:rsidR="00246B3E" w:rsidRPr="00404E6D">
        <w:t xml:space="preserve"> and </w:t>
      </w:r>
      <w:r w:rsidR="00246B3E">
        <w:t>diabetic macular oedema (</w:t>
      </w:r>
      <w:r w:rsidR="00246B3E" w:rsidRPr="00404E6D">
        <w:t>DMO</w:t>
      </w:r>
      <w:r w:rsidR="00246B3E">
        <w:t>).</w:t>
      </w:r>
    </w:p>
    <w:p w14:paraId="7EC1598A" w14:textId="4AD927FC" w:rsidR="006C09A3" w:rsidRPr="00726754" w:rsidRDefault="00B50DB8" w:rsidP="00726754">
      <w:pPr>
        <w:pStyle w:val="2-SectionHeading"/>
        <w:jc w:val="both"/>
      </w:pPr>
      <w:bookmarkStart w:id="10" w:name="_Toc107902078"/>
      <w:bookmarkStart w:id="11" w:name="_Toc166768912"/>
      <w:bookmarkEnd w:id="10"/>
      <w:r w:rsidRPr="00407F2D">
        <w:t>Requested listing</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3"/>
        <w:gridCol w:w="1637"/>
        <w:gridCol w:w="1556"/>
        <w:gridCol w:w="1012"/>
        <w:gridCol w:w="963"/>
        <w:gridCol w:w="601"/>
        <w:gridCol w:w="1645"/>
      </w:tblGrid>
      <w:tr w:rsidR="001473D5" w:rsidRPr="007E055C" w14:paraId="3FBFDAD6" w14:textId="77777777" w:rsidTr="0084135C">
        <w:trPr>
          <w:trHeight w:val="20"/>
        </w:trPr>
        <w:tc>
          <w:tcPr>
            <w:tcW w:w="1797" w:type="pct"/>
            <w:gridSpan w:val="2"/>
            <w:vAlign w:val="center"/>
          </w:tcPr>
          <w:p w14:paraId="0C955340" w14:textId="77777777" w:rsidR="001473D5" w:rsidRPr="007E055C" w:rsidRDefault="001473D5" w:rsidP="00F10308">
            <w:pPr>
              <w:pStyle w:val="TableText0"/>
              <w:jc w:val="both"/>
              <w:rPr>
                <w:b/>
                <w:szCs w:val="20"/>
              </w:rPr>
            </w:pPr>
            <w:r w:rsidRPr="007E055C">
              <w:rPr>
                <w:b/>
                <w:szCs w:val="20"/>
              </w:rPr>
              <w:t>MEDICINAL PRODUCT</w:t>
            </w:r>
          </w:p>
          <w:p w14:paraId="57A780EF" w14:textId="77777777" w:rsidR="001473D5" w:rsidRPr="007E055C" w:rsidRDefault="001473D5" w:rsidP="00F10308">
            <w:pPr>
              <w:pStyle w:val="TableText0"/>
              <w:jc w:val="both"/>
              <w:rPr>
                <w:b/>
                <w:szCs w:val="20"/>
              </w:rPr>
            </w:pPr>
            <w:r w:rsidRPr="007E055C">
              <w:rPr>
                <w:b/>
                <w:szCs w:val="20"/>
              </w:rPr>
              <w:t>Form</w:t>
            </w:r>
          </w:p>
        </w:tc>
        <w:tc>
          <w:tcPr>
            <w:tcW w:w="863" w:type="pct"/>
            <w:vAlign w:val="center"/>
          </w:tcPr>
          <w:p w14:paraId="500A43FD" w14:textId="3382D041" w:rsidR="001473D5" w:rsidRPr="007E055C" w:rsidRDefault="001473D5" w:rsidP="001D1F01">
            <w:pPr>
              <w:pStyle w:val="TableText0"/>
              <w:jc w:val="center"/>
              <w:rPr>
                <w:b/>
                <w:szCs w:val="20"/>
              </w:rPr>
            </w:pPr>
            <w:r w:rsidRPr="007E055C">
              <w:rPr>
                <w:b/>
                <w:snapToGrid w:val="0"/>
                <w:szCs w:val="20"/>
              </w:rPr>
              <w:t>Dispensed Price for Max. Qty</w:t>
            </w:r>
          </w:p>
        </w:tc>
        <w:tc>
          <w:tcPr>
            <w:tcW w:w="561" w:type="pct"/>
            <w:vAlign w:val="center"/>
          </w:tcPr>
          <w:p w14:paraId="34DF21B8" w14:textId="77777777" w:rsidR="001473D5" w:rsidRPr="007E055C" w:rsidRDefault="001473D5" w:rsidP="00F10308">
            <w:pPr>
              <w:pStyle w:val="TableText0"/>
              <w:jc w:val="center"/>
              <w:rPr>
                <w:b/>
                <w:szCs w:val="20"/>
              </w:rPr>
            </w:pPr>
            <w:r w:rsidRPr="007E055C">
              <w:rPr>
                <w:b/>
                <w:szCs w:val="20"/>
              </w:rPr>
              <w:t>Max. qty packs</w:t>
            </w:r>
          </w:p>
        </w:tc>
        <w:tc>
          <w:tcPr>
            <w:tcW w:w="534" w:type="pct"/>
            <w:vAlign w:val="center"/>
          </w:tcPr>
          <w:p w14:paraId="6F1D5D64" w14:textId="77777777" w:rsidR="001473D5" w:rsidRPr="007E055C" w:rsidRDefault="001473D5" w:rsidP="00F10308">
            <w:pPr>
              <w:pStyle w:val="TableText0"/>
              <w:jc w:val="center"/>
              <w:rPr>
                <w:b/>
                <w:szCs w:val="20"/>
              </w:rPr>
            </w:pPr>
            <w:r w:rsidRPr="007E055C">
              <w:rPr>
                <w:b/>
                <w:szCs w:val="20"/>
              </w:rPr>
              <w:t>Max. qty units</w:t>
            </w:r>
          </w:p>
        </w:tc>
        <w:tc>
          <w:tcPr>
            <w:tcW w:w="333" w:type="pct"/>
            <w:vAlign w:val="center"/>
          </w:tcPr>
          <w:p w14:paraId="5494C574" w14:textId="77777777" w:rsidR="001473D5" w:rsidRPr="007E055C" w:rsidRDefault="001473D5" w:rsidP="00F10308">
            <w:pPr>
              <w:pStyle w:val="TableText0"/>
              <w:jc w:val="center"/>
              <w:rPr>
                <w:b/>
                <w:szCs w:val="20"/>
              </w:rPr>
            </w:pPr>
            <w:r w:rsidRPr="007E055C">
              <w:rPr>
                <w:b/>
                <w:szCs w:val="20"/>
              </w:rPr>
              <w:t>№.of</w:t>
            </w:r>
          </w:p>
          <w:p w14:paraId="6A67E45B" w14:textId="77777777" w:rsidR="001473D5" w:rsidRPr="007E055C" w:rsidRDefault="001473D5" w:rsidP="00F10308">
            <w:pPr>
              <w:pStyle w:val="TableText0"/>
              <w:jc w:val="center"/>
              <w:rPr>
                <w:b/>
                <w:szCs w:val="20"/>
              </w:rPr>
            </w:pPr>
            <w:r w:rsidRPr="007E055C">
              <w:rPr>
                <w:b/>
                <w:szCs w:val="20"/>
              </w:rPr>
              <w:t>Rpts</w:t>
            </w:r>
          </w:p>
        </w:tc>
        <w:tc>
          <w:tcPr>
            <w:tcW w:w="913" w:type="pct"/>
            <w:vAlign w:val="center"/>
          </w:tcPr>
          <w:p w14:paraId="2EB06282" w14:textId="77777777" w:rsidR="001473D5" w:rsidRPr="007E055C" w:rsidRDefault="001473D5" w:rsidP="001D1F01">
            <w:pPr>
              <w:pStyle w:val="TableText0"/>
              <w:jc w:val="center"/>
              <w:rPr>
                <w:b/>
                <w:szCs w:val="20"/>
                <w:lang w:val="fr-FR"/>
              </w:rPr>
            </w:pPr>
            <w:r w:rsidRPr="007E055C">
              <w:rPr>
                <w:b/>
                <w:szCs w:val="20"/>
              </w:rPr>
              <w:t>Available brands</w:t>
            </w:r>
          </w:p>
        </w:tc>
      </w:tr>
      <w:tr w:rsidR="001473D5" w:rsidRPr="007E055C" w14:paraId="7B721FBD" w14:textId="77777777" w:rsidTr="00F10308">
        <w:trPr>
          <w:trHeight w:val="20"/>
        </w:trPr>
        <w:tc>
          <w:tcPr>
            <w:tcW w:w="5000" w:type="pct"/>
            <w:gridSpan w:val="7"/>
            <w:vAlign w:val="center"/>
          </w:tcPr>
          <w:p w14:paraId="3E3B13C4" w14:textId="77777777" w:rsidR="001473D5" w:rsidRPr="007E055C" w:rsidRDefault="001473D5" w:rsidP="00F10308">
            <w:pPr>
              <w:pStyle w:val="TableText0"/>
              <w:jc w:val="both"/>
              <w:rPr>
                <w:rFonts w:cs="Arial"/>
                <w:b/>
                <w:szCs w:val="20"/>
              </w:rPr>
            </w:pPr>
            <w:r w:rsidRPr="007E055C">
              <w:rPr>
                <w:b/>
                <w:szCs w:val="20"/>
              </w:rPr>
              <w:t xml:space="preserve">Initiation </w:t>
            </w:r>
            <w:r w:rsidRPr="007E055C">
              <w:rPr>
                <w:rFonts w:cs="Arial"/>
                <w:b/>
                <w:szCs w:val="20"/>
              </w:rPr>
              <w:t xml:space="preserve"> </w:t>
            </w:r>
          </w:p>
        </w:tc>
      </w:tr>
      <w:tr w:rsidR="001473D5" w:rsidRPr="007E055C" w14:paraId="0890F3C2" w14:textId="77777777" w:rsidTr="0084135C">
        <w:trPr>
          <w:trHeight w:val="20"/>
        </w:trPr>
        <w:tc>
          <w:tcPr>
            <w:tcW w:w="1797" w:type="pct"/>
            <w:gridSpan w:val="2"/>
            <w:vAlign w:val="center"/>
          </w:tcPr>
          <w:p w14:paraId="6438982F" w14:textId="77777777" w:rsidR="001473D5" w:rsidRPr="007E055C" w:rsidRDefault="001473D5" w:rsidP="00F10308">
            <w:pPr>
              <w:pStyle w:val="TableText0"/>
              <w:rPr>
                <w:rFonts w:cstheme="minorBidi"/>
                <w:szCs w:val="20"/>
              </w:rPr>
            </w:pPr>
            <w:r w:rsidRPr="007E055C">
              <w:rPr>
                <w:szCs w:val="20"/>
              </w:rPr>
              <w:t xml:space="preserve">Faricimab solution for intravitreal injection </w:t>
            </w:r>
          </w:p>
          <w:p w14:paraId="6A332D18" w14:textId="54B55FDB" w:rsidR="001473D5" w:rsidRPr="007E055C" w:rsidRDefault="001473D5" w:rsidP="0084135C">
            <w:pPr>
              <w:pStyle w:val="TableText0"/>
              <w:rPr>
                <w:szCs w:val="20"/>
              </w:rPr>
            </w:pPr>
            <w:r w:rsidRPr="007E055C">
              <w:rPr>
                <w:szCs w:val="20"/>
              </w:rPr>
              <w:t>28.8 mg / 0.24</w:t>
            </w:r>
            <w:r w:rsidR="001D1F01">
              <w:rPr>
                <w:szCs w:val="20"/>
              </w:rPr>
              <w:t xml:space="preserve"> </w:t>
            </w:r>
            <w:r w:rsidRPr="007E055C">
              <w:rPr>
                <w:szCs w:val="20"/>
              </w:rPr>
              <w:t>mL injection, 0.24</w:t>
            </w:r>
            <w:r w:rsidR="001D1F01">
              <w:rPr>
                <w:szCs w:val="20"/>
              </w:rPr>
              <w:t xml:space="preserve"> </w:t>
            </w:r>
            <w:r w:rsidRPr="007E055C">
              <w:rPr>
                <w:szCs w:val="20"/>
              </w:rPr>
              <w:t>mL vial</w:t>
            </w:r>
            <w:r>
              <w:rPr>
                <w:szCs w:val="20"/>
                <w:vertAlign w:val="superscript"/>
              </w:rPr>
              <w:t>a</w:t>
            </w:r>
          </w:p>
        </w:tc>
        <w:tc>
          <w:tcPr>
            <w:tcW w:w="863" w:type="pct"/>
            <w:vAlign w:val="center"/>
          </w:tcPr>
          <w:p w14:paraId="244E5AFC" w14:textId="4DE2F0F1" w:rsidR="001473D5" w:rsidRPr="007E055C" w:rsidRDefault="001473D5" w:rsidP="0084135C">
            <w:pPr>
              <w:pStyle w:val="TableText0"/>
              <w:jc w:val="center"/>
              <w:rPr>
                <w:szCs w:val="20"/>
              </w:rPr>
            </w:pPr>
            <w:r w:rsidRPr="007E055C">
              <w:rPr>
                <w:szCs w:val="20"/>
              </w:rPr>
              <w:t>$933.61</w:t>
            </w:r>
            <w:r w:rsidR="00EC5022">
              <w:rPr>
                <w:szCs w:val="20"/>
              </w:rPr>
              <w:t xml:space="preserve"> (published price)</w:t>
            </w:r>
          </w:p>
        </w:tc>
        <w:tc>
          <w:tcPr>
            <w:tcW w:w="561" w:type="pct"/>
            <w:vAlign w:val="center"/>
          </w:tcPr>
          <w:p w14:paraId="6D0547F7" w14:textId="77777777" w:rsidR="001473D5" w:rsidRPr="007E055C" w:rsidRDefault="001473D5" w:rsidP="00F10308">
            <w:pPr>
              <w:pStyle w:val="TableText0"/>
              <w:jc w:val="center"/>
              <w:rPr>
                <w:szCs w:val="20"/>
              </w:rPr>
            </w:pPr>
            <w:r w:rsidRPr="007E055C">
              <w:rPr>
                <w:szCs w:val="20"/>
              </w:rPr>
              <w:t>1</w:t>
            </w:r>
          </w:p>
        </w:tc>
        <w:tc>
          <w:tcPr>
            <w:tcW w:w="534" w:type="pct"/>
            <w:vAlign w:val="center"/>
          </w:tcPr>
          <w:p w14:paraId="7EA6C770" w14:textId="77777777" w:rsidR="001473D5" w:rsidRPr="007E055C" w:rsidRDefault="001473D5" w:rsidP="00F10308">
            <w:pPr>
              <w:pStyle w:val="TableText0"/>
              <w:jc w:val="center"/>
              <w:rPr>
                <w:szCs w:val="20"/>
              </w:rPr>
            </w:pPr>
            <w:r w:rsidRPr="007E055C">
              <w:rPr>
                <w:szCs w:val="20"/>
              </w:rPr>
              <w:t>1</w:t>
            </w:r>
          </w:p>
        </w:tc>
        <w:tc>
          <w:tcPr>
            <w:tcW w:w="333" w:type="pct"/>
            <w:vAlign w:val="center"/>
          </w:tcPr>
          <w:p w14:paraId="5F3E0581" w14:textId="77777777" w:rsidR="001473D5" w:rsidRPr="007E055C" w:rsidRDefault="001473D5" w:rsidP="00F10308">
            <w:pPr>
              <w:pStyle w:val="TableText0"/>
              <w:jc w:val="center"/>
              <w:rPr>
                <w:szCs w:val="20"/>
              </w:rPr>
            </w:pPr>
            <w:r w:rsidRPr="007E055C">
              <w:rPr>
                <w:szCs w:val="20"/>
              </w:rPr>
              <w:t>2</w:t>
            </w:r>
          </w:p>
        </w:tc>
        <w:tc>
          <w:tcPr>
            <w:tcW w:w="913" w:type="pct"/>
            <w:vAlign w:val="center"/>
          </w:tcPr>
          <w:p w14:paraId="6965FC67" w14:textId="77777777" w:rsidR="001473D5" w:rsidRPr="007E055C" w:rsidRDefault="001473D5" w:rsidP="001D1F01">
            <w:pPr>
              <w:pStyle w:val="TableText0"/>
              <w:jc w:val="center"/>
              <w:rPr>
                <w:szCs w:val="20"/>
              </w:rPr>
            </w:pPr>
            <w:r w:rsidRPr="007E055C">
              <w:rPr>
                <w:szCs w:val="20"/>
              </w:rPr>
              <w:t>Vabysmo</w:t>
            </w:r>
          </w:p>
        </w:tc>
      </w:tr>
      <w:tr w:rsidR="001473D5" w:rsidRPr="007E055C" w14:paraId="352E1132" w14:textId="77777777" w:rsidTr="00F10308">
        <w:trPr>
          <w:trHeight w:val="20"/>
        </w:trPr>
        <w:tc>
          <w:tcPr>
            <w:tcW w:w="5000" w:type="pct"/>
            <w:gridSpan w:val="7"/>
            <w:vAlign w:val="center"/>
          </w:tcPr>
          <w:p w14:paraId="3BE40203" w14:textId="77777777" w:rsidR="001473D5" w:rsidRPr="007E055C" w:rsidRDefault="001473D5" w:rsidP="00F10308">
            <w:pPr>
              <w:pStyle w:val="TableText0"/>
              <w:rPr>
                <w:b/>
                <w:szCs w:val="20"/>
              </w:rPr>
            </w:pPr>
            <w:r w:rsidRPr="007E055C">
              <w:rPr>
                <w:b/>
                <w:szCs w:val="20"/>
              </w:rPr>
              <w:t xml:space="preserve">Continuation </w:t>
            </w:r>
          </w:p>
        </w:tc>
      </w:tr>
      <w:tr w:rsidR="001473D5" w:rsidRPr="007E055C" w14:paraId="270F7405" w14:textId="77777777" w:rsidTr="0084135C">
        <w:trPr>
          <w:trHeight w:val="20"/>
        </w:trPr>
        <w:tc>
          <w:tcPr>
            <w:tcW w:w="1797" w:type="pct"/>
            <w:gridSpan w:val="2"/>
            <w:vAlign w:val="center"/>
          </w:tcPr>
          <w:p w14:paraId="4356786A" w14:textId="77777777" w:rsidR="001473D5" w:rsidRPr="007E055C" w:rsidRDefault="001473D5" w:rsidP="00F10308">
            <w:pPr>
              <w:pStyle w:val="TableText0"/>
              <w:rPr>
                <w:rFonts w:cstheme="minorBidi"/>
                <w:szCs w:val="20"/>
              </w:rPr>
            </w:pPr>
            <w:r w:rsidRPr="007E055C">
              <w:rPr>
                <w:szCs w:val="20"/>
              </w:rPr>
              <w:t xml:space="preserve">Faricimab solution for intravitreal injection </w:t>
            </w:r>
          </w:p>
          <w:p w14:paraId="67565EC3" w14:textId="0EF2D5F6" w:rsidR="001473D5" w:rsidRPr="007E055C" w:rsidRDefault="001473D5" w:rsidP="0084135C">
            <w:pPr>
              <w:pStyle w:val="TableText0"/>
              <w:rPr>
                <w:szCs w:val="20"/>
              </w:rPr>
            </w:pPr>
            <w:r w:rsidRPr="007E055C">
              <w:rPr>
                <w:szCs w:val="20"/>
              </w:rPr>
              <w:t>28.8 mg / 0.24</w:t>
            </w:r>
            <w:r w:rsidR="001D1F01">
              <w:rPr>
                <w:szCs w:val="20"/>
              </w:rPr>
              <w:t xml:space="preserve"> </w:t>
            </w:r>
            <w:r w:rsidRPr="007E055C">
              <w:rPr>
                <w:szCs w:val="20"/>
              </w:rPr>
              <w:t>mL injection, 0.24</w:t>
            </w:r>
            <w:r w:rsidR="001D1F01">
              <w:rPr>
                <w:szCs w:val="20"/>
              </w:rPr>
              <w:t xml:space="preserve"> </w:t>
            </w:r>
            <w:r w:rsidRPr="007E055C">
              <w:rPr>
                <w:szCs w:val="20"/>
              </w:rPr>
              <w:t>mL vial</w:t>
            </w:r>
            <w:r>
              <w:rPr>
                <w:szCs w:val="20"/>
                <w:vertAlign w:val="superscript"/>
              </w:rPr>
              <w:t>a</w:t>
            </w:r>
          </w:p>
        </w:tc>
        <w:tc>
          <w:tcPr>
            <w:tcW w:w="863" w:type="pct"/>
            <w:vAlign w:val="center"/>
          </w:tcPr>
          <w:p w14:paraId="4084FA8E" w14:textId="20E35FE7" w:rsidR="001473D5" w:rsidRPr="007E055C" w:rsidRDefault="001473D5" w:rsidP="0084135C">
            <w:pPr>
              <w:pStyle w:val="TableText0"/>
              <w:jc w:val="center"/>
              <w:rPr>
                <w:szCs w:val="20"/>
              </w:rPr>
            </w:pPr>
            <w:r w:rsidRPr="007E055C">
              <w:rPr>
                <w:szCs w:val="20"/>
              </w:rPr>
              <w:t>$933.61</w:t>
            </w:r>
            <w:r w:rsidR="00EC5022">
              <w:rPr>
                <w:szCs w:val="20"/>
              </w:rPr>
              <w:t xml:space="preserve"> (published price)</w:t>
            </w:r>
          </w:p>
        </w:tc>
        <w:tc>
          <w:tcPr>
            <w:tcW w:w="561" w:type="pct"/>
            <w:vAlign w:val="center"/>
          </w:tcPr>
          <w:p w14:paraId="488CF586" w14:textId="77777777" w:rsidR="001473D5" w:rsidRPr="007E055C" w:rsidRDefault="001473D5" w:rsidP="00F10308">
            <w:pPr>
              <w:pStyle w:val="TableText0"/>
              <w:jc w:val="center"/>
              <w:rPr>
                <w:szCs w:val="20"/>
              </w:rPr>
            </w:pPr>
            <w:r w:rsidRPr="007E055C">
              <w:rPr>
                <w:szCs w:val="20"/>
              </w:rPr>
              <w:t>1</w:t>
            </w:r>
          </w:p>
        </w:tc>
        <w:tc>
          <w:tcPr>
            <w:tcW w:w="534" w:type="pct"/>
            <w:vAlign w:val="center"/>
          </w:tcPr>
          <w:p w14:paraId="62B3EAA6" w14:textId="77777777" w:rsidR="001473D5" w:rsidRPr="007E055C" w:rsidRDefault="001473D5" w:rsidP="00F10308">
            <w:pPr>
              <w:pStyle w:val="TableText0"/>
              <w:jc w:val="center"/>
              <w:rPr>
                <w:szCs w:val="20"/>
              </w:rPr>
            </w:pPr>
            <w:r w:rsidRPr="007E055C">
              <w:rPr>
                <w:szCs w:val="20"/>
              </w:rPr>
              <w:t>1</w:t>
            </w:r>
          </w:p>
        </w:tc>
        <w:tc>
          <w:tcPr>
            <w:tcW w:w="333" w:type="pct"/>
            <w:vAlign w:val="center"/>
          </w:tcPr>
          <w:p w14:paraId="2B3DBB65" w14:textId="77777777" w:rsidR="001473D5" w:rsidRPr="007E055C" w:rsidRDefault="001473D5" w:rsidP="00F10308">
            <w:pPr>
              <w:pStyle w:val="TableText0"/>
              <w:jc w:val="center"/>
              <w:rPr>
                <w:szCs w:val="20"/>
              </w:rPr>
            </w:pPr>
            <w:r w:rsidRPr="007E055C">
              <w:rPr>
                <w:szCs w:val="20"/>
              </w:rPr>
              <w:t>2</w:t>
            </w:r>
          </w:p>
        </w:tc>
        <w:tc>
          <w:tcPr>
            <w:tcW w:w="913" w:type="pct"/>
            <w:vAlign w:val="center"/>
          </w:tcPr>
          <w:p w14:paraId="7A4AEA67" w14:textId="77777777" w:rsidR="001473D5" w:rsidRPr="007E055C" w:rsidRDefault="001473D5" w:rsidP="001D1F01">
            <w:pPr>
              <w:pStyle w:val="TableText0"/>
              <w:jc w:val="center"/>
              <w:rPr>
                <w:szCs w:val="20"/>
              </w:rPr>
            </w:pPr>
            <w:r w:rsidRPr="007E055C">
              <w:rPr>
                <w:szCs w:val="20"/>
              </w:rPr>
              <w:t>Vabysmo</w:t>
            </w:r>
          </w:p>
        </w:tc>
      </w:tr>
      <w:tr w:rsidR="00B9518B" w:rsidRPr="007E055C" w14:paraId="0BC9ED84" w14:textId="77777777" w:rsidTr="008B4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7"/>
            <w:tcBorders>
              <w:top w:val="single" w:sz="4" w:space="0" w:color="auto"/>
              <w:left w:val="single" w:sz="4" w:space="0" w:color="auto"/>
              <w:bottom w:val="single" w:sz="4" w:space="0" w:color="auto"/>
              <w:right w:val="single" w:sz="4" w:space="0" w:color="auto"/>
            </w:tcBorders>
          </w:tcPr>
          <w:p w14:paraId="3DD4122C" w14:textId="77777777" w:rsidR="00B9518B" w:rsidRPr="007E055C" w:rsidRDefault="00B9518B" w:rsidP="0002714D">
            <w:pPr>
              <w:pStyle w:val="TableText0"/>
              <w:keepNext w:val="0"/>
              <w:keepLines/>
              <w:widowControl w:val="0"/>
              <w:rPr>
                <w:snapToGrid w:val="0"/>
                <w:szCs w:val="20"/>
              </w:rPr>
            </w:pPr>
            <w:r w:rsidRPr="007E055C">
              <w:rPr>
                <w:snapToGrid w:val="0"/>
                <w:szCs w:val="20"/>
              </w:rPr>
              <w:t>Category / Program: General Schedule</w:t>
            </w:r>
          </w:p>
        </w:tc>
      </w:tr>
      <w:tr w:rsidR="00B9518B" w:rsidRPr="007E055C" w14:paraId="5AD527FE" w14:textId="77777777" w:rsidTr="008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9" w:type="pct"/>
            <w:tcBorders>
              <w:top w:val="single" w:sz="4" w:space="0" w:color="auto"/>
              <w:left w:val="single" w:sz="4" w:space="0" w:color="auto"/>
              <w:bottom w:val="single" w:sz="4" w:space="0" w:color="auto"/>
              <w:right w:val="single" w:sz="4" w:space="0" w:color="auto"/>
            </w:tcBorders>
          </w:tcPr>
          <w:p w14:paraId="5CA99806" w14:textId="77777777" w:rsidR="00B9518B" w:rsidRPr="007E055C" w:rsidRDefault="00B9518B" w:rsidP="0002714D">
            <w:pPr>
              <w:pStyle w:val="TableText0"/>
              <w:keepNext w:val="0"/>
              <w:keepLines/>
              <w:widowControl w:val="0"/>
              <w:rPr>
                <w:snapToGrid w:val="0"/>
                <w:szCs w:val="20"/>
              </w:rPr>
            </w:pPr>
            <w:r w:rsidRPr="007E055C">
              <w:rPr>
                <w:snapToGrid w:val="0"/>
                <w:szCs w:val="20"/>
              </w:rPr>
              <w:t>Prescriber type</w:t>
            </w:r>
          </w:p>
        </w:tc>
        <w:tc>
          <w:tcPr>
            <w:tcW w:w="4111" w:type="pct"/>
            <w:gridSpan w:val="6"/>
            <w:tcBorders>
              <w:top w:val="single" w:sz="4" w:space="0" w:color="auto"/>
              <w:left w:val="single" w:sz="4" w:space="0" w:color="auto"/>
              <w:bottom w:val="single" w:sz="4" w:space="0" w:color="auto"/>
              <w:right w:val="single" w:sz="4" w:space="0" w:color="auto"/>
            </w:tcBorders>
          </w:tcPr>
          <w:p w14:paraId="713A0B6C" w14:textId="55F94522" w:rsidR="00B9518B" w:rsidRPr="007E055C" w:rsidRDefault="00B9518B" w:rsidP="0002714D">
            <w:pPr>
              <w:pStyle w:val="TableText0"/>
              <w:keepNext w:val="0"/>
              <w:keepLines/>
              <w:widowControl w:val="0"/>
              <w:rPr>
                <w:snapToGrid w:val="0"/>
                <w:szCs w:val="20"/>
              </w:rPr>
            </w:pPr>
            <w:r w:rsidRPr="007E055C">
              <w:rPr>
                <w:snapToGrid w:val="0"/>
                <w:szCs w:val="20"/>
              </w:rPr>
              <w:t>Medical Practitioners</w:t>
            </w:r>
          </w:p>
        </w:tc>
      </w:tr>
      <w:tr w:rsidR="00B9518B" w:rsidRPr="007E055C" w14:paraId="5D523E9A" w14:textId="77777777" w:rsidTr="008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9" w:type="pct"/>
            <w:tcBorders>
              <w:top w:val="single" w:sz="4" w:space="0" w:color="auto"/>
              <w:left w:val="single" w:sz="4" w:space="0" w:color="auto"/>
              <w:bottom w:val="single" w:sz="4" w:space="0" w:color="auto"/>
              <w:right w:val="single" w:sz="4" w:space="0" w:color="auto"/>
            </w:tcBorders>
          </w:tcPr>
          <w:p w14:paraId="3E6C1B8F" w14:textId="77777777" w:rsidR="00B9518B" w:rsidRPr="007E055C" w:rsidRDefault="00B9518B" w:rsidP="0002714D">
            <w:pPr>
              <w:pStyle w:val="TableText0"/>
              <w:keepNext w:val="0"/>
              <w:keepLines/>
              <w:widowControl w:val="0"/>
              <w:rPr>
                <w:snapToGrid w:val="0"/>
                <w:szCs w:val="20"/>
              </w:rPr>
            </w:pPr>
            <w:r w:rsidRPr="007E055C">
              <w:rPr>
                <w:snapToGrid w:val="0"/>
                <w:szCs w:val="20"/>
              </w:rPr>
              <w:t>Condition:</w:t>
            </w:r>
          </w:p>
        </w:tc>
        <w:tc>
          <w:tcPr>
            <w:tcW w:w="4111" w:type="pct"/>
            <w:gridSpan w:val="6"/>
            <w:tcBorders>
              <w:top w:val="single" w:sz="4" w:space="0" w:color="auto"/>
              <w:left w:val="single" w:sz="4" w:space="0" w:color="auto"/>
              <w:bottom w:val="single" w:sz="4" w:space="0" w:color="auto"/>
              <w:right w:val="single" w:sz="4" w:space="0" w:color="auto"/>
            </w:tcBorders>
          </w:tcPr>
          <w:p w14:paraId="546A0016" w14:textId="77777777" w:rsidR="00B9518B" w:rsidRPr="007E055C" w:rsidRDefault="00B9518B" w:rsidP="0002714D">
            <w:pPr>
              <w:pStyle w:val="TableText0"/>
              <w:keepNext w:val="0"/>
              <w:keepLines/>
              <w:widowControl w:val="0"/>
              <w:rPr>
                <w:snapToGrid w:val="0"/>
                <w:szCs w:val="20"/>
              </w:rPr>
            </w:pPr>
            <w:r w:rsidRPr="007E055C">
              <w:rPr>
                <w:snapToGrid w:val="0"/>
                <w:szCs w:val="20"/>
              </w:rPr>
              <w:t>Branch retinal vein occlusion with macular oedema</w:t>
            </w:r>
          </w:p>
          <w:p w14:paraId="01921C3F" w14:textId="77777777" w:rsidR="00B9518B" w:rsidRPr="007E055C" w:rsidRDefault="00B9518B" w:rsidP="0002714D">
            <w:pPr>
              <w:pStyle w:val="TableText0"/>
              <w:keepNext w:val="0"/>
              <w:keepLines/>
              <w:widowControl w:val="0"/>
              <w:rPr>
                <w:snapToGrid w:val="0"/>
                <w:szCs w:val="20"/>
              </w:rPr>
            </w:pPr>
            <w:r w:rsidRPr="007E055C">
              <w:rPr>
                <w:snapToGrid w:val="0"/>
                <w:szCs w:val="20"/>
              </w:rPr>
              <w:t>Central retinal vein occlusion with macular oedema</w:t>
            </w:r>
          </w:p>
        </w:tc>
      </w:tr>
      <w:tr w:rsidR="00B9518B" w:rsidRPr="007E055C" w14:paraId="044A0194" w14:textId="77777777" w:rsidTr="008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9" w:type="pct"/>
            <w:tcBorders>
              <w:top w:val="single" w:sz="4" w:space="0" w:color="auto"/>
              <w:left w:val="single" w:sz="4" w:space="0" w:color="auto"/>
              <w:bottom w:val="single" w:sz="4" w:space="0" w:color="auto"/>
              <w:right w:val="single" w:sz="4" w:space="0" w:color="auto"/>
            </w:tcBorders>
            <w:shd w:val="clear" w:color="auto" w:fill="auto"/>
          </w:tcPr>
          <w:p w14:paraId="3738901C" w14:textId="77777777" w:rsidR="00B9518B" w:rsidRPr="007E055C" w:rsidRDefault="00B9518B" w:rsidP="0002714D">
            <w:pPr>
              <w:pStyle w:val="TableText0"/>
              <w:keepNext w:val="0"/>
              <w:keepLines/>
              <w:widowControl w:val="0"/>
              <w:rPr>
                <w:b/>
                <w:snapToGrid w:val="0"/>
                <w:szCs w:val="20"/>
              </w:rPr>
            </w:pPr>
            <w:r w:rsidRPr="007E055C">
              <w:rPr>
                <w:b/>
                <w:snapToGrid w:val="0"/>
                <w:szCs w:val="20"/>
              </w:rPr>
              <w:t xml:space="preserve">Treatment phase: </w:t>
            </w:r>
          </w:p>
        </w:tc>
        <w:tc>
          <w:tcPr>
            <w:tcW w:w="4111" w:type="pct"/>
            <w:gridSpan w:val="6"/>
            <w:tcBorders>
              <w:top w:val="single" w:sz="4" w:space="0" w:color="auto"/>
              <w:left w:val="single" w:sz="4" w:space="0" w:color="auto"/>
              <w:bottom w:val="single" w:sz="4" w:space="0" w:color="auto"/>
              <w:right w:val="single" w:sz="4" w:space="0" w:color="auto"/>
            </w:tcBorders>
            <w:shd w:val="clear" w:color="auto" w:fill="auto"/>
          </w:tcPr>
          <w:p w14:paraId="0FFD5246" w14:textId="77777777" w:rsidR="00B9518B" w:rsidRPr="007E055C" w:rsidRDefault="00B9518B" w:rsidP="0002714D">
            <w:pPr>
              <w:pStyle w:val="TableText0"/>
              <w:keepNext w:val="0"/>
              <w:keepLines/>
              <w:widowControl w:val="0"/>
              <w:rPr>
                <w:b/>
                <w:snapToGrid w:val="0"/>
                <w:szCs w:val="20"/>
              </w:rPr>
            </w:pPr>
            <w:r w:rsidRPr="007E055C">
              <w:rPr>
                <w:b/>
                <w:snapToGrid w:val="0"/>
                <w:szCs w:val="20"/>
              </w:rPr>
              <w:t>Initial treatment</w:t>
            </w:r>
          </w:p>
        </w:tc>
      </w:tr>
      <w:tr w:rsidR="00B9518B" w:rsidRPr="007E055C" w14:paraId="0A64442E" w14:textId="77777777" w:rsidTr="008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9" w:type="pct"/>
            <w:tcBorders>
              <w:top w:val="single" w:sz="4" w:space="0" w:color="auto"/>
              <w:left w:val="single" w:sz="4" w:space="0" w:color="auto"/>
              <w:bottom w:val="single" w:sz="4" w:space="0" w:color="auto"/>
              <w:right w:val="single" w:sz="4" w:space="0" w:color="auto"/>
            </w:tcBorders>
          </w:tcPr>
          <w:p w14:paraId="262B3C72" w14:textId="77777777" w:rsidR="00B9518B" w:rsidRPr="007E055C" w:rsidRDefault="00B9518B" w:rsidP="0002714D">
            <w:pPr>
              <w:pStyle w:val="TableText0"/>
              <w:keepNext w:val="0"/>
              <w:keepLines/>
              <w:widowControl w:val="0"/>
              <w:rPr>
                <w:snapToGrid w:val="0"/>
                <w:szCs w:val="20"/>
              </w:rPr>
            </w:pPr>
            <w:r w:rsidRPr="007E055C">
              <w:rPr>
                <w:snapToGrid w:val="0"/>
                <w:szCs w:val="20"/>
              </w:rPr>
              <w:t xml:space="preserve">Restriction: </w:t>
            </w:r>
          </w:p>
        </w:tc>
        <w:tc>
          <w:tcPr>
            <w:tcW w:w="4111" w:type="pct"/>
            <w:gridSpan w:val="6"/>
            <w:tcBorders>
              <w:top w:val="single" w:sz="4" w:space="0" w:color="auto"/>
              <w:left w:val="single" w:sz="4" w:space="0" w:color="auto"/>
              <w:bottom w:val="single" w:sz="4" w:space="0" w:color="auto"/>
              <w:right w:val="single" w:sz="4" w:space="0" w:color="auto"/>
            </w:tcBorders>
          </w:tcPr>
          <w:p w14:paraId="63BAA54C" w14:textId="4B54A399" w:rsidR="00B9518B" w:rsidRPr="007E055C" w:rsidRDefault="00B9518B" w:rsidP="0002714D">
            <w:pPr>
              <w:pStyle w:val="TableText0"/>
              <w:keepNext w:val="0"/>
              <w:keepLines/>
              <w:widowControl w:val="0"/>
              <w:rPr>
                <w:snapToGrid w:val="0"/>
                <w:szCs w:val="20"/>
              </w:rPr>
            </w:pPr>
            <w:r w:rsidRPr="007E055C">
              <w:rPr>
                <w:snapToGrid w:val="0"/>
                <w:szCs w:val="20"/>
              </w:rPr>
              <w:t>Authority Required – Immediate / Real time assessment by Services Australia (telephone / online application avenues)</w:t>
            </w:r>
          </w:p>
        </w:tc>
      </w:tr>
      <w:tr w:rsidR="00B9518B" w:rsidRPr="007E055C" w14:paraId="37A7D6A6" w14:textId="77777777" w:rsidTr="008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9" w:type="pct"/>
            <w:tcBorders>
              <w:top w:val="single" w:sz="4" w:space="0" w:color="auto"/>
              <w:left w:val="single" w:sz="4" w:space="0" w:color="auto"/>
              <w:bottom w:val="single" w:sz="4" w:space="0" w:color="auto"/>
              <w:right w:val="single" w:sz="4" w:space="0" w:color="auto"/>
            </w:tcBorders>
          </w:tcPr>
          <w:p w14:paraId="43985DF2" w14:textId="77777777" w:rsidR="00B9518B" w:rsidRPr="007E055C" w:rsidRDefault="00B9518B" w:rsidP="0002714D">
            <w:pPr>
              <w:pStyle w:val="TableText0"/>
              <w:keepNext w:val="0"/>
              <w:keepLines/>
              <w:widowControl w:val="0"/>
              <w:rPr>
                <w:snapToGrid w:val="0"/>
                <w:szCs w:val="20"/>
              </w:rPr>
            </w:pPr>
            <w:r w:rsidRPr="007E055C">
              <w:rPr>
                <w:snapToGrid w:val="0"/>
                <w:szCs w:val="20"/>
              </w:rPr>
              <w:t>Treatment criteria:</w:t>
            </w:r>
          </w:p>
        </w:tc>
        <w:tc>
          <w:tcPr>
            <w:tcW w:w="4111" w:type="pct"/>
            <w:gridSpan w:val="6"/>
            <w:tcBorders>
              <w:top w:val="single" w:sz="4" w:space="0" w:color="auto"/>
              <w:left w:val="single" w:sz="4" w:space="0" w:color="auto"/>
              <w:bottom w:val="single" w:sz="4" w:space="0" w:color="auto"/>
              <w:right w:val="single" w:sz="4" w:space="0" w:color="auto"/>
            </w:tcBorders>
          </w:tcPr>
          <w:p w14:paraId="4758E076" w14:textId="77777777" w:rsidR="00B9518B" w:rsidRPr="007E055C" w:rsidRDefault="00B9518B" w:rsidP="0002714D">
            <w:pPr>
              <w:pStyle w:val="TableText0"/>
              <w:keepNext w:val="0"/>
              <w:keepLines/>
              <w:widowControl w:val="0"/>
              <w:rPr>
                <w:snapToGrid w:val="0"/>
                <w:szCs w:val="20"/>
              </w:rPr>
            </w:pPr>
            <w:r w:rsidRPr="007E055C">
              <w:rPr>
                <w:snapToGrid w:val="0"/>
                <w:szCs w:val="20"/>
              </w:rPr>
              <w:t>Must be treated by an ophthalmologist or by an accredited ophthalmology registrar in consultation with an ophthalmologist.</w:t>
            </w:r>
          </w:p>
        </w:tc>
      </w:tr>
      <w:tr w:rsidR="00B9518B" w:rsidRPr="007E055C" w14:paraId="7D7580FA" w14:textId="77777777" w:rsidTr="008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9" w:type="pct"/>
            <w:tcBorders>
              <w:top w:val="single" w:sz="4" w:space="0" w:color="auto"/>
              <w:left w:val="single" w:sz="4" w:space="0" w:color="auto"/>
              <w:bottom w:val="single" w:sz="4" w:space="0" w:color="auto"/>
              <w:right w:val="single" w:sz="4" w:space="0" w:color="auto"/>
            </w:tcBorders>
          </w:tcPr>
          <w:p w14:paraId="3CE27898" w14:textId="77777777" w:rsidR="00B9518B" w:rsidRPr="007E055C" w:rsidRDefault="00B9518B" w:rsidP="0002714D">
            <w:pPr>
              <w:pStyle w:val="TableText0"/>
              <w:keepNext w:val="0"/>
              <w:keepLines/>
              <w:widowControl w:val="0"/>
              <w:rPr>
                <w:snapToGrid w:val="0"/>
                <w:szCs w:val="20"/>
              </w:rPr>
            </w:pPr>
            <w:r w:rsidRPr="007E055C">
              <w:rPr>
                <w:snapToGrid w:val="0"/>
                <w:szCs w:val="20"/>
              </w:rPr>
              <w:t xml:space="preserve">Clinical criteria: </w:t>
            </w:r>
          </w:p>
          <w:p w14:paraId="57393456" w14:textId="77777777" w:rsidR="00B9518B" w:rsidRPr="007E055C" w:rsidRDefault="00B9518B" w:rsidP="0002714D">
            <w:pPr>
              <w:pStyle w:val="TableText0"/>
              <w:keepNext w:val="0"/>
              <w:keepLines/>
              <w:widowControl w:val="0"/>
              <w:rPr>
                <w:snapToGrid w:val="0"/>
                <w:szCs w:val="20"/>
              </w:rPr>
            </w:pPr>
            <w:r w:rsidRPr="007E055C">
              <w:rPr>
                <w:snapToGrid w:val="0"/>
                <w:szCs w:val="20"/>
              </w:rPr>
              <w:t>Branch retinal vein occlusion with macular oedema</w:t>
            </w:r>
          </w:p>
        </w:tc>
        <w:tc>
          <w:tcPr>
            <w:tcW w:w="4111" w:type="pct"/>
            <w:gridSpan w:val="6"/>
            <w:tcBorders>
              <w:top w:val="single" w:sz="4" w:space="0" w:color="auto"/>
              <w:left w:val="single" w:sz="4" w:space="0" w:color="auto"/>
              <w:bottom w:val="single" w:sz="4" w:space="0" w:color="auto"/>
              <w:right w:val="single" w:sz="4" w:space="0" w:color="auto"/>
            </w:tcBorders>
          </w:tcPr>
          <w:p w14:paraId="4899AE45" w14:textId="77777777" w:rsidR="00B9518B" w:rsidRPr="007E055C" w:rsidRDefault="00B9518B" w:rsidP="0002714D">
            <w:pPr>
              <w:pStyle w:val="TableText0"/>
              <w:keepNext w:val="0"/>
              <w:keepLines/>
              <w:widowControl w:val="0"/>
              <w:rPr>
                <w:snapToGrid w:val="0"/>
                <w:szCs w:val="20"/>
              </w:rPr>
            </w:pPr>
            <w:r w:rsidRPr="007E055C">
              <w:rPr>
                <w:snapToGrid w:val="0"/>
                <w:szCs w:val="20"/>
              </w:rPr>
              <w:t>Patient must have visual impairment due to macular oedema secondary to branched retinal vein occlusion (BRVO), AND</w:t>
            </w:r>
          </w:p>
          <w:p w14:paraId="4ABF5D8A" w14:textId="77777777" w:rsidR="00B9518B" w:rsidRPr="007E055C" w:rsidRDefault="00B9518B" w:rsidP="0002714D">
            <w:pPr>
              <w:pStyle w:val="TableText0"/>
              <w:keepNext w:val="0"/>
              <w:keepLines/>
              <w:widowControl w:val="0"/>
              <w:rPr>
                <w:snapToGrid w:val="0"/>
                <w:szCs w:val="20"/>
              </w:rPr>
            </w:pPr>
            <w:r w:rsidRPr="007E055C">
              <w:rPr>
                <w:snapToGrid w:val="0"/>
                <w:szCs w:val="20"/>
              </w:rPr>
              <w:t>Patient must have documented visual impairment defined as a best corrected visual acuity score between 73 and 20 letters based on the early treatment diabetic retinopathy study chart administered at a distance of 4 metres (approximate Snellen equivalent 20/40 to 20/400), in the eye proposed for treatment, AND</w:t>
            </w:r>
          </w:p>
          <w:p w14:paraId="2A74541F" w14:textId="77777777" w:rsidR="00B9518B" w:rsidRPr="007E055C" w:rsidRDefault="00B9518B" w:rsidP="0002714D">
            <w:pPr>
              <w:pStyle w:val="TableText0"/>
              <w:keepNext w:val="0"/>
              <w:keepLines/>
              <w:widowControl w:val="0"/>
              <w:rPr>
                <w:snapToGrid w:val="0"/>
                <w:szCs w:val="20"/>
              </w:rPr>
            </w:pPr>
            <w:r w:rsidRPr="007E055C">
              <w:rPr>
                <w:snapToGrid w:val="0"/>
                <w:szCs w:val="20"/>
              </w:rPr>
              <w:t>The condition must be diagnosed by optical coherence tomography; OR</w:t>
            </w:r>
          </w:p>
          <w:p w14:paraId="4BCBECB2" w14:textId="77777777" w:rsidR="00B9518B" w:rsidRPr="007E055C" w:rsidRDefault="00B9518B" w:rsidP="0002714D">
            <w:pPr>
              <w:pStyle w:val="TableText0"/>
              <w:keepNext w:val="0"/>
              <w:keepLines/>
              <w:widowControl w:val="0"/>
              <w:rPr>
                <w:snapToGrid w:val="0"/>
                <w:szCs w:val="20"/>
              </w:rPr>
            </w:pPr>
            <w:r w:rsidRPr="007E055C">
              <w:rPr>
                <w:snapToGrid w:val="0"/>
                <w:szCs w:val="20"/>
              </w:rPr>
              <w:t>The condition must be diagnosed by fluorescein angiography, AND</w:t>
            </w:r>
          </w:p>
          <w:p w14:paraId="694454C9" w14:textId="77777777" w:rsidR="00B9518B" w:rsidRPr="007E055C" w:rsidRDefault="00B9518B" w:rsidP="0002714D">
            <w:pPr>
              <w:pStyle w:val="TableText0"/>
              <w:keepNext w:val="0"/>
              <w:keepLines/>
              <w:widowControl w:val="0"/>
              <w:rPr>
                <w:snapToGrid w:val="0"/>
                <w:szCs w:val="20"/>
              </w:rPr>
            </w:pPr>
            <w:r w:rsidRPr="007E055C">
              <w:rPr>
                <w:snapToGrid w:val="0"/>
                <w:szCs w:val="20"/>
              </w:rPr>
              <w:t>The treatment must be the sole PBS-subsidised therapy for this condition.</w:t>
            </w:r>
          </w:p>
        </w:tc>
      </w:tr>
      <w:tr w:rsidR="00B9518B" w:rsidRPr="007E055C" w14:paraId="783F0640" w14:textId="77777777" w:rsidTr="008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9" w:type="pct"/>
            <w:tcBorders>
              <w:top w:val="single" w:sz="4" w:space="0" w:color="auto"/>
              <w:left w:val="single" w:sz="4" w:space="0" w:color="auto"/>
              <w:bottom w:val="single" w:sz="4" w:space="0" w:color="auto"/>
              <w:right w:val="single" w:sz="4" w:space="0" w:color="auto"/>
            </w:tcBorders>
          </w:tcPr>
          <w:p w14:paraId="1FE1EE7C" w14:textId="77777777" w:rsidR="00B9518B" w:rsidRPr="007E055C" w:rsidRDefault="00B9518B" w:rsidP="0002714D">
            <w:pPr>
              <w:pStyle w:val="TableText0"/>
              <w:keepNext w:val="0"/>
              <w:keepLines/>
              <w:widowControl w:val="0"/>
              <w:rPr>
                <w:snapToGrid w:val="0"/>
                <w:szCs w:val="20"/>
              </w:rPr>
            </w:pPr>
            <w:r w:rsidRPr="007E055C">
              <w:rPr>
                <w:snapToGrid w:val="0"/>
                <w:szCs w:val="20"/>
              </w:rPr>
              <w:t xml:space="preserve">Clinical criteria: </w:t>
            </w:r>
          </w:p>
          <w:p w14:paraId="3986C1AC" w14:textId="77777777" w:rsidR="00B9518B" w:rsidRPr="007E055C" w:rsidRDefault="00B9518B" w:rsidP="0002714D">
            <w:pPr>
              <w:pStyle w:val="TableText0"/>
              <w:keepNext w:val="0"/>
              <w:keepLines/>
              <w:widowControl w:val="0"/>
              <w:rPr>
                <w:snapToGrid w:val="0"/>
                <w:szCs w:val="20"/>
              </w:rPr>
            </w:pPr>
            <w:r w:rsidRPr="007E055C">
              <w:rPr>
                <w:snapToGrid w:val="0"/>
                <w:szCs w:val="20"/>
              </w:rPr>
              <w:t>Central retinal vein occlusion with macular oedema</w:t>
            </w:r>
          </w:p>
        </w:tc>
        <w:tc>
          <w:tcPr>
            <w:tcW w:w="4111" w:type="pct"/>
            <w:gridSpan w:val="6"/>
            <w:tcBorders>
              <w:top w:val="single" w:sz="4" w:space="0" w:color="auto"/>
              <w:left w:val="single" w:sz="4" w:space="0" w:color="auto"/>
              <w:bottom w:val="single" w:sz="4" w:space="0" w:color="auto"/>
              <w:right w:val="single" w:sz="4" w:space="0" w:color="auto"/>
            </w:tcBorders>
          </w:tcPr>
          <w:p w14:paraId="01C0A6ED" w14:textId="77777777" w:rsidR="00B9518B" w:rsidRPr="007E055C" w:rsidRDefault="00B9518B" w:rsidP="0002714D">
            <w:pPr>
              <w:pStyle w:val="TableText0"/>
              <w:keepNext w:val="0"/>
              <w:keepLines/>
              <w:widowControl w:val="0"/>
              <w:rPr>
                <w:snapToGrid w:val="0"/>
                <w:szCs w:val="20"/>
              </w:rPr>
            </w:pPr>
            <w:r w:rsidRPr="007E055C">
              <w:rPr>
                <w:snapToGrid w:val="0"/>
                <w:szCs w:val="20"/>
              </w:rPr>
              <w:t>Patient must have visual impairment due to macular oedema secondary to central retinal vein occlusion (CRVO), AND</w:t>
            </w:r>
          </w:p>
          <w:p w14:paraId="56D0717E" w14:textId="77777777" w:rsidR="00B9518B" w:rsidRPr="007E055C" w:rsidRDefault="00B9518B" w:rsidP="0002714D">
            <w:pPr>
              <w:pStyle w:val="TableText0"/>
              <w:keepNext w:val="0"/>
              <w:keepLines/>
              <w:widowControl w:val="0"/>
              <w:rPr>
                <w:snapToGrid w:val="0"/>
                <w:szCs w:val="20"/>
              </w:rPr>
            </w:pPr>
            <w:r w:rsidRPr="007E055C">
              <w:rPr>
                <w:snapToGrid w:val="0"/>
                <w:szCs w:val="20"/>
              </w:rPr>
              <w:t>Patient must have documented visual impairment defined as a best corrected visual acuity score between 73 and 24 letters based on the early treatment diabetic retinopathy study chart administered at a distance of 4 metres (approximate Snellen equivalent 20/40 to 20/400), in the eye proposed for treatment, AND</w:t>
            </w:r>
          </w:p>
          <w:p w14:paraId="159ECCBD" w14:textId="77777777" w:rsidR="00B9518B" w:rsidRPr="007E055C" w:rsidRDefault="00B9518B" w:rsidP="0002714D">
            <w:pPr>
              <w:pStyle w:val="TableText0"/>
              <w:keepNext w:val="0"/>
              <w:keepLines/>
              <w:widowControl w:val="0"/>
              <w:rPr>
                <w:snapToGrid w:val="0"/>
                <w:szCs w:val="20"/>
              </w:rPr>
            </w:pPr>
            <w:r w:rsidRPr="007E055C">
              <w:rPr>
                <w:snapToGrid w:val="0"/>
                <w:szCs w:val="20"/>
              </w:rPr>
              <w:t>The condition must be diagnosed by optical coherence tomography; OR</w:t>
            </w:r>
          </w:p>
          <w:p w14:paraId="0821309A" w14:textId="77777777" w:rsidR="00B9518B" w:rsidRPr="007E055C" w:rsidRDefault="00B9518B" w:rsidP="0002714D">
            <w:pPr>
              <w:pStyle w:val="TableText0"/>
              <w:keepNext w:val="0"/>
              <w:keepLines/>
              <w:widowControl w:val="0"/>
              <w:rPr>
                <w:snapToGrid w:val="0"/>
                <w:szCs w:val="20"/>
              </w:rPr>
            </w:pPr>
            <w:r w:rsidRPr="007E055C">
              <w:rPr>
                <w:snapToGrid w:val="0"/>
                <w:szCs w:val="20"/>
              </w:rPr>
              <w:t>The condition must be diagnosed by fluorescein angiography, AND</w:t>
            </w:r>
          </w:p>
          <w:p w14:paraId="7C52316C" w14:textId="77777777" w:rsidR="00B9518B" w:rsidRPr="007E055C" w:rsidRDefault="00B9518B" w:rsidP="0002714D">
            <w:pPr>
              <w:pStyle w:val="TableText0"/>
              <w:keepNext w:val="0"/>
              <w:keepLines/>
              <w:widowControl w:val="0"/>
              <w:rPr>
                <w:snapToGrid w:val="0"/>
                <w:szCs w:val="20"/>
              </w:rPr>
            </w:pPr>
            <w:r w:rsidRPr="007E055C">
              <w:rPr>
                <w:snapToGrid w:val="0"/>
                <w:szCs w:val="20"/>
              </w:rPr>
              <w:t>The treatment must be the sole PBS-subsidised therapy for this condition.</w:t>
            </w:r>
          </w:p>
        </w:tc>
      </w:tr>
      <w:tr w:rsidR="00B9518B" w:rsidRPr="007E055C" w14:paraId="7696B2BB" w14:textId="77777777" w:rsidTr="008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9" w:type="pct"/>
            <w:tcBorders>
              <w:top w:val="single" w:sz="4" w:space="0" w:color="auto"/>
              <w:left w:val="single" w:sz="4" w:space="0" w:color="auto"/>
              <w:bottom w:val="single" w:sz="4" w:space="0" w:color="auto"/>
              <w:right w:val="single" w:sz="4" w:space="0" w:color="auto"/>
            </w:tcBorders>
          </w:tcPr>
          <w:p w14:paraId="24DFB592" w14:textId="77777777" w:rsidR="00B9518B" w:rsidRPr="007E055C" w:rsidRDefault="00B9518B" w:rsidP="0002714D">
            <w:pPr>
              <w:pStyle w:val="TableText0"/>
              <w:keepNext w:val="0"/>
              <w:keepLines/>
              <w:widowControl w:val="0"/>
              <w:rPr>
                <w:snapToGrid w:val="0"/>
                <w:szCs w:val="20"/>
              </w:rPr>
            </w:pPr>
            <w:r w:rsidRPr="007E055C">
              <w:rPr>
                <w:snapToGrid w:val="0"/>
                <w:szCs w:val="20"/>
              </w:rPr>
              <w:t>Administrative advice</w:t>
            </w:r>
          </w:p>
        </w:tc>
        <w:tc>
          <w:tcPr>
            <w:tcW w:w="4111" w:type="pct"/>
            <w:gridSpan w:val="6"/>
            <w:tcBorders>
              <w:top w:val="single" w:sz="4" w:space="0" w:color="auto"/>
              <w:left w:val="single" w:sz="4" w:space="0" w:color="auto"/>
              <w:bottom w:val="single" w:sz="4" w:space="0" w:color="auto"/>
              <w:right w:val="single" w:sz="4" w:space="0" w:color="auto"/>
            </w:tcBorders>
          </w:tcPr>
          <w:p w14:paraId="3545604E" w14:textId="77777777" w:rsidR="00B9518B" w:rsidRPr="007E055C" w:rsidRDefault="00B9518B" w:rsidP="0002714D">
            <w:pPr>
              <w:pStyle w:val="TableText0"/>
              <w:keepNext w:val="0"/>
              <w:keepLines/>
              <w:widowControl w:val="0"/>
              <w:rPr>
                <w:snapToGrid w:val="0"/>
                <w:szCs w:val="20"/>
              </w:rPr>
            </w:pPr>
            <w:r w:rsidRPr="007E055C">
              <w:rPr>
                <w:snapToGrid w:val="0"/>
                <w:szCs w:val="20"/>
                <w:u w:val="single"/>
              </w:rPr>
              <w:t>Note:</w:t>
            </w:r>
            <w:r w:rsidRPr="007E055C">
              <w:rPr>
                <w:snapToGrid w:val="0"/>
                <w:szCs w:val="20"/>
              </w:rPr>
              <w:t xml:space="preserve"> Special Pricing Arrangements apply.</w:t>
            </w:r>
          </w:p>
          <w:p w14:paraId="418C6801" w14:textId="77777777" w:rsidR="00B9518B" w:rsidRPr="007E055C" w:rsidRDefault="00B9518B" w:rsidP="0002714D">
            <w:pPr>
              <w:pStyle w:val="TableText0"/>
              <w:keepNext w:val="0"/>
              <w:keepLines/>
              <w:widowControl w:val="0"/>
              <w:rPr>
                <w:snapToGrid w:val="0"/>
                <w:szCs w:val="20"/>
              </w:rPr>
            </w:pPr>
            <w:r w:rsidRPr="007E055C">
              <w:rPr>
                <w:snapToGrid w:val="0"/>
                <w:szCs w:val="20"/>
                <w:u w:val="single"/>
              </w:rPr>
              <w:t>Note:</w:t>
            </w:r>
            <w:r w:rsidRPr="007E055C">
              <w:rPr>
                <w:snapToGrid w:val="0"/>
                <w:szCs w:val="20"/>
              </w:rPr>
              <w:t xml:space="preserve"> No increase in the maximum number of repeats may be authorised.</w:t>
            </w:r>
          </w:p>
          <w:p w14:paraId="427EB5C5" w14:textId="77777777" w:rsidR="00B9518B" w:rsidRPr="007E055C" w:rsidRDefault="00B9518B" w:rsidP="0002714D">
            <w:pPr>
              <w:pStyle w:val="TableText0"/>
              <w:keepNext w:val="0"/>
              <w:keepLines/>
              <w:widowControl w:val="0"/>
              <w:rPr>
                <w:snapToGrid w:val="0"/>
                <w:szCs w:val="20"/>
              </w:rPr>
            </w:pPr>
            <w:r w:rsidRPr="007E055C">
              <w:rPr>
                <w:snapToGrid w:val="0"/>
                <w:szCs w:val="20"/>
                <w:u w:val="single"/>
              </w:rPr>
              <w:t>Note:</w:t>
            </w:r>
            <w:r w:rsidRPr="007E055C">
              <w:rPr>
                <w:snapToGrid w:val="0"/>
                <w:szCs w:val="20"/>
              </w:rPr>
              <w:t xml:space="preserve"> No increase in the maximum quantity or number of units may be authorised for applications for treatment of one eye.</w:t>
            </w:r>
          </w:p>
          <w:p w14:paraId="1050609A" w14:textId="77014BBB" w:rsidR="00B9518B" w:rsidRPr="007E055C" w:rsidRDefault="00B9518B" w:rsidP="006A1C72">
            <w:pPr>
              <w:pStyle w:val="TableText0"/>
              <w:keepNext w:val="0"/>
              <w:keepLines/>
              <w:widowControl w:val="0"/>
              <w:rPr>
                <w:snapToGrid w:val="0"/>
                <w:szCs w:val="20"/>
              </w:rPr>
            </w:pPr>
            <w:r w:rsidRPr="007E055C">
              <w:rPr>
                <w:snapToGrid w:val="0"/>
                <w:szCs w:val="20"/>
              </w:rPr>
              <w:t>Note: Where both eyes are affected by the condition, a quantity of 2 units can be requested on the same authority prescription form.</w:t>
            </w:r>
          </w:p>
        </w:tc>
      </w:tr>
      <w:tr w:rsidR="00B9518B" w:rsidRPr="007E055C" w14:paraId="496F7D1F" w14:textId="77777777" w:rsidTr="008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9" w:type="pct"/>
            <w:tcBorders>
              <w:top w:val="single" w:sz="4" w:space="0" w:color="auto"/>
              <w:left w:val="single" w:sz="4" w:space="0" w:color="auto"/>
              <w:bottom w:val="single" w:sz="4" w:space="0" w:color="auto"/>
              <w:right w:val="single" w:sz="4" w:space="0" w:color="auto"/>
            </w:tcBorders>
          </w:tcPr>
          <w:p w14:paraId="0E53B862" w14:textId="77777777" w:rsidR="00B9518B" w:rsidRPr="007E055C" w:rsidRDefault="00B9518B" w:rsidP="000976B0">
            <w:pPr>
              <w:pStyle w:val="TableText0"/>
              <w:keepNext w:val="0"/>
              <w:widowControl w:val="0"/>
              <w:rPr>
                <w:snapToGrid w:val="0"/>
                <w:szCs w:val="20"/>
              </w:rPr>
            </w:pPr>
            <w:r w:rsidRPr="007E055C">
              <w:rPr>
                <w:snapToGrid w:val="0"/>
                <w:szCs w:val="20"/>
              </w:rPr>
              <w:t>Administrative advice</w:t>
            </w:r>
          </w:p>
        </w:tc>
        <w:tc>
          <w:tcPr>
            <w:tcW w:w="4111" w:type="pct"/>
            <w:gridSpan w:val="6"/>
            <w:tcBorders>
              <w:top w:val="single" w:sz="4" w:space="0" w:color="auto"/>
              <w:left w:val="single" w:sz="4" w:space="0" w:color="auto"/>
              <w:bottom w:val="single" w:sz="4" w:space="0" w:color="auto"/>
              <w:right w:val="single" w:sz="4" w:space="0" w:color="auto"/>
            </w:tcBorders>
          </w:tcPr>
          <w:p w14:paraId="3CD5323C" w14:textId="77777777" w:rsidR="00B9518B" w:rsidRPr="007E055C" w:rsidRDefault="00B9518B" w:rsidP="000976B0">
            <w:pPr>
              <w:pStyle w:val="TableText0"/>
              <w:keepNext w:val="0"/>
              <w:widowControl w:val="0"/>
              <w:rPr>
                <w:snapToGrid w:val="0"/>
                <w:szCs w:val="20"/>
              </w:rPr>
            </w:pPr>
            <w:r w:rsidRPr="007E055C">
              <w:rPr>
                <w:snapToGrid w:val="0"/>
                <w:szCs w:val="20"/>
              </w:rPr>
              <w:t>Authority approval for initial treatment of each eye must be sought.</w:t>
            </w:r>
          </w:p>
          <w:p w14:paraId="59F50F32" w14:textId="77777777" w:rsidR="00B9518B" w:rsidRPr="007E055C" w:rsidRDefault="00B9518B" w:rsidP="000976B0">
            <w:pPr>
              <w:pStyle w:val="TableText0"/>
              <w:keepNext w:val="0"/>
              <w:widowControl w:val="0"/>
              <w:rPr>
                <w:snapToGrid w:val="0"/>
                <w:szCs w:val="20"/>
              </w:rPr>
            </w:pPr>
            <w:r w:rsidRPr="007E055C">
              <w:rPr>
                <w:snapToGrid w:val="0"/>
                <w:szCs w:val="20"/>
              </w:rPr>
              <w:t>The first authority application for each eye must be made via the Online PBS Authorities System (real time assessment) or in writing via HPOS form upload or mail and must include:</w:t>
            </w:r>
          </w:p>
          <w:p w14:paraId="2954E47B" w14:textId="77777777" w:rsidR="00B9518B" w:rsidRPr="007E055C" w:rsidRDefault="00B9518B" w:rsidP="000976B0">
            <w:pPr>
              <w:pStyle w:val="TableText0"/>
              <w:keepNext w:val="0"/>
              <w:widowControl w:val="0"/>
              <w:rPr>
                <w:snapToGrid w:val="0"/>
                <w:szCs w:val="20"/>
              </w:rPr>
            </w:pPr>
            <w:r w:rsidRPr="007E055C">
              <w:rPr>
                <w:snapToGrid w:val="0"/>
                <w:szCs w:val="20"/>
              </w:rPr>
              <w:t>(1) Details (date, unique identifying number/code or provider number) of the optical coherence tomography or fluorescein angiogram report.</w:t>
            </w:r>
          </w:p>
          <w:p w14:paraId="38CE0B11" w14:textId="77777777" w:rsidR="00B9518B" w:rsidRPr="007E055C" w:rsidRDefault="00B9518B" w:rsidP="000976B0">
            <w:pPr>
              <w:pStyle w:val="TableText0"/>
              <w:keepNext w:val="0"/>
              <w:widowControl w:val="0"/>
              <w:rPr>
                <w:snapToGrid w:val="0"/>
                <w:szCs w:val="20"/>
              </w:rPr>
            </w:pPr>
            <w:r w:rsidRPr="007E055C">
              <w:rPr>
                <w:snapToGrid w:val="0"/>
                <w:szCs w:val="20"/>
              </w:rPr>
              <w:t>If the application is submitted through HPOS form upload or mail, it must include:</w:t>
            </w:r>
          </w:p>
          <w:p w14:paraId="538B507C" w14:textId="77777777" w:rsidR="00B9518B" w:rsidRPr="007E055C" w:rsidRDefault="00B9518B" w:rsidP="000976B0">
            <w:pPr>
              <w:pStyle w:val="TableText0"/>
              <w:keepNext w:val="0"/>
              <w:widowControl w:val="0"/>
              <w:rPr>
                <w:snapToGrid w:val="0"/>
                <w:szCs w:val="20"/>
              </w:rPr>
            </w:pPr>
            <w:r w:rsidRPr="007E055C">
              <w:rPr>
                <w:snapToGrid w:val="0"/>
                <w:szCs w:val="20"/>
              </w:rPr>
              <w:t>(a) A completed authority prescription form; and</w:t>
            </w:r>
          </w:p>
          <w:p w14:paraId="229B7F90" w14:textId="77777777" w:rsidR="00B9518B" w:rsidRPr="007E055C" w:rsidRDefault="00B9518B" w:rsidP="000976B0">
            <w:pPr>
              <w:pStyle w:val="TableText0"/>
              <w:keepNext w:val="0"/>
              <w:widowControl w:val="0"/>
              <w:rPr>
                <w:snapToGrid w:val="0"/>
                <w:szCs w:val="20"/>
              </w:rPr>
            </w:pPr>
            <w:r w:rsidRPr="007E055C">
              <w:rPr>
                <w:snapToGrid w:val="0"/>
                <w:szCs w:val="20"/>
              </w:rPr>
              <w:t>(b) A completed authority application form relevant to the indication and treatment phase (the latest version is located on the website specified in the Administrative Advice).</w:t>
            </w:r>
          </w:p>
          <w:p w14:paraId="42797AF9" w14:textId="77777777" w:rsidR="00B9518B" w:rsidRPr="007E055C" w:rsidRDefault="00B9518B" w:rsidP="000976B0">
            <w:pPr>
              <w:pStyle w:val="TableText0"/>
              <w:keepNext w:val="0"/>
              <w:widowControl w:val="0"/>
              <w:rPr>
                <w:snapToGrid w:val="0"/>
                <w:szCs w:val="20"/>
              </w:rPr>
            </w:pPr>
            <w:r w:rsidRPr="007E055C">
              <w:rPr>
                <w:snapToGrid w:val="0"/>
                <w:szCs w:val="20"/>
              </w:rPr>
              <w:t>All reports must be documented in the patient's medical records.</w:t>
            </w:r>
          </w:p>
        </w:tc>
      </w:tr>
      <w:tr w:rsidR="00B9518B" w:rsidRPr="007E055C" w14:paraId="05617B52" w14:textId="77777777" w:rsidTr="008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9" w:type="pct"/>
            <w:tcBorders>
              <w:top w:val="single" w:sz="4" w:space="0" w:color="auto"/>
              <w:left w:val="single" w:sz="4" w:space="0" w:color="auto"/>
              <w:bottom w:val="single" w:sz="4" w:space="0" w:color="auto"/>
              <w:right w:val="single" w:sz="4" w:space="0" w:color="auto"/>
            </w:tcBorders>
            <w:shd w:val="clear" w:color="auto" w:fill="auto"/>
          </w:tcPr>
          <w:p w14:paraId="551FDFDC" w14:textId="77777777" w:rsidR="00B9518B" w:rsidRPr="007E055C" w:rsidRDefault="00B9518B" w:rsidP="0002714D">
            <w:pPr>
              <w:pStyle w:val="TableText0"/>
              <w:keepNext w:val="0"/>
              <w:keepLines/>
              <w:widowControl w:val="0"/>
              <w:rPr>
                <w:b/>
                <w:snapToGrid w:val="0"/>
                <w:szCs w:val="20"/>
              </w:rPr>
            </w:pPr>
            <w:r w:rsidRPr="007E055C">
              <w:rPr>
                <w:b/>
                <w:snapToGrid w:val="0"/>
                <w:szCs w:val="20"/>
              </w:rPr>
              <w:t xml:space="preserve">Treatment phase: </w:t>
            </w:r>
          </w:p>
        </w:tc>
        <w:tc>
          <w:tcPr>
            <w:tcW w:w="4111" w:type="pct"/>
            <w:gridSpan w:val="6"/>
            <w:tcBorders>
              <w:top w:val="single" w:sz="4" w:space="0" w:color="auto"/>
              <w:left w:val="single" w:sz="4" w:space="0" w:color="auto"/>
              <w:bottom w:val="single" w:sz="4" w:space="0" w:color="auto"/>
              <w:right w:val="single" w:sz="4" w:space="0" w:color="auto"/>
            </w:tcBorders>
            <w:shd w:val="clear" w:color="auto" w:fill="auto"/>
          </w:tcPr>
          <w:p w14:paraId="42DBCD58" w14:textId="77777777" w:rsidR="00B9518B" w:rsidRPr="007E055C" w:rsidRDefault="00B9518B" w:rsidP="0002714D">
            <w:pPr>
              <w:pStyle w:val="TableText0"/>
              <w:keepNext w:val="0"/>
              <w:keepLines/>
              <w:widowControl w:val="0"/>
              <w:rPr>
                <w:b/>
                <w:snapToGrid w:val="0"/>
                <w:szCs w:val="20"/>
              </w:rPr>
            </w:pPr>
            <w:r w:rsidRPr="007E055C">
              <w:rPr>
                <w:b/>
                <w:snapToGrid w:val="0"/>
                <w:szCs w:val="20"/>
              </w:rPr>
              <w:t>Continuing treatment</w:t>
            </w:r>
          </w:p>
        </w:tc>
      </w:tr>
      <w:tr w:rsidR="00B9518B" w:rsidRPr="007E055C" w14:paraId="5A142D5D" w14:textId="77777777" w:rsidTr="008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9" w:type="pct"/>
            <w:tcBorders>
              <w:top w:val="single" w:sz="4" w:space="0" w:color="auto"/>
              <w:left w:val="single" w:sz="4" w:space="0" w:color="auto"/>
              <w:bottom w:val="single" w:sz="4" w:space="0" w:color="auto"/>
              <w:right w:val="single" w:sz="4" w:space="0" w:color="auto"/>
            </w:tcBorders>
          </w:tcPr>
          <w:p w14:paraId="07C49DCF" w14:textId="77777777" w:rsidR="00B9518B" w:rsidRPr="007E055C" w:rsidRDefault="00B9518B" w:rsidP="0002714D">
            <w:pPr>
              <w:pStyle w:val="TableText0"/>
              <w:keepNext w:val="0"/>
              <w:keepLines/>
              <w:widowControl w:val="0"/>
              <w:rPr>
                <w:snapToGrid w:val="0"/>
                <w:szCs w:val="20"/>
              </w:rPr>
            </w:pPr>
            <w:r w:rsidRPr="007E055C">
              <w:rPr>
                <w:snapToGrid w:val="0"/>
                <w:szCs w:val="20"/>
              </w:rPr>
              <w:t xml:space="preserve">Restriction: </w:t>
            </w:r>
          </w:p>
        </w:tc>
        <w:tc>
          <w:tcPr>
            <w:tcW w:w="4111" w:type="pct"/>
            <w:gridSpan w:val="6"/>
            <w:tcBorders>
              <w:top w:val="single" w:sz="4" w:space="0" w:color="auto"/>
              <w:left w:val="single" w:sz="4" w:space="0" w:color="auto"/>
              <w:bottom w:val="single" w:sz="4" w:space="0" w:color="auto"/>
              <w:right w:val="single" w:sz="4" w:space="0" w:color="auto"/>
            </w:tcBorders>
          </w:tcPr>
          <w:p w14:paraId="1CE6B756" w14:textId="4EE54A87" w:rsidR="00B9518B" w:rsidRPr="007E055C" w:rsidRDefault="00B9518B" w:rsidP="0002714D">
            <w:pPr>
              <w:pStyle w:val="TableText0"/>
              <w:keepNext w:val="0"/>
              <w:keepLines/>
              <w:widowControl w:val="0"/>
              <w:rPr>
                <w:snapToGrid w:val="0"/>
                <w:szCs w:val="20"/>
              </w:rPr>
            </w:pPr>
            <w:r w:rsidRPr="007E055C">
              <w:rPr>
                <w:snapToGrid w:val="0"/>
                <w:szCs w:val="20"/>
              </w:rPr>
              <w:t>Authority Required - Streamlined</w:t>
            </w:r>
          </w:p>
        </w:tc>
      </w:tr>
      <w:tr w:rsidR="00B9518B" w:rsidRPr="007E055C" w14:paraId="4210EF04" w14:textId="77777777" w:rsidTr="008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9" w:type="pct"/>
            <w:tcBorders>
              <w:top w:val="single" w:sz="4" w:space="0" w:color="auto"/>
              <w:left w:val="single" w:sz="4" w:space="0" w:color="auto"/>
              <w:bottom w:val="single" w:sz="4" w:space="0" w:color="auto"/>
              <w:right w:val="single" w:sz="4" w:space="0" w:color="auto"/>
            </w:tcBorders>
          </w:tcPr>
          <w:p w14:paraId="531D41CB" w14:textId="77777777" w:rsidR="00B9518B" w:rsidRPr="007E055C" w:rsidRDefault="00B9518B" w:rsidP="0002714D">
            <w:pPr>
              <w:pStyle w:val="TableText0"/>
              <w:keepNext w:val="0"/>
              <w:keepLines/>
              <w:widowControl w:val="0"/>
              <w:rPr>
                <w:snapToGrid w:val="0"/>
                <w:szCs w:val="20"/>
              </w:rPr>
            </w:pPr>
            <w:r w:rsidRPr="007E055C">
              <w:rPr>
                <w:snapToGrid w:val="0"/>
                <w:szCs w:val="20"/>
              </w:rPr>
              <w:t>Treatment criteria:</w:t>
            </w:r>
          </w:p>
        </w:tc>
        <w:tc>
          <w:tcPr>
            <w:tcW w:w="4111" w:type="pct"/>
            <w:gridSpan w:val="6"/>
            <w:tcBorders>
              <w:top w:val="single" w:sz="4" w:space="0" w:color="auto"/>
              <w:left w:val="single" w:sz="4" w:space="0" w:color="auto"/>
              <w:bottom w:val="single" w:sz="4" w:space="0" w:color="auto"/>
              <w:right w:val="single" w:sz="4" w:space="0" w:color="auto"/>
            </w:tcBorders>
          </w:tcPr>
          <w:p w14:paraId="2471F000" w14:textId="77777777" w:rsidR="00B9518B" w:rsidRPr="007E055C" w:rsidRDefault="00B9518B" w:rsidP="0002714D">
            <w:pPr>
              <w:pStyle w:val="TableText0"/>
              <w:keepNext w:val="0"/>
              <w:keepLines/>
              <w:widowControl w:val="0"/>
              <w:rPr>
                <w:snapToGrid w:val="0"/>
                <w:szCs w:val="20"/>
              </w:rPr>
            </w:pPr>
            <w:r w:rsidRPr="007E055C">
              <w:rPr>
                <w:snapToGrid w:val="0"/>
                <w:szCs w:val="20"/>
              </w:rPr>
              <w:t>Must be treated by an ophthalmologist or by an accredited ophthalmology registrar in consultation with an ophthalmologist.</w:t>
            </w:r>
          </w:p>
        </w:tc>
      </w:tr>
      <w:tr w:rsidR="00B9518B" w:rsidRPr="007E055C" w14:paraId="74A5AA1F" w14:textId="77777777" w:rsidTr="008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9" w:type="pct"/>
            <w:tcBorders>
              <w:top w:val="single" w:sz="4" w:space="0" w:color="auto"/>
              <w:left w:val="single" w:sz="4" w:space="0" w:color="auto"/>
              <w:bottom w:val="single" w:sz="4" w:space="0" w:color="auto"/>
              <w:right w:val="single" w:sz="4" w:space="0" w:color="auto"/>
            </w:tcBorders>
          </w:tcPr>
          <w:p w14:paraId="1EAE3D14" w14:textId="77777777" w:rsidR="00B9518B" w:rsidRPr="007E055C" w:rsidRDefault="00B9518B" w:rsidP="0002714D">
            <w:pPr>
              <w:pStyle w:val="TableText0"/>
              <w:keepNext w:val="0"/>
              <w:keepLines/>
              <w:widowControl w:val="0"/>
              <w:rPr>
                <w:snapToGrid w:val="0"/>
                <w:szCs w:val="20"/>
              </w:rPr>
            </w:pPr>
            <w:r w:rsidRPr="007E055C">
              <w:rPr>
                <w:snapToGrid w:val="0"/>
                <w:szCs w:val="20"/>
              </w:rPr>
              <w:t xml:space="preserve">Clinical criteria: </w:t>
            </w:r>
          </w:p>
        </w:tc>
        <w:tc>
          <w:tcPr>
            <w:tcW w:w="4111" w:type="pct"/>
            <w:gridSpan w:val="6"/>
            <w:tcBorders>
              <w:top w:val="single" w:sz="4" w:space="0" w:color="auto"/>
              <w:left w:val="single" w:sz="4" w:space="0" w:color="auto"/>
              <w:bottom w:val="single" w:sz="4" w:space="0" w:color="auto"/>
              <w:right w:val="single" w:sz="4" w:space="0" w:color="auto"/>
            </w:tcBorders>
          </w:tcPr>
          <w:p w14:paraId="1D69ECD4" w14:textId="77777777" w:rsidR="00B9518B" w:rsidRPr="007E055C" w:rsidRDefault="00B9518B" w:rsidP="0002714D">
            <w:pPr>
              <w:pStyle w:val="TableText0"/>
              <w:keepNext w:val="0"/>
              <w:keepLines/>
              <w:widowControl w:val="0"/>
              <w:rPr>
                <w:snapToGrid w:val="0"/>
                <w:szCs w:val="20"/>
              </w:rPr>
            </w:pPr>
            <w:r w:rsidRPr="007E055C">
              <w:rPr>
                <w:snapToGrid w:val="0"/>
                <w:szCs w:val="20"/>
              </w:rPr>
              <w:t>Patient must have previously received PBS-subsidised treatment with this drug for this condition for the same eye, AND</w:t>
            </w:r>
          </w:p>
          <w:p w14:paraId="03AF3C37" w14:textId="77777777" w:rsidR="00B9518B" w:rsidRPr="007E055C" w:rsidRDefault="00B9518B" w:rsidP="0002714D">
            <w:pPr>
              <w:pStyle w:val="TableText0"/>
              <w:keepNext w:val="0"/>
              <w:keepLines/>
              <w:widowControl w:val="0"/>
              <w:rPr>
                <w:snapToGrid w:val="0"/>
                <w:szCs w:val="20"/>
              </w:rPr>
            </w:pPr>
            <w:r w:rsidRPr="007E055C">
              <w:rPr>
                <w:snapToGrid w:val="0"/>
                <w:szCs w:val="20"/>
              </w:rPr>
              <w:t>The treatment must be the sole PBS-subsidised therapy for this condition.</w:t>
            </w:r>
          </w:p>
        </w:tc>
      </w:tr>
      <w:tr w:rsidR="00B9518B" w:rsidRPr="007E055C" w14:paraId="62B38CD7" w14:textId="77777777" w:rsidTr="008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9" w:type="pct"/>
            <w:tcBorders>
              <w:top w:val="single" w:sz="4" w:space="0" w:color="auto"/>
              <w:left w:val="single" w:sz="4" w:space="0" w:color="auto"/>
              <w:bottom w:val="single" w:sz="4" w:space="0" w:color="auto"/>
              <w:right w:val="single" w:sz="4" w:space="0" w:color="auto"/>
            </w:tcBorders>
          </w:tcPr>
          <w:p w14:paraId="127C648C" w14:textId="77777777" w:rsidR="00B9518B" w:rsidRPr="007E055C" w:rsidRDefault="00B9518B" w:rsidP="0002714D">
            <w:pPr>
              <w:pStyle w:val="TableText0"/>
              <w:keepNext w:val="0"/>
              <w:keepLines/>
              <w:widowControl w:val="0"/>
              <w:rPr>
                <w:snapToGrid w:val="0"/>
                <w:szCs w:val="20"/>
              </w:rPr>
            </w:pPr>
            <w:r w:rsidRPr="007E055C">
              <w:rPr>
                <w:snapToGrid w:val="0"/>
                <w:szCs w:val="20"/>
              </w:rPr>
              <w:t>Administrative advice</w:t>
            </w:r>
          </w:p>
        </w:tc>
        <w:tc>
          <w:tcPr>
            <w:tcW w:w="4111" w:type="pct"/>
            <w:gridSpan w:val="6"/>
            <w:tcBorders>
              <w:top w:val="single" w:sz="4" w:space="0" w:color="auto"/>
              <w:left w:val="single" w:sz="4" w:space="0" w:color="auto"/>
              <w:bottom w:val="single" w:sz="4" w:space="0" w:color="auto"/>
              <w:right w:val="single" w:sz="4" w:space="0" w:color="auto"/>
            </w:tcBorders>
          </w:tcPr>
          <w:p w14:paraId="4929F6F2" w14:textId="77777777" w:rsidR="00B9518B" w:rsidRPr="007E055C" w:rsidRDefault="00B9518B" w:rsidP="0002714D">
            <w:pPr>
              <w:pStyle w:val="TableText0"/>
              <w:keepNext w:val="0"/>
              <w:keepLines/>
              <w:widowControl w:val="0"/>
              <w:rPr>
                <w:snapToGrid w:val="0"/>
                <w:szCs w:val="20"/>
              </w:rPr>
            </w:pPr>
            <w:r w:rsidRPr="007E055C">
              <w:rPr>
                <w:snapToGrid w:val="0"/>
                <w:szCs w:val="20"/>
                <w:u w:val="single"/>
              </w:rPr>
              <w:t>Note:</w:t>
            </w:r>
            <w:r w:rsidRPr="007E055C">
              <w:rPr>
                <w:snapToGrid w:val="0"/>
                <w:szCs w:val="20"/>
              </w:rPr>
              <w:t xml:space="preserve"> Special Pricing Arrangements apply.</w:t>
            </w:r>
          </w:p>
          <w:p w14:paraId="69F38292" w14:textId="77777777" w:rsidR="00B9518B" w:rsidRPr="007E055C" w:rsidRDefault="00B9518B" w:rsidP="0002714D">
            <w:pPr>
              <w:pStyle w:val="TableText0"/>
              <w:keepNext w:val="0"/>
              <w:keepLines/>
              <w:widowControl w:val="0"/>
              <w:rPr>
                <w:snapToGrid w:val="0"/>
                <w:szCs w:val="20"/>
              </w:rPr>
            </w:pPr>
            <w:r w:rsidRPr="007E055C">
              <w:rPr>
                <w:snapToGrid w:val="0"/>
                <w:szCs w:val="20"/>
                <w:u w:val="single"/>
              </w:rPr>
              <w:t>Note:</w:t>
            </w:r>
            <w:r w:rsidRPr="007E055C">
              <w:rPr>
                <w:snapToGrid w:val="0"/>
                <w:szCs w:val="20"/>
              </w:rPr>
              <w:t xml:space="preserve"> No increase in the maximum number of repeats may be authorised.</w:t>
            </w:r>
          </w:p>
          <w:p w14:paraId="3DE50104" w14:textId="77777777" w:rsidR="00B9518B" w:rsidRPr="007E055C" w:rsidRDefault="00B9518B" w:rsidP="0002714D">
            <w:pPr>
              <w:pStyle w:val="TableText0"/>
              <w:keepNext w:val="0"/>
              <w:keepLines/>
              <w:widowControl w:val="0"/>
              <w:rPr>
                <w:snapToGrid w:val="0"/>
                <w:szCs w:val="20"/>
              </w:rPr>
            </w:pPr>
            <w:r w:rsidRPr="007E055C">
              <w:rPr>
                <w:snapToGrid w:val="0"/>
                <w:szCs w:val="20"/>
                <w:u w:val="single"/>
              </w:rPr>
              <w:t>Note:</w:t>
            </w:r>
            <w:r w:rsidRPr="007E055C">
              <w:rPr>
                <w:snapToGrid w:val="0"/>
                <w:szCs w:val="20"/>
              </w:rPr>
              <w:t xml:space="preserve"> No increase in the maximum quantity or number of units may be authorised for applications for treatment of one eye.</w:t>
            </w:r>
          </w:p>
          <w:p w14:paraId="58D0F0D2" w14:textId="07C32D8A" w:rsidR="00B9518B" w:rsidRPr="007E055C" w:rsidRDefault="00B9518B" w:rsidP="006A1C72">
            <w:pPr>
              <w:pStyle w:val="TableText0"/>
              <w:keepNext w:val="0"/>
              <w:keepLines/>
              <w:widowControl w:val="0"/>
              <w:rPr>
                <w:snapToGrid w:val="0"/>
                <w:szCs w:val="20"/>
              </w:rPr>
            </w:pPr>
            <w:r w:rsidRPr="007E055C">
              <w:rPr>
                <w:snapToGrid w:val="0"/>
                <w:szCs w:val="20"/>
                <w:u w:val="single"/>
              </w:rPr>
              <w:t xml:space="preserve">Note: </w:t>
            </w:r>
            <w:r w:rsidRPr="007E055C">
              <w:rPr>
                <w:snapToGrid w:val="0"/>
                <w:szCs w:val="20"/>
              </w:rPr>
              <w:t>Where both eyes are affected by the condition, a quantity of 2 units can be requested on the same authority prescription form.</w:t>
            </w:r>
          </w:p>
        </w:tc>
      </w:tr>
      <w:tr w:rsidR="00B9518B" w:rsidRPr="007E055C" w14:paraId="262C5B3E" w14:textId="77777777" w:rsidTr="008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9" w:type="pct"/>
            <w:tcBorders>
              <w:top w:val="single" w:sz="4" w:space="0" w:color="auto"/>
              <w:left w:val="single" w:sz="4" w:space="0" w:color="auto"/>
              <w:bottom w:val="single" w:sz="4" w:space="0" w:color="auto"/>
              <w:right w:val="single" w:sz="4" w:space="0" w:color="auto"/>
            </w:tcBorders>
          </w:tcPr>
          <w:p w14:paraId="1D2F0B2B" w14:textId="77777777" w:rsidR="00B9518B" w:rsidRPr="007E055C" w:rsidRDefault="00B9518B" w:rsidP="0002714D">
            <w:pPr>
              <w:pStyle w:val="TableText0"/>
              <w:keepNext w:val="0"/>
              <w:keepLines/>
              <w:widowControl w:val="0"/>
              <w:rPr>
                <w:snapToGrid w:val="0"/>
                <w:szCs w:val="20"/>
              </w:rPr>
            </w:pPr>
            <w:r w:rsidRPr="007E055C">
              <w:rPr>
                <w:snapToGrid w:val="0"/>
                <w:szCs w:val="20"/>
              </w:rPr>
              <w:t>Administrative advice</w:t>
            </w:r>
          </w:p>
        </w:tc>
        <w:tc>
          <w:tcPr>
            <w:tcW w:w="4111" w:type="pct"/>
            <w:gridSpan w:val="6"/>
            <w:tcBorders>
              <w:top w:val="single" w:sz="4" w:space="0" w:color="auto"/>
              <w:left w:val="single" w:sz="4" w:space="0" w:color="auto"/>
              <w:bottom w:val="single" w:sz="4" w:space="0" w:color="auto"/>
              <w:right w:val="single" w:sz="4" w:space="0" w:color="auto"/>
            </w:tcBorders>
          </w:tcPr>
          <w:p w14:paraId="30CC3C26" w14:textId="77777777" w:rsidR="00B9518B" w:rsidRPr="007E055C" w:rsidRDefault="00B9518B" w:rsidP="0002714D">
            <w:pPr>
              <w:pStyle w:val="TableText0"/>
              <w:keepNext w:val="0"/>
              <w:keepLines/>
              <w:widowControl w:val="0"/>
              <w:rPr>
                <w:snapToGrid w:val="0"/>
                <w:szCs w:val="20"/>
              </w:rPr>
            </w:pPr>
            <w:r w:rsidRPr="007E055C">
              <w:rPr>
                <w:snapToGrid w:val="0"/>
                <w:szCs w:val="20"/>
              </w:rPr>
              <w:t>Any queries concerning the arrangements to prescribe may be directed to Services Australia on 1800 700 270 (hours of operation 8 a.m. to 5 p.m. Monday to Friday)</w:t>
            </w:r>
          </w:p>
        </w:tc>
      </w:tr>
    </w:tbl>
    <w:p w14:paraId="3F0506AA" w14:textId="66602C4B" w:rsidR="008B7B96" w:rsidRPr="00B9518B" w:rsidRDefault="008B7B96" w:rsidP="001C2A71">
      <w:pPr>
        <w:pStyle w:val="TableNotes"/>
        <w:jc w:val="both"/>
        <w:rPr>
          <w:rFonts w:ascii="Arial Narrow" w:hAnsi="Arial Narrow"/>
        </w:rPr>
      </w:pPr>
      <w:r w:rsidRPr="00B9518B">
        <w:rPr>
          <w:rFonts w:ascii="Arial Narrow" w:hAnsi="Arial Narrow"/>
        </w:rPr>
        <w:t>Source: Table</w:t>
      </w:r>
      <w:r w:rsidR="00B9518B">
        <w:rPr>
          <w:rFonts w:ascii="Arial Narrow" w:hAnsi="Arial Narrow"/>
        </w:rPr>
        <w:t xml:space="preserve"> </w:t>
      </w:r>
      <w:r w:rsidRPr="00B9518B">
        <w:rPr>
          <w:rFonts w:ascii="Arial Narrow" w:hAnsi="Arial Narrow"/>
        </w:rPr>
        <w:t>1.6, p29 of the submission.</w:t>
      </w:r>
    </w:p>
    <w:p w14:paraId="3EDD898B" w14:textId="4D9AD6A0" w:rsidR="008B7B96" w:rsidRPr="00B9518B" w:rsidRDefault="008B7B96" w:rsidP="001C2A71">
      <w:pPr>
        <w:pStyle w:val="TableNotes"/>
        <w:jc w:val="both"/>
        <w:rPr>
          <w:rFonts w:ascii="Arial Narrow" w:hAnsi="Arial Narrow"/>
          <w:b/>
        </w:rPr>
      </w:pPr>
      <w:r w:rsidRPr="00B9518B">
        <w:rPr>
          <w:rFonts w:ascii="Arial Narrow" w:hAnsi="Arial Narrow"/>
        </w:rPr>
        <w:t>TBC</w:t>
      </w:r>
      <w:r w:rsidR="00432828">
        <w:rPr>
          <w:rFonts w:ascii="Arial Narrow" w:hAnsi="Arial Narrow"/>
        </w:rPr>
        <w:t xml:space="preserve"> </w:t>
      </w:r>
      <w:r w:rsidRPr="00B9518B">
        <w:rPr>
          <w:rFonts w:ascii="Arial Narrow" w:hAnsi="Arial Narrow"/>
        </w:rPr>
        <w:t>=</w:t>
      </w:r>
      <w:r w:rsidR="002E7011" w:rsidRPr="00B9518B">
        <w:rPr>
          <w:rFonts w:ascii="Arial Narrow" w:hAnsi="Arial Narrow"/>
        </w:rPr>
        <w:t xml:space="preserve"> </w:t>
      </w:r>
      <w:r w:rsidRPr="00B9518B">
        <w:rPr>
          <w:rFonts w:ascii="Arial Narrow" w:hAnsi="Arial Narrow"/>
        </w:rPr>
        <w:t>to be confirmed</w:t>
      </w:r>
    </w:p>
    <w:p w14:paraId="2FB05734" w14:textId="495ECAED" w:rsidR="006C09A3" w:rsidRPr="0084135C" w:rsidRDefault="001473D5" w:rsidP="0084135C">
      <w:pPr>
        <w:pStyle w:val="TableNotes"/>
        <w:tabs>
          <w:tab w:val="clear" w:pos="1134"/>
          <w:tab w:val="left" w:pos="0"/>
        </w:tabs>
        <w:spacing w:after="120"/>
        <w:ind w:left="0" w:firstLine="0"/>
        <w:jc w:val="both"/>
        <w:rPr>
          <w:rFonts w:ascii="Arial Narrow" w:hAnsi="Arial Narrow"/>
        </w:rPr>
      </w:pPr>
      <w:r w:rsidRPr="001473D5">
        <w:rPr>
          <w:rFonts w:ascii="Arial Narrow" w:hAnsi="Arial Narrow"/>
          <w:vertAlign w:val="superscript"/>
        </w:rPr>
        <w:t>a</w:t>
      </w:r>
      <w:r w:rsidR="008B7B96" w:rsidRPr="00B9518B">
        <w:rPr>
          <w:rFonts w:ascii="Arial Narrow" w:hAnsi="Arial Narrow"/>
        </w:rPr>
        <w:t xml:space="preserve"> Each vial of 0.24 mL contains 28.8 mg of faricimab at a concentration of 120 mg/</w:t>
      </w:r>
      <w:r w:rsidR="0084135C" w:rsidRPr="00B9518B">
        <w:rPr>
          <w:rFonts w:ascii="Arial Narrow" w:hAnsi="Arial Narrow"/>
        </w:rPr>
        <w:t>m</w:t>
      </w:r>
      <w:r w:rsidR="0084135C">
        <w:rPr>
          <w:rFonts w:ascii="Arial Narrow" w:hAnsi="Arial Narrow"/>
        </w:rPr>
        <w:t xml:space="preserve">L. </w:t>
      </w:r>
      <w:r w:rsidR="0084135C" w:rsidRPr="00B9518B">
        <w:rPr>
          <w:rFonts w:ascii="Arial Narrow" w:hAnsi="Arial Narrow"/>
        </w:rPr>
        <w:t>This</w:t>
      </w:r>
      <w:r w:rsidR="008B7B96" w:rsidRPr="00B9518B">
        <w:rPr>
          <w:rFonts w:ascii="Arial Narrow" w:hAnsi="Arial Narrow"/>
        </w:rPr>
        <w:t xml:space="preserve"> provides a usable amount to deliver a single dose of 0.05 mL solution containing 6 mg of faricimab.</w:t>
      </w:r>
    </w:p>
    <w:p w14:paraId="2DF6A095" w14:textId="65B6AA1F" w:rsidR="0098268B" w:rsidRPr="00873192" w:rsidRDefault="00404E6D" w:rsidP="001C2A71">
      <w:pPr>
        <w:pStyle w:val="3-BodyText"/>
      </w:pPr>
      <w:r w:rsidRPr="00404E6D">
        <w:t xml:space="preserve">The submission proposed a special pricing arrangement (SPA) with the effective price to be informed by the CMA. </w:t>
      </w:r>
    </w:p>
    <w:p w14:paraId="58B1AE60" w14:textId="34760719" w:rsidR="00F03C10" w:rsidRPr="00873192" w:rsidRDefault="00D81185" w:rsidP="001C2A71">
      <w:pPr>
        <w:pStyle w:val="3-BodyText"/>
      </w:pPr>
      <w:r w:rsidRPr="00873192">
        <w:t>The proposed</w:t>
      </w:r>
      <w:r w:rsidR="000B2FC8" w:rsidRPr="00873192">
        <w:t xml:space="preserve"> faricimab</w:t>
      </w:r>
      <w:r w:rsidRPr="00873192">
        <w:t xml:space="preserve"> restrictions</w:t>
      </w:r>
      <w:r w:rsidR="000B2FC8" w:rsidRPr="00873192">
        <w:t xml:space="preserve"> for RVO</w:t>
      </w:r>
      <w:r w:rsidRPr="00873192">
        <w:t xml:space="preserve"> </w:t>
      </w:r>
      <w:r w:rsidR="002D72E8">
        <w:t>were</w:t>
      </w:r>
      <w:r w:rsidR="002D72E8" w:rsidRPr="00873192">
        <w:t xml:space="preserve"> </w:t>
      </w:r>
      <w:r w:rsidRPr="00873192">
        <w:t xml:space="preserve">consistent </w:t>
      </w:r>
      <w:r w:rsidR="0038146D" w:rsidRPr="00873192">
        <w:t xml:space="preserve">with </w:t>
      </w:r>
      <w:r w:rsidR="00057853" w:rsidRPr="00873192">
        <w:t xml:space="preserve">the </w:t>
      </w:r>
      <w:r w:rsidRPr="00873192">
        <w:t xml:space="preserve">current PBS restrictions for aflibercept </w:t>
      </w:r>
      <w:r w:rsidR="00833F3A" w:rsidRPr="00873192">
        <w:t xml:space="preserve">and </w:t>
      </w:r>
      <w:r w:rsidRPr="00873192">
        <w:t xml:space="preserve">ranibizumab for </w:t>
      </w:r>
      <w:r w:rsidR="00054D90" w:rsidRPr="00873192">
        <w:t>central retinal vein occlusion (</w:t>
      </w:r>
      <w:r w:rsidR="00833F3A" w:rsidRPr="00873192">
        <w:t>CRVO</w:t>
      </w:r>
      <w:r w:rsidR="00054D90" w:rsidRPr="00873192">
        <w:t>)</w:t>
      </w:r>
      <w:r w:rsidR="00833F3A" w:rsidRPr="00873192">
        <w:t xml:space="preserve"> and </w:t>
      </w:r>
      <w:r w:rsidR="00054D90" w:rsidRPr="00873192">
        <w:t>branch retinal vein occlusion (</w:t>
      </w:r>
      <w:r w:rsidR="00833F3A" w:rsidRPr="00873192">
        <w:t>BRVO</w:t>
      </w:r>
      <w:r w:rsidR="00054D90" w:rsidRPr="00873192">
        <w:t>)</w:t>
      </w:r>
      <w:r w:rsidR="00833F3A" w:rsidRPr="00873192">
        <w:t xml:space="preserve"> </w:t>
      </w:r>
      <w:r w:rsidRPr="00873192">
        <w:t>but broader than the inclusion criteria in the pivotal trial</w:t>
      </w:r>
      <w:r w:rsidR="00833F3A" w:rsidRPr="00873192">
        <w:t>s</w:t>
      </w:r>
      <w:r w:rsidR="0038146D" w:rsidRPr="00873192">
        <w:t>,</w:t>
      </w:r>
      <w:r w:rsidRPr="00873192">
        <w:t xml:space="preserve"> </w:t>
      </w:r>
      <w:r w:rsidR="00833F3A" w:rsidRPr="00873192">
        <w:t>BALATON and COMINO</w:t>
      </w:r>
      <w:r w:rsidR="0038146D" w:rsidRPr="00873192">
        <w:t>,</w:t>
      </w:r>
      <w:r w:rsidRPr="00873192">
        <w:t xml:space="preserve"> which included only treatment-naïve patients.</w:t>
      </w:r>
    </w:p>
    <w:p w14:paraId="0B148790" w14:textId="08F21528" w:rsidR="00D81185" w:rsidRPr="00873192" w:rsidRDefault="00F03C10" w:rsidP="001D1F01">
      <w:pPr>
        <w:pStyle w:val="3-BodyText"/>
      </w:pPr>
      <w:r w:rsidRPr="00873192">
        <w:rPr>
          <w:rFonts w:cstheme="minorHAnsi"/>
        </w:rPr>
        <w:t>The submission did not propose a separate restriction for hemicentral retinal vein occlusion (HRVO). The COMINO trial include</w:t>
      </w:r>
      <w:r w:rsidR="00C42D3C" w:rsidRPr="00873192">
        <w:rPr>
          <w:rFonts w:cstheme="minorHAnsi"/>
        </w:rPr>
        <w:t>d</w:t>
      </w:r>
      <w:r w:rsidRPr="00873192">
        <w:rPr>
          <w:rFonts w:cstheme="minorHAnsi"/>
        </w:rPr>
        <w:t xml:space="preserve"> both HRVO and CRVO patients. </w:t>
      </w:r>
      <w:r w:rsidR="0075734A" w:rsidRPr="001D1F01">
        <w:rPr>
          <w:rFonts w:cstheme="minorHAnsi"/>
        </w:rPr>
        <w:t>The ESC considered that it would be appropriate for</w:t>
      </w:r>
      <w:r w:rsidRPr="001D1F01">
        <w:rPr>
          <w:rFonts w:cstheme="minorHAnsi"/>
        </w:rPr>
        <w:t xml:space="preserve"> HRVO patients </w:t>
      </w:r>
      <w:r w:rsidR="0075734A" w:rsidRPr="001D1F01">
        <w:rPr>
          <w:rFonts w:cstheme="minorHAnsi"/>
        </w:rPr>
        <w:t>to</w:t>
      </w:r>
      <w:r w:rsidRPr="001D1F01">
        <w:rPr>
          <w:rFonts w:cstheme="minorHAnsi"/>
        </w:rPr>
        <w:t xml:space="preserve"> access faricimab through the CRVO restriction.</w:t>
      </w:r>
      <w:r w:rsidR="00D07533" w:rsidRPr="00873192">
        <w:t xml:space="preserve"> </w:t>
      </w:r>
    </w:p>
    <w:p w14:paraId="219B60FF" w14:textId="4736CC33" w:rsidR="0096530C" w:rsidRPr="001476FA" w:rsidRDefault="0096530C" w:rsidP="00585FDD">
      <w:pPr>
        <w:pStyle w:val="3-BodyText"/>
      </w:pPr>
      <w:r w:rsidRPr="00873192">
        <w:t>The submission requested PBS listing for a vial (faricimab 28.8</w:t>
      </w:r>
      <w:r w:rsidR="000976B0">
        <w:t> </w:t>
      </w:r>
      <w:r w:rsidRPr="00873192">
        <w:t>mg in 0.24</w:t>
      </w:r>
      <w:r w:rsidR="000976B0">
        <w:t> </w:t>
      </w:r>
      <w:r w:rsidRPr="00873192">
        <w:t>mL) and a pre-filled syringe (faricimab 24.0</w:t>
      </w:r>
      <w:r w:rsidR="000976B0">
        <w:t> </w:t>
      </w:r>
      <w:r w:rsidRPr="00873192">
        <w:t>mg in 0.2</w:t>
      </w:r>
      <w:r w:rsidR="000976B0">
        <w:t> </w:t>
      </w:r>
      <w:r w:rsidRPr="00873192">
        <w:t>mL); however, the pre-filled syringe presentation is not part of the TGA application to extend the indication to RVO</w:t>
      </w:r>
      <w:r w:rsidR="00A024DD">
        <w:t xml:space="preserve"> </w:t>
      </w:r>
      <w:r w:rsidR="00A024DD" w:rsidRPr="001476FA">
        <w:t>(vial presentation only)</w:t>
      </w:r>
      <w:r w:rsidRPr="001476FA">
        <w:t xml:space="preserve">. </w:t>
      </w:r>
      <w:r w:rsidR="0075734A" w:rsidRPr="001476FA">
        <w:t xml:space="preserve">The </w:t>
      </w:r>
      <w:r w:rsidR="001D1F01">
        <w:t>Pre-Sub-Committee Response (</w:t>
      </w:r>
      <w:r w:rsidR="0075734A" w:rsidRPr="001476FA">
        <w:t>PSCR</w:t>
      </w:r>
      <w:r w:rsidR="001D1F01">
        <w:t>)</w:t>
      </w:r>
      <w:r w:rsidR="0075734A" w:rsidRPr="001476FA">
        <w:t xml:space="preserve"> stated that an</w:t>
      </w:r>
      <w:r w:rsidR="003259C6" w:rsidRPr="001476FA">
        <w:t xml:space="preserve"> additional</w:t>
      </w:r>
      <w:r w:rsidR="0075734A" w:rsidRPr="001476FA">
        <w:t xml:space="preserve"> application to the TGA for the pre-filled syringe was submitted in May 2024. The ESC</w:t>
      </w:r>
      <w:r w:rsidR="003C05DE">
        <w:t xml:space="preserve"> and the PBAC</w:t>
      </w:r>
      <w:r w:rsidR="0075734A" w:rsidRPr="001476FA">
        <w:t xml:space="preserve"> </w:t>
      </w:r>
      <w:r w:rsidR="003C05DE">
        <w:t>acknowledged</w:t>
      </w:r>
      <w:r w:rsidR="003C05DE" w:rsidRPr="001476FA">
        <w:t xml:space="preserve"> </w:t>
      </w:r>
      <w:r w:rsidR="0075734A" w:rsidRPr="001476FA">
        <w:t xml:space="preserve">the sponsor’s request to consider this presentation at the July 2024 meeting, but </w:t>
      </w:r>
      <w:r w:rsidR="003C05DE">
        <w:t>noted that</w:t>
      </w:r>
      <w:r w:rsidR="00BA4CE0" w:rsidRPr="001476FA">
        <w:t xml:space="preserve"> there is a</w:t>
      </w:r>
      <w:r w:rsidR="0075734A" w:rsidRPr="001476FA">
        <w:t xml:space="preserve"> requirement for</w:t>
      </w:r>
      <w:r w:rsidR="00585FDD" w:rsidRPr="001476FA">
        <w:t xml:space="preserve"> lodgement of a registration dossier with the TGA prior to making a submission to the PBAC</w:t>
      </w:r>
      <w:r w:rsidR="004A7424" w:rsidRPr="001476FA">
        <w:t xml:space="preserve">. </w:t>
      </w:r>
    </w:p>
    <w:p w14:paraId="72244DB7" w14:textId="1CE2AC8D" w:rsidR="00B9518B" w:rsidRDefault="00B9518B" w:rsidP="001C2A71">
      <w:pPr>
        <w:pStyle w:val="3-BodyText"/>
      </w:pPr>
      <w:r w:rsidRPr="00873192">
        <w:t>The submission requested grandfathering provisions, however</w:t>
      </w:r>
      <w:r w:rsidR="0038146D" w:rsidRPr="00873192">
        <w:t>,</w:t>
      </w:r>
      <w:r w:rsidRPr="00873192">
        <w:t xml:space="preserve"> did not provide an estimate of the number of patients eligible for grandfathering. </w:t>
      </w:r>
    </w:p>
    <w:p w14:paraId="7B583C1B" w14:textId="5D48DA03" w:rsidR="00533F0F" w:rsidRPr="00873192" w:rsidRDefault="00533F0F" w:rsidP="00533F0F">
      <w:pPr>
        <w:pStyle w:val="3-BodyText"/>
        <w:numPr>
          <w:ilvl w:val="0"/>
          <w:numId w:val="0"/>
        </w:numPr>
        <w:ind w:left="720"/>
      </w:pPr>
      <w:r w:rsidRPr="00C33D30">
        <w:rPr>
          <w:i/>
        </w:rPr>
        <w:t>For more detail on PBAC’s view, see section 7 PBAC outcome.</w:t>
      </w:r>
    </w:p>
    <w:p w14:paraId="7075B85C" w14:textId="509A7348" w:rsidR="00B50DB8" w:rsidRPr="00407F2D" w:rsidDel="00195452" w:rsidRDefault="00203181" w:rsidP="001C2A71">
      <w:pPr>
        <w:pStyle w:val="2-SectionHeading"/>
        <w:jc w:val="both"/>
      </w:pPr>
      <w:bookmarkStart w:id="12" w:name="_Toc166768913"/>
      <w:r w:rsidDel="00195452">
        <w:t xml:space="preserve">Population and </w:t>
      </w:r>
      <w:r w:rsidR="008E0D3C" w:rsidDel="00195452">
        <w:t>d</w:t>
      </w:r>
      <w:r w:rsidDel="00195452">
        <w:t>isease</w:t>
      </w:r>
      <w:bookmarkEnd w:id="12"/>
    </w:p>
    <w:p w14:paraId="750F3F05" w14:textId="64190DAA" w:rsidR="0038146D" w:rsidRPr="002C27F3" w:rsidRDefault="005E7F55" w:rsidP="001C2A71">
      <w:pPr>
        <w:pStyle w:val="3-BodyText"/>
        <w:rPr>
          <w:color w:val="0066FF"/>
        </w:rPr>
      </w:pPr>
      <w:r w:rsidRPr="005E7F55">
        <w:t>RVO</w:t>
      </w:r>
      <w:r w:rsidR="00576B6E" w:rsidRPr="00576B6E">
        <w:t xml:space="preserve"> </w:t>
      </w:r>
      <w:r w:rsidR="00FA5B05">
        <w:t>is caused by</w:t>
      </w:r>
      <w:r w:rsidR="00576B6E" w:rsidRPr="00576B6E">
        <w:t xml:space="preserve"> the obstruction of retinal veins that drain blood from the back of the eye, which can be caused by a thrombus, external compression, or vessel wall disease. </w:t>
      </w:r>
      <w:r w:rsidR="002625FE" w:rsidRPr="005E7F55">
        <w:t xml:space="preserve">RVO leads to increased pressure within the retinal veins, causing </w:t>
      </w:r>
      <w:r w:rsidR="00621733" w:rsidRPr="005E7F55">
        <w:t>haemorrhages</w:t>
      </w:r>
      <w:r w:rsidR="002625FE" w:rsidRPr="005E7F55">
        <w:t xml:space="preserve">, </w:t>
      </w:r>
      <w:r w:rsidR="002625FE">
        <w:t>macular oedema</w:t>
      </w:r>
      <w:r w:rsidR="002625FE" w:rsidRPr="005E7F55">
        <w:t>, ischemia, and neovasculari</w:t>
      </w:r>
      <w:r w:rsidR="002625FE">
        <w:t>s</w:t>
      </w:r>
      <w:r w:rsidR="002625FE" w:rsidRPr="005E7F55">
        <w:t>ation</w:t>
      </w:r>
      <w:r w:rsidR="00FA5B05">
        <w:t>.</w:t>
      </w:r>
      <w:r w:rsidR="002625FE" w:rsidRPr="005E7F55">
        <w:t xml:space="preserve"> </w:t>
      </w:r>
      <w:r w:rsidR="00576B6E" w:rsidRPr="00576B6E">
        <w:t xml:space="preserve">RVO is classified based on the site of </w:t>
      </w:r>
      <w:r w:rsidR="00FA5B05">
        <w:t xml:space="preserve">retinal </w:t>
      </w:r>
      <w:r w:rsidR="00576B6E" w:rsidRPr="00576B6E">
        <w:t>occlusion. BRVO refers to obstruction of a branch retinal vein, CRVO is occlusion of the entire central retinal vein</w:t>
      </w:r>
      <w:r w:rsidR="00FA5B05">
        <w:t xml:space="preserve">. </w:t>
      </w:r>
      <w:r w:rsidR="00576B6E" w:rsidRPr="00576B6E">
        <w:t xml:space="preserve">HRVO </w:t>
      </w:r>
      <w:r w:rsidR="00FA5B05">
        <w:t xml:space="preserve">is </w:t>
      </w:r>
      <w:r w:rsidR="00B33307">
        <w:t xml:space="preserve">included </w:t>
      </w:r>
      <w:r w:rsidR="002C27F3">
        <w:t xml:space="preserve">in the </w:t>
      </w:r>
      <w:r w:rsidR="00F03C10">
        <w:t>submission</w:t>
      </w:r>
      <w:r w:rsidR="002C27F3">
        <w:t xml:space="preserve"> </w:t>
      </w:r>
      <w:r w:rsidR="00B33307">
        <w:t xml:space="preserve">as </w:t>
      </w:r>
      <w:r w:rsidR="00FA5B05">
        <w:t xml:space="preserve">a sub-type of CRVO and involves </w:t>
      </w:r>
      <w:r w:rsidR="00576B6E" w:rsidRPr="00576B6E">
        <w:t>occlusion of the</w:t>
      </w:r>
      <w:r w:rsidR="00CF7A41">
        <w:t xml:space="preserve"> </w:t>
      </w:r>
      <w:r w:rsidR="00CF7A41" w:rsidRPr="001476FA">
        <w:t>superior or inferior branches of the</w:t>
      </w:r>
      <w:r w:rsidR="00576B6E" w:rsidRPr="001476FA">
        <w:t xml:space="preserve"> </w:t>
      </w:r>
      <w:r w:rsidR="00576B6E" w:rsidRPr="00576B6E">
        <w:t>central retinal vein.</w:t>
      </w:r>
      <w:r w:rsidR="008D4033">
        <w:t xml:space="preserve"> </w:t>
      </w:r>
      <w:r w:rsidR="002C27F3" w:rsidRPr="00873192">
        <w:t>In Australia, the prevalence of RVO is estimated to be 0.96%, with BRVO observed in 0.72% of the population and CRVO in 0.24%</w:t>
      </w:r>
      <w:r w:rsidR="001D246A" w:rsidRPr="00873192">
        <w:t xml:space="preserve"> of the population</w:t>
      </w:r>
      <w:r w:rsidR="002C27F3" w:rsidRPr="00873192">
        <w:rPr>
          <w:rStyle w:val="FootnoteReference"/>
        </w:rPr>
        <w:footnoteReference w:id="2"/>
      </w:r>
      <w:r w:rsidR="002C27F3" w:rsidRPr="00873192">
        <w:t xml:space="preserve">. </w:t>
      </w:r>
      <w:r w:rsidR="006E4EBE" w:rsidRPr="00873192">
        <w:t>T</w:t>
      </w:r>
      <w:r w:rsidR="002C27F3" w:rsidRPr="00873192">
        <w:t xml:space="preserve">he American Academy of Ophthalmology stated </w:t>
      </w:r>
      <w:r w:rsidR="00F82E25" w:rsidRPr="00873192">
        <w:t xml:space="preserve">the incidence of </w:t>
      </w:r>
      <w:r w:rsidR="002C27F3" w:rsidRPr="00873192">
        <w:t>HRVO is rare compared to BRVO and CRVO.</w:t>
      </w:r>
      <w:r w:rsidR="002C27F3" w:rsidRPr="00E12FFD">
        <w:rPr>
          <w:i/>
          <w:iCs/>
        </w:rPr>
        <w:t xml:space="preserve"> </w:t>
      </w:r>
    </w:p>
    <w:p w14:paraId="0558C02A" w14:textId="6E233617" w:rsidR="00576B6E" w:rsidRPr="004A75D3" w:rsidRDefault="00576B6E" w:rsidP="001C2A71">
      <w:pPr>
        <w:pStyle w:val="3-BodyText"/>
        <w:rPr>
          <w:color w:val="0066FF"/>
        </w:rPr>
      </w:pPr>
      <w:r w:rsidRPr="00576B6E">
        <w:t>In the acute phase of RVO,</w:t>
      </w:r>
      <w:r w:rsidR="00F52D2C">
        <w:t xml:space="preserve"> chronic</w:t>
      </w:r>
      <w:r w:rsidRPr="00576B6E">
        <w:t xml:space="preserve"> macular </w:t>
      </w:r>
      <w:r w:rsidR="00D206E7">
        <w:t>o</w:t>
      </w:r>
      <w:r w:rsidRPr="00576B6E">
        <w:t>edema</w:t>
      </w:r>
      <w:r w:rsidR="00D206E7">
        <w:t>,</w:t>
      </w:r>
      <w:r w:rsidRPr="00576B6E">
        <w:t xml:space="preserve"> primarily due to VEGF-mediated breakdown of the blood-retinal barrier and increased venous pressure proximal to the occlusion site</w:t>
      </w:r>
      <w:r w:rsidR="00D206E7">
        <w:t>,</w:t>
      </w:r>
      <w:r w:rsidRPr="00576B6E">
        <w:t xml:space="preserve"> is a major driver of vision loss.</w:t>
      </w:r>
      <w:r w:rsidR="000612B2" w:rsidRPr="005E7F55">
        <w:t xml:space="preserve"> The prognosis depends on the degree of nonperfusion and occlusion location, as greater ischemia portends worse vision outcomes, making </w:t>
      </w:r>
      <w:r w:rsidR="000612B2">
        <w:t xml:space="preserve">macular oedema </w:t>
      </w:r>
      <w:r w:rsidR="000612B2" w:rsidRPr="005E7F55">
        <w:t>a primary therapeutic target to prevent vision loss in RVO.</w:t>
      </w:r>
    </w:p>
    <w:p w14:paraId="11FCAAEE" w14:textId="3A3A4024" w:rsidR="007627BE" w:rsidRDefault="002A209D" w:rsidP="001C2A71">
      <w:pPr>
        <w:pStyle w:val="3-BodyText"/>
      </w:pPr>
      <w:r w:rsidRPr="008005EF">
        <w:t>Faricimab is a humanised bispecific immunoglobulin G1 (IgG1) antibody that acts through inhibition of two distinct pathways by neutrali</w:t>
      </w:r>
      <w:r w:rsidR="00472154">
        <w:t>s</w:t>
      </w:r>
      <w:r w:rsidRPr="008005EF">
        <w:t>ation of both angiopoietin-2 (Ang-2) and VEGF-A reduc</w:t>
      </w:r>
      <w:r w:rsidR="00B919A4">
        <w:t xml:space="preserve">ing </w:t>
      </w:r>
      <w:r w:rsidRPr="008005EF">
        <w:t>vascular permeability and inflammation while restoring stability.</w:t>
      </w:r>
      <w:r w:rsidR="00B12069">
        <w:t xml:space="preserve"> </w:t>
      </w:r>
    </w:p>
    <w:p w14:paraId="51E5AE96" w14:textId="41D6F74B" w:rsidR="00B50DB8" w:rsidRPr="00407F2D" w:rsidRDefault="00B50DB8" w:rsidP="001C2A71">
      <w:pPr>
        <w:pStyle w:val="2-SectionHeading"/>
        <w:jc w:val="both"/>
      </w:pPr>
      <w:bookmarkStart w:id="13" w:name="_Toc166768914"/>
      <w:r w:rsidRPr="00407F2D">
        <w:t>Comparator</w:t>
      </w:r>
      <w:bookmarkEnd w:id="13"/>
    </w:p>
    <w:p w14:paraId="6221212E" w14:textId="77777777" w:rsidR="00E44F1E" w:rsidRDefault="00E44F1E" w:rsidP="001C2A71">
      <w:pPr>
        <w:pStyle w:val="3-BodyText"/>
      </w:pPr>
      <w:r w:rsidRPr="00E44F1E">
        <w:t>The submission nominated aflibercept as the main comparator. The main arguments provided in support of this nomination were that:</w:t>
      </w:r>
    </w:p>
    <w:p w14:paraId="49CAE19D" w14:textId="0DAA3A29" w:rsidR="00E44F1E" w:rsidRPr="00E44F1E" w:rsidRDefault="00E44F1E" w:rsidP="00873784">
      <w:pPr>
        <w:pStyle w:val="3-BodyText"/>
        <w:numPr>
          <w:ilvl w:val="0"/>
          <w:numId w:val="8"/>
        </w:numPr>
      </w:pPr>
      <w:r w:rsidRPr="00E44F1E">
        <w:t>Aflibercept is the most commonly used anti-VEGF injection</w:t>
      </w:r>
      <w:r w:rsidR="00D07533">
        <w:t xml:space="preserve"> for RVO</w:t>
      </w:r>
      <w:r w:rsidRPr="00E44F1E">
        <w:t xml:space="preserve"> on the PBS, with a near 80% market share, and thus is the therapy most likely to be replaced in clinical practice.</w:t>
      </w:r>
    </w:p>
    <w:p w14:paraId="073E3255" w14:textId="02964C3E" w:rsidR="00E44F1E" w:rsidRPr="00E44F1E" w:rsidRDefault="00E44F1E" w:rsidP="00873784">
      <w:pPr>
        <w:pStyle w:val="3-BodyText"/>
        <w:numPr>
          <w:ilvl w:val="0"/>
          <w:numId w:val="8"/>
        </w:numPr>
      </w:pPr>
      <w:r w:rsidRPr="00E44F1E">
        <w:t>Ranibizumab</w:t>
      </w:r>
      <w:r w:rsidR="0038146D">
        <w:t xml:space="preserve"> </w:t>
      </w:r>
      <w:r w:rsidR="00BD2EA1">
        <w:t xml:space="preserve">is </w:t>
      </w:r>
      <w:r w:rsidR="00F82BC8">
        <w:t>an</w:t>
      </w:r>
      <w:r w:rsidR="0038146D">
        <w:t xml:space="preserve">other </w:t>
      </w:r>
      <w:r w:rsidRPr="00E44F1E">
        <w:t>anti-VEGF</w:t>
      </w:r>
      <w:r w:rsidR="0038146D">
        <w:t xml:space="preserve"> therapy</w:t>
      </w:r>
      <w:r w:rsidRPr="00E44F1E">
        <w:t xml:space="preserve"> </w:t>
      </w:r>
      <w:r w:rsidR="00E64ECA">
        <w:t>PBS listed</w:t>
      </w:r>
      <w:r w:rsidRPr="00E44F1E">
        <w:t xml:space="preserve"> for RVO</w:t>
      </w:r>
      <w:r w:rsidR="0038146D">
        <w:t>,</w:t>
      </w:r>
      <w:r w:rsidR="00BD2EA1">
        <w:t xml:space="preserve"> however its</w:t>
      </w:r>
      <w:r w:rsidRPr="00E44F1E">
        <w:t xml:space="preserve"> utilisation has been declining year</w:t>
      </w:r>
      <w:r w:rsidR="00542118">
        <w:t>-</w:t>
      </w:r>
      <w:r w:rsidRPr="00E44F1E">
        <w:t>on</w:t>
      </w:r>
      <w:r w:rsidR="00542118">
        <w:t>-</w:t>
      </w:r>
      <w:r w:rsidRPr="00E44F1E">
        <w:t>year since 2021.</w:t>
      </w:r>
    </w:p>
    <w:p w14:paraId="781DA8BD" w14:textId="7CA6B8D2" w:rsidR="00E44F1E" w:rsidRPr="00873192" w:rsidRDefault="00E44F1E" w:rsidP="001C2A71">
      <w:pPr>
        <w:pStyle w:val="3-BodyText"/>
      </w:pPr>
      <w:r w:rsidRPr="00873192">
        <w:t>The</w:t>
      </w:r>
      <w:r w:rsidR="00C74920">
        <w:t xml:space="preserve"> </w:t>
      </w:r>
      <w:r w:rsidR="00C74920" w:rsidRPr="001476FA">
        <w:t>ESC</w:t>
      </w:r>
      <w:r w:rsidR="009F6BA2">
        <w:t xml:space="preserve"> and the PBAC</w:t>
      </w:r>
      <w:r w:rsidR="00C74920" w:rsidRPr="001476FA">
        <w:t xml:space="preserve"> agreed with the evaluation that the</w:t>
      </w:r>
      <w:r w:rsidRPr="001476FA">
        <w:t xml:space="preserve"> </w:t>
      </w:r>
      <w:r w:rsidRPr="00873192">
        <w:t>nominated comparator</w:t>
      </w:r>
      <w:r w:rsidR="005539E8" w:rsidRPr="00873192">
        <w:t>, aflibercept,</w:t>
      </w:r>
      <w:r w:rsidRPr="00873192">
        <w:t xml:space="preserve"> was appropriate given it is the therapy that prescribers would most likely replace if faricimab is listed. </w:t>
      </w:r>
    </w:p>
    <w:p w14:paraId="25BC587B" w14:textId="6610B322" w:rsidR="00E44F1E" w:rsidRPr="00873192" w:rsidRDefault="00E44F1E" w:rsidP="001C2A71">
      <w:pPr>
        <w:pStyle w:val="3-BodyText"/>
      </w:pPr>
      <w:r w:rsidRPr="00873192">
        <w:t xml:space="preserve">In the context of the cost-minimisation approach taken by the submission, a further consideration for </w:t>
      </w:r>
      <w:r w:rsidR="0038146D" w:rsidRPr="00873192">
        <w:t xml:space="preserve">the </w:t>
      </w:r>
      <w:r w:rsidRPr="00873192">
        <w:t xml:space="preserve">PBAC is that, under Section 101(3B) of the </w:t>
      </w:r>
      <w:r w:rsidRPr="002371C6">
        <w:rPr>
          <w:i/>
          <w:iCs/>
        </w:rPr>
        <w:t>National Health Act 1953</w:t>
      </w:r>
      <w:r w:rsidRPr="00873192">
        <w:t xml:space="preserve">, when the proposed medicine is substantially more costly than an alternative therapy, the </w:t>
      </w:r>
      <w:r w:rsidR="0038146D" w:rsidRPr="00873192">
        <w:t xml:space="preserve">Committee </w:t>
      </w:r>
      <w:r w:rsidRPr="00873192">
        <w:t xml:space="preserve">cannot make a positive recommendation unless it is satisfied that, for some patients, the proposed medicine provides a significant improvement in efficacy and/or reduction of toxicity over the alternative therapy. If the </w:t>
      </w:r>
      <w:r w:rsidR="0038146D" w:rsidRPr="00873192">
        <w:t xml:space="preserve">Committee </w:t>
      </w:r>
      <w:r w:rsidRPr="00873192">
        <w:t>is so satisfied, it must make a statement to this effect.</w:t>
      </w:r>
    </w:p>
    <w:p w14:paraId="6BEA76F7" w14:textId="7478C479" w:rsidR="003C00FA" w:rsidRPr="00533F0F" w:rsidRDefault="00324C5C" w:rsidP="001C2A71">
      <w:pPr>
        <w:pStyle w:val="3-BodyText"/>
        <w:rPr>
          <w:iCs/>
          <w:snapToGrid/>
          <w:color w:val="0066FF"/>
          <w:lang w:val="en-US"/>
        </w:rPr>
      </w:pPr>
      <w:bookmarkStart w:id="14" w:name="_Ref107305381"/>
      <w:r w:rsidRPr="00873192">
        <w:rPr>
          <w:snapToGrid/>
          <w:lang w:val="en-US"/>
        </w:rPr>
        <w:t xml:space="preserve">For the requested population, </w:t>
      </w:r>
      <w:r w:rsidR="00D07533" w:rsidRPr="00873192">
        <w:rPr>
          <w:snapToGrid/>
          <w:lang w:val="en-US"/>
        </w:rPr>
        <w:t>ranibizumab</w:t>
      </w:r>
      <w:r w:rsidRPr="00873192">
        <w:rPr>
          <w:snapToGrid/>
          <w:lang w:val="en-US"/>
        </w:rPr>
        <w:t xml:space="preserve"> may be considered an alternative therapy </w:t>
      </w:r>
      <w:r w:rsidR="005637B9" w:rsidRPr="001476FA">
        <w:rPr>
          <w:snapToGrid/>
          <w:lang w:val="en-US"/>
        </w:rPr>
        <w:t>(in addition to aflibercept)</w:t>
      </w:r>
      <w:r w:rsidR="005637B9">
        <w:rPr>
          <w:snapToGrid/>
          <w:lang w:val="en-US"/>
        </w:rPr>
        <w:t xml:space="preserve"> </w:t>
      </w:r>
      <w:r w:rsidRPr="00873192">
        <w:rPr>
          <w:snapToGrid/>
          <w:lang w:val="en-US"/>
        </w:rPr>
        <w:t xml:space="preserve">because </w:t>
      </w:r>
      <w:r w:rsidR="0038146D" w:rsidRPr="00873192">
        <w:rPr>
          <w:snapToGrid/>
          <w:lang w:val="en-US"/>
        </w:rPr>
        <w:t>it</w:t>
      </w:r>
      <w:r w:rsidRPr="00873192">
        <w:rPr>
          <w:snapToGrid/>
          <w:lang w:val="en-US"/>
        </w:rPr>
        <w:t xml:space="preserve"> could be replaced in practice. </w:t>
      </w:r>
      <w:r w:rsidR="005637B9" w:rsidRPr="001476FA">
        <w:rPr>
          <w:snapToGrid/>
          <w:lang w:val="en-US"/>
        </w:rPr>
        <w:t>The ESC</w:t>
      </w:r>
      <w:r w:rsidR="0003048B">
        <w:rPr>
          <w:snapToGrid/>
          <w:lang w:val="en-US"/>
        </w:rPr>
        <w:t xml:space="preserve"> and the PBAC</w:t>
      </w:r>
      <w:r w:rsidR="005637B9" w:rsidRPr="001476FA">
        <w:rPr>
          <w:snapToGrid/>
          <w:lang w:val="en-US"/>
        </w:rPr>
        <w:t xml:space="preserve"> noted the submission did not provide any evidence that faricimab provides a significant improvement in efficacy or reduction of toxicity over the alternative therapies.</w:t>
      </w:r>
      <w:r w:rsidR="005637B9">
        <w:rPr>
          <w:snapToGrid/>
          <w:lang w:val="en-US"/>
        </w:rPr>
        <w:t xml:space="preserve"> </w:t>
      </w:r>
      <w:bookmarkStart w:id="15" w:name="_Hlk171956762"/>
      <w:r w:rsidR="001D246A" w:rsidRPr="00873192">
        <w:rPr>
          <w:snapToGrid/>
          <w:lang w:val="en-US"/>
        </w:rPr>
        <w:t>The PBAC previously accepted non-inferiority between aflibercept</w:t>
      </w:r>
      <w:r w:rsidR="001D246A" w:rsidRPr="001D246A">
        <w:rPr>
          <w:i/>
          <w:snapToGrid/>
          <w:lang w:val="en-US"/>
        </w:rPr>
        <w:t xml:space="preserve"> </w:t>
      </w:r>
      <w:r w:rsidR="001D246A" w:rsidRPr="00873192">
        <w:rPr>
          <w:iCs/>
          <w:snapToGrid/>
          <w:lang w:val="en-US"/>
        </w:rPr>
        <w:t xml:space="preserve">and ranibizumab </w:t>
      </w:r>
      <w:proofErr w:type="gramStart"/>
      <w:r w:rsidR="001D246A" w:rsidRPr="00873192">
        <w:rPr>
          <w:iCs/>
          <w:snapToGrid/>
          <w:lang w:val="en-US"/>
        </w:rPr>
        <w:t>on the basis of</w:t>
      </w:r>
      <w:proofErr w:type="gramEnd"/>
      <w:r w:rsidR="001D246A" w:rsidRPr="00873192">
        <w:rPr>
          <w:iCs/>
          <w:snapToGrid/>
          <w:lang w:val="en-US"/>
        </w:rPr>
        <w:t xml:space="preserve"> 1:1 dose relativity (para</w:t>
      </w:r>
      <w:r w:rsidR="00E70C35">
        <w:rPr>
          <w:iCs/>
          <w:snapToGrid/>
          <w:lang w:val="en-US"/>
        </w:rPr>
        <w:t>graph</w:t>
      </w:r>
      <w:r w:rsidR="001D246A" w:rsidRPr="00873192">
        <w:rPr>
          <w:iCs/>
          <w:snapToGrid/>
          <w:lang w:val="en-US"/>
        </w:rPr>
        <w:t xml:space="preserve"> 7.12, aflibercept CRVO </w:t>
      </w:r>
      <w:r w:rsidR="006F1346" w:rsidRPr="006F1346">
        <w:rPr>
          <w:iCs/>
          <w:snapToGrid/>
          <w:lang w:val="en-US"/>
        </w:rPr>
        <w:t xml:space="preserve">Public Summary Document </w:t>
      </w:r>
      <w:r w:rsidR="006F1346">
        <w:rPr>
          <w:iCs/>
          <w:snapToGrid/>
          <w:lang w:val="en-US"/>
        </w:rPr>
        <w:t>(</w:t>
      </w:r>
      <w:r w:rsidR="001D246A" w:rsidRPr="00873192">
        <w:rPr>
          <w:iCs/>
          <w:snapToGrid/>
          <w:lang w:val="en-US"/>
        </w:rPr>
        <w:t>PSD</w:t>
      </w:r>
      <w:r w:rsidR="006F1346">
        <w:rPr>
          <w:iCs/>
          <w:snapToGrid/>
          <w:lang w:val="en-US"/>
        </w:rPr>
        <w:t>)</w:t>
      </w:r>
      <w:r w:rsidR="001D246A" w:rsidRPr="00873192">
        <w:rPr>
          <w:iCs/>
          <w:snapToGrid/>
          <w:lang w:val="en-US"/>
        </w:rPr>
        <w:t>, November 2014 PBAC meeting, para</w:t>
      </w:r>
      <w:r w:rsidR="00E70C35">
        <w:rPr>
          <w:iCs/>
          <w:snapToGrid/>
          <w:lang w:val="en-US"/>
        </w:rPr>
        <w:t>graph</w:t>
      </w:r>
      <w:r w:rsidR="001D246A" w:rsidRPr="00873192">
        <w:rPr>
          <w:iCs/>
          <w:snapToGrid/>
          <w:lang w:val="en-US"/>
        </w:rPr>
        <w:t xml:space="preserve"> 7.8, aflibercept BRVO PSD, November 2015 PBAC meeting).</w:t>
      </w:r>
      <w:bookmarkEnd w:id="15"/>
      <w:r w:rsidR="001D246A" w:rsidRPr="00873192">
        <w:rPr>
          <w:iCs/>
          <w:snapToGrid/>
          <w:lang w:val="en-US"/>
        </w:rPr>
        <w:t xml:space="preserve"> </w:t>
      </w:r>
    </w:p>
    <w:p w14:paraId="5D346BBD" w14:textId="0F00531D" w:rsidR="00533F0F" w:rsidRPr="00873192" w:rsidRDefault="00533F0F" w:rsidP="00533F0F">
      <w:pPr>
        <w:pStyle w:val="3-BodyText"/>
        <w:numPr>
          <w:ilvl w:val="0"/>
          <w:numId w:val="0"/>
        </w:numPr>
        <w:ind w:left="720"/>
        <w:rPr>
          <w:iCs/>
          <w:snapToGrid/>
          <w:color w:val="0066FF"/>
          <w:lang w:val="en-US"/>
        </w:rPr>
      </w:pPr>
      <w:r w:rsidRPr="00C33D30">
        <w:rPr>
          <w:i/>
        </w:rPr>
        <w:t>For more detail on PBAC’s view, see section 7 PBAC outcome.</w:t>
      </w:r>
    </w:p>
    <w:p w14:paraId="7F9C27C8" w14:textId="77777777" w:rsidR="00223D5A" w:rsidRPr="00407F2D" w:rsidRDefault="00223D5A" w:rsidP="001C2A71">
      <w:pPr>
        <w:pStyle w:val="2-SectionHeading"/>
        <w:numPr>
          <w:ilvl w:val="0"/>
          <w:numId w:val="1"/>
        </w:numPr>
        <w:jc w:val="both"/>
      </w:pPr>
      <w:bookmarkStart w:id="16" w:name="_Toc166768915"/>
      <w:bookmarkStart w:id="17" w:name="_Toc22897640"/>
      <w:bookmarkEnd w:id="14"/>
      <w:r>
        <w:t>C</w:t>
      </w:r>
      <w:r w:rsidRPr="00407F2D">
        <w:t>onsideration of the evidence</w:t>
      </w:r>
      <w:bookmarkEnd w:id="16"/>
    </w:p>
    <w:p w14:paraId="4F260B9D" w14:textId="77777777" w:rsidR="00B04A98" w:rsidRPr="006E1229" w:rsidRDefault="00B04A98" w:rsidP="00B04A98">
      <w:pPr>
        <w:pStyle w:val="4-SubsectionHeading"/>
        <w:rPr>
          <w:lang w:eastAsia="en-AU"/>
        </w:rPr>
      </w:pPr>
      <w:bookmarkStart w:id="18" w:name="_Hlk76375935"/>
      <w:bookmarkStart w:id="19" w:name="_Toc166768916"/>
      <w:r w:rsidRPr="006E1229">
        <w:rPr>
          <w:lang w:eastAsia="en-AU"/>
        </w:rPr>
        <w:t>Sponsor hearing</w:t>
      </w:r>
    </w:p>
    <w:p w14:paraId="2E28542C" w14:textId="77777777" w:rsidR="00C9061C" w:rsidRPr="0096582C" w:rsidRDefault="00C9061C" w:rsidP="00C9061C">
      <w:pPr>
        <w:widowControl w:val="0"/>
        <w:numPr>
          <w:ilvl w:val="1"/>
          <w:numId w:val="1"/>
        </w:numPr>
        <w:spacing w:after="120"/>
        <w:jc w:val="both"/>
        <w:rPr>
          <w:rFonts w:ascii="Calibri" w:hAnsi="Calibri" w:cs="Calibri"/>
          <w:bCs/>
          <w:snapToGrid w:val="0"/>
        </w:rPr>
      </w:pPr>
      <w:r w:rsidRPr="00F91542">
        <w:rPr>
          <w:rFonts w:ascii="Calibri" w:hAnsi="Calibri" w:cs="Calibri"/>
          <w:bCs/>
          <w:snapToGrid w:val="0"/>
        </w:rPr>
        <w:t>There was no hearing for this item.</w:t>
      </w:r>
    </w:p>
    <w:p w14:paraId="14D64065" w14:textId="77777777" w:rsidR="00B04A98" w:rsidRPr="006E1229" w:rsidRDefault="00B04A98" w:rsidP="00B04A98">
      <w:pPr>
        <w:pStyle w:val="4-SubsectionHeading"/>
        <w:rPr>
          <w:lang w:eastAsia="en-AU"/>
        </w:rPr>
      </w:pPr>
      <w:r w:rsidRPr="006E1229">
        <w:rPr>
          <w:lang w:eastAsia="en-AU"/>
        </w:rPr>
        <w:t>Consumer comments</w:t>
      </w:r>
    </w:p>
    <w:p w14:paraId="465003BA" w14:textId="4A0DF64A" w:rsidR="00C9061C" w:rsidRPr="00C9061C" w:rsidRDefault="00C9061C" w:rsidP="00C9061C">
      <w:pPr>
        <w:widowControl w:val="0"/>
        <w:numPr>
          <w:ilvl w:val="1"/>
          <w:numId w:val="1"/>
        </w:numPr>
        <w:spacing w:after="120"/>
        <w:jc w:val="both"/>
        <w:rPr>
          <w:rFonts w:asciiTheme="minorHAnsi" w:hAnsiTheme="minorHAnsi" w:cs="Arial"/>
          <w:bCs/>
          <w:snapToGrid w:val="0"/>
        </w:rPr>
      </w:pPr>
      <w:bookmarkStart w:id="20" w:name="_Hlk76382618"/>
      <w:bookmarkEnd w:id="18"/>
      <w:r w:rsidRPr="00836F75">
        <w:rPr>
          <w:rFonts w:asciiTheme="minorHAnsi" w:hAnsiTheme="minorHAnsi" w:cs="Arial"/>
          <w:bCs/>
          <w:snapToGrid w:val="0"/>
        </w:rPr>
        <w:t xml:space="preserve">The PBAC noted and welcomed the input from </w:t>
      </w:r>
      <w:r w:rsidR="001D1F01">
        <w:rPr>
          <w:rFonts w:asciiTheme="minorHAnsi" w:hAnsiTheme="minorHAnsi" w:cs="Arial"/>
          <w:bCs/>
          <w:snapToGrid w:val="0"/>
        </w:rPr>
        <w:t xml:space="preserve">the Macular Disease Foundation Australia </w:t>
      </w:r>
      <w:r w:rsidRPr="00836F75">
        <w:rPr>
          <w:rFonts w:asciiTheme="minorHAnsi" w:hAnsiTheme="minorHAnsi" w:cs="Arial"/>
          <w:bCs/>
          <w:snapToGrid w:val="0"/>
        </w:rPr>
        <w:t>via the Consumer Comments facility on the PBS website</w:t>
      </w:r>
      <w:r w:rsidRPr="00550FBB">
        <w:rPr>
          <w:rFonts w:asciiTheme="minorHAnsi" w:hAnsiTheme="minorHAnsi" w:cs="Arial"/>
          <w:bCs/>
          <w:snapToGrid w:val="0"/>
        </w:rPr>
        <w:t xml:space="preserve"> clarifying the likely use of </w:t>
      </w:r>
      <w:r>
        <w:rPr>
          <w:rFonts w:asciiTheme="minorHAnsi" w:hAnsiTheme="minorHAnsi" w:cs="Arial"/>
          <w:bCs/>
          <w:snapToGrid w:val="0"/>
        </w:rPr>
        <w:t>faricimab</w:t>
      </w:r>
      <w:r w:rsidRPr="00550FBB">
        <w:rPr>
          <w:rFonts w:asciiTheme="minorHAnsi" w:hAnsiTheme="minorHAnsi" w:cs="Arial"/>
          <w:bCs/>
          <w:snapToGrid w:val="0"/>
        </w:rPr>
        <w:t xml:space="preserve"> in clinical practice. The PBAC specifically noted the advice that</w:t>
      </w:r>
      <w:r>
        <w:rPr>
          <w:rFonts w:asciiTheme="minorHAnsi" w:hAnsiTheme="minorHAnsi" w:cs="Arial"/>
          <w:bCs/>
          <w:snapToGrid w:val="0"/>
        </w:rPr>
        <w:t xml:space="preserve"> patients and clinicians are anticipating </w:t>
      </w:r>
      <w:r w:rsidRPr="00550FBB">
        <w:rPr>
          <w:rFonts w:asciiTheme="minorHAnsi" w:hAnsiTheme="minorHAnsi" w:cs="Arial"/>
          <w:bCs/>
          <w:snapToGrid w:val="0"/>
        </w:rPr>
        <w:t>alternative effective anti-VEGF agents for treating RVO</w:t>
      </w:r>
      <w:r w:rsidR="004036A5">
        <w:rPr>
          <w:rFonts w:asciiTheme="minorHAnsi" w:hAnsiTheme="minorHAnsi" w:cs="Arial"/>
          <w:bCs/>
          <w:snapToGrid w:val="0"/>
        </w:rPr>
        <w:t xml:space="preserve"> </w:t>
      </w:r>
      <w:r w:rsidRPr="00550FBB">
        <w:rPr>
          <w:rFonts w:asciiTheme="minorHAnsi" w:hAnsiTheme="minorHAnsi" w:cs="Arial"/>
          <w:bCs/>
          <w:snapToGrid w:val="0"/>
        </w:rPr>
        <w:t xml:space="preserve">that </w:t>
      </w:r>
      <w:r>
        <w:rPr>
          <w:rFonts w:asciiTheme="minorHAnsi" w:hAnsiTheme="minorHAnsi" w:cs="Arial"/>
          <w:bCs/>
          <w:snapToGrid w:val="0"/>
        </w:rPr>
        <w:t>may</w:t>
      </w:r>
      <w:r w:rsidRPr="00550FBB">
        <w:rPr>
          <w:rFonts w:asciiTheme="minorHAnsi" w:hAnsiTheme="minorHAnsi" w:cs="Arial"/>
          <w:bCs/>
          <w:snapToGrid w:val="0"/>
        </w:rPr>
        <w:t xml:space="preserve"> deliver longer intervals between eye injections, with efficacy and safety outcomes that are comparable with other current PBS-listed therapies for RVO. </w:t>
      </w:r>
    </w:p>
    <w:bookmarkEnd w:id="20"/>
    <w:p w14:paraId="609C0765" w14:textId="389A850A" w:rsidR="00B60939" w:rsidRPr="00C9624D" w:rsidRDefault="00B60939" w:rsidP="001C2A71">
      <w:pPr>
        <w:pStyle w:val="4-SubsectionHeading"/>
        <w:jc w:val="both"/>
      </w:pPr>
      <w:r w:rsidRPr="00C9624D">
        <w:t>Clinical trials</w:t>
      </w:r>
      <w:bookmarkEnd w:id="17"/>
      <w:bookmarkEnd w:id="19"/>
    </w:p>
    <w:p w14:paraId="17DE34DC" w14:textId="6AF5CAC0" w:rsidR="007F1017" w:rsidRPr="002E4F02" w:rsidRDefault="00A73134" w:rsidP="001C2A71">
      <w:pPr>
        <w:pStyle w:val="3-BodyText"/>
        <w:rPr>
          <w:color w:val="0066FF"/>
        </w:rPr>
      </w:pPr>
      <w:r>
        <w:rPr>
          <w:snapToGrid/>
          <w:lang w:val="en-US"/>
        </w:rPr>
        <w:t xml:space="preserve">The submission </w:t>
      </w:r>
      <w:r w:rsidR="00D5243B">
        <w:rPr>
          <w:snapToGrid/>
          <w:lang w:val="en-US"/>
        </w:rPr>
        <w:t>wa</w:t>
      </w:r>
      <w:r>
        <w:rPr>
          <w:snapToGrid/>
          <w:lang w:val="en-US"/>
        </w:rPr>
        <w:t xml:space="preserve">s based on </w:t>
      </w:r>
      <w:r w:rsidR="00DD6715">
        <w:rPr>
          <w:snapToGrid/>
          <w:lang w:val="en-US"/>
        </w:rPr>
        <w:t xml:space="preserve">2 </w:t>
      </w:r>
      <w:r>
        <w:rPr>
          <w:snapToGrid/>
          <w:lang w:val="en-US"/>
        </w:rPr>
        <w:t>head-to-head trial</w:t>
      </w:r>
      <w:r w:rsidR="00DD6715">
        <w:rPr>
          <w:snapToGrid/>
          <w:lang w:val="en-US"/>
        </w:rPr>
        <w:t>s</w:t>
      </w:r>
      <w:r w:rsidR="00074F81" w:rsidRPr="00F2453B">
        <w:rPr>
          <w:snapToGrid/>
        </w:rPr>
        <w:t xml:space="preserve">: </w:t>
      </w:r>
      <w:r w:rsidR="003C1E72">
        <w:t xml:space="preserve">BALATON </w:t>
      </w:r>
      <w:r w:rsidR="00074F81">
        <w:t xml:space="preserve">(n= </w:t>
      </w:r>
      <w:r w:rsidR="00AF4D50">
        <w:t xml:space="preserve">553) </w:t>
      </w:r>
      <w:r w:rsidR="003C1E72">
        <w:t xml:space="preserve">in patients with BRVO and COMINO </w:t>
      </w:r>
      <w:r w:rsidR="00B11ADA">
        <w:t xml:space="preserve">(n= 729) </w:t>
      </w:r>
      <w:r w:rsidR="003C1E72">
        <w:t>in patients with CRVO or HRVO</w:t>
      </w:r>
      <w:r w:rsidR="00B11ADA">
        <w:t>,</w:t>
      </w:r>
      <w:r w:rsidR="003C1E72">
        <w:rPr>
          <w:snapToGrid/>
          <w:lang w:val="en-US"/>
        </w:rPr>
        <w:t xml:space="preserve"> </w:t>
      </w:r>
      <w:r>
        <w:rPr>
          <w:snapToGrid/>
          <w:lang w:val="en-US"/>
        </w:rPr>
        <w:t xml:space="preserve">comparing </w:t>
      </w:r>
      <w:r w:rsidR="00DD6715">
        <w:rPr>
          <w:snapToGrid/>
          <w:lang w:val="en-US"/>
        </w:rPr>
        <w:t>faricimab</w:t>
      </w:r>
      <w:r>
        <w:rPr>
          <w:snapToGrid/>
          <w:lang w:val="en-US"/>
        </w:rPr>
        <w:t xml:space="preserve"> to </w:t>
      </w:r>
      <w:r w:rsidR="00DD6715">
        <w:rPr>
          <w:snapToGrid/>
          <w:lang w:val="en-US"/>
        </w:rPr>
        <w:t>aflibercept</w:t>
      </w:r>
      <w:r>
        <w:rPr>
          <w:snapToGrid/>
          <w:lang w:val="en-US"/>
        </w:rPr>
        <w:t>.</w:t>
      </w:r>
    </w:p>
    <w:p w14:paraId="2B59ABAC" w14:textId="3C207AAA" w:rsidR="00862502" w:rsidRPr="0042238F" w:rsidRDefault="00A73134" w:rsidP="001C2A71">
      <w:pPr>
        <w:pStyle w:val="3-BodyText"/>
      </w:pPr>
      <w:r>
        <w:rPr>
          <w:snapToGrid/>
          <w:lang w:val="en-US"/>
        </w:rPr>
        <w:t>Details of the trials presented in the submission are provided in</w:t>
      </w:r>
      <w:r w:rsidR="00212DA0">
        <w:rPr>
          <w:snapToGrid/>
          <w:lang w:val="en-US"/>
        </w:rPr>
        <w:t xml:space="preserve"> </w:t>
      </w:r>
      <w:r w:rsidR="00212DA0">
        <w:rPr>
          <w:snapToGrid/>
          <w:lang w:val="en-US"/>
        </w:rPr>
        <w:fldChar w:fldCharType="begin" w:fldLock="1"/>
      </w:r>
      <w:r w:rsidR="00212DA0">
        <w:rPr>
          <w:snapToGrid/>
          <w:lang w:val="en-US"/>
        </w:rPr>
        <w:instrText xml:space="preserve"> REF _Ref164175236 \h </w:instrText>
      </w:r>
      <w:r w:rsidR="001C2A71">
        <w:rPr>
          <w:snapToGrid/>
          <w:lang w:val="en-US"/>
        </w:rPr>
        <w:instrText xml:space="preserve"> \* MERGEFORMAT </w:instrText>
      </w:r>
      <w:r w:rsidR="00212DA0">
        <w:rPr>
          <w:snapToGrid/>
          <w:lang w:val="en-US"/>
        </w:rPr>
      </w:r>
      <w:r w:rsidR="00212DA0">
        <w:rPr>
          <w:snapToGrid/>
          <w:lang w:val="en-US"/>
        </w:rPr>
        <w:fldChar w:fldCharType="separate"/>
      </w:r>
      <w:r w:rsidR="00423F23">
        <w:t xml:space="preserve">Table </w:t>
      </w:r>
      <w:r w:rsidR="00423F23">
        <w:rPr>
          <w:noProof/>
        </w:rPr>
        <w:t>2</w:t>
      </w:r>
      <w:r w:rsidR="00212DA0">
        <w:rPr>
          <w:snapToGrid/>
          <w:lang w:val="en-US"/>
        </w:rPr>
        <w:fldChar w:fldCharType="end"/>
      </w:r>
      <w:r>
        <w:rPr>
          <w:snapToGrid/>
          <w:lang w:val="en-US"/>
        </w:rPr>
        <w:t>.</w:t>
      </w:r>
      <w:r w:rsidR="00BC591F">
        <w:rPr>
          <w:snapToGrid/>
          <w:lang w:val="en-US"/>
        </w:rPr>
        <w:t xml:space="preserve"> </w:t>
      </w:r>
    </w:p>
    <w:p w14:paraId="1A08D712" w14:textId="2590C797" w:rsidR="0042238F" w:rsidRPr="0023413C" w:rsidRDefault="00054DC9" w:rsidP="00EA693D">
      <w:pPr>
        <w:pStyle w:val="TableFigureHeading"/>
        <w:keepLines/>
        <w:jc w:val="both"/>
      </w:pPr>
      <w:bookmarkStart w:id="21" w:name="_Ref164175236"/>
      <w:r>
        <w:t xml:space="preserve">Table </w:t>
      </w:r>
      <w:r w:rsidR="001B6BE3">
        <w:fldChar w:fldCharType="begin" w:fldLock="1"/>
      </w:r>
      <w:r w:rsidR="001B6BE3">
        <w:instrText xml:space="preserve"> SEQ Table \* ARABIC </w:instrText>
      </w:r>
      <w:r w:rsidR="001B6BE3">
        <w:fldChar w:fldCharType="separate"/>
      </w:r>
      <w:r w:rsidR="00423F23">
        <w:rPr>
          <w:noProof/>
        </w:rPr>
        <w:t>2</w:t>
      </w:r>
      <w:r w:rsidR="001B6BE3">
        <w:rPr>
          <w:noProof/>
        </w:rPr>
        <w:fldChar w:fldCharType="end"/>
      </w:r>
      <w:bookmarkEnd w:id="21"/>
      <w:r>
        <w:t>:</w:t>
      </w:r>
      <w:r w:rsidRPr="002E4F02">
        <w:rPr>
          <w:rStyle w:val="CommentReference"/>
          <w:b/>
          <w:szCs w:val="24"/>
        </w:rPr>
        <w:t xml:space="preserve"> </w:t>
      </w:r>
      <w:r w:rsidRPr="0023413C">
        <w:rPr>
          <w:rStyle w:val="CommentReference"/>
          <w:b/>
          <w:szCs w:val="24"/>
        </w:rPr>
        <w:t>Trials and associated reports presented in the submission</w:t>
      </w:r>
      <w:r w:rsidR="00CB26F4">
        <w:rPr>
          <w:rStyle w:val="CommentReference"/>
          <w:b/>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42238F" w:rsidRPr="007E055C" w14:paraId="1177C38F" w14:textId="77777777" w:rsidTr="008457C9">
        <w:trPr>
          <w:tblHeader/>
        </w:trPr>
        <w:tc>
          <w:tcPr>
            <w:tcW w:w="796" w:type="pct"/>
            <w:vAlign w:val="center"/>
          </w:tcPr>
          <w:p w14:paraId="602F8DE7" w14:textId="77777777" w:rsidR="0042238F" w:rsidRPr="007E055C" w:rsidRDefault="0042238F" w:rsidP="00EA693D">
            <w:pPr>
              <w:pStyle w:val="Caption"/>
              <w:jc w:val="both"/>
              <w:rPr>
                <w:szCs w:val="20"/>
              </w:rPr>
            </w:pPr>
            <w:r w:rsidRPr="007E055C">
              <w:rPr>
                <w:szCs w:val="20"/>
              </w:rPr>
              <w:t>Trial ID</w:t>
            </w:r>
          </w:p>
        </w:tc>
        <w:tc>
          <w:tcPr>
            <w:tcW w:w="3027" w:type="pct"/>
            <w:vAlign w:val="center"/>
          </w:tcPr>
          <w:p w14:paraId="1B63B1E2" w14:textId="77777777" w:rsidR="0042238F" w:rsidRPr="007E055C" w:rsidRDefault="0042238F" w:rsidP="00EA693D">
            <w:pPr>
              <w:pStyle w:val="Caption"/>
              <w:jc w:val="both"/>
              <w:rPr>
                <w:szCs w:val="20"/>
              </w:rPr>
            </w:pPr>
            <w:r w:rsidRPr="007E055C">
              <w:rPr>
                <w:szCs w:val="20"/>
              </w:rPr>
              <w:t>Protocol title/ Publication title</w:t>
            </w:r>
          </w:p>
        </w:tc>
        <w:tc>
          <w:tcPr>
            <w:tcW w:w="1177" w:type="pct"/>
            <w:vAlign w:val="center"/>
          </w:tcPr>
          <w:p w14:paraId="5AABF235" w14:textId="77777777" w:rsidR="0042238F" w:rsidRPr="007E055C" w:rsidRDefault="0042238F" w:rsidP="00EA693D">
            <w:pPr>
              <w:pStyle w:val="Caption"/>
              <w:jc w:val="both"/>
              <w:rPr>
                <w:szCs w:val="20"/>
              </w:rPr>
            </w:pPr>
            <w:r w:rsidRPr="007E055C">
              <w:rPr>
                <w:szCs w:val="20"/>
              </w:rPr>
              <w:t>Publication citation</w:t>
            </w:r>
          </w:p>
        </w:tc>
      </w:tr>
      <w:tr w:rsidR="0042238F" w:rsidRPr="007E055C" w14:paraId="7B2E2D81" w14:textId="77777777" w:rsidTr="008457C9">
        <w:tc>
          <w:tcPr>
            <w:tcW w:w="796" w:type="pct"/>
            <w:vMerge w:val="restart"/>
            <w:vAlign w:val="center"/>
          </w:tcPr>
          <w:p w14:paraId="3A95F26E" w14:textId="77777777" w:rsidR="0042238F" w:rsidRPr="007E055C" w:rsidRDefault="0042238F" w:rsidP="00EA693D">
            <w:pPr>
              <w:pStyle w:val="TableText0"/>
              <w:keepLines/>
              <w:rPr>
                <w:szCs w:val="20"/>
              </w:rPr>
            </w:pPr>
            <w:r w:rsidRPr="007E055C">
              <w:rPr>
                <w:szCs w:val="20"/>
              </w:rPr>
              <w:t>BALATON (GR41984)</w:t>
            </w:r>
          </w:p>
        </w:tc>
        <w:tc>
          <w:tcPr>
            <w:tcW w:w="3027" w:type="pct"/>
            <w:tcBorders>
              <w:bottom w:val="nil"/>
            </w:tcBorders>
            <w:vAlign w:val="center"/>
          </w:tcPr>
          <w:p w14:paraId="2582499E" w14:textId="77777777" w:rsidR="0042238F" w:rsidRPr="007E055C" w:rsidRDefault="0042238F" w:rsidP="00EA693D">
            <w:pPr>
              <w:pStyle w:val="TableText0"/>
              <w:keepLines/>
              <w:rPr>
                <w:rFonts w:cstheme="minorHAnsi"/>
                <w:szCs w:val="20"/>
              </w:rPr>
            </w:pPr>
            <w:r w:rsidRPr="007E055C">
              <w:rPr>
                <w:rFonts w:cstheme="minorHAnsi"/>
                <w:szCs w:val="20"/>
              </w:rPr>
              <w:t>Primary CSR Study GR41984 (BALATON). A phase III, multicentre, randomised, double-masked, active comparator-controlled study to evaluate the efficacy and safety of faricimab in patients with macular oedema secondary to branch retinal vein occlusion.</w:t>
            </w:r>
          </w:p>
        </w:tc>
        <w:tc>
          <w:tcPr>
            <w:tcW w:w="1177" w:type="pct"/>
            <w:tcBorders>
              <w:bottom w:val="nil"/>
            </w:tcBorders>
            <w:vAlign w:val="center"/>
          </w:tcPr>
          <w:p w14:paraId="124EFC35" w14:textId="77777777" w:rsidR="0042238F" w:rsidRPr="007E055C" w:rsidRDefault="0042238F" w:rsidP="00EA693D">
            <w:pPr>
              <w:pStyle w:val="TableText0"/>
              <w:keepLines/>
              <w:rPr>
                <w:szCs w:val="20"/>
              </w:rPr>
            </w:pPr>
            <w:r w:rsidRPr="007E055C">
              <w:rPr>
                <w:rFonts w:cstheme="minorHAnsi"/>
                <w:szCs w:val="20"/>
              </w:rPr>
              <w:t>February 2023</w:t>
            </w:r>
          </w:p>
        </w:tc>
      </w:tr>
      <w:tr w:rsidR="0042238F" w:rsidRPr="007E055C" w14:paraId="14C79165" w14:textId="77777777" w:rsidTr="008457C9">
        <w:tc>
          <w:tcPr>
            <w:tcW w:w="796" w:type="pct"/>
            <w:vMerge/>
            <w:vAlign w:val="center"/>
          </w:tcPr>
          <w:p w14:paraId="3594AD2B" w14:textId="77777777" w:rsidR="0042238F" w:rsidRPr="007E055C" w:rsidRDefault="0042238F" w:rsidP="00EA693D">
            <w:pPr>
              <w:pStyle w:val="TableText0"/>
              <w:keepLines/>
              <w:rPr>
                <w:szCs w:val="20"/>
              </w:rPr>
            </w:pPr>
          </w:p>
        </w:tc>
        <w:tc>
          <w:tcPr>
            <w:tcW w:w="3027" w:type="pct"/>
            <w:tcBorders>
              <w:top w:val="nil"/>
              <w:bottom w:val="nil"/>
            </w:tcBorders>
            <w:vAlign w:val="center"/>
          </w:tcPr>
          <w:p w14:paraId="23C4157A" w14:textId="77777777" w:rsidR="0042238F" w:rsidRPr="007E055C" w:rsidRDefault="0042238F" w:rsidP="00EA693D">
            <w:pPr>
              <w:pStyle w:val="TableText0"/>
              <w:keepLines/>
              <w:rPr>
                <w:rFonts w:cstheme="minorHAnsi"/>
                <w:szCs w:val="20"/>
              </w:rPr>
            </w:pPr>
            <w:r w:rsidRPr="007E055C">
              <w:rPr>
                <w:rFonts w:cstheme="minorHAnsi"/>
                <w:szCs w:val="20"/>
              </w:rPr>
              <w:t xml:space="preserve">Update CSR Study GR41984 (BALATON): A phase III, multicentre, randomised, double-masked, active comparator-controlled study to evaluate the efficacy and safety of faricimab in patients with macular oedema secondary to branch retinal vein occlusion. </w:t>
            </w:r>
          </w:p>
        </w:tc>
        <w:tc>
          <w:tcPr>
            <w:tcW w:w="1177" w:type="pct"/>
            <w:tcBorders>
              <w:top w:val="nil"/>
              <w:bottom w:val="nil"/>
            </w:tcBorders>
            <w:vAlign w:val="center"/>
          </w:tcPr>
          <w:p w14:paraId="3478AE68" w14:textId="77777777" w:rsidR="0042238F" w:rsidRPr="007E055C" w:rsidRDefault="0042238F" w:rsidP="00EA693D">
            <w:pPr>
              <w:pStyle w:val="TableText0"/>
              <w:keepLines/>
              <w:rPr>
                <w:szCs w:val="20"/>
              </w:rPr>
            </w:pPr>
            <w:r w:rsidRPr="007E055C">
              <w:rPr>
                <w:rFonts w:cstheme="minorHAnsi"/>
                <w:szCs w:val="20"/>
              </w:rPr>
              <w:t>October 2023</w:t>
            </w:r>
          </w:p>
        </w:tc>
      </w:tr>
      <w:tr w:rsidR="0042238F" w:rsidRPr="007E055C" w14:paraId="4D087C77" w14:textId="77777777" w:rsidTr="008457C9">
        <w:tc>
          <w:tcPr>
            <w:tcW w:w="796" w:type="pct"/>
            <w:vMerge/>
            <w:vAlign w:val="center"/>
          </w:tcPr>
          <w:p w14:paraId="4721795A" w14:textId="77777777" w:rsidR="0042238F" w:rsidRPr="007E055C" w:rsidRDefault="0042238F" w:rsidP="00EA693D">
            <w:pPr>
              <w:pStyle w:val="TableText0"/>
              <w:keepLines/>
              <w:rPr>
                <w:szCs w:val="20"/>
              </w:rPr>
            </w:pPr>
          </w:p>
        </w:tc>
        <w:tc>
          <w:tcPr>
            <w:tcW w:w="3027" w:type="pct"/>
            <w:tcBorders>
              <w:top w:val="nil"/>
              <w:bottom w:val="nil"/>
            </w:tcBorders>
            <w:vAlign w:val="center"/>
          </w:tcPr>
          <w:p w14:paraId="6A394B3B" w14:textId="77777777" w:rsidR="0042238F" w:rsidRPr="007E055C" w:rsidRDefault="0042238F" w:rsidP="00EA693D">
            <w:pPr>
              <w:pStyle w:val="TableText0"/>
              <w:keepLines/>
              <w:rPr>
                <w:rFonts w:cstheme="minorHAnsi"/>
                <w:szCs w:val="20"/>
              </w:rPr>
            </w:pPr>
            <w:r w:rsidRPr="007E055C">
              <w:rPr>
                <w:rFonts w:cstheme="minorHAnsi"/>
                <w:szCs w:val="20"/>
              </w:rPr>
              <w:t>A Study to Evaluate the Efficacy and Safety of Faricimab in Patients with Macular Edema Secondary to Branch Retinal Vein Occlusion</w:t>
            </w:r>
          </w:p>
        </w:tc>
        <w:tc>
          <w:tcPr>
            <w:tcW w:w="1177" w:type="pct"/>
            <w:tcBorders>
              <w:top w:val="nil"/>
              <w:bottom w:val="nil"/>
            </w:tcBorders>
            <w:vAlign w:val="center"/>
          </w:tcPr>
          <w:p w14:paraId="330818F6" w14:textId="77777777" w:rsidR="0042238F" w:rsidRPr="007E055C" w:rsidRDefault="0042238F" w:rsidP="00EA693D">
            <w:pPr>
              <w:pStyle w:val="TableText0"/>
              <w:keepLines/>
              <w:rPr>
                <w:rFonts w:cstheme="minorHAnsi"/>
                <w:szCs w:val="20"/>
              </w:rPr>
            </w:pPr>
            <w:r w:rsidRPr="007E055C">
              <w:rPr>
                <w:rFonts w:cstheme="minorHAnsi"/>
                <w:szCs w:val="20"/>
              </w:rPr>
              <w:t>ICTRP WHO Euctr P.L.</w:t>
            </w:r>
          </w:p>
          <w:p w14:paraId="58B258E0" w14:textId="77777777" w:rsidR="0042238F" w:rsidRPr="007E055C" w:rsidRDefault="0042238F" w:rsidP="00EA693D">
            <w:pPr>
              <w:pStyle w:val="TableText0"/>
              <w:keepLines/>
              <w:rPr>
                <w:rFonts w:cstheme="minorHAnsi"/>
                <w:szCs w:val="20"/>
              </w:rPr>
            </w:pPr>
            <w:r w:rsidRPr="007E055C">
              <w:rPr>
                <w:rFonts w:cstheme="minorHAnsi"/>
                <w:szCs w:val="20"/>
              </w:rPr>
              <w:t>2020</w:t>
            </w:r>
          </w:p>
        </w:tc>
      </w:tr>
      <w:tr w:rsidR="0042238F" w:rsidRPr="007E055C" w14:paraId="0BFC4666" w14:textId="77777777" w:rsidTr="008457C9">
        <w:tc>
          <w:tcPr>
            <w:tcW w:w="796" w:type="pct"/>
            <w:vMerge/>
            <w:tcBorders>
              <w:bottom w:val="single" w:sz="4" w:space="0" w:color="auto"/>
            </w:tcBorders>
            <w:vAlign w:val="center"/>
          </w:tcPr>
          <w:p w14:paraId="599BBB11" w14:textId="77777777" w:rsidR="0042238F" w:rsidRPr="007E055C" w:rsidRDefault="0042238F" w:rsidP="00EA693D">
            <w:pPr>
              <w:pStyle w:val="TableText0"/>
              <w:keepLines/>
              <w:rPr>
                <w:szCs w:val="20"/>
              </w:rPr>
            </w:pPr>
          </w:p>
        </w:tc>
        <w:tc>
          <w:tcPr>
            <w:tcW w:w="3027" w:type="pct"/>
            <w:tcBorders>
              <w:top w:val="nil"/>
              <w:bottom w:val="single" w:sz="4" w:space="0" w:color="auto"/>
            </w:tcBorders>
            <w:vAlign w:val="center"/>
          </w:tcPr>
          <w:p w14:paraId="46647336" w14:textId="77777777" w:rsidR="0042238F" w:rsidRPr="007E055C" w:rsidRDefault="0042238F" w:rsidP="00EA693D">
            <w:pPr>
              <w:pStyle w:val="TableText0"/>
              <w:keepLines/>
              <w:rPr>
                <w:rFonts w:cstheme="minorHAnsi"/>
                <w:i/>
                <w:szCs w:val="20"/>
              </w:rPr>
            </w:pPr>
            <w:r w:rsidRPr="007E055C">
              <w:rPr>
                <w:rFonts w:cstheme="minorHAnsi"/>
                <w:szCs w:val="20"/>
                <w:lang w:val="fr-FR"/>
              </w:rPr>
              <w:t xml:space="preserve">Hoffmann-La Roche, Chugai Pharmaceutical. </w:t>
            </w:r>
            <w:r w:rsidRPr="007E055C">
              <w:rPr>
                <w:rFonts w:cstheme="minorHAnsi"/>
                <w:szCs w:val="20"/>
              </w:rPr>
              <w:t xml:space="preserve">A study to evaluate the efficacy and safety of faricimab in participants with macular oedema secondary to branch retinal vein occlusion. </w:t>
            </w:r>
          </w:p>
        </w:tc>
        <w:tc>
          <w:tcPr>
            <w:tcW w:w="1177" w:type="pct"/>
            <w:tcBorders>
              <w:top w:val="nil"/>
              <w:bottom w:val="single" w:sz="4" w:space="0" w:color="auto"/>
            </w:tcBorders>
            <w:vAlign w:val="center"/>
          </w:tcPr>
          <w:p w14:paraId="16A4B802" w14:textId="77777777" w:rsidR="0042238F" w:rsidRPr="004B079F" w:rsidRDefault="0042238F" w:rsidP="00EA693D">
            <w:pPr>
              <w:pStyle w:val="TableText0"/>
              <w:keepLines/>
              <w:rPr>
                <w:rFonts w:cstheme="minorHAnsi"/>
                <w:iCs/>
                <w:szCs w:val="20"/>
              </w:rPr>
            </w:pPr>
            <w:r w:rsidRPr="004B079F">
              <w:rPr>
                <w:rFonts w:cstheme="minorHAnsi"/>
                <w:iCs/>
                <w:szCs w:val="20"/>
              </w:rPr>
              <w:t>Clinicaltrials.gov</w:t>
            </w:r>
          </w:p>
          <w:p w14:paraId="4833F2F4" w14:textId="77777777" w:rsidR="0042238F" w:rsidRPr="004B079F" w:rsidRDefault="0042238F" w:rsidP="00EA693D">
            <w:pPr>
              <w:pStyle w:val="TableText0"/>
              <w:keepLines/>
              <w:rPr>
                <w:iCs/>
                <w:szCs w:val="20"/>
                <w:lang w:val="en-US"/>
              </w:rPr>
            </w:pPr>
            <w:r w:rsidRPr="004B079F">
              <w:rPr>
                <w:rFonts w:cstheme="minorHAnsi"/>
                <w:iCs/>
                <w:szCs w:val="20"/>
              </w:rPr>
              <w:t>Date not provided</w:t>
            </w:r>
          </w:p>
        </w:tc>
      </w:tr>
      <w:tr w:rsidR="0042238F" w:rsidRPr="007E055C" w14:paraId="66149ABE" w14:textId="77777777" w:rsidTr="008457C9">
        <w:tc>
          <w:tcPr>
            <w:tcW w:w="796" w:type="pct"/>
            <w:vMerge w:val="restart"/>
            <w:vAlign w:val="center"/>
          </w:tcPr>
          <w:p w14:paraId="68255CAB" w14:textId="77777777" w:rsidR="0042238F" w:rsidRPr="007E055C" w:rsidRDefault="0042238F" w:rsidP="00EA693D">
            <w:pPr>
              <w:pStyle w:val="TableText0"/>
              <w:keepLines/>
              <w:rPr>
                <w:szCs w:val="20"/>
              </w:rPr>
            </w:pPr>
            <w:r w:rsidRPr="007E055C">
              <w:rPr>
                <w:rFonts w:cstheme="minorHAnsi"/>
                <w:szCs w:val="20"/>
              </w:rPr>
              <w:t>COMINO (GR41986)</w:t>
            </w:r>
          </w:p>
        </w:tc>
        <w:tc>
          <w:tcPr>
            <w:tcW w:w="3027" w:type="pct"/>
            <w:tcBorders>
              <w:bottom w:val="nil"/>
            </w:tcBorders>
            <w:vAlign w:val="center"/>
          </w:tcPr>
          <w:p w14:paraId="7C60ED00" w14:textId="77777777" w:rsidR="0042238F" w:rsidRPr="007E055C" w:rsidRDefault="0042238F" w:rsidP="00EA693D">
            <w:pPr>
              <w:pStyle w:val="TableText0"/>
              <w:keepLines/>
              <w:rPr>
                <w:szCs w:val="20"/>
              </w:rPr>
            </w:pPr>
            <w:r w:rsidRPr="007E055C">
              <w:rPr>
                <w:rFonts w:cstheme="minorHAnsi"/>
                <w:szCs w:val="20"/>
              </w:rPr>
              <w:t xml:space="preserve">Primary CSR Study GR41986 (COMINO). A phase III, multicentre, randomised, double-masked, active comparator-controlled study to evaluate the efficacy and safety of faricimab in patients with macular oedema secondary to central of hemiretinal vein occlusion. </w:t>
            </w:r>
          </w:p>
        </w:tc>
        <w:tc>
          <w:tcPr>
            <w:tcW w:w="1177" w:type="pct"/>
            <w:tcBorders>
              <w:bottom w:val="nil"/>
            </w:tcBorders>
            <w:vAlign w:val="center"/>
          </w:tcPr>
          <w:p w14:paraId="2D7113E2" w14:textId="77777777" w:rsidR="0042238F" w:rsidRPr="004B079F" w:rsidRDefault="0042238F" w:rsidP="00EA693D">
            <w:pPr>
              <w:pStyle w:val="TableText0"/>
              <w:keepLines/>
              <w:rPr>
                <w:iCs/>
                <w:szCs w:val="20"/>
              </w:rPr>
            </w:pPr>
            <w:r w:rsidRPr="004B079F">
              <w:rPr>
                <w:rFonts w:cstheme="minorHAnsi"/>
                <w:iCs/>
                <w:szCs w:val="20"/>
              </w:rPr>
              <w:t>February 2023.</w:t>
            </w:r>
          </w:p>
        </w:tc>
      </w:tr>
      <w:tr w:rsidR="0042238F" w:rsidRPr="007E055C" w14:paraId="3E8DEBCA" w14:textId="77777777" w:rsidTr="008457C9">
        <w:tc>
          <w:tcPr>
            <w:tcW w:w="796" w:type="pct"/>
            <w:vMerge/>
            <w:vAlign w:val="center"/>
          </w:tcPr>
          <w:p w14:paraId="3F815C77" w14:textId="77777777" w:rsidR="0042238F" w:rsidRPr="007E055C" w:rsidRDefault="0042238F" w:rsidP="00EA693D">
            <w:pPr>
              <w:pStyle w:val="TableText0"/>
              <w:keepLines/>
              <w:rPr>
                <w:szCs w:val="20"/>
              </w:rPr>
            </w:pPr>
          </w:p>
        </w:tc>
        <w:tc>
          <w:tcPr>
            <w:tcW w:w="3027" w:type="pct"/>
            <w:tcBorders>
              <w:top w:val="nil"/>
              <w:bottom w:val="nil"/>
            </w:tcBorders>
            <w:vAlign w:val="center"/>
          </w:tcPr>
          <w:p w14:paraId="60C51B38" w14:textId="77777777" w:rsidR="0042238F" w:rsidRPr="007E055C" w:rsidRDefault="0042238F" w:rsidP="00EA693D">
            <w:pPr>
              <w:pStyle w:val="TableText0"/>
              <w:keepLines/>
              <w:rPr>
                <w:rFonts w:cstheme="minorHAnsi"/>
                <w:szCs w:val="20"/>
              </w:rPr>
            </w:pPr>
            <w:r w:rsidRPr="007E055C">
              <w:rPr>
                <w:rFonts w:cstheme="minorHAnsi"/>
                <w:szCs w:val="20"/>
              </w:rPr>
              <w:t>ICTRP WHO Euctr D.E. A study to evaluate the efficacy and safety of faricimab in patients with macular oedema secondary to central retinal or hemiretinal vein occlusion</w:t>
            </w:r>
          </w:p>
        </w:tc>
        <w:tc>
          <w:tcPr>
            <w:tcW w:w="1177" w:type="pct"/>
            <w:tcBorders>
              <w:top w:val="nil"/>
              <w:bottom w:val="nil"/>
            </w:tcBorders>
            <w:vAlign w:val="center"/>
          </w:tcPr>
          <w:p w14:paraId="04B212F5" w14:textId="77777777" w:rsidR="0042238F" w:rsidRPr="004B079F" w:rsidRDefault="0042238F" w:rsidP="00EA693D">
            <w:pPr>
              <w:pStyle w:val="TableText0"/>
              <w:keepLines/>
              <w:rPr>
                <w:iCs/>
                <w:szCs w:val="20"/>
              </w:rPr>
            </w:pPr>
            <w:r w:rsidRPr="004B079F">
              <w:rPr>
                <w:rFonts w:cstheme="minorHAnsi"/>
                <w:iCs/>
                <w:szCs w:val="20"/>
              </w:rPr>
              <w:t xml:space="preserve">ICTRP WHO Euctr P.L Date not provided </w:t>
            </w:r>
          </w:p>
        </w:tc>
      </w:tr>
      <w:tr w:rsidR="0042238F" w:rsidRPr="007E055C" w14:paraId="2394CD50" w14:textId="77777777" w:rsidTr="008457C9">
        <w:tc>
          <w:tcPr>
            <w:tcW w:w="796" w:type="pct"/>
            <w:vMerge/>
            <w:vAlign w:val="center"/>
          </w:tcPr>
          <w:p w14:paraId="659B735B" w14:textId="77777777" w:rsidR="0042238F" w:rsidRPr="007E055C" w:rsidRDefault="0042238F" w:rsidP="00EA693D">
            <w:pPr>
              <w:pStyle w:val="TableText0"/>
              <w:keepLines/>
              <w:rPr>
                <w:szCs w:val="20"/>
              </w:rPr>
            </w:pPr>
          </w:p>
        </w:tc>
        <w:tc>
          <w:tcPr>
            <w:tcW w:w="3027" w:type="pct"/>
            <w:tcBorders>
              <w:top w:val="nil"/>
              <w:bottom w:val="nil"/>
            </w:tcBorders>
            <w:vAlign w:val="center"/>
          </w:tcPr>
          <w:p w14:paraId="17A55522" w14:textId="77777777" w:rsidR="0042238F" w:rsidRPr="007E055C" w:rsidRDefault="0042238F" w:rsidP="00EA693D">
            <w:pPr>
              <w:pStyle w:val="TableText0"/>
              <w:keepLines/>
              <w:rPr>
                <w:szCs w:val="20"/>
              </w:rPr>
            </w:pPr>
            <w:r w:rsidRPr="007E055C">
              <w:rPr>
                <w:rFonts w:cstheme="minorHAnsi"/>
                <w:szCs w:val="20"/>
              </w:rPr>
              <w:t>A study to evaluate the efficacy and safety of faricimab in participants With macular oedema secondary to central retinal or hemiretinal vein occlusion.</w:t>
            </w:r>
          </w:p>
        </w:tc>
        <w:tc>
          <w:tcPr>
            <w:tcW w:w="1177" w:type="pct"/>
            <w:tcBorders>
              <w:top w:val="nil"/>
              <w:bottom w:val="nil"/>
            </w:tcBorders>
            <w:vAlign w:val="center"/>
          </w:tcPr>
          <w:p w14:paraId="3CBFC27B" w14:textId="77777777" w:rsidR="0042238F" w:rsidRPr="004B079F" w:rsidRDefault="0042238F" w:rsidP="00EA693D">
            <w:pPr>
              <w:pStyle w:val="TableText0"/>
              <w:keepLines/>
              <w:rPr>
                <w:iCs/>
                <w:szCs w:val="20"/>
              </w:rPr>
            </w:pPr>
            <w:r w:rsidRPr="004B079F">
              <w:rPr>
                <w:rFonts w:cstheme="minorHAnsi"/>
                <w:iCs/>
                <w:szCs w:val="20"/>
              </w:rPr>
              <w:t xml:space="preserve">ICTRP WHO Euctr P.L Date not provided </w:t>
            </w:r>
          </w:p>
        </w:tc>
      </w:tr>
      <w:tr w:rsidR="0042238F" w:rsidRPr="007E055C" w14:paraId="03881597" w14:textId="77777777" w:rsidTr="008457C9">
        <w:tc>
          <w:tcPr>
            <w:tcW w:w="796" w:type="pct"/>
            <w:vMerge/>
            <w:tcBorders>
              <w:bottom w:val="single" w:sz="4" w:space="0" w:color="auto"/>
            </w:tcBorders>
            <w:vAlign w:val="center"/>
          </w:tcPr>
          <w:p w14:paraId="1E954DBB" w14:textId="77777777" w:rsidR="0042238F" w:rsidRPr="007E055C" w:rsidRDefault="0042238F" w:rsidP="00EA693D">
            <w:pPr>
              <w:pStyle w:val="TableText0"/>
              <w:keepLines/>
              <w:rPr>
                <w:szCs w:val="20"/>
              </w:rPr>
            </w:pPr>
          </w:p>
        </w:tc>
        <w:tc>
          <w:tcPr>
            <w:tcW w:w="3027" w:type="pct"/>
            <w:tcBorders>
              <w:top w:val="nil"/>
              <w:bottom w:val="single" w:sz="4" w:space="0" w:color="auto"/>
            </w:tcBorders>
            <w:vAlign w:val="center"/>
          </w:tcPr>
          <w:p w14:paraId="60D3C657" w14:textId="77777777" w:rsidR="0042238F" w:rsidRPr="007E055C" w:rsidRDefault="0042238F" w:rsidP="00EA693D">
            <w:pPr>
              <w:pStyle w:val="TableText0"/>
              <w:keepLines/>
              <w:rPr>
                <w:rFonts w:cstheme="minorHAnsi"/>
                <w:i/>
                <w:szCs w:val="20"/>
              </w:rPr>
            </w:pPr>
            <w:r w:rsidRPr="007E055C">
              <w:rPr>
                <w:rFonts w:cstheme="minorHAnsi"/>
                <w:szCs w:val="20"/>
                <w:lang w:val="fr-FR"/>
              </w:rPr>
              <w:t xml:space="preserve">Hoffmann-La Roche, Chugai Pharmaceutical. </w:t>
            </w:r>
            <w:r w:rsidRPr="007E055C">
              <w:rPr>
                <w:rFonts w:cstheme="minorHAnsi"/>
                <w:szCs w:val="20"/>
              </w:rPr>
              <w:t xml:space="preserve">A study to evaluate the efficacy and safety of faricimab in participants with macular oedema secondary to central retinal or hemiretinal vein occlusion. </w:t>
            </w:r>
          </w:p>
        </w:tc>
        <w:tc>
          <w:tcPr>
            <w:tcW w:w="1177" w:type="pct"/>
            <w:tcBorders>
              <w:top w:val="nil"/>
              <w:bottom w:val="single" w:sz="4" w:space="0" w:color="auto"/>
            </w:tcBorders>
            <w:vAlign w:val="center"/>
          </w:tcPr>
          <w:p w14:paraId="376CD56B" w14:textId="77777777" w:rsidR="0042238F" w:rsidRPr="004B079F" w:rsidRDefault="0042238F" w:rsidP="00EA693D">
            <w:pPr>
              <w:pStyle w:val="TableText0"/>
              <w:keepLines/>
              <w:rPr>
                <w:rFonts w:cstheme="minorHAnsi"/>
                <w:iCs/>
                <w:szCs w:val="20"/>
              </w:rPr>
            </w:pPr>
            <w:r w:rsidRPr="004B079F">
              <w:rPr>
                <w:rFonts w:cstheme="minorHAnsi"/>
                <w:iCs/>
                <w:szCs w:val="20"/>
              </w:rPr>
              <w:t>Clinicaltrials.gov</w:t>
            </w:r>
          </w:p>
          <w:p w14:paraId="65442D3B" w14:textId="77777777" w:rsidR="0042238F" w:rsidRPr="004B079F" w:rsidRDefault="0042238F" w:rsidP="00EA693D">
            <w:pPr>
              <w:pStyle w:val="TableText0"/>
              <w:keepLines/>
              <w:rPr>
                <w:iCs/>
                <w:szCs w:val="20"/>
              </w:rPr>
            </w:pPr>
            <w:r w:rsidRPr="004B079F">
              <w:rPr>
                <w:rFonts w:cstheme="minorHAnsi"/>
                <w:iCs/>
                <w:szCs w:val="20"/>
              </w:rPr>
              <w:t>Date not provided</w:t>
            </w:r>
          </w:p>
        </w:tc>
      </w:tr>
    </w:tbl>
    <w:p w14:paraId="5DED4EB6" w14:textId="40D70C7C" w:rsidR="0004010F" w:rsidRPr="00B1011F" w:rsidRDefault="0004010F" w:rsidP="00EA693D">
      <w:pPr>
        <w:pStyle w:val="TableFigureFooter"/>
        <w:keepNext/>
        <w:keepLines/>
        <w:jc w:val="both"/>
        <w:rPr>
          <w:sz w:val="20"/>
        </w:rPr>
      </w:pPr>
      <w:r>
        <w:t xml:space="preserve">Source: Table 2.3, p43 </w:t>
      </w:r>
      <w:r w:rsidRPr="00D13A3E">
        <w:t xml:space="preserve">of the </w:t>
      </w:r>
      <w:r>
        <w:t>submission.</w:t>
      </w:r>
    </w:p>
    <w:p w14:paraId="7D0D5AFC" w14:textId="4278BE23" w:rsidR="00F06CEE" w:rsidRDefault="00F06CEE" w:rsidP="00EA693D">
      <w:pPr>
        <w:pStyle w:val="TableFigureFooter"/>
        <w:keepNext/>
        <w:keepLines/>
        <w:jc w:val="both"/>
      </w:pPr>
      <w:r w:rsidRPr="00F06CEE">
        <w:t>CSR</w:t>
      </w:r>
      <w:r w:rsidR="00432828">
        <w:t xml:space="preserve"> </w:t>
      </w:r>
      <w:r w:rsidRPr="00F06CEE">
        <w:t xml:space="preserve">= </w:t>
      </w:r>
      <w:r>
        <w:t>clinical study report</w:t>
      </w:r>
      <w:r w:rsidRPr="00F06CEE">
        <w:t>; ICTRP</w:t>
      </w:r>
      <w:r w:rsidR="00432828">
        <w:t xml:space="preserve"> </w:t>
      </w:r>
      <w:r w:rsidRPr="00F06CEE">
        <w:t xml:space="preserve">= </w:t>
      </w:r>
      <w:r w:rsidR="00CA0F5A" w:rsidRPr="00CA0F5A">
        <w:t>International Clinical Trials Registry Platform</w:t>
      </w:r>
      <w:r w:rsidRPr="00F06CEE">
        <w:t>;</w:t>
      </w:r>
      <w:r w:rsidR="00C8042E">
        <w:t xml:space="preserve"> </w:t>
      </w:r>
      <w:r w:rsidRPr="00F06CEE">
        <w:t>VEGF</w:t>
      </w:r>
      <w:r w:rsidR="00432828">
        <w:t xml:space="preserve"> </w:t>
      </w:r>
      <w:r w:rsidRPr="00F06CEE">
        <w:t xml:space="preserve">= </w:t>
      </w:r>
      <w:r w:rsidR="0004010F">
        <w:t>v</w:t>
      </w:r>
      <w:r w:rsidR="0004010F" w:rsidRPr="0004010F">
        <w:t>ascular endothelial growth factor</w:t>
      </w:r>
      <w:r w:rsidRPr="00F06CEE">
        <w:t>; WHO</w:t>
      </w:r>
      <w:r w:rsidR="00432828">
        <w:t xml:space="preserve"> </w:t>
      </w:r>
      <w:r>
        <w:t xml:space="preserve">= </w:t>
      </w:r>
      <w:r w:rsidR="0004010F">
        <w:t xml:space="preserve">World Health </w:t>
      </w:r>
      <w:r w:rsidR="0038146D">
        <w:t>Organization</w:t>
      </w:r>
      <w:r w:rsidR="0004010F">
        <w:t>.</w:t>
      </w:r>
    </w:p>
    <w:p w14:paraId="1DD06D7D" w14:textId="6028DAF5" w:rsidR="007F1017" w:rsidRPr="00EC5836" w:rsidRDefault="008F120A" w:rsidP="001C2A71">
      <w:pPr>
        <w:pStyle w:val="3-BodyText"/>
        <w:rPr>
          <w:color w:val="0066FF"/>
        </w:rPr>
      </w:pPr>
      <w:r w:rsidRPr="00B50DB8">
        <w:t>The key features of the direct randomised trials are summarised in</w:t>
      </w:r>
      <w:r w:rsidR="00D6076E">
        <w:t xml:space="preserve"> </w:t>
      </w:r>
      <w:r w:rsidR="00D6076E">
        <w:fldChar w:fldCharType="begin" w:fldLock="1"/>
      </w:r>
      <w:r w:rsidR="00D6076E">
        <w:instrText xml:space="preserve"> REF _Ref104804098 \h  \* MERGEFORMAT </w:instrText>
      </w:r>
      <w:r w:rsidR="00D6076E">
        <w:fldChar w:fldCharType="separate"/>
      </w:r>
      <w:r w:rsidR="00423F23" w:rsidRPr="00423F23">
        <w:t>Table 3</w:t>
      </w:r>
      <w:r w:rsidR="00D6076E">
        <w:fldChar w:fldCharType="end"/>
      </w:r>
      <w:r w:rsidRPr="00B50DB8">
        <w:t>.</w:t>
      </w:r>
      <w:r w:rsidR="00BC591F">
        <w:t xml:space="preserve"> </w:t>
      </w:r>
    </w:p>
    <w:p w14:paraId="355E2F15" w14:textId="43C9FD56" w:rsidR="007F1017" w:rsidRPr="00D6076E" w:rsidRDefault="00696EF9" w:rsidP="00EA693D">
      <w:pPr>
        <w:pStyle w:val="Caption"/>
        <w:jc w:val="both"/>
        <w:rPr>
          <w:rStyle w:val="CommentReference"/>
          <w:rFonts w:eastAsiaTheme="majorEastAsia" w:cstheme="majorBidi"/>
          <w:b/>
          <w:szCs w:val="24"/>
        </w:rPr>
      </w:pPr>
      <w:bookmarkStart w:id="22" w:name="_Ref104804098"/>
      <w:r w:rsidRPr="00D6076E">
        <w:rPr>
          <w:rStyle w:val="CommentReference"/>
          <w:rFonts w:eastAsiaTheme="majorEastAsia" w:cstheme="majorBidi"/>
          <w:b/>
          <w:szCs w:val="24"/>
        </w:rPr>
        <w:t xml:space="preserve">Table </w:t>
      </w:r>
      <w:r w:rsidRPr="00D6076E">
        <w:rPr>
          <w:rStyle w:val="CommentReference"/>
          <w:rFonts w:eastAsiaTheme="majorEastAsia" w:cstheme="majorBidi"/>
          <w:b/>
          <w:szCs w:val="24"/>
        </w:rPr>
        <w:fldChar w:fldCharType="begin" w:fldLock="1"/>
      </w:r>
      <w:r w:rsidRPr="00D6076E">
        <w:rPr>
          <w:rStyle w:val="CommentReference"/>
          <w:rFonts w:eastAsiaTheme="majorEastAsia" w:cstheme="majorBidi"/>
          <w:b/>
          <w:szCs w:val="24"/>
        </w:rPr>
        <w:instrText xml:space="preserve"> SEQ Table \* ARABIC </w:instrText>
      </w:r>
      <w:r w:rsidRPr="00D6076E">
        <w:rPr>
          <w:rStyle w:val="CommentReference"/>
          <w:rFonts w:eastAsiaTheme="majorEastAsia" w:cstheme="majorBidi"/>
          <w:b/>
          <w:szCs w:val="24"/>
        </w:rPr>
        <w:fldChar w:fldCharType="separate"/>
      </w:r>
      <w:r w:rsidR="00423F23">
        <w:rPr>
          <w:rStyle w:val="CommentReference"/>
          <w:rFonts w:eastAsiaTheme="majorEastAsia" w:cstheme="majorBidi"/>
          <w:b/>
          <w:noProof/>
          <w:szCs w:val="24"/>
        </w:rPr>
        <w:t>3</w:t>
      </w:r>
      <w:r w:rsidRPr="00D6076E">
        <w:rPr>
          <w:rStyle w:val="CommentReference"/>
          <w:rFonts w:eastAsiaTheme="majorEastAsia" w:cstheme="majorBidi"/>
          <w:b/>
          <w:szCs w:val="24"/>
        </w:rPr>
        <w:fldChar w:fldCharType="end"/>
      </w:r>
      <w:bookmarkEnd w:id="22"/>
      <w:r w:rsidR="00D6076E" w:rsidRPr="00D6076E">
        <w:rPr>
          <w:rStyle w:val="CommentReference"/>
          <w:rFonts w:eastAsiaTheme="majorEastAsia" w:cstheme="majorBidi"/>
          <w:b/>
          <w:szCs w:val="24"/>
        </w:rPr>
        <w:t xml:space="preserve">: </w:t>
      </w:r>
      <w:r w:rsidR="007F1017" w:rsidRPr="00D6076E">
        <w:rPr>
          <w:rStyle w:val="CommentReference"/>
          <w:rFonts w:eastAsiaTheme="majorEastAsia" w:cstheme="majorBidi"/>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90"/>
        <w:gridCol w:w="743"/>
        <w:gridCol w:w="1311"/>
        <w:gridCol w:w="1023"/>
        <w:gridCol w:w="1446"/>
        <w:gridCol w:w="3304"/>
      </w:tblGrid>
      <w:tr w:rsidR="00687BB9" w:rsidRPr="007E055C" w14:paraId="53DD7CC6" w14:textId="77777777" w:rsidTr="00687BB9">
        <w:trPr>
          <w:cantSplit/>
          <w:tblHeader/>
        </w:trPr>
        <w:tc>
          <w:tcPr>
            <w:tcW w:w="660" w:type="pct"/>
            <w:shd w:val="clear" w:color="auto" w:fill="auto"/>
            <w:vAlign w:val="center"/>
          </w:tcPr>
          <w:p w14:paraId="794116BC" w14:textId="77777777" w:rsidR="00687BB9" w:rsidRPr="007E055C" w:rsidRDefault="00687BB9" w:rsidP="00EA693D">
            <w:pPr>
              <w:pStyle w:val="In-tableHeading"/>
              <w:keepLines/>
              <w:jc w:val="both"/>
              <w:rPr>
                <w:szCs w:val="20"/>
              </w:rPr>
            </w:pPr>
            <w:r w:rsidRPr="007E055C">
              <w:rPr>
                <w:szCs w:val="20"/>
              </w:rPr>
              <w:t>Trial</w:t>
            </w:r>
          </w:p>
        </w:tc>
        <w:tc>
          <w:tcPr>
            <w:tcW w:w="412" w:type="pct"/>
            <w:shd w:val="clear" w:color="auto" w:fill="auto"/>
            <w:vAlign w:val="center"/>
          </w:tcPr>
          <w:p w14:paraId="51122FE5" w14:textId="77777777" w:rsidR="00687BB9" w:rsidRPr="007E055C" w:rsidRDefault="00687BB9" w:rsidP="00EA693D">
            <w:pPr>
              <w:pStyle w:val="In-tableHeading"/>
              <w:keepLines/>
              <w:jc w:val="center"/>
              <w:rPr>
                <w:szCs w:val="20"/>
              </w:rPr>
            </w:pPr>
            <w:r w:rsidRPr="007E055C">
              <w:rPr>
                <w:szCs w:val="20"/>
              </w:rPr>
              <w:t>N</w:t>
            </w:r>
          </w:p>
        </w:tc>
        <w:tc>
          <w:tcPr>
            <w:tcW w:w="727" w:type="pct"/>
            <w:shd w:val="clear" w:color="auto" w:fill="auto"/>
            <w:vAlign w:val="center"/>
          </w:tcPr>
          <w:p w14:paraId="41C438EF" w14:textId="77777777" w:rsidR="00687BB9" w:rsidRPr="007E055C" w:rsidRDefault="00687BB9" w:rsidP="00EA693D">
            <w:pPr>
              <w:pStyle w:val="In-tableHeading"/>
              <w:keepLines/>
              <w:jc w:val="center"/>
              <w:rPr>
                <w:szCs w:val="20"/>
              </w:rPr>
            </w:pPr>
            <w:r w:rsidRPr="007E055C">
              <w:rPr>
                <w:szCs w:val="20"/>
              </w:rPr>
              <w:t>Design/ duration</w:t>
            </w:r>
          </w:p>
        </w:tc>
        <w:tc>
          <w:tcPr>
            <w:tcW w:w="567" w:type="pct"/>
            <w:shd w:val="clear" w:color="auto" w:fill="auto"/>
            <w:vAlign w:val="center"/>
          </w:tcPr>
          <w:p w14:paraId="1FC91360" w14:textId="77777777" w:rsidR="00687BB9" w:rsidRPr="007E055C" w:rsidRDefault="00687BB9" w:rsidP="00EA693D">
            <w:pPr>
              <w:pStyle w:val="In-tableHeading"/>
              <w:keepLines/>
              <w:jc w:val="center"/>
              <w:rPr>
                <w:szCs w:val="20"/>
              </w:rPr>
            </w:pPr>
            <w:r w:rsidRPr="007E055C">
              <w:rPr>
                <w:szCs w:val="20"/>
              </w:rPr>
              <w:t>Risk of bias</w:t>
            </w:r>
          </w:p>
        </w:tc>
        <w:tc>
          <w:tcPr>
            <w:tcW w:w="802" w:type="pct"/>
            <w:shd w:val="clear" w:color="auto" w:fill="auto"/>
            <w:vAlign w:val="center"/>
          </w:tcPr>
          <w:p w14:paraId="7FF90896" w14:textId="77777777" w:rsidR="00687BB9" w:rsidRPr="007E055C" w:rsidRDefault="00687BB9" w:rsidP="00EA693D">
            <w:pPr>
              <w:pStyle w:val="In-tableHeading"/>
              <w:keepLines/>
              <w:jc w:val="center"/>
              <w:rPr>
                <w:szCs w:val="20"/>
              </w:rPr>
            </w:pPr>
            <w:r w:rsidRPr="007E055C">
              <w:rPr>
                <w:szCs w:val="20"/>
              </w:rPr>
              <w:t>Patient population</w:t>
            </w:r>
          </w:p>
        </w:tc>
        <w:tc>
          <w:tcPr>
            <w:tcW w:w="1832" w:type="pct"/>
            <w:shd w:val="clear" w:color="auto" w:fill="auto"/>
            <w:vAlign w:val="center"/>
          </w:tcPr>
          <w:p w14:paraId="08C6F624" w14:textId="62DC303C" w:rsidR="00687BB9" w:rsidRPr="007E055C" w:rsidRDefault="00687BB9" w:rsidP="00EA693D">
            <w:pPr>
              <w:pStyle w:val="In-tableHeading"/>
              <w:keepLines/>
              <w:jc w:val="center"/>
              <w:rPr>
                <w:szCs w:val="20"/>
              </w:rPr>
            </w:pPr>
            <w:r w:rsidRPr="007E055C">
              <w:rPr>
                <w:szCs w:val="20"/>
              </w:rPr>
              <w:t>Outcomes</w:t>
            </w:r>
          </w:p>
        </w:tc>
      </w:tr>
      <w:tr w:rsidR="007F1017" w:rsidRPr="007E055C" w14:paraId="2A03CD4B" w14:textId="77777777" w:rsidTr="00687BB9">
        <w:trPr>
          <w:cantSplit/>
        </w:trPr>
        <w:tc>
          <w:tcPr>
            <w:tcW w:w="5000" w:type="pct"/>
            <w:gridSpan w:val="6"/>
            <w:shd w:val="clear" w:color="auto" w:fill="auto"/>
            <w:vAlign w:val="center"/>
          </w:tcPr>
          <w:p w14:paraId="73088C85" w14:textId="333C57CD" w:rsidR="007F1017" w:rsidRPr="007E055C" w:rsidRDefault="003F3DD9" w:rsidP="00EA693D">
            <w:pPr>
              <w:pStyle w:val="In-tableHeading"/>
              <w:keepLines/>
              <w:jc w:val="both"/>
              <w:rPr>
                <w:szCs w:val="20"/>
              </w:rPr>
            </w:pPr>
            <w:r w:rsidRPr="007E055C">
              <w:rPr>
                <w:szCs w:val="20"/>
              </w:rPr>
              <w:t>Faricimab vs aflibercept</w:t>
            </w:r>
          </w:p>
        </w:tc>
      </w:tr>
      <w:tr w:rsidR="00A91DC3" w:rsidRPr="007E055C" w14:paraId="4EE88DCB" w14:textId="77777777" w:rsidTr="00687BB9">
        <w:trPr>
          <w:cantSplit/>
        </w:trPr>
        <w:tc>
          <w:tcPr>
            <w:tcW w:w="660" w:type="pct"/>
            <w:shd w:val="clear" w:color="auto" w:fill="auto"/>
            <w:vAlign w:val="center"/>
          </w:tcPr>
          <w:p w14:paraId="6EE77D33" w14:textId="2E57C20A" w:rsidR="00A91DC3" w:rsidRPr="007E055C" w:rsidRDefault="00A91DC3" w:rsidP="00EA693D">
            <w:pPr>
              <w:pStyle w:val="TableText0"/>
              <w:keepLines/>
              <w:jc w:val="both"/>
              <w:rPr>
                <w:szCs w:val="20"/>
                <w:lang w:val="en-US"/>
              </w:rPr>
            </w:pPr>
            <w:r w:rsidRPr="007E055C">
              <w:rPr>
                <w:szCs w:val="20"/>
                <w:lang w:val="en-US"/>
              </w:rPr>
              <w:t>BALATON</w:t>
            </w:r>
          </w:p>
        </w:tc>
        <w:tc>
          <w:tcPr>
            <w:tcW w:w="412" w:type="pct"/>
            <w:shd w:val="clear" w:color="auto" w:fill="auto"/>
            <w:vAlign w:val="center"/>
          </w:tcPr>
          <w:p w14:paraId="41BB0E41" w14:textId="2A3462CE" w:rsidR="00A91DC3" w:rsidRPr="007E055C" w:rsidRDefault="00A91DC3" w:rsidP="00EA693D">
            <w:pPr>
              <w:pStyle w:val="TableText0"/>
              <w:keepLines/>
              <w:jc w:val="center"/>
              <w:rPr>
                <w:szCs w:val="20"/>
                <w:lang w:val="en-US"/>
              </w:rPr>
            </w:pPr>
            <w:r w:rsidRPr="007E055C">
              <w:rPr>
                <w:szCs w:val="20"/>
              </w:rPr>
              <w:t>553</w:t>
            </w:r>
          </w:p>
        </w:tc>
        <w:tc>
          <w:tcPr>
            <w:tcW w:w="727" w:type="pct"/>
            <w:shd w:val="clear" w:color="auto" w:fill="auto"/>
            <w:vAlign w:val="center"/>
          </w:tcPr>
          <w:p w14:paraId="401EAFDA" w14:textId="288B1BC0" w:rsidR="00A91DC3" w:rsidRPr="007E055C" w:rsidRDefault="00A91DC3" w:rsidP="00EA693D">
            <w:pPr>
              <w:pStyle w:val="TableText0"/>
              <w:keepLines/>
              <w:jc w:val="center"/>
              <w:rPr>
                <w:szCs w:val="20"/>
                <w:lang w:val="en-US"/>
              </w:rPr>
            </w:pPr>
            <w:r w:rsidRPr="007E055C">
              <w:rPr>
                <w:szCs w:val="20"/>
                <w:lang w:val="en-US"/>
              </w:rPr>
              <w:t>R, DB, MC</w:t>
            </w:r>
          </w:p>
          <w:p w14:paraId="744D08AC" w14:textId="61BF05A8" w:rsidR="00A91DC3" w:rsidRPr="007E055C" w:rsidRDefault="00A91DC3" w:rsidP="00EA693D">
            <w:pPr>
              <w:pStyle w:val="TableText0"/>
              <w:keepLines/>
              <w:jc w:val="center"/>
              <w:rPr>
                <w:szCs w:val="20"/>
                <w:lang w:val="en-US"/>
              </w:rPr>
            </w:pPr>
            <w:r w:rsidRPr="007E055C">
              <w:rPr>
                <w:szCs w:val="20"/>
                <w:lang w:val="en-US"/>
              </w:rPr>
              <w:t xml:space="preserve">72 </w:t>
            </w:r>
            <w:r w:rsidR="00FA5B05" w:rsidRPr="007E055C">
              <w:rPr>
                <w:szCs w:val="20"/>
                <w:lang w:val="en-US"/>
              </w:rPr>
              <w:t>weeks</w:t>
            </w:r>
          </w:p>
        </w:tc>
        <w:tc>
          <w:tcPr>
            <w:tcW w:w="567" w:type="pct"/>
            <w:shd w:val="clear" w:color="auto" w:fill="auto"/>
            <w:vAlign w:val="center"/>
          </w:tcPr>
          <w:p w14:paraId="4A529D74" w14:textId="77777777" w:rsidR="00A91DC3" w:rsidRPr="00AC5A15" w:rsidRDefault="00A91DC3" w:rsidP="00EA693D">
            <w:pPr>
              <w:pStyle w:val="TableText0"/>
              <w:keepLines/>
              <w:jc w:val="center"/>
              <w:rPr>
                <w:iCs/>
                <w:szCs w:val="20"/>
                <w:lang w:val="en-US"/>
              </w:rPr>
            </w:pPr>
            <w:r w:rsidRPr="00AC5A15">
              <w:rPr>
                <w:iCs/>
                <w:szCs w:val="20"/>
                <w:lang w:val="en-US"/>
              </w:rPr>
              <w:t>Low</w:t>
            </w:r>
          </w:p>
        </w:tc>
        <w:tc>
          <w:tcPr>
            <w:tcW w:w="802" w:type="pct"/>
            <w:shd w:val="clear" w:color="auto" w:fill="auto"/>
            <w:vAlign w:val="center"/>
          </w:tcPr>
          <w:p w14:paraId="5E6F456D" w14:textId="5F2523F0" w:rsidR="00A91DC3" w:rsidRPr="007E055C" w:rsidRDefault="00A91DC3" w:rsidP="00EA693D">
            <w:pPr>
              <w:pStyle w:val="TableText0"/>
              <w:keepLines/>
              <w:jc w:val="center"/>
              <w:rPr>
                <w:szCs w:val="20"/>
                <w:lang w:val="en-US"/>
              </w:rPr>
            </w:pPr>
            <w:r w:rsidRPr="007E055C">
              <w:rPr>
                <w:szCs w:val="20"/>
                <w:lang w:val="en-US"/>
              </w:rPr>
              <w:t>BRVO</w:t>
            </w:r>
          </w:p>
        </w:tc>
        <w:tc>
          <w:tcPr>
            <w:tcW w:w="1832" w:type="pct"/>
            <w:vMerge w:val="restart"/>
            <w:shd w:val="clear" w:color="auto" w:fill="auto"/>
            <w:vAlign w:val="center"/>
          </w:tcPr>
          <w:p w14:paraId="02B48A52" w14:textId="4A994AFA" w:rsidR="00A91DC3" w:rsidRPr="007E055C" w:rsidRDefault="00A91DC3" w:rsidP="00EA693D">
            <w:pPr>
              <w:pStyle w:val="TableText0"/>
              <w:keepLines/>
              <w:spacing w:line="259" w:lineRule="auto"/>
              <w:jc w:val="center"/>
              <w:rPr>
                <w:szCs w:val="20"/>
                <w:lang w:val="en-US"/>
              </w:rPr>
            </w:pPr>
            <w:r w:rsidRPr="007E055C">
              <w:rPr>
                <w:szCs w:val="20"/>
                <w:lang w:val="en-US"/>
              </w:rPr>
              <w:t>Primary: Change in BCVA</w:t>
            </w:r>
            <w:r w:rsidR="00FA5B05" w:rsidRPr="007E055C">
              <w:rPr>
                <w:szCs w:val="20"/>
                <w:lang w:val="en-US"/>
              </w:rPr>
              <w:t xml:space="preserve"> at 24 weeks</w:t>
            </w:r>
          </w:p>
          <w:p w14:paraId="6DC76214" w14:textId="1361C2BC" w:rsidR="00A91DC3" w:rsidRPr="007E055C" w:rsidRDefault="00A91DC3" w:rsidP="00EA693D">
            <w:pPr>
              <w:pStyle w:val="TableText0"/>
              <w:keepLines/>
              <w:jc w:val="center"/>
              <w:rPr>
                <w:szCs w:val="20"/>
                <w:lang w:val="en-US"/>
              </w:rPr>
            </w:pPr>
            <w:r w:rsidRPr="007E055C">
              <w:rPr>
                <w:szCs w:val="20"/>
                <w:lang w:val="en-US"/>
              </w:rPr>
              <w:t xml:space="preserve">Key secondary: </w:t>
            </w:r>
            <w:r w:rsidR="003D4E24" w:rsidRPr="007E055C">
              <w:rPr>
                <w:szCs w:val="20"/>
                <w:lang w:val="en-US"/>
              </w:rPr>
              <w:t>Proportion of patients with absence of macular oedema</w:t>
            </w:r>
            <w:r w:rsidR="00FA5B05" w:rsidRPr="007E055C">
              <w:rPr>
                <w:szCs w:val="20"/>
                <w:lang w:val="en-US"/>
              </w:rPr>
              <w:t>.</w:t>
            </w:r>
            <w:r w:rsidR="003D4E24" w:rsidRPr="007E055C">
              <w:rPr>
                <w:szCs w:val="20"/>
                <w:lang w:val="en-US"/>
              </w:rPr>
              <w:t xml:space="preserve"> </w:t>
            </w:r>
            <w:r w:rsidRPr="007E055C">
              <w:rPr>
                <w:noProof/>
                <w:szCs w:val="20"/>
              </w:rPr>
              <w:t>NEI-VFQ-25</w:t>
            </w:r>
            <w:r w:rsidR="00341311" w:rsidRPr="007E055C">
              <w:rPr>
                <w:noProof/>
                <w:szCs w:val="20"/>
              </w:rPr>
              <w:t xml:space="preserve"> score</w:t>
            </w:r>
            <w:r w:rsidR="00FA5B05" w:rsidRPr="007E055C">
              <w:rPr>
                <w:noProof/>
                <w:szCs w:val="20"/>
              </w:rPr>
              <w:t>.</w:t>
            </w:r>
          </w:p>
        </w:tc>
      </w:tr>
      <w:tr w:rsidR="00A91DC3" w:rsidRPr="007E055C" w14:paraId="13A6895C" w14:textId="77777777" w:rsidTr="00687BB9">
        <w:trPr>
          <w:cantSplit/>
        </w:trPr>
        <w:tc>
          <w:tcPr>
            <w:tcW w:w="660" w:type="pct"/>
            <w:shd w:val="clear" w:color="auto" w:fill="auto"/>
            <w:vAlign w:val="center"/>
          </w:tcPr>
          <w:p w14:paraId="4A9488B3" w14:textId="0B012460" w:rsidR="00A91DC3" w:rsidRPr="007E055C" w:rsidRDefault="00A91DC3" w:rsidP="00EA693D">
            <w:pPr>
              <w:pStyle w:val="TableText0"/>
              <w:keepLines/>
              <w:jc w:val="both"/>
              <w:rPr>
                <w:szCs w:val="20"/>
                <w:lang w:val="en-US"/>
              </w:rPr>
            </w:pPr>
            <w:r w:rsidRPr="007E055C">
              <w:rPr>
                <w:szCs w:val="20"/>
                <w:lang w:val="en-US"/>
              </w:rPr>
              <w:t>COMINO</w:t>
            </w:r>
          </w:p>
        </w:tc>
        <w:tc>
          <w:tcPr>
            <w:tcW w:w="412" w:type="pct"/>
            <w:shd w:val="clear" w:color="auto" w:fill="auto"/>
            <w:vAlign w:val="center"/>
          </w:tcPr>
          <w:p w14:paraId="3F4D20B5" w14:textId="655E4D84" w:rsidR="00A91DC3" w:rsidRPr="007E055C" w:rsidRDefault="00A91DC3" w:rsidP="00EA693D">
            <w:pPr>
              <w:pStyle w:val="TableText0"/>
              <w:keepLines/>
              <w:jc w:val="center"/>
              <w:rPr>
                <w:szCs w:val="20"/>
                <w:lang w:val="en-US"/>
              </w:rPr>
            </w:pPr>
            <w:r w:rsidRPr="007E055C">
              <w:rPr>
                <w:szCs w:val="20"/>
              </w:rPr>
              <w:t>729</w:t>
            </w:r>
          </w:p>
        </w:tc>
        <w:tc>
          <w:tcPr>
            <w:tcW w:w="727" w:type="pct"/>
            <w:shd w:val="clear" w:color="auto" w:fill="auto"/>
            <w:vAlign w:val="center"/>
          </w:tcPr>
          <w:p w14:paraId="42BC921F" w14:textId="77777777" w:rsidR="00A91DC3" w:rsidRPr="007E055C" w:rsidRDefault="00A91DC3" w:rsidP="00EA693D">
            <w:pPr>
              <w:pStyle w:val="TableText0"/>
              <w:keepLines/>
              <w:jc w:val="center"/>
              <w:rPr>
                <w:szCs w:val="20"/>
                <w:lang w:val="en-US"/>
              </w:rPr>
            </w:pPr>
            <w:r w:rsidRPr="007E055C">
              <w:rPr>
                <w:szCs w:val="20"/>
                <w:lang w:val="en-US"/>
              </w:rPr>
              <w:t>R, DB, MC</w:t>
            </w:r>
          </w:p>
          <w:p w14:paraId="68D92FE7" w14:textId="73E22F1C" w:rsidR="00A91DC3" w:rsidRPr="007E055C" w:rsidRDefault="00A91DC3" w:rsidP="00EA693D">
            <w:pPr>
              <w:pStyle w:val="TableText0"/>
              <w:keepLines/>
              <w:jc w:val="center"/>
              <w:rPr>
                <w:szCs w:val="20"/>
                <w:lang w:val="en-US"/>
              </w:rPr>
            </w:pPr>
            <w:r w:rsidRPr="007E055C">
              <w:rPr>
                <w:szCs w:val="20"/>
                <w:lang w:val="en-US"/>
              </w:rPr>
              <w:t xml:space="preserve">72 </w:t>
            </w:r>
            <w:r w:rsidR="00FA5B05" w:rsidRPr="007E055C">
              <w:rPr>
                <w:szCs w:val="20"/>
                <w:lang w:val="en-US"/>
              </w:rPr>
              <w:t>weeks</w:t>
            </w:r>
          </w:p>
        </w:tc>
        <w:tc>
          <w:tcPr>
            <w:tcW w:w="567" w:type="pct"/>
            <w:shd w:val="clear" w:color="auto" w:fill="auto"/>
            <w:vAlign w:val="center"/>
          </w:tcPr>
          <w:p w14:paraId="6F0F93F8" w14:textId="170292C7" w:rsidR="00A91DC3" w:rsidRPr="00AC5A15" w:rsidRDefault="00A91DC3" w:rsidP="00EA693D">
            <w:pPr>
              <w:pStyle w:val="TableText0"/>
              <w:keepLines/>
              <w:jc w:val="center"/>
              <w:rPr>
                <w:iCs/>
                <w:szCs w:val="20"/>
                <w:lang w:val="en-US"/>
              </w:rPr>
            </w:pPr>
            <w:r w:rsidRPr="00AC5A15">
              <w:rPr>
                <w:iCs/>
                <w:szCs w:val="20"/>
                <w:lang w:val="en-US"/>
              </w:rPr>
              <w:t>Low</w:t>
            </w:r>
          </w:p>
        </w:tc>
        <w:tc>
          <w:tcPr>
            <w:tcW w:w="802" w:type="pct"/>
            <w:shd w:val="clear" w:color="auto" w:fill="auto"/>
            <w:vAlign w:val="center"/>
          </w:tcPr>
          <w:p w14:paraId="43AC963E" w14:textId="01880C0B" w:rsidR="00A91DC3" w:rsidRPr="007E055C" w:rsidRDefault="00A91DC3" w:rsidP="00EA693D">
            <w:pPr>
              <w:pStyle w:val="TableText0"/>
              <w:keepLines/>
              <w:jc w:val="center"/>
              <w:rPr>
                <w:szCs w:val="20"/>
                <w:lang w:val="en-US"/>
              </w:rPr>
            </w:pPr>
            <w:r w:rsidRPr="007E055C">
              <w:rPr>
                <w:szCs w:val="20"/>
                <w:lang w:val="en-US"/>
              </w:rPr>
              <w:t>C</w:t>
            </w:r>
            <w:r w:rsidR="0082756E" w:rsidRPr="007E055C">
              <w:rPr>
                <w:szCs w:val="20"/>
                <w:lang w:val="en-US"/>
              </w:rPr>
              <w:t>/</w:t>
            </w:r>
            <w:r w:rsidRPr="007E055C">
              <w:rPr>
                <w:szCs w:val="20"/>
                <w:lang w:val="en-US"/>
              </w:rPr>
              <w:t>HRVO</w:t>
            </w:r>
          </w:p>
        </w:tc>
        <w:tc>
          <w:tcPr>
            <w:tcW w:w="1832" w:type="pct"/>
            <w:vMerge/>
            <w:shd w:val="clear" w:color="auto" w:fill="auto"/>
            <w:vAlign w:val="center"/>
          </w:tcPr>
          <w:p w14:paraId="4F0C99D2" w14:textId="2A5FB3F5" w:rsidR="00A91DC3" w:rsidRPr="007E055C" w:rsidRDefault="00A91DC3" w:rsidP="00EA693D">
            <w:pPr>
              <w:pStyle w:val="TableText0"/>
              <w:keepLines/>
              <w:jc w:val="both"/>
              <w:rPr>
                <w:szCs w:val="20"/>
                <w:lang w:val="en-US"/>
              </w:rPr>
            </w:pPr>
          </w:p>
        </w:tc>
      </w:tr>
    </w:tbl>
    <w:p w14:paraId="1B56DA25" w14:textId="5F7A63DB" w:rsidR="00367DB8" w:rsidRDefault="00367DB8" w:rsidP="00EA693D">
      <w:pPr>
        <w:pStyle w:val="FooterTableFigure"/>
        <w:keepNext/>
        <w:keepLines/>
        <w:spacing w:after="0"/>
        <w:jc w:val="both"/>
      </w:pPr>
      <w:r>
        <w:t>Source: Table2.4, p</w:t>
      </w:r>
      <w:r w:rsidR="007233D6">
        <w:t>47</w:t>
      </w:r>
      <w:r w:rsidR="00D37B5B">
        <w:t xml:space="preserve">, Table 2.12, p60 </w:t>
      </w:r>
      <w:r w:rsidR="005F6730">
        <w:t>a</w:t>
      </w:r>
      <w:r w:rsidR="00FA5B05">
        <w:t>n</w:t>
      </w:r>
      <w:r w:rsidR="005F6730">
        <w:t>d Tab</w:t>
      </w:r>
      <w:r w:rsidR="00175820">
        <w:t>l</w:t>
      </w:r>
      <w:r w:rsidR="005F6730">
        <w:t xml:space="preserve">e 2.5, p53 </w:t>
      </w:r>
      <w:r w:rsidR="00D37B5B">
        <w:t>of the submission</w:t>
      </w:r>
      <w:r>
        <w:t>.</w:t>
      </w:r>
    </w:p>
    <w:p w14:paraId="1095487C" w14:textId="2DBCA8BA" w:rsidR="00620C25" w:rsidRPr="00367DB8" w:rsidRDefault="00367DB8" w:rsidP="00EA693D">
      <w:pPr>
        <w:pStyle w:val="FooterTableFigure"/>
        <w:keepNext/>
        <w:keepLines/>
        <w:jc w:val="both"/>
      </w:pPr>
      <w:r>
        <w:t>BCVA</w:t>
      </w:r>
      <w:r w:rsidR="00FA5B05">
        <w:t xml:space="preserve"> </w:t>
      </w:r>
      <w:r>
        <w:t>= best corrected visual acuity</w:t>
      </w:r>
      <w:r w:rsidR="0082756E">
        <w:t>;</w:t>
      </w:r>
      <w:r>
        <w:t xml:space="preserve"> </w:t>
      </w:r>
      <w:r w:rsidR="00FA5B05">
        <w:t xml:space="preserve">BRVO = branch retinal vein occlusion; </w:t>
      </w:r>
      <w:r w:rsidR="0082756E">
        <w:t>C/HRVO</w:t>
      </w:r>
      <w:r w:rsidR="00FA5B05">
        <w:t xml:space="preserve"> </w:t>
      </w:r>
      <w:r w:rsidR="0082756E">
        <w:t>=</w:t>
      </w:r>
      <w:r w:rsidR="00FA5B05">
        <w:t xml:space="preserve"> </w:t>
      </w:r>
      <w:r w:rsidR="0082756E">
        <w:t>central or hemi</w:t>
      </w:r>
      <w:r w:rsidR="00124B4F">
        <w:t xml:space="preserve">-central </w:t>
      </w:r>
      <w:r w:rsidR="0082756E">
        <w:t xml:space="preserve">retinal vein occlusion; </w:t>
      </w:r>
      <w:r w:rsidRPr="0072416F">
        <w:t>DB</w:t>
      </w:r>
      <w:r>
        <w:t xml:space="preserve"> </w:t>
      </w:r>
      <w:r w:rsidRPr="0072416F">
        <w:t>=</w:t>
      </w:r>
      <w:r>
        <w:t xml:space="preserve"> </w:t>
      </w:r>
      <w:r w:rsidRPr="0072416F">
        <w:t>double blind</w:t>
      </w:r>
      <w:r w:rsidR="0082756E">
        <w:t>;</w:t>
      </w:r>
      <w:r w:rsidRPr="00B056BB">
        <w:t xml:space="preserve"> </w:t>
      </w:r>
      <w:r w:rsidRPr="0072416F">
        <w:t>MC</w:t>
      </w:r>
      <w:r>
        <w:t xml:space="preserve"> </w:t>
      </w:r>
      <w:r w:rsidRPr="0072416F">
        <w:t>=</w:t>
      </w:r>
      <w:r>
        <w:t xml:space="preserve"> </w:t>
      </w:r>
      <w:r w:rsidRPr="0072416F">
        <w:t>multi-centre</w:t>
      </w:r>
      <w:r w:rsidR="0082756E">
        <w:t>;</w:t>
      </w:r>
      <w:r>
        <w:t xml:space="preserve"> </w:t>
      </w:r>
      <w:r w:rsidRPr="005211C8">
        <w:t>NEI-VFQ-25</w:t>
      </w:r>
      <w:r w:rsidR="00FA5B05">
        <w:t xml:space="preserve"> </w:t>
      </w:r>
      <w:r>
        <w:t>=</w:t>
      </w:r>
      <w:r w:rsidRPr="005211C8">
        <w:t xml:space="preserve"> National Eye Institute Visual Function Questionnaire 25</w:t>
      </w:r>
      <w:r w:rsidR="0082756E">
        <w:t>;</w:t>
      </w:r>
      <w:r>
        <w:t xml:space="preserve"> </w:t>
      </w:r>
      <w:r w:rsidRPr="0072416F">
        <w:t>R=</w:t>
      </w:r>
      <w:r>
        <w:t xml:space="preserve"> </w:t>
      </w:r>
      <w:r w:rsidRPr="0072416F">
        <w:t>randomised</w:t>
      </w:r>
      <w:r w:rsidRPr="006B29C0">
        <w:t>.</w:t>
      </w:r>
    </w:p>
    <w:p w14:paraId="5486CF9E" w14:textId="32BF76CE" w:rsidR="00C244C5" w:rsidRPr="00873192" w:rsidRDefault="00E945A9" w:rsidP="001C2A71">
      <w:pPr>
        <w:pStyle w:val="3-BodyText"/>
        <w:rPr>
          <w:iCs/>
        </w:rPr>
      </w:pPr>
      <w:bookmarkStart w:id="23" w:name="_Toc22897641"/>
      <w:r w:rsidRPr="001476FA">
        <w:t xml:space="preserve">The </w:t>
      </w:r>
      <w:r w:rsidR="009F1C95" w:rsidRPr="001476FA">
        <w:t>BALATON and COMINO</w:t>
      </w:r>
      <w:r w:rsidRPr="001476FA">
        <w:t xml:space="preserve"> trials</w:t>
      </w:r>
      <w:r w:rsidR="009F1C95" w:rsidRPr="009F1C95">
        <w:t xml:space="preserve"> comprised 2 parts. In Part 1 patients were randomised to receive either faricimab </w:t>
      </w:r>
      <w:r w:rsidR="00974D13" w:rsidRPr="009F1C95">
        <w:t xml:space="preserve">or aflibercept </w:t>
      </w:r>
      <w:r w:rsidR="00FA5B05">
        <w:t>every 4 weeks (</w:t>
      </w:r>
      <w:r w:rsidR="009F1C95" w:rsidRPr="009F1C95">
        <w:t>Q4W</w:t>
      </w:r>
      <w:r w:rsidR="00FA5B05">
        <w:t>)</w:t>
      </w:r>
      <w:r w:rsidR="009F1C95" w:rsidRPr="009F1C95">
        <w:t xml:space="preserve"> </w:t>
      </w:r>
      <w:r w:rsidR="00BF37EB">
        <w:t>for 24</w:t>
      </w:r>
      <w:r w:rsidR="00C1160D">
        <w:t> </w:t>
      </w:r>
      <w:r w:rsidR="00BF37EB">
        <w:t>w</w:t>
      </w:r>
      <w:r w:rsidR="009F1C95" w:rsidRPr="009F1C95">
        <w:t>eek</w:t>
      </w:r>
      <w:r w:rsidR="00BF37EB">
        <w:t>s</w:t>
      </w:r>
      <w:r w:rsidR="009F1C95" w:rsidRPr="009F1C95">
        <w:t xml:space="preserve">. </w:t>
      </w:r>
      <w:r w:rsidR="00974D13">
        <w:t xml:space="preserve">Part 2 was a </w:t>
      </w:r>
      <w:r w:rsidR="00FC6C32" w:rsidRPr="009F1C95">
        <w:t>non-comparative</w:t>
      </w:r>
      <w:r w:rsidR="00FA5B05">
        <w:t xml:space="preserve"> phase</w:t>
      </w:r>
      <w:r w:rsidR="009F1C95" w:rsidRPr="009F1C95">
        <w:t xml:space="preserve"> (from Week 24 to Week 68</w:t>
      </w:r>
      <w:r w:rsidR="000532F5">
        <w:t xml:space="preserve"> with </w:t>
      </w:r>
      <w:r w:rsidR="000532F5" w:rsidRPr="005211C8">
        <w:t xml:space="preserve">an end of study visit at Week </w:t>
      </w:r>
      <w:r w:rsidR="000532F5">
        <w:t>72</w:t>
      </w:r>
      <w:r w:rsidR="009F1C95" w:rsidRPr="009F1C95">
        <w:t xml:space="preserve">), </w:t>
      </w:r>
      <w:r w:rsidR="00974D13">
        <w:t xml:space="preserve">during which </w:t>
      </w:r>
      <w:r w:rsidR="009F1C95" w:rsidRPr="009F1C95">
        <w:t>patients in both the faricimab Q4W and aflibercept Q4W arms were treated with a flexible dosing</w:t>
      </w:r>
      <w:r w:rsidR="00B87829">
        <w:t xml:space="preserve"> interval</w:t>
      </w:r>
      <w:r w:rsidR="009F1C95" w:rsidRPr="009F1C95">
        <w:t xml:space="preserve"> regimen </w:t>
      </w:r>
      <w:r w:rsidR="006608AC">
        <w:t>of</w:t>
      </w:r>
      <w:r w:rsidR="006608AC" w:rsidRPr="009F1C95">
        <w:t xml:space="preserve"> </w:t>
      </w:r>
      <w:r w:rsidR="009F1C95" w:rsidRPr="009F1C95">
        <w:t xml:space="preserve">faricimab based on disease personalised treatment intervals (PTI). </w:t>
      </w:r>
      <w:r w:rsidR="00FA5B05" w:rsidRPr="00873192">
        <w:rPr>
          <w:iCs/>
        </w:rPr>
        <w:t>Therefore, comparative data for faricimab versus aflibercept were only available up to 24 weeks.</w:t>
      </w:r>
    </w:p>
    <w:p w14:paraId="116C98CF" w14:textId="6348F98A" w:rsidR="00785606" w:rsidRPr="00434F89" w:rsidRDefault="00CF7A41" w:rsidP="001C2A71">
      <w:pPr>
        <w:pStyle w:val="3-BodyText"/>
        <w:ind w:left="709" w:hanging="709"/>
        <w:rPr>
          <w:i/>
          <w:iCs/>
        </w:rPr>
      </w:pPr>
      <w:bookmarkStart w:id="24" w:name="_Ref164862154"/>
      <w:r w:rsidRPr="001476FA">
        <w:t xml:space="preserve">The </w:t>
      </w:r>
      <w:r w:rsidR="00D961D9" w:rsidRPr="001476FA">
        <w:t>BALATON and COMINO</w:t>
      </w:r>
      <w:r w:rsidRPr="001476FA">
        <w:t xml:space="preserve"> trials</w:t>
      </w:r>
      <w:r w:rsidR="00D961D9">
        <w:t xml:space="preserve"> </w:t>
      </w:r>
      <w:r w:rsidR="003E30CF">
        <w:t xml:space="preserve">recruited </w:t>
      </w:r>
      <w:r w:rsidR="0026191E">
        <w:t>men and women aged 18 years or older, with macular oedema due to BRVO (BALATON) or C/HRVO (COMINO)</w:t>
      </w:r>
      <w:r w:rsidR="004C667F">
        <w:t xml:space="preserve"> </w:t>
      </w:r>
      <w:r w:rsidR="003E30CF">
        <w:t xml:space="preserve">and excluded </w:t>
      </w:r>
      <w:r w:rsidR="00E53277">
        <w:t>p</w:t>
      </w:r>
      <w:r w:rsidR="00E53277" w:rsidRPr="00E53277">
        <w:t>atients with prior treatment for macular oedema due to RVO</w:t>
      </w:r>
      <w:r w:rsidR="003E30CF">
        <w:t xml:space="preserve">. </w:t>
      </w:r>
      <w:r w:rsidR="002D1552" w:rsidRPr="00873192">
        <w:t xml:space="preserve">Under the proposed restrictions, both </w:t>
      </w:r>
      <w:r w:rsidR="001D246A" w:rsidRPr="00873192">
        <w:t>treatment-</w:t>
      </w:r>
      <w:r w:rsidR="00B47A41" w:rsidRPr="00873192">
        <w:t xml:space="preserve">experienced </w:t>
      </w:r>
      <w:r w:rsidR="002D1552" w:rsidRPr="00873192">
        <w:t xml:space="preserve">and </w:t>
      </w:r>
      <w:r w:rsidR="001D246A" w:rsidRPr="00873192">
        <w:t>treatment-</w:t>
      </w:r>
      <w:r w:rsidR="002D1552" w:rsidRPr="00873192">
        <w:t xml:space="preserve">naïve patients would be eligible for treatment with faricimab in Australia. Patients who have previously received treatment may present a refractory form of the disease less amenable to modification by </w:t>
      </w:r>
      <w:r w:rsidR="00D02E4A" w:rsidRPr="00873192">
        <w:t xml:space="preserve">sequential </w:t>
      </w:r>
      <w:r w:rsidR="002D1552" w:rsidRPr="00873192">
        <w:t>therapies.</w:t>
      </w:r>
      <w:r w:rsidR="00E63D04" w:rsidRPr="00873192">
        <w:t xml:space="preserve"> Therefore, </w:t>
      </w:r>
      <w:r w:rsidR="00E63D04" w:rsidRPr="00873192">
        <w:rPr>
          <w:rFonts w:cs="Calibri"/>
          <w:color w:val="000000"/>
        </w:rPr>
        <w:t>t</w:t>
      </w:r>
      <w:r w:rsidR="00785606" w:rsidRPr="00873192">
        <w:rPr>
          <w:rFonts w:cs="Calibri"/>
          <w:color w:val="000000"/>
        </w:rPr>
        <w:t>he results</w:t>
      </w:r>
      <w:r w:rsidR="00785606" w:rsidRPr="00873192" w:rsidDel="00B36856">
        <w:rPr>
          <w:rFonts w:cs="Calibri"/>
          <w:color w:val="000000"/>
        </w:rPr>
        <w:t xml:space="preserve"> </w:t>
      </w:r>
      <w:r w:rsidR="00F84F97" w:rsidRPr="00873192">
        <w:rPr>
          <w:rFonts w:cs="Calibri"/>
          <w:color w:val="000000"/>
        </w:rPr>
        <w:t xml:space="preserve">of BALATON and COMINO </w:t>
      </w:r>
      <w:r w:rsidR="00D53D8D" w:rsidRPr="00873192">
        <w:rPr>
          <w:rFonts w:cs="Calibri"/>
          <w:color w:val="000000"/>
        </w:rPr>
        <w:t xml:space="preserve">conducted in </w:t>
      </w:r>
      <w:r w:rsidR="00785606" w:rsidRPr="00873192">
        <w:rPr>
          <w:rFonts w:cs="Calibri"/>
          <w:color w:val="000000"/>
        </w:rPr>
        <w:t>treatment-na</w:t>
      </w:r>
      <w:r w:rsidR="003A1B3A" w:rsidRPr="00873192">
        <w:t>ï</w:t>
      </w:r>
      <w:r w:rsidR="00785606" w:rsidRPr="00873192">
        <w:rPr>
          <w:rFonts w:cs="Calibri"/>
          <w:color w:val="000000"/>
        </w:rPr>
        <w:t>ve patients may not be generalisable to the targeted Australian population. The impact on comparative effectiveness and safety is unknown.</w:t>
      </w:r>
      <w:bookmarkEnd w:id="24"/>
    </w:p>
    <w:p w14:paraId="140C2EBD" w14:textId="1AF300D3" w:rsidR="00773204" w:rsidRPr="00873192" w:rsidRDefault="00802D0E" w:rsidP="001C2A71">
      <w:pPr>
        <w:pStyle w:val="3-BodyText"/>
        <w:ind w:left="709" w:hanging="709"/>
      </w:pPr>
      <w:r w:rsidRPr="00802D0E">
        <w:t>The BALATON and COMINO trial design used a fixed Q4W dosing regimen for 24</w:t>
      </w:r>
      <w:r w:rsidR="00600293">
        <w:t> </w:t>
      </w:r>
      <w:r w:rsidRPr="00802D0E">
        <w:t xml:space="preserve">weeks, requiring a total of 6 injections for both faricimab and aflibercept. </w:t>
      </w:r>
      <w:r w:rsidR="001179BA" w:rsidRPr="00873192">
        <w:t xml:space="preserve">This </w:t>
      </w:r>
      <w:r w:rsidR="00FD74ED" w:rsidRPr="00873192">
        <w:t xml:space="preserve">is </w:t>
      </w:r>
      <w:r w:rsidR="001179BA" w:rsidRPr="00873192">
        <w:t xml:space="preserve">not consistent with </w:t>
      </w:r>
      <w:r w:rsidRPr="00873192">
        <w:t xml:space="preserve">the </w:t>
      </w:r>
      <w:r w:rsidR="00FA5B05" w:rsidRPr="00873192">
        <w:t>approved</w:t>
      </w:r>
      <w:r w:rsidR="00FD74ED" w:rsidRPr="00873192">
        <w:t xml:space="preserve"> Product Information</w:t>
      </w:r>
      <w:r w:rsidR="00FA5B05" w:rsidRPr="00873192">
        <w:t xml:space="preserve"> </w:t>
      </w:r>
      <w:r w:rsidR="00FD74ED" w:rsidRPr="00873192">
        <w:t>(</w:t>
      </w:r>
      <w:r w:rsidR="00FA5B05" w:rsidRPr="00873192">
        <w:t>PI</w:t>
      </w:r>
      <w:r w:rsidR="00FD74ED" w:rsidRPr="00873192">
        <w:t>)</w:t>
      </w:r>
      <w:r w:rsidR="00FA5B05" w:rsidRPr="00873192">
        <w:t xml:space="preserve"> for</w:t>
      </w:r>
      <w:r w:rsidRPr="00873192">
        <w:t xml:space="preserve"> aflibercept</w:t>
      </w:r>
      <w:r w:rsidR="006B1372" w:rsidRPr="00873192">
        <w:t>,</w:t>
      </w:r>
      <w:r w:rsidR="00B707CE" w:rsidRPr="00873192">
        <w:t xml:space="preserve"> </w:t>
      </w:r>
      <w:r w:rsidR="002A31E6" w:rsidRPr="00873192">
        <w:t>w</w:t>
      </w:r>
      <w:r w:rsidR="00D8798E" w:rsidRPr="00873192">
        <w:t>h</w:t>
      </w:r>
      <w:r w:rsidR="002A31E6" w:rsidRPr="00873192">
        <w:t xml:space="preserve">ich </w:t>
      </w:r>
      <w:r w:rsidR="00FA5B05" w:rsidRPr="00873192">
        <w:t>recommend</w:t>
      </w:r>
      <w:r w:rsidR="00D8798E" w:rsidRPr="00873192">
        <w:t>s</w:t>
      </w:r>
      <w:r w:rsidR="00FA5B05" w:rsidRPr="00873192">
        <w:t xml:space="preserve"> </w:t>
      </w:r>
      <w:r w:rsidRPr="00873192">
        <w:t xml:space="preserve">a loading phase of Q4W dosing for 12 weeks (3 injections) followed by a </w:t>
      </w:r>
      <w:r w:rsidR="00974D13" w:rsidRPr="00873192">
        <w:t>treat and extend (</w:t>
      </w:r>
      <w:r w:rsidRPr="00873192">
        <w:t>T&amp;E</w:t>
      </w:r>
      <w:r w:rsidR="00974D13" w:rsidRPr="00873192">
        <w:t>)</w:t>
      </w:r>
      <w:r w:rsidRPr="00873192">
        <w:t xml:space="preserve"> regimen after </w:t>
      </w:r>
      <w:r w:rsidR="00432828" w:rsidRPr="00873192">
        <w:t>W</w:t>
      </w:r>
      <w:r w:rsidRPr="00873192">
        <w:t>eek 12.</w:t>
      </w:r>
      <w:r w:rsidR="009E47EA" w:rsidRPr="00873192">
        <w:t xml:space="preserve"> </w:t>
      </w:r>
      <w:r w:rsidR="00D8798E" w:rsidRPr="00873192">
        <w:t>The proposed faricimab PI</w:t>
      </w:r>
      <w:r w:rsidR="006F7AA4" w:rsidRPr="00873192">
        <w:t xml:space="preserve"> </w:t>
      </w:r>
      <w:r w:rsidR="00B177EE" w:rsidRPr="00873192">
        <w:t>is ambiguous regarding the number of initiating doses,</w:t>
      </w:r>
      <w:r w:rsidR="009071E6" w:rsidRPr="00873192">
        <w:t xml:space="preserve"> </w:t>
      </w:r>
      <w:r w:rsidR="00B177EE" w:rsidRPr="00873192">
        <w:t xml:space="preserve">stating that </w:t>
      </w:r>
      <w:r w:rsidR="00D8798E" w:rsidRPr="00873192">
        <w:t>3 or more consecutive monthly injections may be needed initially before transitioning to a T&amp;E approach</w:t>
      </w:r>
      <w:r w:rsidR="009071E6" w:rsidRPr="00873192">
        <w:t xml:space="preserve">. </w:t>
      </w:r>
      <w:r w:rsidR="00B30660">
        <w:t>Considering the</w:t>
      </w:r>
      <w:r w:rsidRPr="00873192">
        <w:t xml:space="preserve"> difference in the trial protocol</w:t>
      </w:r>
      <w:r w:rsidR="00FA5B05" w:rsidRPr="00873192">
        <w:t>s</w:t>
      </w:r>
      <w:r w:rsidRPr="00873192">
        <w:t xml:space="preserve"> and</w:t>
      </w:r>
      <w:r w:rsidR="00B30660">
        <w:t xml:space="preserve"> the</w:t>
      </w:r>
      <w:r w:rsidRPr="00873192">
        <w:t xml:space="preserve"> approved/proposed dosing schedules</w:t>
      </w:r>
      <w:r w:rsidR="00B30660">
        <w:t xml:space="preserve"> for aflibercept/faricimab, t</w:t>
      </w:r>
      <w:r w:rsidR="00DE2971" w:rsidRPr="00873192">
        <w:t xml:space="preserve">he number of injections for both faricimab and for aflibercept during the first 24 weeks of follow-up </w:t>
      </w:r>
      <w:r w:rsidRPr="00873192">
        <w:t xml:space="preserve">may </w:t>
      </w:r>
      <w:r w:rsidR="00DE2971">
        <w:t xml:space="preserve">have been </w:t>
      </w:r>
      <w:r w:rsidRPr="00873192">
        <w:t>overestimate</w:t>
      </w:r>
      <w:r w:rsidR="00DE2971">
        <w:t>d</w:t>
      </w:r>
      <w:r w:rsidRPr="00873192">
        <w:t xml:space="preserve"> in the </w:t>
      </w:r>
      <w:r w:rsidR="00DE2971">
        <w:t>trials, potentially also resulting in an overestimate for</w:t>
      </w:r>
      <w:r w:rsidRPr="00873192">
        <w:t xml:space="preserve"> adverse reactions related to injection frequency compared to </w:t>
      </w:r>
      <w:r w:rsidR="00DE2971">
        <w:t xml:space="preserve">what will be expected in </w:t>
      </w:r>
      <w:r w:rsidRPr="00873192">
        <w:t xml:space="preserve">clinical practice. </w:t>
      </w:r>
      <w:r w:rsidR="00933E52" w:rsidRPr="00873192">
        <w:t xml:space="preserve">However, the trial design is unlikely to have introduced differential bias </w:t>
      </w:r>
      <w:r w:rsidR="00926023" w:rsidRPr="00873192">
        <w:t>favouring</w:t>
      </w:r>
      <w:r w:rsidR="00933E52" w:rsidRPr="00873192">
        <w:t xml:space="preserve"> one therapy over the other, as </w:t>
      </w:r>
      <w:r w:rsidR="001D246A" w:rsidRPr="00873192">
        <w:t>the differences between the approved/proposed PIs and the trial protocol</w:t>
      </w:r>
      <w:r w:rsidR="00B30660">
        <w:t>s</w:t>
      </w:r>
      <w:r w:rsidR="001D246A" w:rsidRPr="00873192">
        <w:t xml:space="preserve"> </w:t>
      </w:r>
      <w:r w:rsidR="00FD74ED" w:rsidRPr="00873192">
        <w:t>apply to both</w:t>
      </w:r>
      <w:r w:rsidR="001D246A" w:rsidRPr="00873192">
        <w:t xml:space="preserve"> faricimab and aflibercept. </w:t>
      </w:r>
    </w:p>
    <w:p w14:paraId="3A7B05C3" w14:textId="7AFFFC26" w:rsidR="009E6F10" w:rsidRPr="00873192" w:rsidRDefault="009E6F10" w:rsidP="001C2A71">
      <w:pPr>
        <w:pStyle w:val="3-BodyText"/>
        <w:ind w:left="709" w:hanging="709"/>
        <w:rPr>
          <w:iCs/>
        </w:rPr>
      </w:pPr>
      <w:r w:rsidRPr="009E6F10">
        <w:t xml:space="preserve">The primary outcome in </w:t>
      </w:r>
      <w:r w:rsidR="00FA5B05">
        <w:t xml:space="preserve">the </w:t>
      </w:r>
      <w:r>
        <w:t xml:space="preserve">BALATON and COMINO </w:t>
      </w:r>
      <w:r w:rsidRPr="009E6F10">
        <w:t>trials was change from baseline in</w:t>
      </w:r>
      <w:r w:rsidR="00E72D28">
        <w:t xml:space="preserve"> </w:t>
      </w:r>
      <w:r w:rsidR="00E72D28" w:rsidRPr="00E72D28">
        <w:t>best corrected visual acuity</w:t>
      </w:r>
      <w:r w:rsidRPr="009E6F10">
        <w:t xml:space="preserve"> </w:t>
      </w:r>
      <w:r w:rsidR="00E72D28">
        <w:t>(</w:t>
      </w:r>
      <w:r w:rsidRPr="009E6F10">
        <w:t>BCVA</w:t>
      </w:r>
      <w:r w:rsidR="00E72D28">
        <w:t>)</w:t>
      </w:r>
      <w:r w:rsidRPr="009E6F10">
        <w:t xml:space="preserve"> measured by the Early Treatment Diabetic Retinopathy Study (ETDRS) letter score at Week 24</w:t>
      </w:r>
      <w:r w:rsidR="00414924">
        <w:t xml:space="preserve"> </w:t>
      </w:r>
      <w:r w:rsidR="00444652" w:rsidRPr="00AF033C">
        <w:rPr>
          <w:snapToGrid/>
        </w:rPr>
        <w:t>using a non-inferiority margin of 4</w:t>
      </w:r>
      <w:r w:rsidR="0002363C">
        <w:rPr>
          <w:snapToGrid/>
        </w:rPr>
        <w:t> </w:t>
      </w:r>
      <w:r w:rsidR="00444652" w:rsidRPr="00AF033C">
        <w:rPr>
          <w:snapToGrid/>
        </w:rPr>
        <w:t xml:space="preserve">letters. </w:t>
      </w:r>
      <w:r w:rsidR="00444652" w:rsidRPr="00873192">
        <w:rPr>
          <w:iCs/>
          <w:snapToGrid/>
        </w:rPr>
        <w:t xml:space="preserve">A non-inferiority margin of 4 letters has previously been accepted by the PBAC for the treatment of patients with subfoveal </w:t>
      </w:r>
      <w:r w:rsidR="006C38FE" w:rsidRPr="00873192">
        <w:rPr>
          <w:iCs/>
          <w:snapToGrid/>
        </w:rPr>
        <w:t>choroidal neovascularisation</w:t>
      </w:r>
      <w:r w:rsidR="00444652" w:rsidRPr="00873192">
        <w:rPr>
          <w:iCs/>
          <w:snapToGrid/>
        </w:rPr>
        <w:t xml:space="preserve"> (para</w:t>
      </w:r>
      <w:r w:rsidR="00B30660">
        <w:rPr>
          <w:iCs/>
          <w:snapToGrid/>
        </w:rPr>
        <w:t>graph</w:t>
      </w:r>
      <w:r w:rsidR="00444652" w:rsidRPr="00873192">
        <w:rPr>
          <w:iCs/>
          <w:snapToGrid/>
        </w:rPr>
        <w:t xml:space="preserve"> 6.11, brolucizumab PSD, November 2019 PBAC meeting and para</w:t>
      </w:r>
      <w:r w:rsidR="00B30660">
        <w:rPr>
          <w:iCs/>
          <w:snapToGrid/>
        </w:rPr>
        <w:t>graph</w:t>
      </w:r>
      <w:r w:rsidR="00444652" w:rsidRPr="00873192">
        <w:rPr>
          <w:iCs/>
          <w:snapToGrid/>
        </w:rPr>
        <w:t xml:space="preserve"> 7.5, faricimab nAMD PSD, May 2022 PBAC meeting).</w:t>
      </w:r>
      <w:r w:rsidR="00444652" w:rsidRPr="00873192">
        <w:rPr>
          <w:iCs/>
        </w:rPr>
        <w:t xml:space="preserve"> Additionally, </w:t>
      </w:r>
      <w:r w:rsidRPr="00873192">
        <w:rPr>
          <w:iCs/>
        </w:rPr>
        <w:t>BCVA is a clinically relevant outcome that has previously been accepted by the PBAC in patients with RVO (aflibercept PSD, November 2014 PBAC meeting</w:t>
      </w:r>
      <w:r w:rsidR="00974D13" w:rsidRPr="00873192">
        <w:rPr>
          <w:iCs/>
        </w:rPr>
        <w:t>;</w:t>
      </w:r>
      <w:r w:rsidRPr="00873192">
        <w:rPr>
          <w:iCs/>
        </w:rPr>
        <w:t xml:space="preserve"> aflibercept PSD, November</w:t>
      </w:r>
      <w:r w:rsidR="0002363C">
        <w:rPr>
          <w:iCs/>
        </w:rPr>
        <w:t> </w:t>
      </w:r>
      <w:r w:rsidRPr="00873192">
        <w:rPr>
          <w:iCs/>
        </w:rPr>
        <w:t>2015 PBAC meeting</w:t>
      </w:r>
      <w:r w:rsidR="00974D13" w:rsidRPr="00873192">
        <w:rPr>
          <w:iCs/>
        </w:rPr>
        <w:t>;</w:t>
      </w:r>
      <w:r w:rsidRPr="00873192">
        <w:rPr>
          <w:iCs/>
        </w:rPr>
        <w:t xml:space="preserve"> and ranibizumab PSD, July 2014 PBAC meeting).</w:t>
      </w:r>
      <w:r w:rsidR="006B745F" w:rsidRPr="00873192">
        <w:rPr>
          <w:iCs/>
        </w:rPr>
        <w:t xml:space="preserve"> </w:t>
      </w:r>
    </w:p>
    <w:p w14:paraId="4A4FE085" w14:textId="638F85C8" w:rsidR="00B60939" w:rsidRPr="00C9624D" w:rsidRDefault="00B60939" w:rsidP="001C2A71">
      <w:pPr>
        <w:pStyle w:val="4-SubsectionHeading"/>
        <w:jc w:val="both"/>
      </w:pPr>
      <w:bookmarkStart w:id="25" w:name="_Toc166768917"/>
      <w:r w:rsidRPr="00C9624D">
        <w:t>Comparative effectiveness</w:t>
      </w:r>
      <w:bookmarkEnd w:id="23"/>
      <w:bookmarkEnd w:id="25"/>
    </w:p>
    <w:p w14:paraId="461D397E" w14:textId="4CD392E2" w:rsidR="007747B5" w:rsidRDefault="007747B5" w:rsidP="001C2A71">
      <w:pPr>
        <w:pStyle w:val="3-BodyText"/>
        <w:ind w:left="709" w:hanging="709"/>
      </w:pPr>
      <w:r>
        <w:t xml:space="preserve">The results of the primary </w:t>
      </w:r>
      <w:r w:rsidR="00FA5B05">
        <w:t xml:space="preserve">outcome </w:t>
      </w:r>
      <w:r w:rsidR="00446671">
        <w:t>of</w:t>
      </w:r>
      <w:r>
        <w:t xml:space="preserve"> change from baseline in BCVA at Week 24 for</w:t>
      </w:r>
      <w:r w:rsidR="00E56986">
        <w:t xml:space="preserve"> the</w:t>
      </w:r>
      <w:r>
        <w:t xml:space="preserve"> BALATON and COMINO</w:t>
      </w:r>
      <w:r w:rsidR="00E56986">
        <w:t xml:space="preserve"> trials</w:t>
      </w:r>
      <w:r>
        <w:t xml:space="preserve"> are summarised </w:t>
      </w:r>
      <w:r w:rsidR="00446671" w:rsidRPr="007349ED">
        <w:t>in</w:t>
      </w:r>
      <w:r w:rsidR="008907A1">
        <w:t xml:space="preserve"> </w:t>
      </w:r>
      <w:r w:rsidR="008907A1">
        <w:fldChar w:fldCharType="begin" w:fldLock="1"/>
      </w:r>
      <w:r w:rsidR="008907A1">
        <w:instrText xml:space="preserve"> REF _Ref164175245 \h </w:instrText>
      </w:r>
      <w:r w:rsidR="001C2A71">
        <w:instrText xml:space="preserve"> \* MERGEFORMAT </w:instrText>
      </w:r>
      <w:r w:rsidR="008907A1">
        <w:fldChar w:fldCharType="separate"/>
      </w:r>
      <w:r w:rsidR="00423F23">
        <w:t xml:space="preserve">Table </w:t>
      </w:r>
      <w:r w:rsidR="00423F23">
        <w:rPr>
          <w:noProof/>
        </w:rPr>
        <w:t>4</w:t>
      </w:r>
      <w:r w:rsidR="008907A1">
        <w:fldChar w:fldCharType="end"/>
      </w:r>
      <w:r w:rsidR="00446671">
        <w:t>.</w:t>
      </w:r>
      <w:r>
        <w:t xml:space="preserve"> In the </w:t>
      </w:r>
      <w:r w:rsidR="00780B77">
        <w:t>intention to treat (</w:t>
      </w:r>
      <w:r>
        <w:t>ITT</w:t>
      </w:r>
      <w:r w:rsidR="00780B77">
        <w:t xml:space="preserve">) </w:t>
      </w:r>
      <w:r>
        <w:t>population</w:t>
      </w:r>
      <w:r w:rsidR="00E56986">
        <w:t>s</w:t>
      </w:r>
      <w:r>
        <w:t xml:space="preserve">, the lower confidence limits of the </w:t>
      </w:r>
      <w:r w:rsidR="00E56986">
        <w:t xml:space="preserve">mean </w:t>
      </w:r>
      <w:r>
        <w:t>treatment differences</w:t>
      </w:r>
      <w:r w:rsidR="00E56986">
        <w:t xml:space="preserve"> between the arms</w:t>
      </w:r>
      <w:r>
        <w:t xml:space="preserve"> at Week 24</w:t>
      </w:r>
      <w:r w:rsidR="00E56986">
        <w:t xml:space="preserve"> (-2.2 and -2.5 letters, respectively)</w:t>
      </w:r>
      <w:r>
        <w:t xml:space="preserve"> were greater than</w:t>
      </w:r>
      <w:r w:rsidR="00E56986">
        <w:t xml:space="preserve"> (within)</w:t>
      </w:r>
      <w:r>
        <w:t xml:space="preserve"> -4</w:t>
      </w:r>
      <w:r w:rsidR="00E56986">
        <w:t xml:space="preserve"> letters</w:t>
      </w:r>
      <w:r>
        <w:t>, thereby meeting the pre-specified non-inferiority margin of 4</w:t>
      </w:r>
      <w:r w:rsidR="0002363C">
        <w:t> </w:t>
      </w:r>
      <w:r>
        <w:t>letters. Overall, mean increases in visual acuity were observed in all treatment arms at Week 24.</w:t>
      </w:r>
    </w:p>
    <w:p w14:paraId="18989C26" w14:textId="4C4C8139" w:rsidR="00927574" w:rsidRDefault="00927574" w:rsidP="00EA693D">
      <w:pPr>
        <w:pStyle w:val="Caption"/>
        <w:jc w:val="both"/>
      </w:pPr>
      <w:bookmarkStart w:id="26" w:name="_Ref164175245"/>
      <w:r>
        <w:t xml:space="preserve">Table </w:t>
      </w:r>
      <w:r w:rsidR="001B6BE3">
        <w:fldChar w:fldCharType="begin" w:fldLock="1"/>
      </w:r>
      <w:r w:rsidR="001B6BE3">
        <w:instrText xml:space="preserve"> SEQ Table \* ARABIC </w:instrText>
      </w:r>
      <w:r w:rsidR="001B6BE3">
        <w:fldChar w:fldCharType="separate"/>
      </w:r>
      <w:r w:rsidR="00423F23">
        <w:rPr>
          <w:noProof/>
        </w:rPr>
        <w:t>4</w:t>
      </w:r>
      <w:r w:rsidR="001B6BE3">
        <w:rPr>
          <w:noProof/>
        </w:rPr>
        <w:fldChar w:fldCharType="end"/>
      </w:r>
      <w:bookmarkEnd w:id="26"/>
      <w:r w:rsidR="00124B4F">
        <w:rPr>
          <w:noProof/>
        </w:rPr>
        <w:t>:</w:t>
      </w:r>
      <w:r>
        <w:t xml:space="preserve"> C</w:t>
      </w:r>
      <w:r w:rsidRPr="0041594E">
        <w:t xml:space="preserve">hange from baseline in BCVA in the study eye at Week 24 in </w:t>
      </w:r>
      <w:r>
        <w:t xml:space="preserve">the </w:t>
      </w:r>
      <w:r w:rsidRPr="0041594E">
        <w:t>BALATON and COMINO</w:t>
      </w:r>
      <w:r>
        <w:t xml:space="preserve"> trials (</w:t>
      </w:r>
      <w:r w:rsidRPr="0041594E">
        <w:t>MMRM method, ITT population</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2"/>
        <w:gridCol w:w="2149"/>
        <w:gridCol w:w="1560"/>
        <w:gridCol w:w="1984"/>
        <w:gridCol w:w="1562"/>
        <w:gridCol w:w="940"/>
      </w:tblGrid>
      <w:tr w:rsidR="009479B4" w:rsidRPr="007E055C" w14:paraId="5607BCD5" w14:textId="77777777" w:rsidTr="00E474BC">
        <w:trPr>
          <w:tblHeader/>
        </w:trPr>
        <w:tc>
          <w:tcPr>
            <w:tcW w:w="456" w:type="pct"/>
            <w:vAlign w:val="center"/>
          </w:tcPr>
          <w:p w14:paraId="6E6D7CE3" w14:textId="77777777" w:rsidR="009479B4" w:rsidRPr="007E055C" w:rsidRDefault="009479B4" w:rsidP="00EA693D">
            <w:pPr>
              <w:pStyle w:val="TableHeadingRow"/>
              <w:keepLines/>
              <w:spacing w:before="0" w:after="0"/>
              <w:jc w:val="both"/>
              <w:rPr>
                <w:rFonts w:ascii="Arial Narrow" w:hAnsi="Arial Narrow"/>
                <w:lang w:val="en-US"/>
              </w:rPr>
            </w:pPr>
            <w:r w:rsidRPr="007E055C">
              <w:rPr>
                <w:rFonts w:ascii="Arial Narrow" w:hAnsi="Arial Narrow"/>
                <w:lang w:val="en-US"/>
              </w:rPr>
              <w:t>Trial ID</w:t>
            </w:r>
          </w:p>
        </w:tc>
        <w:tc>
          <w:tcPr>
            <w:tcW w:w="2057" w:type="pct"/>
            <w:gridSpan w:val="2"/>
            <w:vAlign w:val="center"/>
          </w:tcPr>
          <w:p w14:paraId="795D0952" w14:textId="77777777" w:rsidR="009479B4" w:rsidRPr="007E055C" w:rsidRDefault="009479B4" w:rsidP="00EA693D">
            <w:pPr>
              <w:pStyle w:val="TableHeadingRow"/>
              <w:keepLines/>
              <w:spacing w:before="0" w:after="0"/>
              <w:rPr>
                <w:rFonts w:ascii="Arial Narrow" w:hAnsi="Arial Narrow"/>
                <w:lang w:val="en-US"/>
              </w:rPr>
            </w:pPr>
            <w:r w:rsidRPr="007E055C">
              <w:rPr>
                <w:rFonts w:ascii="Arial Narrow" w:hAnsi="Arial Narrow"/>
                <w:iCs/>
                <w:lang w:val="en-US"/>
              </w:rPr>
              <w:t>Faricimab</w:t>
            </w:r>
          </w:p>
        </w:tc>
        <w:tc>
          <w:tcPr>
            <w:tcW w:w="1966" w:type="pct"/>
            <w:gridSpan w:val="2"/>
            <w:vAlign w:val="center"/>
          </w:tcPr>
          <w:p w14:paraId="013B8E8C" w14:textId="77777777" w:rsidR="009479B4" w:rsidRPr="007E055C" w:rsidRDefault="009479B4" w:rsidP="00EA693D">
            <w:pPr>
              <w:pStyle w:val="TableHeadingRow"/>
              <w:keepLines/>
              <w:spacing w:before="0" w:after="0"/>
              <w:rPr>
                <w:rFonts w:ascii="Arial Narrow" w:hAnsi="Arial Narrow"/>
                <w:lang w:val="en-US"/>
              </w:rPr>
            </w:pPr>
            <w:r w:rsidRPr="007E055C">
              <w:rPr>
                <w:rFonts w:ascii="Arial Narrow" w:hAnsi="Arial Narrow"/>
                <w:iCs/>
                <w:lang w:val="en-US"/>
              </w:rPr>
              <w:t>Aflibercept</w:t>
            </w:r>
          </w:p>
        </w:tc>
        <w:tc>
          <w:tcPr>
            <w:tcW w:w="521" w:type="pct"/>
            <w:vMerge w:val="restart"/>
            <w:vAlign w:val="center"/>
          </w:tcPr>
          <w:p w14:paraId="64D838CB" w14:textId="77777777" w:rsidR="009479B4" w:rsidRPr="007E055C" w:rsidRDefault="009479B4" w:rsidP="00EA693D">
            <w:pPr>
              <w:pStyle w:val="TableHeadingRow"/>
              <w:keepLines/>
              <w:spacing w:before="0" w:after="0"/>
              <w:rPr>
                <w:rFonts w:ascii="Arial Narrow" w:hAnsi="Arial Narrow"/>
                <w:lang w:val="en-US"/>
              </w:rPr>
            </w:pPr>
            <w:r w:rsidRPr="007E055C">
              <w:rPr>
                <w:rFonts w:ascii="Arial Narrow" w:hAnsi="Arial Narrow"/>
                <w:iCs/>
                <w:lang w:val="en-US"/>
              </w:rPr>
              <w:t>Mean difference (95% CI)</w:t>
            </w:r>
          </w:p>
        </w:tc>
      </w:tr>
      <w:tr w:rsidR="009479B4" w:rsidRPr="007E055C" w14:paraId="405BB467" w14:textId="77777777" w:rsidTr="00E474BC">
        <w:tc>
          <w:tcPr>
            <w:tcW w:w="456" w:type="pct"/>
            <w:vAlign w:val="center"/>
          </w:tcPr>
          <w:p w14:paraId="18CE9F80" w14:textId="77777777" w:rsidR="009479B4" w:rsidRPr="007E055C" w:rsidRDefault="009479B4" w:rsidP="00EA693D">
            <w:pPr>
              <w:pStyle w:val="TableHeadingRow"/>
              <w:keepLines/>
              <w:spacing w:before="0" w:after="0"/>
              <w:jc w:val="both"/>
              <w:rPr>
                <w:rFonts w:ascii="Arial Narrow" w:hAnsi="Arial Narrow"/>
              </w:rPr>
            </w:pPr>
          </w:p>
        </w:tc>
        <w:tc>
          <w:tcPr>
            <w:tcW w:w="1192" w:type="pct"/>
            <w:vAlign w:val="center"/>
          </w:tcPr>
          <w:p w14:paraId="49C99D8F" w14:textId="77777777" w:rsidR="009479B4" w:rsidRPr="007E055C" w:rsidRDefault="009479B4" w:rsidP="00EA693D">
            <w:pPr>
              <w:pStyle w:val="TableHeadingRow"/>
              <w:keepLines/>
              <w:spacing w:before="0" w:after="0"/>
              <w:rPr>
                <w:rFonts w:ascii="Arial Narrow" w:hAnsi="Arial Narrow"/>
                <w:lang w:val="nb-NO"/>
              </w:rPr>
            </w:pPr>
            <w:r w:rsidRPr="007E055C">
              <w:rPr>
                <w:rFonts w:ascii="Arial Narrow" w:hAnsi="Arial Narrow"/>
                <w:lang w:val="nb-NO"/>
              </w:rPr>
              <w:t>Mean BCVA at baseline (SE)</w:t>
            </w:r>
          </w:p>
          <w:p w14:paraId="56AE494B" w14:textId="77777777" w:rsidR="009479B4" w:rsidRPr="007E055C" w:rsidRDefault="009479B4" w:rsidP="00EA693D">
            <w:pPr>
              <w:pStyle w:val="TableHeadingRow"/>
              <w:keepLines/>
              <w:spacing w:before="0" w:after="0"/>
              <w:rPr>
                <w:rFonts w:ascii="Arial Narrow" w:hAnsi="Arial Narrow"/>
              </w:rPr>
            </w:pPr>
            <w:r w:rsidRPr="007E055C">
              <w:rPr>
                <w:rFonts w:ascii="Arial Narrow" w:hAnsi="Arial Narrow"/>
              </w:rPr>
              <w:t>(BALATON N=276</w:t>
            </w:r>
          </w:p>
          <w:p w14:paraId="773EB3FC" w14:textId="77777777" w:rsidR="009479B4" w:rsidRPr="007E055C" w:rsidRDefault="009479B4" w:rsidP="00EA693D">
            <w:pPr>
              <w:pStyle w:val="TableHeadingRow"/>
              <w:keepLines/>
              <w:spacing w:before="0" w:after="0"/>
              <w:rPr>
                <w:rFonts w:ascii="Arial Narrow" w:hAnsi="Arial Narrow"/>
              </w:rPr>
            </w:pPr>
            <w:r w:rsidRPr="007E055C">
              <w:rPr>
                <w:rFonts w:ascii="Arial Narrow" w:hAnsi="Arial Narrow"/>
              </w:rPr>
              <w:t>COMINO N=366)</w:t>
            </w:r>
          </w:p>
        </w:tc>
        <w:tc>
          <w:tcPr>
            <w:tcW w:w="865" w:type="pct"/>
            <w:vAlign w:val="center"/>
          </w:tcPr>
          <w:p w14:paraId="7B614B57" w14:textId="7A327DAE" w:rsidR="009479B4" w:rsidRPr="007E055C" w:rsidRDefault="009479B4" w:rsidP="00EA693D">
            <w:pPr>
              <w:pStyle w:val="TableHeadingRow"/>
              <w:keepLines/>
              <w:spacing w:before="0" w:after="0"/>
              <w:rPr>
                <w:rFonts w:ascii="Arial Narrow" w:hAnsi="Arial Narrow"/>
              </w:rPr>
            </w:pPr>
            <w:r w:rsidRPr="007E055C">
              <w:rPr>
                <w:rFonts w:ascii="Arial Narrow" w:hAnsi="Arial Narrow"/>
              </w:rPr>
              <w:t>Mean BCVA change</w:t>
            </w:r>
            <w:r w:rsidR="00E474BC">
              <w:rPr>
                <w:rFonts w:ascii="Arial Narrow" w:hAnsi="Arial Narrow"/>
              </w:rPr>
              <w:t xml:space="preserve"> at Week 24</w:t>
            </w:r>
            <w:r w:rsidRPr="007E055C">
              <w:rPr>
                <w:rFonts w:ascii="Arial Narrow" w:hAnsi="Arial Narrow"/>
              </w:rPr>
              <w:t xml:space="preserve"> (95% CI)</w:t>
            </w:r>
          </w:p>
        </w:tc>
        <w:tc>
          <w:tcPr>
            <w:tcW w:w="1100" w:type="pct"/>
            <w:vAlign w:val="center"/>
          </w:tcPr>
          <w:p w14:paraId="5E944895" w14:textId="77777777" w:rsidR="009479B4" w:rsidRPr="007E055C" w:rsidRDefault="009479B4" w:rsidP="00EA693D">
            <w:pPr>
              <w:pStyle w:val="TableHeadingRow"/>
              <w:keepLines/>
              <w:spacing w:before="0" w:after="0"/>
              <w:rPr>
                <w:rFonts w:ascii="Arial Narrow" w:hAnsi="Arial Narrow"/>
                <w:lang w:val="nb-NO"/>
              </w:rPr>
            </w:pPr>
            <w:r w:rsidRPr="007E055C">
              <w:rPr>
                <w:rFonts w:ascii="Arial Narrow" w:hAnsi="Arial Narrow"/>
                <w:lang w:val="nb-NO"/>
              </w:rPr>
              <w:t>Mean BCVA at baseline (SE)</w:t>
            </w:r>
          </w:p>
          <w:p w14:paraId="79B15F41" w14:textId="77777777" w:rsidR="009479B4" w:rsidRPr="007E055C" w:rsidRDefault="009479B4" w:rsidP="00EA693D">
            <w:pPr>
              <w:pStyle w:val="TableHeadingRow"/>
              <w:keepLines/>
              <w:spacing w:before="0" w:after="0"/>
              <w:rPr>
                <w:rFonts w:ascii="Arial Narrow" w:hAnsi="Arial Narrow"/>
              </w:rPr>
            </w:pPr>
            <w:r w:rsidRPr="007E055C">
              <w:rPr>
                <w:rFonts w:ascii="Arial Narrow" w:hAnsi="Arial Narrow"/>
              </w:rPr>
              <w:t>(BALATON N=277</w:t>
            </w:r>
          </w:p>
          <w:p w14:paraId="24A04CBB" w14:textId="77777777" w:rsidR="009479B4" w:rsidRPr="007E055C" w:rsidRDefault="009479B4" w:rsidP="00EA693D">
            <w:pPr>
              <w:pStyle w:val="TableHeadingRow"/>
              <w:keepLines/>
              <w:spacing w:before="0" w:after="0"/>
              <w:rPr>
                <w:rFonts w:ascii="Arial Narrow" w:hAnsi="Arial Narrow"/>
              </w:rPr>
            </w:pPr>
            <w:r w:rsidRPr="007E055C">
              <w:rPr>
                <w:rFonts w:ascii="Arial Narrow" w:hAnsi="Arial Narrow"/>
              </w:rPr>
              <w:t>COMINO N=363)</w:t>
            </w:r>
          </w:p>
        </w:tc>
        <w:tc>
          <w:tcPr>
            <w:tcW w:w="866" w:type="pct"/>
            <w:vAlign w:val="center"/>
          </w:tcPr>
          <w:p w14:paraId="56324254" w14:textId="5C4D1692" w:rsidR="009479B4" w:rsidRPr="007E055C" w:rsidRDefault="009479B4" w:rsidP="00EA693D">
            <w:pPr>
              <w:pStyle w:val="TableHeadingRow"/>
              <w:keepLines/>
              <w:spacing w:before="0" w:after="0"/>
              <w:rPr>
                <w:rFonts w:ascii="Arial Narrow" w:hAnsi="Arial Narrow"/>
              </w:rPr>
            </w:pPr>
            <w:r w:rsidRPr="007E055C">
              <w:rPr>
                <w:rFonts w:ascii="Arial Narrow" w:hAnsi="Arial Narrow"/>
              </w:rPr>
              <w:t>Mean BCVA change</w:t>
            </w:r>
            <w:r w:rsidR="00E474BC">
              <w:rPr>
                <w:rFonts w:ascii="Arial Narrow" w:hAnsi="Arial Narrow"/>
              </w:rPr>
              <w:t xml:space="preserve"> at Week 24</w:t>
            </w:r>
            <w:r w:rsidRPr="007E055C">
              <w:rPr>
                <w:rFonts w:ascii="Arial Narrow" w:hAnsi="Arial Narrow"/>
              </w:rPr>
              <w:t xml:space="preserve"> (95% CI)</w:t>
            </w:r>
          </w:p>
        </w:tc>
        <w:tc>
          <w:tcPr>
            <w:tcW w:w="521" w:type="pct"/>
            <w:vMerge/>
            <w:vAlign w:val="center"/>
          </w:tcPr>
          <w:p w14:paraId="61276BB4" w14:textId="77777777" w:rsidR="009479B4" w:rsidRPr="007E055C" w:rsidRDefault="009479B4" w:rsidP="00EA693D">
            <w:pPr>
              <w:pStyle w:val="TableHeadingRow"/>
              <w:keepLines/>
              <w:spacing w:before="0" w:after="0"/>
              <w:rPr>
                <w:rFonts w:ascii="Arial Narrow" w:hAnsi="Arial Narrow"/>
              </w:rPr>
            </w:pPr>
          </w:p>
        </w:tc>
      </w:tr>
      <w:tr w:rsidR="009479B4" w:rsidRPr="007E055C" w14:paraId="7BEF88C5" w14:textId="77777777" w:rsidTr="00E474BC">
        <w:tc>
          <w:tcPr>
            <w:tcW w:w="456" w:type="pct"/>
            <w:vAlign w:val="center"/>
          </w:tcPr>
          <w:p w14:paraId="1924AF5C" w14:textId="77777777" w:rsidR="009479B4" w:rsidRPr="007E055C" w:rsidRDefault="009479B4" w:rsidP="00EA693D">
            <w:pPr>
              <w:pStyle w:val="TableText0"/>
              <w:keepLines/>
              <w:jc w:val="both"/>
              <w:rPr>
                <w:szCs w:val="20"/>
              </w:rPr>
            </w:pPr>
            <w:r w:rsidRPr="007E055C">
              <w:rPr>
                <w:szCs w:val="20"/>
              </w:rPr>
              <w:t>BALATON</w:t>
            </w:r>
          </w:p>
        </w:tc>
        <w:tc>
          <w:tcPr>
            <w:tcW w:w="1192" w:type="pct"/>
            <w:vAlign w:val="center"/>
          </w:tcPr>
          <w:p w14:paraId="2F680B07" w14:textId="77777777" w:rsidR="009479B4" w:rsidRPr="007E055C" w:rsidRDefault="009479B4" w:rsidP="00EA693D">
            <w:pPr>
              <w:pStyle w:val="TableText0"/>
              <w:keepLines/>
              <w:jc w:val="center"/>
              <w:rPr>
                <w:szCs w:val="20"/>
              </w:rPr>
            </w:pPr>
            <w:r w:rsidRPr="007E055C">
              <w:rPr>
                <w:szCs w:val="20"/>
              </w:rPr>
              <w:t>57.5 (0.78)</w:t>
            </w:r>
          </w:p>
        </w:tc>
        <w:tc>
          <w:tcPr>
            <w:tcW w:w="865" w:type="pct"/>
            <w:vAlign w:val="center"/>
          </w:tcPr>
          <w:p w14:paraId="3CFEF391" w14:textId="77777777" w:rsidR="009479B4" w:rsidRPr="007E055C" w:rsidRDefault="009479B4" w:rsidP="00EA693D">
            <w:pPr>
              <w:pStyle w:val="TableText0"/>
              <w:keepLines/>
              <w:jc w:val="center"/>
              <w:rPr>
                <w:szCs w:val="20"/>
              </w:rPr>
            </w:pPr>
            <w:r w:rsidRPr="007E055C">
              <w:rPr>
                <w:szCs w:val="20"/>
              </w:rPr>
              <w:t>16.9</w:t>
            </w:r>
          </w:p>
          <w:p w14:paraId="1BD2DDEA" w14:textId="77777777" w:rsidR="009479B4" w:rsidRPr="007E055C" w:rsidRDefault="009479B4" w:rsidP="00EA693D">
            <w:pPr>
              <w:pStyle w:val="TableText0"/>
              <w:keepLines/>
              <w:jc w:val="center"/>
              <w:rPr>
                <w:szCs w:val="20"/>
              </w:rPr>
            </w:pPr>
            <w:r w:rsidRPr="007E055C">
              <w:rPr>
                <w:szCs w:val="20"/>
              </w:rPr>
              <w:t>(15.7, 18.1)</w:t>
            </w:r>
          </w:p>
        </w:tc>
        <w:tc>
          <w:tcPr>
            <w:tcW w:w="1100" w:type="pct"/>
            <w:vAlign w:val="center"/>
          </w:tcPr>
          <w:p w14:paraId="0398247E" w14:textId="77777777" w:rsidR="009479B4" w:rsidRPr="007E055C" w:rsidRDefault="009479B4" w:rsidP="00EA693D">
            <w:pPr>
              <w:pStyle w:val="TableText0"/>
              <w:keepLines/>
              <w:jc w:val="center"/>
              <w:rPr>
                <w:szCs w:val="20"/>
              </w:rPr>
            </w:pPr>
            <w:r w:rsidRPr="007E055C">
              <w:rPr>
                <w:szCs w:val="20"/>
              </w:rPr>
              <w:t>57.6 (0.73)</w:t>
            </w:r>
          </w:p>
        </w:tc>
        <w:tc>
          <w:tcPr>
            <w:tcW w:w="866" w:type="pct"/>
            <w:vAlign w:val="center"/>
          </w:tcPr>
          <w:p w14:paraId="2420ABAB" w14:textId="77777777" w:rsidR="009479B4" w:rsidRPr="007E055C" w:rsidRDefault="009479B4" w:rsidP="00EA693D">
            <w:pPr>
              <w:pStyle w:val="TableText0"/>
              <w:keepLines/>
              <w:jc w:val="center"/>
              <w:rPr>
                <w:szCs w:val="20"/>
              </w:rPr>
            </w:pPr>
            <w:r w:rsidRPr="007E055C">
              <w:rPr>
                <w:szCs w:val="20"/>
              </w:rPr>
              <w:t>17.5</w:t>
            </w:r>
          </w:p>
          <w:p w14:paraId="14668D46" w14:textId="77777777" w:rsidR="009479B4" w:rsidRPr="007E055C" w:rsidRDefault="009479B4" w:rsidP="00EA693D">
            <w:pPr>
              <w:pStyle w:val="TableText0"/>
              <w:keepLines/>
              <w:jc w:val="center"/>
              <w:rPr>
                <w:szCs w:val="20"/>
              </w:rPr>
            </w:pPr>
            <w:r w:rsidRPr="007E055C">
              <w:rPr>
                <w:szCs w:val="20"/>
              </w:rPr>
              <w:t>(16.3, 18.6)</w:t>
            </w:r>
          </w:p>
        </w:tc>
        <w:tc>
          <w:tcPr>
            <w:tcW w:w="521" w:type="pct"/>
            <w:vAlign w:val="center"/>
          </w:tcPr>
          <w:p w14:paraId="3D467B37" w14:textId="77777777" w:rsidR="009479B4" w:rsidRPr="007E055C" w:rsidRDefault="009479B4" w:rsidP="00EA693D">
            <w:pPr>
              <w:pStyle w:val="TableText0"/>
              <w:keepLines/>
              <w:jc w:val="center"/>
              <w:rPr>
                <w:szCs w:val="20"/>
              </w:rPr>
            </w:pPr>
            <w:r w:rsidRPr="007E055C">
              <w:rPr>
                <w:szCs w:val="20"/>
              </w:rPr>
              <w:t>-0.6</w:t>
            </w:r>
          </w:p>
          <w:p w14:paraId="53F1BD14" w14:textId="77777777" w:rsidR="009479B4" w:rsidRPr="007E055C" w:rsidRDefault="009479B4" w:rsidP="00EA693D">
            <w:pPr>
              <w:pStyle w:val="TableText0"/>
              <w:keepLines/>
              <w:jc w:val="center"/>
              <w:rPr>
                <w:szCs w:val="20"/>
              </w:rPr>
            </w:pPr>
            <w:r w:rsidRPr="007E055C">
              <w:rPr>
                <w:szCs w:val="20"/>
              </w:rPr>
              <w:t>(-2.2, 1.1)</w:t>
            </w:r>
          </w:p>
        </w:tc>
      </w:tr>
      <w:tr w:rsidR="009479B4" w:rsidRPr="007E055C" w14:paraId="00CA7C20" w14:textId="77777777" w:rsidTr="00E474BC">
        <w:tc>
          <w:tcPr>
            <w:tcW w:w="456" w:type="pct"/>
            <w:vAlign w:val="center"/>
          </w:tcPr>
          <w:p w14:paraId="2F5EEBF9" w14:textId="77777777" w:rsidR="009479B4" w:rsidRPr="007E055C" w:rsidRDefault="009479B4" w:rsidP="00EA693D">
            <w:pPr>
              <w:pStyle w:val="TableText0"/>
              <w:keepLines/>
              <w:jc w:val="both"/>
              <w:rPr>
                <w:szCs w:val="20"/>
              </w:rPr>
            </w:pPr>
            <w:r w:rsidRPr="007E055C">
              <w:rPr>
                <w:szCs w:val="20"/>
              </w:rPr>
              <w:t>COMINO</w:t>
            </w:r>
          </w:p>
        </w:tc>
        <w:tc>
          <w:tcPr>
            <w:tcW w:w="1192" w:type="pct"/>
            <w:vAlign w:val="center"/>
          </w:tcPr>
          <w:p w14:paraId="678F736A" w14:textId="77777777" w:rsidR="009479B4" w:rsidRPr="007E055C" w:rsidRDefault="009479B4" w:rsidP="00EA693D">
            <w:pPr>
              <w:pStyle w:val="TableText0"/>
              <w:keepLines/>
              <w:jc w:val="center"/>
              <w:rPr>
                <w:szCs w:val="20"/>
              </w:rPr>
            </w:pPr>
            <w:r w:rsidRPr="007E055C">
              <w:rPr>
                <w:szCs w:val="20"/>
              </w:rPr>
              <w:t>50.2 (0.85)</w:t>
            </w:r>
          </w:p>
        </w:tc>
        <w:tc>
          <w:tcPr>
            <w:tcW w:w="865" w:type="pct"/>
            <w:vAlign w:val="center"/>
          </w:tcPr>
          <w:p w14:paraId="4147AD79" w14:textId="77777777" w:rsidR="009479B4" w:rsidRPr="007E055C" w:rsidRDefault="009479B4" w:rsidP="00EA693D">
            <w:pPr>
              <w:pStyle w:val="TableText0"/>
              <w:keepLines/>
              <w:jc w:val="center"/>
              <w:rPr>
                <w:szCs w:val="20"/>
              </w:rPr>
            </w:pPr>
            <w:r w:rsidRPr="007E055C">
              <w:rPr>
                <w:szCs w:val="20"/>
              </w:rPr>
              <w:t>16.9</w:t>
            </w:r>
          </w:p>
          <w:p w14:paraId="75D6CEE0" w14:textId="77777777" w:rsidR="009479B4" w:rsidRPr="007E055C" w:rsidRDefault="009479B4" w:rsidP="00EA693D">
            <w:pPr>
              <w:pStyle w:val="TableText0"/>
              <w:keepLines/>
              <w:jc w:val="center"/>
              <w:rPr>
                <w:szCs w:val="20"/>
              </w:rPr>
            </w:pPr>
            <w:r w:rsidRPr="007E055C">
              <w:rPr>
                <w:szCs w:val="20"/>
              </w:rPr>
              <w:t>(15.4, 18.3)</w:t>
            </w:r>
          </w:p>
        </w:tc>
        <w:tc>
          <w:tcPr>
            <w:tcW w:w="1100" w:type="pct"/>
            <w:vAlign w:val="center"/>
          </w:tcPr>
          <w:p w14:paraId="4CCB51FF" w14:textId="77777777" w:rsidR="009479B4" w:rsidRPr="007E055C" w:rsidRDefault="009479B4" w:rsidP="00EA693D">
            <w:pPr>
              <w:pStyle w:val="TableText0"/>
              <w:keepLines/>
              <w:jc w:val="center"/>
              <w:rPr>
                <w:szCs w:val="20"/>
              </w:rPr>
            </w:pPr>
            <w:r w:rsidRPr="007E055C">
              <w:rPr>
                <w:szCs w:val="20"/>
              </w:rPr>
              <w:t>50.7 (0.86)</w:t>
            </w:r>
          </w:p>
        </w:tc>
        <w:tc>
          <w:tcPr>
            <w:tcW w:w="866" w:type="pct"/>
            <w:vAlign w:val="center"/>
          </w:tcPr>
          <w:p w14:paraId="6938E36F" w14:textId="77777777" w:rsidR="009479B4" w:rsidRPr="007E055C" w:rsidRDefault="009479B4" w:rsidP="00EA693D">
            <w:pPr>
              <w:pStyle w:val="TableText0"/>
              <w:keepLines/>
              <w:jc w:val="center"/>
              <w:rPr>
                <w:szCs w:val="20"/>
              </w:rPr>
            </w:pPr>
            <w:r w:rsidRPr="007E055C">
              <w:rPr>
                <w:szCs w:val="20"/>
              </w:rPr>
              <w:t>17.3</w:t>
            </w:r>
          </w:p>
          <w:p w14:paraId="467A10FC" w14:textId="77777777" w:rsidR="009479B4" w:rsidRPr="007E055C" w:rsidRDefault="009479B4" w:rsidP="00EA693D">
            <w:pPr>
              <w:pStyle w:val="TableText0"/>
              <w:keepLines/>
              <w:jc w:val="center"/>
              <w:rPr>
                <w:szCs w:val="20"/>
              </w:rPr>
            </w:pPr>
            <w:r w:rsidRPr="007E055C">
              <w:rPr>
                <w:szCs w:val="20"/>
              </w:rPr>
              <w:t>(15.9, 18.8)</w:t>
            </w:r>
          </w:p>
        </w:tc>
        <w:tc>
          <w:tcPr>
            <w:tcW w:w="521" w:type="pct"/>
            <w:vAlign w:val="center"/>
          </w:tcPr>
          <w:p w14:paraId="53EA7075" w14:textId="77777777" w:rsidR="009479B4" w:rsidRPr="007E055C" w:rsidRDefault="009479B4" w:rsidP="00EA693D">
            <w:pPr>
              <w:pStyle w:val="TableText0"/>
              <w:keepLines/>
              <w:jc w:val="center"/>
              <w:rPr>
                <w:szCs w:val="20"/>
              </w:rPr>
            </w:pPr>
            <w:r w:rsidRPr="007E055C">
              <w:rPr>
                <w:szCs w:val="20"/>
              </w:rPr>
              <w:t>-0.4</w:t>
            </w:r>
          </w:p>
          <w:p w14:paraId="63E91B55" w14:textId="77777777" w:rsidR="009479B4" w:rsidRPr="007E055C" w:rsidRDefault="009479B4" w:rsidP="00EA693D">
            <w:pPr>
              <w:pStyle w:val="TableText0"/>
              <w:keepLines/>
              <w:jc w:val="center"/>
              <w:rPr>
                <w:szCs w:val="20"/>
              </w:rPr>
            </w:pPr>
            <w:r w:rsidRPr="007E055C">
              <w:rPr>
                <w:szCs w:val="20"/>
              </w:rPr>
              <w:t>(-2.5, 1.6)</w:t>
            </w:r>
          </w:p>
        </w:tc>
      </w:tr>
    </w:tbl>
    <w:p w14:paraId="53A3E005" w14:textId="6FD2E663" w:rsidR="007747B5" w:rsidRPr="00BB722A" w:rsidRDefault="007747B5" w:rsidP="00EA693D">
      <w:pPr>
        <w:pStyle w:val="TableFigureFooter"/>
        <w:keepNext/>
        <w:keepLines/>
        <w:jc w:val="both"/>
      </w:pPr>
      <w:r w:rsidRPr="00BB722A">
        <w:t>Source: Table 2</w:t>
      </w:r>
      <w:r>
        <w:t>,</w:t>
      </w:r>
      <w:r w:rsidRPr="00BB722A">
        <w:t>13 p63 of the submission.</w:t>
      </w:r>
      <w:r w:rsidR="00452ED4">
        <w:t xml:space="preserve"> </w:t>
      </w:r>
      <w:r>
        <w:t>Table 10, p70 of the COMINO Primary CSR, Table 10, p67 of the BALATON Primary CSR, p176 of the BALATON Primary CSR and p181 of the COMINO Primary CSR.</w:t>
      </w:r>
    </w:p>
    <w:p w14:paraId="50D61394" w14:textId="2D5E359C" w:rsidR="007747B5" w:rsidRPr="00BB722A" w:rsidRDefault="007747B5" w:rsidP="00EA693D">
      <w:pPr>
        <w:pStyle w:val="TableFigureFooter"/>
        <w:keepNext/>
        <w:keepLines/>
        <w:jc w:val="both"/>
      </w:pPr>
      <w:r w:rsidRPr="00BB722A">
        <w:t>BCVA</w:t>
      </w:r>
      <w:r>
        <w:t xml:space="preserve"> </w:t>
      </w:r>
      <w:r w:rsidRPr="00BB722A">
        <w:t>=</w:t>
      </w:r>
      <w:r>
        <w:t xml:space="preserve"> </w:t>
      </w:r>
      <w:r w:rsidRPr="00BB722A">
        <w:t>best corrected visual acuity; CI</w:t>
      </w:r>
      <w:r>
        <w:t xml:space="preserve"> </w:t>
      </w:r>
      <w:r w:rsidRPr="00BB722A">
        <w:t>=</w:t>
      </w:r>
      <w:r>
        <w:t xml:space="preserve"> </w:t>
      </w:r>
      <w:r w:rsidRPr="00BB722A">
        <w:t>confidence interval; ITT</w:t>
      </w:r>
      <w:r>
        <w:t xml:space="preserve"> </w:t>
      </w:r>
      <w:r w:rsidRPr="00BB722A">
        <w:t>=</w:t>
      </w:r>
      <w:r>
        <w:t xml:space="preserve"> </w:t>
      </w:r>
      <w:r w:rsidRPr="00BB722A">
        <w:t>intent</w:t>
      </w:r>
      <w:r>
        <w:t xml:space="preserve">ion </w:t>
      </w:r>
      <w:r w:rsidRPr="00BB722A">
        <w:t>to</w:t>
      </w:r>
      <w:r>
        <w:t xml:space="preserve"> </w:t>
      </w:r>
      <w:r w:rsidRPr="00BB722A">
        <w:t>treat; MMRM</w:t>
      </w:r>
      <w:r>
        <w:t xml:space="preserve"> </w:t>
      </w:r>
      <w:r w:rsidRPr="00BB722A">
        <w:t>= mixed-effect model with repeated</w:t>
      </w:r>
      <w:r w:rsidR="005570D0">
        <w:t xml:space="preserve"> measures</w:t>
      </w:r>
      <w:r>
        <w:t xml:space="preserve">; </w:t>
      </w:r>
      <w:r w:rsidR="00723CE2">
        <w:t>N</w:t>
      </w:r>
      <w:r w:rsidR="005570D0">
        <w:t xml:space="preserve"> </w:t>
      </w:r>
      <w:r w:rsidR="00723CE2">
        <w:t xml:space="preserve">= sample size; </w:t>
      </w:r>
      <w:r>
        <w:t>NR = not reported;</w:t>
      </w:r>
      <w:r w:rsidRPr="00BB722A">
        <w:t xml:space="preserve"> </w:t>
      </w:r>
      <w:r>
        <w:t>S</w:t>
      </w:r>
      <w:r w:rsidR="001951CD">
        <w:t xml:space="preserve">E </w:t>
      </w:r>
      <w:r>
        <w:t xml:space="preserve">= standard </w:t>
      </w:r>
      <w:r w:rsidR="001951CD">
        <w:t>error</w:t>
      </w:r>
      <w:r w:rsidRPr="00BB722A">
        <w:t>.</w:t>
      </w:r>
    </w:p>
    <w:p w14:paraId="3FBA06F5" w14:textId="1F010C4F" w:rsidR="007747B5" w:rsidRDefault="007747B5" w:rsidP="00EA693D">
      <w:pPr>
        <w:pStyle w:val="TableFigureFooter"/>
        <w:keepNext/>
        <w:keepLines/>
        <w:jc w:val="both"/>
      </w:pPr>
      <w:r w:rsidRPr="00BB722A">
        <w:t>For the MMRM analysis, the model was adjusted for treatment group, visit, visit</w:t>
      </w:r>
      <w:r>
        <w:t xml:space="preserve"> </w:t>
      </w:r>
      <w:r w:rsidRPr="00BB722A">
        <w:t>by</w:t>
      </w:r>
      <w:r>
        <w:t xml:space="preserve"> </w:t>
      </w:r>
      <w:r w:rsidRPr="00BB722A">
        <w:t>treatment group interaction, baseline BCVA (continuous), baseline BCVA score (</w:t>
      </w:r>
      <w:r w:rsidRPr="00BB722A">
        <w:rPr>
          <w:rFonts w:cs="Calibri"/>
        </w:rPr>
        <w:t>≤</w:t>
      </w:r>
      <w:r w:rsidRPr="00BB722A">
        <w:t xml:space="preserve"> 54 letters vs </w:t>
      </w:r>
      <w:r w:rsidRPr="00BB722A">
        <w:rPr>
          <w:rFonts w:cs="Calibri"/>
        </w:rPr>
        <w:t>≥</w:t>
      </w:r>
      <w:r w:rsidRPr="00BB722A">
        <w:t xml:space="preserve"> 55 letters), and region (United States and Canada, Asia, and the rest of the world). An unstructured covariance structure was used. Observed BCVA assessments were used regardless of the occurrence of intercurrent events. Missing data were implicitly imputed by MMRM. Invalid BCVA values were excluded from analysis. 95% CI is a rounding of 95.03% CI.</w:t>
      </w:r>
    </w:p>
    <w:p w14:paraId="4A8F8134" w14:textId="2D7D8517" w:rsidR="00D83460" w:rsidRPr="006D1EEB" w:rsidRDefault="009479B4" w:rsidP="006D1EEB">
      <w:pPr>
        <w:pStyle w:val="3-BodyText"/>
      </w:pPr>
      <w:r>
        <w:t>Table 5 details t</w:t>
      </w:r>
      <w:r w:rsidR="00D83460">
        <w:t>he difference in BCVA between baseline and the average of Weeks 64, 68 and 72</w:t>
      </w:r>
      <w:r>
        <w:t>. The difference in BCVA from baseline</w:t>
      </w:r>
      <w:r w:rsidR="00D83460">
        <w:t xml:space="preserve"> was comparable between arms and similar to the difference observed at Week 24</w:t>
      </w:r>
      <w:r w:rsidR="00337D51">
        <w:t xml:space="preserve">. </w:t>
      </w:r>
      <w:r w:rsidR="00D83460" w:rsidRPr="002C715A">
        <w:t xml:space="preserve">In BALATON and COMINO, the BCVA gains achieved at Week 24 were maintained through Week 72, during which time </w:t>
      </w:r>
      <w:r w:rsidR="00D83460">
        <w:t xml:space="preserve">all </w:t>
      </w:r>
      <w:r w:rsidR="00D83460" w:rsidRPr="002C715A">
        <w:t xml:space="preserve">patients were on </w:t>
      </w:r>
      <w:r w:rsidR="005F0D9C">
        <w:t xml:space="preserve">the </w:t>
      </w:r>
      <w:r w:rsidR="00D83460" w:rsidRPr="002C715A">
        <w:t>faricimab PTI dosing regimen.</w:t>
      </w:r>
      <w:r w:rsidR="001D55AD">
        <w:t xml:space="preserve"> </w:t>
      </w:r>
    </w:p>
    <w:p w14:paraId="78668810" w14:textId="2F302E01" w:rsidR="00D83460" w:rsidRDefault="00D83460" w:rsidP="00EA693D">
      <w:pPr>
        <w:pStyle w:val="Caption"/>
        <w:jc w:val="both"/>
      </w:pPr>
      <w:bookmarkStart w:id="27" w:name="_Ref165465498"/>
      <w:r w:rsidRPr="00782861">
        <w:t xml:space="preserve">Table </w:t>
      </w:r>
      <w:r w:rsidR="001B6BE3">
        <w:fldChar w:fldCharType="begin" w:fldLock="1"/>
      </w:r>
      <w:r w:rsidR="001B6BE3">
        <w:instrText xml:space="preserve"> SEQ Table \* ARABIC </w:instrText>
      </w:r>
      <w:r w:rsidR="001B6BE3">
        <w:fldChar w:fldCharType="separate"/>
      </w:r>
      <w:r w:rsidR="00423F23">
        <w:rPr>
          <w:noProof/>
        </w:rPr>
        <w:t>5</w:t>
      </w:r>
      <w:r w:rsidR="001B6BE3">
        <w:rPr>
          <w:noProof/>
        </w:rPr>
        <w:fldChar w:fldCharType="end"/>
      </w:r>
      <w:bookmarkEnd w:id="27"/>
      <w:r w:rsidRPr="00782861">
        <w:t>: Results</w:t>
      </w:r>
      <w:r>
        <w:t xml:space="preserve"> of change from baseline in BCVA in the study eye at Week 64/68/72 in BALATON and COMINO trials: MMRM method,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2"/>
        <w:gridCol w:w="2359"/>
        <w:gridCol w:w="1702"/>
        <w:gridCol w:w="2409"/>
        <w:gridCol w:w="1645"/>
      </w:tblGrid>
      <w:tr w:rsidR="009479B4" w:rsidRPr="007E055C" w14:paraId="2D123B9A" w14:textId="77777777" w:rsidTr="009479B4">
        <w:trPr>
          <w:tblHeader/>
        </w:trPr>
        <w:tc>
          <w:tcPr>
            <w:tcW w:w="500" w:type="pct"/>
            <w:vAlign w:val="center"/>
          </w:tcPr>
          <w:p w14:paraId="7F1B92B9" w14:textId="77777777" w:rsidR="009479B4" w:rsidRPr="007E055C" w:rsidRDefault="009479B4" w:rsidP="00EA693D">
            <w:pPr>
              <w:pStyle w:val="TableHeadingRow"/>
              <w:keepLines/>
              <w:spacing w:before="0" w:after="0"/>
              <w:jc w:val="both"/>
              <w:rPr>
                <w:rFonts w:ascii="Arial Narrow" w:hAnsi="Arial Narrow"/>
                <w:lang w:val="en-US"/>
              </w:rPr>
            </w:pPr>
            <w:r w:rsidRPr="007E055C">
              <w:rPr>
                <w:rFonts w:ascii="Arial Narrow" w:hAnsi="Arial Narrow"/>
                <w:lang w:val="en-US"/>
              </w:rPr>
              <w:t>Trial ID</w:t>
            </w:r>
          </w:p>
        </w:tc>
        <w:tc>
          <w:tcPr>
            <w:tcW w:w="2252" w:type="pct"/>
            <w:gridSpan w:val="2"/>
            <w:vAlign w:val="center"/>
          </w:tcPr>
          <w:p w14:paraId="5FD8B971" w14:textId="77777777" w:rsidR="009479B4" w:rsidRPr="007E055C" w:rsidRDefault="009479B4" w:rsidP="00EA693D">
            <w:pPr>
              <w:pStyle w:val="TableHeadingRow"/>
              <w:keepLines/>
              <w:spacing w:before="0" w:after="0"/>
              <w:rPr>
                <w:rFonts w:ascii="Arial Narrow" w:hAnsi="Arial Narrow"/>
                <w:lang w:val="en-US"/>
              </w:rPr>
            </w:pPr>
            <w:r w:rsidRPr="007E055C">
              <w:rPr>
                <w:rFonts w:ascii="Arial Narrow" w:hAnsi="Arial Narrow"/>
                <w:iCs/>
                <w:lang w:val="en-US"/>
              </w:rPr>
              <w:t>Faricimab Q4W to faricimab PTI</w:t>
            </w:r>
          </w:p>
        </w:tc>
        <w:tc>
          <w:tcPr>
            <w:tcW w:w="2248" w:type="pct"/>
            <w:gridSpan w:val="2"/>
            <w:vAlign w:val="center"/>
          </w:tcPr>
          <w:p w14:paraId="184F162B" w14:textId="77777777" w:rsidR="009479B4" w:rsidRPr="007E055C" w:rsidRDefault="009479B4" w:rsidP="00EA693D">
            <w:pPr>
              <w:pStyle w:val="TableHeadingRow"/>
              <w:keepLines/>
              <w:spacing w:before="0" w:after="0"/>
              <w:rPr>
                <w:rFonts w:ascii="Arial Narrow" w:hAnsi="Arial Narrow"/>
                <w:lang w:val="en-US"/>
              </w:rPr>
            </w:pPr>
            <w:r w:rsidRPr="007E055C">
              <w:rPr>
                <w:rFonts w:ascii="Arial Narrow" w:hAnsi="Arial Narrow"/>
                <w:iCs/>
                <w:lang w:val="en-US"/>
              </w:rPr>
              <w:t>Aflibercept Q4W to faricimab PTI</w:t>
            </w:r>
          </w:p>
        </w:tc>
      </w:tr>
      <w:tr w:rsidR="009479B4" w:rsidRPr="007E055C" w14:paraId="077DE934" w14:textId="77777777" w:rsidTr="009479B4">
        <w:tc>
          <w:tcPr>
            <w:tcW w:w="500" w:type="pct"/>
            <w:vAlign w:val="center"/>
          </w:tcPr>
          <w:p w14:paraId="4E6D0208" w14:textId="77777777" w:rsidR="009479B4" w:rsidRPr="007E055C" w:rsidRDefault="009479B4" w:rsidP="00EA693D">
            <w:pPr>
              <w:pStyle w:val="TableText0"/>
              <w:keepLines/>
              <w:jc w:val="both"/>
              <w:rPr>
                <w:szCs w:val="20"/>
              </w:rPr>
            </w:pPr>
          </w:p>
        </w:tc>
        <w:tc>
          <w:tcPr>
            <w:tcW w:w="1308" w:type="pct"/>
            <w:vAlign w:val="center"/>
          </w:tcPr>
          <w:p w14:paraId="46F3D6B4" w14:textId="77777777" w:rsidR="009479B4" w:rsidRPr="007E055C" w:rsidRDefault="009479B4" w:rsidP="00EA693D">
            <w:pPr>
              <w:pStyle w:val="TableText0"/>
              <w:keepLines/>
              <w:jc w:val="center"/>
              <w:rPr>
                <w:b/>
                <w:szCs w:val="20"/>
                <w:lang w:val="nb-NO"/>
              </w:rPr>
            </w:pPr>
            <w:r w:rsidRPr="007E055C">
              <w:rPr>
                <w:b/>
                <w:szCs w:val="20"/>
                <w:lang w:val="nb-NO"/>
              </w:rPr>
              <w:t>Mean BCVA at baseline (SE)</w:t>
            </w:r>
          </w:p>
          <w:p w14:paraId="1380A384" w14:textId="77777777" w:rsidR="009479B4" w:rsidRPr="007E055C" w:rsidRDefault="009479B4" w:rsidP="00EA693D">
            <w:pPr>
              <w:pStyle w:val="TableText0"/>
              <w:keepLines/>
              <w:jc w:val="center"/>
              <w:rPr>
                <w:b/>
                <w:szCs w:val="20"/>
              </w:rPr>
            </w:pPr>
            <w:r w:rsidRPr="007E055C">
              <w:rPr>
                <w:b/>
                <w:szCs w:val="20"/>
              </w:rPr>
              <w:t>(BALATON N=276;</w:t>
            </w:r>
          </w:p>
          <w:p w14:paraId="490DB68D" w14:textId="77777777" w:rsidR="009479B4" w:rsidRPr="007E055C" w:rsidRDefault="009479B4" w:rsidP="00EA693D">
            <w:pPr>
              <w:pStyle w:val="TableText0"/>
              <w:keepLines/>
              <w:jc w:val="center"/>
              <w:rPr>
                <w:b/>
                <w:szCs w:val="20"/>
              </w:rPr>
            </w:pPr>
            <w:r w:rsidRPr="007E055C">
              <w:rPr>
                <w:b/>
                <w:szCs w:val="20"/>
              </w:rPr>
              <w:t>COMINO N=366)</w:t>
            </w:r>
          </w:p>
        </w:tc>
        <w:tc>
          <w:tcPr>
            <w:tcW w:w="944" w:type="pct"/>
            <w:vAlign w:val="center"/>
          </w:tcPr>
          <w:p w14:paraId="45839B3A" w14:textId="77777777" w:rsidR="009479B4" w:rsidRPr="007E055C" w:rsidRDefault="009479B4" w:rsidP="00EA693D">
            <w:pPr>
              <w:pStyle w:val="TableText0"/>
              <w:keepLines/>
              <w:jc w:val="center"/>
              <w:rPr>
                <w:b/>
                <w:szCs w:val="20"/>
              </w:rPr>
            </w:pPr>
            <w:r w:rsidRPr="007E055C">
              <w:rPr>
                <w:b/>
                <w:szCs w:val="20"/>
              </w:rPr>
              <w:t>Mean BCVA change (95% CI)</w:t>
            </w:r>
          </w:p>
        </w:tc>
        <w:tc>
          <w:tcPr>
            <w:tcW w:w="1336" w:type="pct"/>
            <w:vAlign w:val="center"/>
          </w:tcPr>
          <w:p w14:paraId="64E6E2E6" w14:textId="77777777" w:rsidR="009479B4" w:rsidRPr="007E055C" w:rsidRDefault="009479B4" w:rsidP="00EA693D">
            <w:pPr>
              <w:pStyle w:val="TableText0"/>
              <w:keepLines/>
              <w:jc w:val="center"/>
              <w:rPr>
                <w:b/>
                <w:szCs w:val="20"/>
                <w:lang w:val="nb-NO"/>
              </w:rPr>
            </w:pPr>
            <w:r w:rsidRPr="007E055C">
              <w:rPr>
                <w:b/>
                <w:szCs w:val="20"/>
                <w:lang w:val="nb-NO"/>
              </w:rPr>
              <w:t>Mean BCVA at baseline (SE)</w:t>
            </w:r>
          </w:p>
          <w:p w14:paraId="089B81CD" w14:textId="77777777" w:rsidR="009479B4" w:rsidRPr="007E055C" w:rsidRDefault="009479B4" w:rsidP="00EA693D">
            <w:pPr>
              <w:pStyle w:val="TableText0"/>
              <w:keepLines/>
              <w:jc w:val="center"/>
              <w:rPr>
                <w:b/>
                <w:szCs w:val="20"/>
              </w:rPr>
            </w:pPr>
            <w:r w:rsidRPr="007E055C">
              <w:rPr>
                <w:b/>
                <w:szCs w:val="20"/>
              </w:rPr>
              <w:t>(BALATON N=277; COMINO N=363)</w:t>
            </w:r>
          </w:p>
        </w:tc>
        <w:tc>
          <w:tcPr>
            <w:tcW w:w="912" w:type="pct"/>
            <w:vAlign w:val="center"/>
          </w:tcPr>
          <w:p w14:paraId="3BBE1D7C" w14:textId="77777777" w:rsidR="009479B4" w:rsidRPr="007E055C" w:rsidRDefault="009479B4" w:rsidP="00EA693D">
            <w:pPr>
              <w:pStyle w:val="TableText0"/>
              <w:keepLines/>
              <w:jc w:val="center"/>
              <w:rPr>
                <w:b/>
                <w:szCs w:val="20"/>
              </w:rPr>
            </w:pPr>
            <w:r w:rsidRPr="007E055C">
              <w:rPr>
                <w:b/>
                <w:szCs w:val="20"/>
              </w:rPr>
              <w:t>Mean BCVA change (95% CI)</w:t>
            </w:r>
          </w:p>
        </w:tc>
      </w:tr>
      <w:tr w:rsidR="009479B4" w:rsidRPr="007E055C" w14:paraId="6BD19BAD" w14:textId="77777777" w:rsidTr="009479B4">
        <w:tc>
          <w:tcPr>
            <w:tcW w:w="500" w:type="pct"/>
            <w:vAlign w:val="center"/>
          </w:tcPr>
          <w:p w14:paraId="04682A7D" w14:textId="77777777" w:rsidR="009479B4" w:rsidRPr="007E055C" w:rsidRDefault="009479B4" w:rsidP="00EA693D">
            <w:pPr>
              <w:pStyle w:val="TableText0"/>
              <w:keepLines/>
              <w:jc w:val="both"/>
              <w:rPr>
                <w:szCs w:val="20"/>
              </w:rPr>
            </w:pPr>
            <w:r w:rsidRPr="007E055C">
              <w:rPr>
                <w:szCs w:val="20"/>
              </w:rPr>
              <w:t>BALATON</w:t>
            </w:r>
          </w:p>
        </w:tc>
        <w:tc>
          <w:tcPr>
            <w:tcW w:w="1308" w:type="pct"/>
            <w:vAlign w:val="center"/>
          </w:tcPr>
          <w:p w14:paraId="2B32B289" w14:textId="77777777" w:rsidR="009479B4" w:rsidRPr="007E055C" w:rsidRDefault="009479B4" w:rsidP="00EA693D">
            <w:pPr>
              <w:pStyle w:val="TableText0"/>
              <w:keepLines/>
              <w:jc w:val="center"/>
              <w:rPr>
                <w:szCs w:val="20"/>
              </w:rPr>
            </w:pPr>
            <w:r w:rsidRPr="007E055C">
              <w:rPr>
                <w:szCs w:val="20"/>
              </w:rPr>
              <w:t>57.5 (0.78)</w:t>
            </w:r>
          </w:p>
        </w:tc>
        <w:tc>
          <w:tcPr>
            <w:tcW w:w="944" w:type="pct"/>
            <w:vAlign w:val="center"/>
          </w:tcPr>
          <w:p w14:paraId="0FA31FB4" w14:textId="77777777" w:rsidR="009479B4" w:rsidRPr="007E055C" w:rsidRDefault="009479B4" w:rsidP="00EA693D">
            <w:pPr>
              <w:pStyle w:val="TableText0"/>
              <w:keepLines/>
              <w:jc w:val="center"/>
              <w:rPr>
                <w:szCs w:val="20"/>
              </w:rPr>
            </w:pPr>
            <w:r w:rsidRPr="007E055C">
              <w:rPr>
                <w:szCs w:val="20"/>
              </w:rPr>
              <w:t>18.1</w:t>
            </w:r>
          </w:p>
          <w:p w14:paraId="0003EC80" w14:textId="77777777" w:rsidR="009479B4" w:rsidRPr="007E055C" w:rsidRDefault="009479B4" w:rsidP="00EA693D">
            <w:pPr>
              <w:pStyle w:val="TableText0"/>
              <w:keepLines/>
              <w:jc w:val="center"/>
              <w:rPr>
                <w:szCs w:val="20"/>
              </w:rPr>
            </w:pPr>
            <w:r w:rsidRPr="007E055C">
              <w:rPr>
                <w:szCs w:val="20"/>
              </w:rPr>
              <w:t>(16.9, 19.4)</w:t>
            </w:r>
          </w:p>
        </w:tc>
        <w:tc>
          <w:tcPr>
            <w:tcW w:w="1336" w:type="pct"/>
            <w:vAlign w:val="center"/>
          </w:tcPr>
          <w:p w14:paraId="31948F24" w14:textId="77777777" w:rsidR="009479B4" w:rsidRPr="007E055C" w:rsidRDefault="009479B4" w:rsidP="00EA693D">
            <w:pPr>
              <w:pStyle w:val="TableText0"/>
              <w:keepLines/>
              <w:jc w:val="center"/>
              <w:rPr>
                <w:szCs w:val="20"/>
              </w:rPr>
            </w:pPr>
            <w:r w:rsidRPr="007E055C">
              <w:rPr>
                <w:szCs w:val="20"/>
              </w:rPr>
              <w:t>57.7 (0.73)</w:t>
            </w:r>
          </w:p>
        </w:tc>
        <w:tc>
          <w:tcPr>
            <w:tcW w:w="912" w:type="pct"/>
            <w:vAlign w:val="center"/>
          </w:tcPr>
          <w:p w14:paraId="71364FA2" w14:textId="77777777" w:rsidR="009479B4" w:rsidRPr="007E055C" w:rsidRDefault="009479B4" w:rsidP="00EA693D">
            <w:pPr>
              <w:pStyle w:val="TableText0"/>
              <w:keepLines/>
              <w:jc w:val="center"/>
              <w:rPr>
                <w:szCs w:val="20"/>
              </w:rPr>
            </w:pPr>
            <w:r w:rsidRPr="007E055C">
              <w:rPr>
                <w:szCs w:val="20"/>
              </w:rPr>
              <w:t>18.8</w:t>
            </w:r>
          </w:p>
          <w:p w14:paraId="4B99F179" w14:textId="77777777" w:rsidR="009479B4" w:rsidRPr="007E055C" w:rsidRDefault="009479B4" w:rsidP="00EA693D">
            <w:pPr>
              <w:pStyle w:val="TableText0"/>
              <w:keepLines/>
              <w:jc w:val="center"/>
              <w:rPr>
                <w:szCs w:val="20"/>
              </w:rPr>
            </w:pPr>
            <w:r w:rsidRPr="007E055C">
              <w:rPr>
                <w:szCs w:val="20"/>
              </w:rPr>
              <w:t>(17.5, 20.0)</w:t>
            </w:r>
          </w:p>
        </w:tc>
      </w:tr>
      <w:tr w:rsidR="009479B4" w:rsidRPr="007E055C" w14:paraId="4ED373A7" w14:textId="77777777" w:rsidTr="009479B4">
        <w:tc>
          <w:tcPr>
            <w:tcW w:w="500" w:type="pct"/>
            <w:vAlign w:val="center"/>
          </w:tcPr>
          <w:p w14:paraId="634E2B30" w14:textId="77777777" w:rsidR="009479B4" w:rsidRPr="007E055C" w:rsidRDefault="009479B4" w:rsidP="00EA693D">
            <w:pPr>
              <w:pStyle w:val="TableText0"/>
              <w:keepLines/>
              <w:jc w:val="both"/>
              <w:rPr>
                <w:szCs w:val="20"/>
              </w:rPr>
            </w:pPr>
            <w:r w:rsidRPr="007E055C">
              <w:rPr>
                <w:szCs w:val="20"/>
              </w:rPr>
              <w:t>COMINO</w:t>
            </w:r>
          </w:p>
        </w:tc>
        <w:tc>
          <w:tcPr>
            <w:tcW w:w="1308" w:type="pct"/>
            <w:vAlign w:val="center"/>
          </w:tcPr>
          <w:p w14:paraId="48DBCDA4" w14:textId="77777777" w:rsidR="009479B4" w:rsidRPr="007E055C" w:rsidRDefault="009479B4" w:rsidP="00EA693D">
            <w:pPr>
              <w:pStyle w:val="TableText0"/>
              <w:keepLines/>
              <w:jc w:val="center"/>
              <w:rPr>
                <w:szCs w:val="20"/>
              </w:rPr>
            </w:pPr>
            <w:r w:rsidRPr="007E055C">
              <w:rPr>
                <w:szCs w:val="20"/>
              </w:rPr>
              <w:t>50.2 (0.85)</w:t>
            </w:r>
          </w:p>
        </w:tc>
        <w:tc>
          <w:tcPr>
            <w:tcW w:w="944" w:type="pct"/>
            <w:vAlign w:val="center"/>
          </w:tcPr>
          <w:p w14:paraId="76CFE603" w14:textId="77777777" w:rsidR="009479B4" w:rsidRPr="007E055C" w:rsidRDefault="009479B4" w:rsidP="00EA693D">
            <w:pPr>
              <w:pStyle w:val="TableText0"/>
              <w:keepLines/>
              <w:jc w:val="center"/>
              <w:rPr>
                <w:szCs w:val="20"/>
              </w:rPr>
            </w:pPr>
            <w:r w:rsidRPr="007E055C">
              <w:rPr>
                <w:szCs w:val="20"/>
              </w:rPr>
              <w:t>16.9</w:t>
            </w:r>
          </w:p>
          <w:p w14:paraId="20B7E6B2" w14:textId="77777777" w:rsidR="009479B4" w:rsidRPr="007E055C" w:rsidRDefault="009479B4" w:rsidP="00EA693D">
            <w:pPr>
              <w:pStyle w:val="TableText0"/>
              <w:keepLines/>
              <w:jc w:val="center"/>
              <w:rPr>
                <w:szCs w:val="20"/>
              </w:rPr>
            </w:pPr>
            <w:r w:rsidRPr="007E055C">
              <w:rPr>
                <w:szCs w:val="20"/>
              </w:rPr>
              <w:t>(15.2, 18.6)</w:t>
            </w:r>
          </w:p>
        </w:tc>
        <w:tc>
          <w:tcPr>
            <w:tcW w:w="1336" w:type="pct"/>
            <w:vAlign w:val="center"/>
          </w:tcPr>
          <w:p w14:paraId="4A19F9D4" w14:textId="77777777" w:rsidR="009479B4" w:rsidRPr="007E055C" w:rsidRDefault="009479B4" w:rsidP="00EA693D">
            <w:pPr>
              <w:pStyle w:val="TableText0"/>
              <w:keepLines/>
              <w:jc w:val="center"/>
              <w:rPr>
                <w:szCs w:val="20"/>
              </w:rPr>
            </w:pPr>
            <w:r w:rsidRPr="007E055C">
              <w:rPr>
                <w:szCs w:val="20"/>
              </w:rPr>
              <w:t>50.7 (0.86)</w:t>
            </w:r>
          </w:p>
        </w:tc>
        <w:tc>
          <w:tcPr>
            <w:tcW w:w="912" w:type="pct"/>
            <w:vAlign w:val="center"/>
          </w:tcPr>
          <w:p w14:paraId="3CC5A215" w14:textId="77777777" w:rsidR="009479B4" w:rsidRPr="007E055C" w:rsidRDefault="009479B4" w:rsidP="00EA693D">
            <w:pPr>
              <w:pStyle w:val="TableText0"/>
              <w:keepLines/>
              <w:jc w:val="center"/>
              <w:rPr>
                <w:szCs w:val="20"/>
              </w:rPr>
            </w:pPr>
            <w:r w:rsidRPr="007E055C">
              <w:rPr>
                <w:szCs w:val="20"/>
              </w:rPr>
              <w:t>17.1</w:t>
            </w:r>
          </w:p>
          <w:p w14:paraId="04E7E1F0" w14:textId="77777777" w:rsidR="009479B4" w:rsidRPr="007E055C" w:rsidRDefault="009479B4" w:rsidP="00EA693D">
            <w:pPr>
              <w:pStyle w:val="TableText0"/>
              <w:keepLines/>
              <w:jc w:val="center"/>
              <w:rPr>
                <w:szCs w:val="20"/>
              </w:rPr>
            </w:pPr>
            <w:r w:rsidRPr="007E055C">
              <w:rPr>
                <w:szCs w:val="20"/>
              </w:rPr>
              <w:t>(15.4, 18.8)</w:t>
            </w:r>
          </w:p>
        </w:tc>
      </w:tr>
    </w:tbl>
    <w:p w14:paraId="5D8E8140" w14:textId="62632A77" w:rsidR="00D83460" w:rsidRPr="00BB722A" w:rsidRDefault="00D83460" w:rsidP="00EA693D">
      <w:pPr>
        <w:pStyle w:val="TableFigureFooter"/>
        <w:keepNext/>
        <w:keepLines/>
        <w:jc w:val="both"/>
      </w:pPr>
      <w:r>
        <w:t>Source: Table 2.14, p66 of the submission,</w:t>
      </w:r>
      <w:r w:rsidRPr="00BB722A">
        <w:t xml:space="preserve"> </w:t>
      </w:r>
      <w:r>
        <w:t>Table 9, p85 of the COMINO Updated CSR, Table 9, p84 of the BALATON Updated CSR, p211 of the COMINO Updated CSR and p204 of the BALATON Updated CSR.</w:t>
      </w:r>
    </w:p>
    <w:p w14:paraId="3F01611F" w14:textId="7D5CAB72" w:rsidR="00D83460" w:rsidRDefault="00D83460" w:rsidP="00EA693D">
      <w:pPr>
        <w:pStyle w:val="TableFigureFooter"/>
        <w:keepNext/>
        <w:keepLines/>
        <w:jc w:val="both"/>
      </w:pPr>
      <w:r w:rsidRPr="003D7ACB">
        <w:t>BCVA</w:t>
      </w:r>
      <w:r>
        <w:t xml:space="preserve"> </w:t>
      </w:r>
      <w:r w:rsidRPr="003D7ACB">
        <w:t>=</w:t>
      </w:r>
      <w:r>
        <w:t xml:space="preserve"> </w:t>
      </w:r>
      <w:r w:rsidRPr="003D7ACB">
        <w:t>best corrected visual acuity; CI</w:t>
      </w:r>
      <w:r>
        <w:t xml:space="preserve"> </w:t>
      </w:r>
      <w:r w:rsidRPr="003D7ACB">
        <w:t>=</w:t>
      </w:r>
      <w:r>
        <w:t xml:space="preserve"> </w:t>
      </w:r>
      <w:r w:rsidRPr="003D7ACB">
        <w:t>confidence interval; ITT</w:t>
      </w:r>
      <w:r>
        <w:t xml:space="preserve"> </w:t>
      </w:r>
      <w:r w:rsidRPr="003D7ACB">
        <w:t>=</w:t>
      </w:r>
      <w:r>
        <w:t xml:space="preserve"> </w:t>
      </w:r>
      <w:r w:rsidRPr="003D7ACB">
        <w:t>intent</w:t>
      </w:r>
      <w:r>
        <w:t xml:space="preserve">ion </w:t>
      </w:r>
      <w:r w:rsidRPr="003D7ACB">
        <w:t>to</w:t>
      </w:r>
      <w:r>
        <w:t xml:space="preserve"> </w:t>
      </w:r>
      <w:r w:rsidRPr="003D7ACB">
        <w:t>treat; MMRM</w:t>
      </w:r>
      <w:r>
        <w:t xml:space="preserve"> </w:t>
      </w:r>
      <w:r w:rsidRPr="003D7ACB">
        <w:t>=</w:t>
      </w:r>
      <w:r>
        <w:t xml:space="preserve"> </w:t>
      </w:r>
      <w:r w:rsidRPr="003D7ACB">
        <w:t xml:space="preserve">missed model for repeated measures; </w:t>
      </w:r>
      <w:r>
        <w:t xml:space="preserve">N </w:t>
      </w:r>
      <w:r w:rsidR="00E841A4">
        <w:t xml:space="preserve">= </w:t>
      </w:r>
      <w:r>
        <w:t xml:space="preserve">sample size; </w:t>
      </w:r>
      <w:r w:rsidR="00E841A4">
        <w:t xml:space="preserve">NR = not reported; </w:t>
      </w:r>
      <w:r>
        <w:t xml:space="preserve">PTI = personalised treatment interval; </w:t>
      </w:r>
      <w:r w:rsidRPr="003D7ACB">
        <w:t>Q4W=every four weeks</w:t>
      </w:r>
      <w:r>
        <w:t>; SE = standard error.</w:t>
      </w:r>
    </w:p>
    <w:p w14:paraId="32F7B92E" w14:textId="77777777" w:rsidR="00D83460" w:rsidRDefault="00D83460" w:rsidP="00EA693D">
      <w:pPr>
        <w:pStyle w:val="TableFigureFooter"/>
        <w:keepNext/>
        <w:keepLines/>
        <w:jc w:val="both"/>
      </w:pPr>
      <w:r w:rsidRPr="00623EFB">
        <w:t xml:space="preserve">Change from </w:t>
      </w:r>
      <w:r>
        <w:t>b</w:t>
      </w:r>
      <w:r w:rsidRPr="00623EFB">
        <w:t xml:space="preserve">aseline in BCVA </w:t>
      </w:r>
      <w:r>
        <w:t xml:space="preserve">is </w:t>
      </w:r>
      <w:r w:rsidRPr="00623EFB">
        <w:t>the averag</w:t>
      </w:r>
      <w:r>
        <w:t xml:space="preserve">e </w:t>
      </w:r>
      <w:r w:rsidRPr="00623EFB">
        <w:t>over Weeks 64, 68, 72</w:t>
      </w:r>
      <w:r>
        <w:t>.</w:t>
      </w:r>
    </w:p>
    <w:p w14:paraId="332203D5" w14:textId="6074071B" w:rsidR="00A4038D" w:rsidRPr="001476FA" w:rsidRDefault="00A4038D" w:rsidP="001C2A71">
      <w:pPr>
        <w:pStyle w:val="3-BodyText"/>
        <w:ind w:left="709" w:hanging="709"/>
        <w:rPr>
          <w:iCs/>
        </w:rPr>
      </w:pPr>
      <w:r w:rsidRPr="00A4038D">
        <w:t xml:space="preserve">In </w:t>
      </w:r>
      <w:r w:rsidR="00EE231F">
        <w:t xml:space="preserve">the </w:t>
      </w:r>
      <w:r w:rsidRPr="00A4038D">
        <w:t>BALATON</w:t>
      </w:r>
      <w:r w:rsidR="00196EC6">
        <w:t xml:space="preserve"> and COMINO</w:t>
      </w:r>
      <w:r w:rsidR="00EE231F">
        <w:t xml:space="preserve"> trials</w:t>
      </w:r>
      <w:r w:rsidRPr="00A4038D">
        <w:t xml:space="preserve">, </w:t>
      </w:r>
      <w:r w:rsidR="00FA5B05">
        <w:t xml:space="preserve">there were </w:t>
      </w:r>
      <w:r w:rsidRPr="00A4038D">
        <w:t xml:space="preserve">no differences between the faricimab and aflibercept arms </w:t>
      </w:r>
      <w:r w:rsidR="00FA5B05">
        <w:t xml:space="preserve">in subgroup analyses of the adjusted mean change from baseline in BCVA at Week 24 for </w:t>
      </w:r>
      <w:r w:rsidRPr="00A4038D">
        <w:t>each subgroup</w:t>
      </w:r>
      <w:r w:rsidR="000E0B49">
        <w:t>:</w:t>
      </w:r>
      <w:r w:rsidRPr="00A4038D">
        <w:t xml:space="preserve"> </w:t>
      </w:r>
      <w:r w:rsidR="000A29BE" w:rsidRPr="00A4038D">
        <w:t>baseline BCVA, region, age, gender</w:t>
      </w:r>
      <w:r w:rsidR="00196EC6">
        <w:t xml:space="preserve"> and</w:t>
      </w:r>
      <w:r w:rsidR="000A29BE" w:rsidRPr="00A4038D">
        <w:t xml:space="preserve"> race</w:t>
      </w:r>
      <w:r w:rsidR="00AA40CC">
        <w:t xml:space="preserve">. </w:t>
      </w:r>
      <w:r w:rsidR="000E0B49">
        <w:t>However</w:t>
      </w:r>
      <w:r w:rsidRPr="00A4038D">
        <w:t>, in the HRVO subgroup</w:t>
      </w:r>
      <w:r w:rsidR="000E0B49">
        <w:t xml:space="preserve"> of the COMINO trial</w:t>
      </w:r>
      <w:r w:rsidRPr="00A4038D">
        <w:t xml:space="preserve">, the mean change from baseline in BCVA was statistically significantly higher (better) in the aflibercept </w:t>
      </w:r>
      <w:r w:rsidR="00FA5B05">
        <w:t>arm</w:t>
      </w:r>
      <w:r w:rsidR="00FA5B05" w:rsidRPr="00A4038D">
        <w:t xml:space="preserve"> </w:t>
      </w:r>
      <w:r w:rsidRPr="00A4038D">
        <w:t xml:space="preserve">at Week 24 compared to the faricimab </w:t>
      </w:r>
      <w:r w:rsidR="00FA5B05">
        <w:t>arm</w:t>
      </w:r>
      <w:r w:rsidR="00FA5B05" w:rsidRPr="00A4038D">
        <w:t xml:space="preserve"> </w:t>
      </w:r>
      <w:r w:rsidRPr="00A4038D">
        <w:t>(</w:t>
      </w:r>
      <w:r w:rsidR="007867E8">
        <w:fldChar w:fldCharType="begin" w:fldLock="1"/>
      </w:r>
      <w:r w:rsidR="007867E8">
        <w:instrText xml:space="preserve"> REF _Ref163939441 \h </w:instrText>
      </w:r>
      <w:r w:rsidR="001C2A71">
        <w:instrText xml:space="preserve"> \* MERGEFORMAT </w:instrText>
      </w:r>
      <w:r w:rsidR="007867E8">
        <w:fldChar w:fldCharType="separate"/>
      </w:r>
      <w:r w:rsidR="00423F23">
        <w:t xml:space="preserve">Figure </w:t>
      </w:r>
      <w:r w:rsidR="00423F23">
        <w:rPr>
          <w:noProof/>
        </w:rPr>
        <w:t>1</w:t>
      </w:r>
      <w:r w:rsidR="007867E8">
        <w:fldChar w:fldCharType="end"/>
      </w:r>
      <w:r w:rsidRPr="00A4038D">
        <w:t>)</w:t>
      </w:r>
      <w:r w:rsidR="00EA0FDE">
        <w:t>,</w:t>
      </w:r>
      <w:r w:rsidRPr="00A4038D">
        <w:t xml:space="preserve"> </w:t>
      </w:r>
      <w:r w:rsidR="00EA0FDE" w:rsidRPr="00AC5A15">
        <w:t>n</w:t>
      </w:r>
      <w:r w:rsidRPr="00AC5A15">
        <w:t>oting that the mean difference in BCVA (</w:t>
      </w:r>
      <w:r w:rsidR="0002363C">
        <w:noBreakHyphen/>
      </w:r>
      <w:r w:rsidRPr="00AC5A15">
        <w:t>3.8 letters) is not considered clinically significant</w:t>
      </w:r>
      <w:r w:rsidR="00FA5B05" w:rsidRPr="00AC5A15">
        <w:t xml:space="preserve">. </w:t>
      </w:r>
      <w:r w:rsidRPr="00AC5A15">
        <w:t>The proportion of HRVO patients</w:t>
      </w:r>
      <w:r w:rsidR="006F67B0" w:rsidRPr="00AC5A15">
        <w:t xml:space="preserve"> at baseline</w:t>
      </w:r>
      <w:r w:rsidRPr="00AC5A15">
        <w:t xml:space="preserve"> was similar across arms with 62/366 (17.0%) and 65/363 (18.1%) patients in the faricimab and aflibercept arms</w:t>
      </w:r>
      <w:r w:rsidR="000E0B49">
        <w:t>,</w:t>
      </w:r>
      <w:r w:rsidRPr="00AC5A15">
        <w:t xml:space="preserve"> respectively.</w:t>
      </w:r>
      <w:r w:rsidR="001B6FA1" w:rsidRPr="00AC5A15">
        <w:t xml:space="preserve"> </w:t>
      </w:r>
      <w:r w:rsidR="007178CA" w:rsidRPr="00AC5A15">
        <w:t>T</w:t>
      </w:r>
      <w:r w:rsidR="001B6FA1" w:rsidRPr="00AC5A15">
        <w:t xml:space="preserve">he HRVO subgroup was not prospectively defined as a randomisation stratification factor in the COMINO </w:t>
      </w:r>
      <w:r w:rsidR="00D1797F" w:rsidRPr="00AC5A15">
        <w:t>trial</w:t>
      </w:r>
      <w:r w:rsidR="001B6FA1" w:rsidRPr="00AC5A15">
        <w:t xml:space="preserve"> design</w:t>
      </w:r>
      <w:r w:rsidR="00187FC4" w:rsidRPr="00AC5A15">
        <w:t xml:space="preserve"> and</w:t>
      </w:r>
      <w:r w:rsidR="00B11B8E" w:rsidRPr="00AC5A15">
        <w:t xml:space="preserve"> the HRVO subgroup size was small</w:t>
      </w:r>
      <w:r w:rsidR="001B6FA1" w:rsidRPr="00AC5A15">
        <w:t>.</w:t>
      </w:r>
      <w:r w:rsidR="00EB4478">
        <w:t xml:space="preserve"> </w:t>
      </w:r>
      <w:r w:rsidR="00EB4478" w:rsidRPr="001476FA">
        <w:rPr>
          <w:iCs/>
        </w:rPr>
        <w:t>Based on anatomical and physiological characteristics, the ESC</w:t>
      </w:r>
      <w:r w:rsidR="000E0B49">
        <w:rPr>
          <w:iCs/>
        </w:rPr>
        <w:t xml:space="preserve"> and the PBAC</w:t>
      </w:r>
      <w:r w:rsidR="00EB4478" w:rsidRPr="001476FA">
        <w:rPr>
          <w:iCs/>
        </w:rPr>
        <w:t xml:space="preserve"> considered that it was unlikely that patients with HRVO responded differently to faricimab than to other anti-VEGF therapy.</w:t>
      </w:r>
    </w:p>
    <w:p w14:paraId="2DC5E11B" w14:textId="481C432C" w:rsidR="007867E8" w:rsidRDefault="007867E8" w:rsidP="00EA693D">
      <w:pPr>
        <w:pStyle w:val="Caption"/>
        <w:jc w:val="both"/>
      </w:pPr>
      <w:bookmarkStart w:id="28" w:name="_Ref163939441"/>
      <w:r>
        <w:t xml:space="preserve">Figure </w:t>
      </w:r>
      <w:r w:rsidR="001B6BE3">
        <w:fldChar w:fldCharType="begin" w:fldLock="1"/>
      </w:r>
      <w:r w:rsidR="001B6BE3">
        <w:instrText xml:space="preserve"> SEQ Figure \* ARABIC </w:instrText>
      </w:r>
      <w:r w:rsidR="001B6BE3">
        <w:fldChar w:fldCharType="separate"/>
      </w:r>
      <w:r w:rsidR="00423F23">
        <w:rPr>
          <w:noProof/>
        </w:rPr>
        <w:t>1</w:t>
      </w:r>
      <w:r w:rsidR="001B6BE3">
        <w:rPr>
          <w:noProof/>
        </w:rPr>
        <w:fldChar w:fldCharType="end"/>
      </w:r>
      <w:bookmarkEnd w:id="28"/>
      <w:r>
        <w:t xml:space="preserve">. </w:t>
      </w:r>
      <w:r w:rsidR="00360344">
        <w:t xml:space="preserve">COMINO: </w:t>
      </w:r>
      <w:r>
        <w:t>Subgroup forest plot of change from baseline in BCVA in the study eye at Week 24 for faricimab Q4W vs aflibercept Q4W (MMRM method, ITT population)</w:t>
      </w:r>
    </w:p>
    <w:p w14:paraId="419F61C7" w14:textId="77777777" w:rsidR="007867E8" w:rsidRDefault="007867E8" w:rsidP="00EA693D">
      <w:pPr>
        <w:keepNext/>
        <w:keepLines/>
        <w:autoSpaceDE w:val="0"/>
        <w:autoSpaceDN w:val="0"/>
        <w:adjustRightInd w:val="0"/>
        <w:jc w:val="both"/>
        <w:rPr>
          <w:rFonts w:ascii="Arial" w:hAnsi="Arial"/>
          <w:sz w:val="22"/>
          <w:szCs w:val="22"/>
          <w:lang w:val="en-US"/>
        </w:rPr>
      </w:pPr>
      <w:r w:rsidRPr="00247310">
        <w:rPr>
          <w:rFonts w:ascii="Arial" w:hAnsi="Arial"/>
          <w:noProof/>
          <w:sz w:val="22"/>
          <w:szCs w:val="22"/>
          <w:lang w:eastAsia="en-AU"/>
        </w:rPr>
        <w:drawing>
          <wp:inline distT="0" distB="0" distL="0" distR="0" wp14:anchorId="7D9C78E0" wp14:editId="76D618DE">
            <wp:extent cx="5308270" cy="2577395"/>
            <wp:effectExtent l="0" t="0" r="6985" b="0"/>
            <wp:docPr id="1206752457" name="Picture 1" descr="A table of numbers and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615303" name="Picture 1" descr="A table of numbers and a diagram&#10;&#10;Description automatically generated with medium confidence"/>
                    <pic:cNvPicPr/>
                  </pic:nvPicPr>
                  <pic:blipFill>
                    <a:blip r:embed="rId8"/>
                    <a:stretch>
                      <a:fillRect/>
                    </a:stretch>
                  </pic:blipFill>
                  <pic:spPr>
                    <a:xfrm>
                      <a:off x="0" y="0"/>
                      <a:ext cx="5332790" cy="2589301"/>
                    </a:xfrm>
                    <a:prstGeom prst="rect">
                      <a:avLst/>
                    </a:prstGeom>
                  </pic:spPr>
                </pic:pic>
              </a:graphicData>
            </a:graphic>
          </wp:inline>
        </w:drawing>
      </w:r>
    </w:p>
    <w:p w14:paraId="1A76EEE7" w14:textId="16C25C37" w:rsidR="007867E8" w:rsidRDefault="007867E8" w:rsidP="00EA693D">
      <w:pPr>
        <w:pStyle w:val="FooterTableFigure"/>
        <w:keepNext/>
        <w:keepLines/>
        <w:jc w:val="both"/>
      </w:pPr>
      <w:r>
        <w:t xml:space="preserve">Source: Figure 2.4, p65 of the submission. </w:t>
      </w:r>
    </w:p>
    <w:p w14:paraId="5FB7E510" w14:textId="223F1CC8" w:rsidR="007867E8" w:rsidRDefault="007867E8" w:rsidP="00EA693D">
      <w:pPr>
        <w:pStyle w:val="FooterTableFigure"/>
        <w:keepNext/>
        <w:keepLines/>
        <w:jc w:val="both"/>
      </w:pPr>
      <w:r>
        <w:t>BCVA = best corrected visual acuity; CI = confidence interval; CRVO = central retinal vein occlusion; HRVO = hemi</w:t>
      </w:r>
      <w:r w:rsidR="00124B4F">
        <w:t xml:space="preserve">-central </w:t>
      </w:r>
      <w:r>
        <w:t>retinal vein occlusion; ITT = intention to treat; MMRM = mixed-model repeated-measure</w:t>
      </w:r>
      <w:r w:rsidR="00FA5B05">
        <w:t xml:space="preserve">; </w:t>
      </w:r>
      <w:r w:rsidR="00124B4F">
        <w:t xml:space="preserve">Q4W = every four weeks; </w:t>
      </w:r>
      <w:r w:rsidR="00FA5B05">
        <w:t>US = United States</w:t>
      </w:r>
      <w:r>
        <w:t>.</w:t>
      </w:r>
    </w:p>
    <w:p w14:paraId="3E7F9867" w14:textId="3240A35C" w:rsidR="004967F9" w:rsidRDefault="007867E8" w:rsidP="00EA693D">
      <w:pPr>
        <w:pStyle w:val="FooterTableFigure"/>
        <w:keepNext/>
        <w:keepLines/>
        <w:jc w:val="both"/>
      </w:pPr>
      <w:r>
        <w:rPr>
          <w:rFonts w:hint="eastAsia"/>
        </w:rPr>
        <w:t>For the MMRM analysis, the model adjusted for treatment group, visit, visit-by-treatment group interaction, baseline BCVA (continuous), baseline BCVA (≤</w:t>
      </w:r>
      <w:r>
        <w:t>34</w:t>
      </w:r>
      <w:r>
        <w:rPr>
          <w:rFonts w:hint="eastAsia"/>
        </w:rPr>
        <w:t xml:space="preserve"> letters, 35–54 letters and ≥55 letters) and region (US and Canada, Asia and the rest of the world). The strati</w:t>
      </w:r>
      <w:r>
        <w:t>fication factor is excluded if it is the subgroup. An unstructured covariance structure is used. Missing data were implicitly imputed by MMRM. Invalid BCVA values were excluded from analysis. The bars represent 95.03% CI.</w:t>
      </w:r>
      <w:bookmarkStart w:id="29" w:name="_Toc22897642"/>
      <w:r w:rsidR="004967F9">
        <w:t xml:space="preserve"> </w:t>
      </w:r>
    </w:p>
    <w:p w14:paraId="1452C351" w14:textId="3E3AD955" w:rsidR="00B60939" w:rsidRPr="00C9624D" w:rsidRDefault="00B60939" w:rsidP="001C2A71">
      <w:pPr>
        <w:pStyle w:val="4-SubsectionHeading"/>
        <w:jc w:val="both"/>
      </w:pPr>
      <w:bookmarkStart w:id="30" w:name="_Toc166768918"/>
      <w:r w:rsidRPr="00C9624D">
        <w:t>Comparative harms</w:t>
      </w:r>
      <w:bookmarkEnd w:id="29"/>
      <w:bookmarkEnd w:id="30"/>
    </w:p>
    <w:p w14:paraId="2DAF16D1" w14:textId="1E076C13" w:rsidR="00B60939" w:rsidRPr="00F013F0" w:rsidRDefault="001F3587" w:rsidP="00F013F0">
      <w:pPr>
        <w:pStyle w:val="3-BodyText"/>
      </w:pPr>
      <w:bookmarkStart w:id="31" w:name="_Hlk104801403"/>
      <w:r w:rsidRPr="00020220">
        <w:t xml:space="preserve">The incidence of adverse events was comparable between treatment arms in </w:t>
      </w:r>
      <w:r w:rsidR="003B16B4">
        <w:t xml:space="preserve">the </w:t>
      </w:r>
      <w:r>
        <w:t>BALATON and COMINO</w:t>
      </w:r>
      <w:r w:rsidR="003B16B4">
        <w:t xml:space="preserve"> trials</w:t>
      </w:r>
      <w:r w:rsidRPr="00020220">
        <w:t xml:space="preserve">. No significant treatment differences </w:t>
      </w:r>
      <w:r w:rsidR="00923608">
        <w:t xml:space="preserve">in the safety profile </w:t>
      </w:r>
      <w:r w:rsidR="00D33DA6">
        <w:t>were</w:t>
      </w:r>
      <w:r w:rsidR="003E3495" w:rsidRPr="00020220">
        <w:t xml:space="preserve"> </w:t>
      </w:r>
      <w:r w:rsidRPr="00020220">
        <w:t xml:space="preserve">observed among treatment arms in </w:t>
      </w:r>
      <w:r w:rsidR="001F5B3A">
        <w:t>the trials</w:t>
      </w:r>
      <w:r w:rsidR="001D2F73">
        <w:t xml:space="preserve"> </w:t>
      </w:r>
      <w:r w:rsidR="00831BEF">
        <w:t>(</w:t>
      </w:r>
      <w:r w:rsidR="00F013F0">
        <w:fldChar w:fldCharType="begin" w:fldLock="1"/>
      </w:r>
      <w:r w:rsidR="00F013F0">
        <w:instrText xml:space="preserve"> REF _Ref166770301 \h </w:instrText>
      </w:r>
      <w:r w:rsidR="00F013F0">
        <w:fldChar w:fldCharType="separate"/>
      </w:r>
      <w:r w:rsidR="00423F23">
        <w:t xml:space="preserve">Table </w:t>
      </w:r>
      <w:r w:rsidR="00423F23">
        <w:rPr>
          <w:noProof/>
        </w:rPr>
        <w:t>6</w:t>
      </w:r>
      <w:r w:rsidR="00F013F0">
        <w:fldChar w:fldCharType="end"/>
      </w:r>
      <w:r w:rsidR="00831BEF">
        <w:t>)</w:t>
      </w:r>
      <w:r w:rsidRPr="00020220">
        <w:t xml:space="preserve">. There </w:t>
      </w:r>
      <w:r w:rsidR="004E4909">
        <w:t xml:space="preserve">was </w:t>
      </w:r>
      <w:r w:rsidRPr="00020220">
        <w:t>1 death</w:t>
      </w:r>
      <w:r w:rsidR="004E4909">
        <w:t xml:space="preserve"> </w:t>
      </w:r>
      <w:r w:rsidRPr="00020220">
        <w:t xml:space="preserve">reported in the </w:t>
      </w:r>
      <w:r w:rsidR="004E4909">
        <w:t xml:space="preserve">COMINO trial </w:t>
      </w:r>
      <w:r w:rsidR="00FA5B05">
        <w:t>which</w:t>
      </w:r>
      <w:r w:rsidR="00FA5B05" w:rsidRPr="00020220">
        <w:t xml:space="preserve"> </w:t>
      </w:r>
      <w:r w:rsidR="004E4909">
        <w:t xml:space="preserve">was </w:t>
      </w:r>
      <w:r w:rsidRPr="00020220">
        <w:t xml:space="preserve">considered </w:t>
      </w:r>
      <w:r w:rsidR="004E4909">
        <w:t xml:space="preserve">not </w:t>
      </w:r>
      <w:r w:rsidRPr="00020220">
        <w:t xml:space="preserve">related to </w:t>
      </w:r>
      <w:r w:rsidR="006332DB">
        <w:t xml:space="preserve">the </w:t>
      </w:r>
      <w:r w:rsidRPr="00020220">
        <w:t xml:space="preserve">study </w:t>
      </w:r>
      <w:r w:rsidR="00831BEF">
        <w:t>treatment</w:t>
      </w:r>
      <w:r w:rsidR="00FA5B05">
        <w:t>.</w:t>
      </w:r>
      <w:r w:rsidR="00831BEF">
        <w:t xml:space="preserve"> </w:t>
      </w:r>
      <w:r w:rsidR="002A3738" w:rsidRPr="00F013F0">
        <w:rPr>
          <w:iCs/>
          <w:lang w:val="en-GB" w:eastAsia="en-US"/>
        </w:rPr>
        <w:t>There were no events of retinal vasculitis, or occlusive retinal vasculitis in the study eye reported in the BALATON or COMINO trials at Week 24.</w:t>
      </w:r>
      <w:bookmarkEnd w:id="31"/>
    </w:p>
    <w:p w14:paraId="40B23C48" w14:textId="77777777" w:rsidR="00164952" w:rsidRDefault="00164952" w:rsidP="00BF01E8">
      <w:pPr>
        <w:pStyle w:val="Caption"/>
        <w:jc w:val="both"/>
        <w:sectPr w:rsidR="00164952" w:rsidSect="00C21F73">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pPr>
      <w:bookmarkStart w:id="32" w:name="_Ref163940072"/>
    </w:p>
    <w:p w14:paraId="2FD73AF0" w14:textId="687536FE" w:rsidR="001D2F73" w:rsidRDefault="001D2F73" w:rsidP="00EA693D">
      <w:pPr>
        <w:pStyle w:val="Caption"/>
        <w:jc w:val="both"/>
      </w:pPr>
      <w:bookmarkStart w:id="33" w:name="_Ref166770301"/>
      <w:r>
        <w:t xml:space="preserve">Table </w:t>
      </w:r>
      <w:r w:rsidR="001B6BE3">
        <w:fldChar w:fldCharType="begin" w:fldLock="1"/>
      </w:r>
      <w:r w:rsidR="001B6BE3">
        <w:instrText xml:space="preserve"> SEQ Table \* ARABIC </w:instrText>
      </w:r>
      <w:r w:rsidR="001B6BE3">
        <w:fldChar w:fldCharType="separate"/>
      </w:r>
      <w:r w:rsidR="00423F23">
        <w:rPr>
          <w:noProof/>
        </w:rPr>
        <w:t>6</w:t>
      </w:r>
      <w:r w:rsidR="001B6BE3">
        <w:rPr>
          <w:noProof/>
        </w:rPr>
        <w:fldChar w:fldCharType="end"/>
      </w:r>
      <w:bookmarkEnd w:id="32"/>
      <w:bookmarkEnd w:id="33"/>
      <w:r w:rsidR="00F013F0">
        <w:t>:</w:t>
      </w:r>
      <w:r w:rsidR="00A14F4B" w:rsidRPr="00A14F4B">
        <w:t xml:space="preserve"> Summary of adverse events in the </w:t>
      </w:r>
      <w:r w:rsidR="00A14F4B">
        <w:t xml:space="preserve">BALATON and COMINO </w:t>
      </w:r>
      <w:r w:rsidR="00A14F4B" w:rsidRPr="00A14F4B">
        <w:t>trial</w:t>
      </w:r>
      <w:r w:rsidR="00A14F4B">
        <w:t>s</w:t>
      </w:r>
      <w:r w:rsidR="00A14F4B" w:rsidRPr="00A14F4B">
        <w:t xml:space="preserve"> though </w:t>
      </w:r>
      <w:r w:rsidR="002A3738">
        <w:t>W</w:t>
      </w:r>
      <w:r w:rsidR="00A14F4B" w:rsidRPr="00A14F4B">
        <w:t xml:space="preserve">eek </w:t>
      </w:r>
      <w:r w:rsidR="00A14F4B">
        <w:t>24</w:t>
      </w:r>
      <w:r w:rsidR="00A14F4B" w:rsidRPr="00A14F4B">
        <w:t xml:space="preserve"> (SAF)</w:t>
      </w:r>
    </w:p>
    <w:tbl>
      <w:tblPr>
        <w:tblW w:w="4996" w:type="pct"/>
        <w:tblLook w:val="0000" w:firstRow="0" w:lastRow="0" w:firstColumn="0" w:lastColumn="0" w:noHBand="0" w:noVBand="0"/>
      </w:tblPr>
      <w:tblGrid>
        <w:gridCol w:w="5384"/>
        <w:gridCol w:w="1419"/>
        <w:gridCol w:w="1416"/>
        <w:gridCol w:w="1419"/>
        <w:gridCol w:w="1416"/>
        <w:gridCol w:w="1419"/>
        <w:gridCol w:w="1466"/>
      </w:tblGrid>
      <w:tr w:rsidR="00C82E56" w:rsidRPr="00164952" w14:paraId="221D8047" w14:textId="77777777" w:rsidTr="00164952">
        <w:trPr>
          <w:trHeight w:val="255"/>
          <w:tblHeader/>
        </w:trPr>
        <w:tc>
          <w:tcPr>
            <w:tcW w:w="1931" w:type="pct"/>
            <w:tcBorders>
              <w:top w:val="single" w:sz="4" w:space="0" w:color="auto"/>
              <w:left w:val="single" w:sz="4" w:space="0" w:color="auto"/>
              <w:right w:val="single" w:sz="4" w:space="0" w:color="000000"/>
            </w:tcBorders>
          </w:tcPr>
          <w:p w14:paraId="2F995E4F" w14:textId="77777777" w:rsidR="00C82E56" w:rsidRPr="00164952" w:rsidRDefault="00C82E56" w:rsidP="00EA693D">
            <w:pPr>
              <w:pStyle w:val="TableText0"/>
              <w:keepLines/>
              <w:jc w:val="both"/>
              <w:rPr>
                <w:szCs w:val="20"/>
                <w:lang w:val="it-IT"/>
              </w:rPr>
            </w:pPr>
          </w:p>
        </w:tc>
        <w:tc>
          <w:tcPr>
            <w:tcW w:w="1017" w:type="pct"/>
            <w:gridSpan w:val="2"/>
            <w:tcBorders>
              <w:top w:val="single" w:sz="4" w:space="0" w:color="auto"/>
              <w:left w:val="nil"/>
              <w:bottom w:val="single" w:sz="4" w:space="0" w:color="auto"/>
              <w:right w:val="single" w:sz="4" w:space="0" w:color="000000"/>
            </w:tcBorders>
          </w:tcPr>
          <w:p w14:paraId="29C3C05C" w14:textId="77777777" w:rsidR="00C82E56" w:rsidRPr="00164952" w:rsidRDefault="00C82E56" w:rsidP="00EA693D">
            <w:pPr>
              <w:pStyle w:val="TableText0"/>
              <w:keepLines/>
              <w:jc w:val="center"/>
              <w:rPr>
                <w:b/>
                <w:szCs w:val="20"/>
              </w:rPr>
            </w:pPr>
            <w:r w:rsidRPr="00164952">
              <w:rPr>
                <w:b/>
                <w:szCs w:val="20"/>
              </w:rPr>
              <w:t>BALATON</w:t>
            </w:r>
          </w:p>
        </w:tc>
        <w:tc>
          <w:tcPr>
            <w:tcW w:w="1017" w:type="pct"/>
            <w:gridSpan w:val="2"/>
            <w:tcBorders>
              <w:top w:val="single" w:sz="4" w:space="0" w:color="auto"/>
              <w:left w:val="nil"/>
              <w:bottom w:val="single" w:sz="4" w:space="0" w:color="auto"/>
              <w:right w:val="single" w:sz="4" w:space="0" w:color="000000"/>
            </w:tcBorders>
          </w:tcPr>
          <w:p w14:paraId="55B76416" w14:textId="77777777" w:rsidR="00C82E56" w:rsidRPr="00164952" w:rsidRDefault="00C82E56" w:rsidP="00EA693D">
            <w:pPr>
              <w:pStyle w:val="TableText0"/>
              <w:keepLines/>
              <w:jc w:val="center"/>
              <w:rPr>
                <w:b/>
                <w:szCs w:val="20"/>
              </w:rPr>
            </w:pPr>
            <w:r w:rsidRPr="00164952">
              <w:rPr>
                <w:b/>
                <w:szCs w:val="20"/>
              </w:rPr>
              <w:t>COMINO</w:t>
            </w:r>
          </w:p>
        </w:tc>
        <w:tc>
          <w:tcPr>
            <w:tcW w:w="1036" w:type="pct"/>
            <w:gridSpan w:val="2"/>
            <w:tcBorders>
              <w:top w:val="single" w:sz="4" w:space="0" w:color="auto"/>
              <w:left w:val="nil"/>
              <w:bottom w:val="single" w:sz="4" w:space="0" w:color="auto"/>
              <w:right w:val="single" w:sz="4" w:space="0" w:color="auto"/>
            </w:tcBorders>
            <w:vAlign w:val="center"/>
          </w:tcPr>
          <w:p w14:paraId="77877196" w14:textId="77777777" w:rsidR="00C82E56" w:rsidRPr="00164952" w:rsidRDefault="00C82E56" w:rsidP="00EA693D">
            <w:pPr>
              <w:pStyle w:val="TableText0"/>
              <w:keepLines/>
              <w:jc w:val="center"/>
              <w:rPr>
                <w:b/>
                <w:szCs w:val="20"/>
              </w:rPr>
            </w:pPr>
            <w:r w:rsidRPr="00164952">
              <w:rPr>
                <w:b/>
                <w:szCs w:val="20"/>
              </w:rPr>
              <w:t>Pooled</w:t>
            </w:r>
          </w:p>
        </w:tc>
      </w:tr>
      <w:tr w:rsidR="00C82E56" w:rsidRPr="00164952" w14:paraId="0ED702E7" w14:textId="77777777" w:rsidTr="00164952">
        <w:trPr>
          <w:trHeight w:val="255"/>
          <w:tblHeader/>
        </w:trPr>
        <w:tc>
          <w:tcPr>
            <w:tcW w:w="1931" w:type="pct"/>
            <w:tcBorders>
              <w:left w:val="single" w:sz="4" w:space="0" w:color="auto"/>
              <w:right w:val="single" w:sz="4" w:space="0" w:color="000000"/>
            </w:tcBorders>
          </w:tcPr>
          <w:p w14:paraId="60CEF623" w14:textId="77777777" w:rsidR="00C82E56" w:rsidRPr="00164952" w:rsidRDefault="00C82E56" w:rsidP="00EA693D">
            <w:pPr>
              <w:pStyle w:val="TableText0"/>
              <w:keepLines/>
              <w:rPr>
                <w:szCs w:val="20"/>
                <w:lang w:val="it-IT"/>
              </w:rPr>
            </w:pPr>
          </w:p>
        </w:tc>
        <w:tc>
          <w:tcPr>
            <w:tcW w:w="509" w:type="pct"/>
            <w:tcBorders>
              <w:top w:val="single" w:sz="4" w:space="0" w:color="000000"/>
              <w:left w:val="nil"/>
              <w:bottom w:val="single" w:sz="4" w:space="0" w:color="auto"/>
              <w:right w:val="single" w:sz="4" w:space="0" w:color="000000"/>
            </w:tcBorders>
          </w:tcPr>
          <w:p w14:paraId="7EC58E74" w14:textId="77777777" w:rsidR="00C82E56" w:rsidRPr="00164952" w:rsidRDefault="00C82E56" w:rsidP="00EA693D">
            <w:pPr>
              <w:pStyle w:val="TableText0"/>
              <w:keepLines/>
              <w:jc w:val="center"/>
              <w:rPr>
                <w:b/>
                <w:szCs w:val="20"/>
              </w:rPr>
            </w:pPr>
            <w:r w:rsidRPr="00164952">
              <w:rPr>
                <w:b/>
                <w:szCs w:val="20"/>
              </w:rPr>
              <w:t>Faricimab</w:t>
            </w:r>
          </w:p>
          <w:p w14:paraId="7BF6EE00" w14:textId="77777777" w:rsidR="00C82E56" w:rsidRPr="00164952" w:rsidRDefault="00C82E56" w:rsidP="00EA693D">
            <w:pPr>
              <w:pStyle w:val="TableText0"/>
              <w:keepLines/>
              <w:jc w:val="center"/>
              <w:rPr>
                <w:b/>
                <w:szCs w:val="20"/>
              </w:rPr>
            </w:pPr>
            <w:r w:rsidRPr="00164952">
              <w:rPr>
                <w:b/>
                <w:szCs w:val="20"/>
              </w:rPr>
              <w:t>Q4W</w:t>
            </w:r>
          </w:p>
          <w:p w14:paraId="4B156B90" w14:textId="24A26974" w:rsidR="00C82E56" w:rsidRPr="00164952" w:rsidRDefault="002A3738" w:rsidP="00EA693D">
            <w:pPr>
              <w:pStyle w:val="TableText0"/>
              <w:keepLines/>
              <w:jc w:val="center"/>
              <w:rPr>
                <w:b/>
                <w:szCs w:val="20"/>
              </w:rPr>
            </w:pPr>
            <w:r w:rsidRPr="00164952">
              <w:rPr>
                <w:b/>
                <w:szCs w:val="20"/>
              </w:rPr>
              <w:t xml:space="preserve">n/N </w:t>
            </w:r>
            <w:r w:rsidR="00C82E56" w:rsidRPr="00164952">
              <w:rPr>
                <w:b/>
                <w:szCs w:val="20"/>
              </w:rPr>
              <w:t>(%)</w:t>
            </w:r>
          </w:p>
        </w:tc>
        <w:tc>
          <w:tcPr>
            <w:tcW w:w="508" w:type="pct"/>
            <w:tcBorders>
              <w:top w:val="single" w:sz="4" w:space="0" w:color="000000"/>
              <w:left w:val="nil"/>
              <w:bottom w:val="single" w:sz="4" w:space="0" w:color="auto"/>
              <w:right w:val="single" w:sz="4" w:space="0" w:color="000000"/>
            </w:tcBorders>
          </w:tcPr>
          <w:p w14:paraId="0FCC4D01" w14:textId="77777777" w:rsidR="00C82E56" w:rsidRPr="00164952" w:rsidRDefault="00C82E56" w:rsidP="00EA693D">
            <w:pPr>
              <w:pStyle w:val="TableText0"/>
              <w:keepLines/>
              <w:jc w:val="center"/>
              <w:rPr>
                <w:b/>
                <w:szCs w:val="20"/>
              </w:rPr>
            </w:pPr>
            <w:r w:rsidRPr="00164952">
              <w:rPr>
                <w:b/>
                <w:szCs w:val="20"/>
              </w:rPr>
              <w:t>Aflibercept</w:t>
            </w:r>
          </w:p>
          <w:p w14:paraId="2BB2E31A" w14:textId="77777777" w:rsidR="00C82E56" w:rsidRPr="00164952" w:rsidRDefault="00C82E56" w:rsidP="00EA693D">
            <w:pPr>
              <w:pStyle w:val="TableText0"/>
              <w:keepLines/>
              <w:jc w:val="center"/>
              <w:rPr>
                <w:b/>
                <w:szCs w:val="20"/>
              </w:rPr>
            </w:pPr>
            <w:r w:rsidRPr="00164952">
              <w:rPr>
                <w:b/>
                <w:szCs w:val="20"/>
              </w:rPr>
              <w:t>Q4W</w:t>
            </w:r>
          </w:p>
          <w:p w14:paraId="08BF17B8" w14:textId="5D405D42" w:rsidR="00C82E56" w:rsidRPr="00164952" w:rsidRDefault="002A3738" w:rsidP="00EA693D">
            <w:pPr>
              <w:pStyle w:val="TableText0"/>
              <w:keepLines/>
              <w:jc w:val="center"/>
              <w:rPr>
                <w:b/>
                <w:szCs w:val="20"/>
              </w:rPr>
            </w:pPr>
            <w:r w:rsidRPr="00164952">
              <w:rPr>
                <w:b/>
                <w:szCs w:val="20"/>
              </w:rPr>
              <w:t>n/N (%)</w:t>
            </w:r>
          </w:p>
        </w:tc>
        <w:tc>
          <w:tcPr>
            <w:tcW w:w="509" w:type="pct"/>
            <w:tcBorders>
              <w:top w:val="single" w:sz="4" w:space="0" w:color="000000"/>
              <w:left w:val="nil"/>
              <w:bottom w:val="single" w:sz="4" w:space="0" w:color="auto"/>
              <w:right w:val="single" w:sz="4" w:space="0" w:color="000000"/>
            </w:tcBorders>
          </w:tcPr>
          <w:p w14:paraId="25FD94F5" w14:textId="77777777" w:rsidR="00C82E56" w:rsidRPr="00164952" w:rsidRDefault="00C82E56" w:rsidP="00EA693D">
            <w:pPr>
              <w:pStyle w:val="TableText0"/>
              <w:keepLines/>
              <w:jc w:val="center"/>
              <w:rPr>
                <w:b/>
                <w:szCs w:val="20"/>
              </w:rPr>
            </w:pPr>
            <w:r w:rsidRPr="00164952">
              <w:rPr>
                <w:b/>
                <w:szCs w:val="20"/>
              </w:rPr>
              <w:t>Faricimab</w:t>
            </w:r>
          </w:p>
          <w:p w14:paraId="0C484DCE" w14:textId="77777777" w:rsidR="00C82E56" w:rsidRPr="00164952" w:rsidRDefault="00C82E56" w:rsidP="00EA693D">
            <w:pPr>
              <w:pStyle w:val="TableText0"/>
              <w:keepLines/>
              <w:jc w:val="center"/>
              <w:rPr>
                <w:b/>
                <w:szCs w:val="20"/>
              </w:rPr>
            </w:pPr>
            <w:r w:rsidRPr="00164952">
              <w:rPr>
                <w:b/>
                <w:szCs w:val="20"/>
              </w:rPr>
              <w:t>Q4W</w:t>
            </w:r>
          </w:p>
          <w:p w14:paraId="4CDD804C" w14:textId="7E8041B2" w:rsidR="00C82E56" w:rsidRPr="00164952" w:rsidRDefault="002A3738" w:rsidP="00EA693D">
            <w:pPr>
              <w:pStyle w:val="TableText0"/>
              <w:keepLines/>
              <w:jc w:val="center"/>
              <w:rPr>
                <w:b/>
                <w:szCs w:val="20"/>
              </w:rPr>
            </w:pPr>
            <w:r w:rsidRPr="00164952">
              <w:rPr>
                <w:b/>
                <w:szCs w:val="20"/>
              </w:rPr>
              <w:t>n/N (%)</w:t>
            </w:r>
          </w:p>
        </w:tc>
        <w:tc>
          <w:tcPr>
            <w:tcW w:w="508" w:type="pct"/>
            <w:tcBorders>
              <w:top w:val="single" w:sz="4" w:space="0" w:color="000000"/>
              <w:left w:val="nil"/>
              <w:bottom w:val="single" w:sz="4" w:space="0" w:color="auto"/>
              <w:right w:val="single" w:sz="4" w:space="0" w:color="000000"/>
            </w:tcBorders>
          </w:tcPr>
          <w:p w14:paraId="688FC0BE" w14:textId="77777777" w:rsidR="00C82E56" w:rsidRPr="00164952" w:rsidRDefault="00C82E56" w:rsidP="00EA693D">
            <w:pPr>
              <w:pStyle w:val="TableText0"/>
              <w:keepLines/>
              <w:jc w:val="center"/>
              <w:rPr>
                <w:b/>
                <w:szCs w:val="20"/>
              </w:rPr>
            </w:pPr>
            <w:r w:rsidRPr="00164952">
              <w:rPr>
                <w:b/>
                <w:szCs w:val="20"/>
              </w:rPr>
              <w:t>Aflibercept</w:t>
            </w:r>
          </w:p>
          <w:p w14:paraId="6DE230C2" w14:textId="77777777" w:rsidR="00C82E56" w:rsidRPr="00164952" w:rsidRDefault="00C82E56" w:rsidP="00EA693D">
            <w:pPr>
              <w:pStyle w:val="TableText0"/>
              <w:keepLines/>
              <w:jc w:val="center"/>
              <w:rPr>
                <w:b/>
                <w:szCs w:val="20"/>
              </w:rPr>
            </w:pPr>
            <w:r w:rsidRPr="00164952">
              <w:rPr>
                <w:b/>
                <w:szCs w:val="20"/>
              </w:rPr>
              <w:t>Q4W</w:t>
            </w:r>
          </w:p>
          <w:p w14:paraId="1975665C" w14:textId="485BE860" w:rsidR="00C82E56" w:rsidRPr="00164952" w:rsidRDefault="002A3738" w:rsidP="00EA693D">
            <w:pPr>
              <w:pStyle w:val="TableText0"/>
              <w:keepLines/>
              <w:jc w:val="center"/>
              <w:rPr>
                <w:b/>
                <w:szCs w:val="20"/>
              </w:rPr>
            </w:pPr>
            <w:r w:rsidRPr="00164952">
              <w:rPr>
                <w:b/>
                <w:szCs w:val="20"/>
              </w:rPr>
              <w:t>n/N (%)</w:t>
            </w:r>
          </w:p>
        </w:tc>
        <w:tc>
          <w:tcPr>
            <w:tcW w:w="509" w:type="pct"/>
            <w:tcBorders>
              <w:top w:val="single" w:sz="4" w:space="0" w:color="000000"/>
              <w:left w:val="nil"/>
              <w:bottom w:val="single" w:sz="4" w:space="0" w:color="auto"/>
              <w:right w:val="single" w:sz="4" w:space="0" w:color="000000"/>
            </w:tcBorders>
          </w:tcPr>
          <w:p w14:paraId="47E48FD8" w14:textId="77777777" w:rsidR="00C82E56" w:rsidRPr="00164952" w:rsidRDefault="00C82E56" w:rsidP="00EA693D">
            <w:pPr>
              <w:pStyle w:val="TableText0"/>
              <w:keepLines/>
              <w:jc w:val="center"/>
              <w:rPr>
                <w:b/>
                <w:szCs w:val="20"/>
              </w:rPr>
            </w:pPr>
            <w:r w:rsidRPr="00164952">
              <w:rPr>
                <w:b/>
                <w:szCs w:val="20"/>
              </w:rPr>
              <w:t>Faricimab</w:t>
            </w:r>
          </w:p>
          <w:p w14:paraId="266F22B1" w14:textId="77777777" w:rsidR="00C82E56" w:rsidRPr="00164952" w:rsidRDefault="00C82E56" w:rsidP="00EA693D">
            <w:pPr>
              <w:pStyle w:val="TableText0"/>
              <w:keepLines/>
              <w:jc w:val="center"/>
              <w:rPr>
                <w:b/>
                <w:szCs w:val="20"/>
              </w:rPr>
            </w:pPr>
            <w:r w:rsidRPr="00164952">
              <w:rPr>
                <w:b/>
                <w:szCs w:val="20"/>
              </w:rPr>
              <w:t>Q4W</w:t>
            </w:r>
          </w:p>
          <w:p w14:paraId="1092B63F" w14:textId="62AA31AA" w:rsidR="00C82E56" w:rsidRPr="00164952" w:rsidRDefault="002A3738" w:rsidP="00EA693D">
            <w:pPr>
              <w:pStyle w:val="TableText0"/>
              <w:keepLines/>
              <w:jc w:val="center"/>
              <w:rPr>
                <w:b/>
                <w:szCs w:val="20"/>
              </w:rPr>
            </w:pPr>
            <w:r w:rsidRPr="00164952">
              <w:rPr>
                <w:b/>
                <w:szCs w:val="20"/>
              </w:rPr>
              <w:t>n/N (%)</w:t>
            </w:r>
          </w:p>
        </w:tc>
        <w:tc>
          <w:tcPr>
            <w:tcW w:w="527" w:type="pct"/>
            <w:tcBorders>
              <w:top w:val="single" w:sz="4" w:space="0" w:color="000000"/>
              <w:left w:val="nil"/>
              <w:bottom w:val="single" w:sz="4" w:space="0" w:color="auto"/>
              <w:right w:val="single" w:sz="4" w:space="0" w:color="auto"/>
            </w:tcBorders>
          </w:tcPr>
          <w:p w14:paraId="67664F79" w14:textId="77777777" w:rsidR="00C82E56" w:rsidRPr="00164952" w:rsidRDefault="00C82E56" w:rsidP="00EA693D">
            <w:pPr>
              <w:pStyle w:val="TableText0"/>
              <w:keepLines/>
              <w:jc w:val="center"/>
              <w:rPr>
                <w:b/>
                <w:szCs w:val="20"/>
              </w:rPr>
            </w:pPr>
            <w:r w:rsidRPr="00164952">
              <w:rPr>
                <w:b/>
                <w:szCs w:val="20"/>
              </w:rPr>
              <w:t>Aflibercept</w:t>
            </w:r>
          </w:p>
          <w:p w14:paraId="5B03C4D3" w14:textId="77777777" w:rsidR="00C82E56" w:rsidRPr="00164952" w:rsidRDefault="00C82E56" w:rsidP="00EA693D">
            <w:pPr>
              <w:pStyle w:val="TableText0"/>
              <w:keepLines/>
              <w:jc w:val="center"/>
              <w:rPr>
                <w:b/>
                <w:szCs w:val="20"/>
              </w:rPr>
            </w:pPr>
            <w:r w:rsidRPr="00164952">
              <w:rPr>
                <w:b/>
                <w:szCs w:val="20"/>
              </w:rPr>
              <w:t>Q4W</w:t>
            </w:r>
          </w:p>
          <w:p w14:paraId="3AA2B3C3" w14:textId="043C5B95" w:rsidR="00C82E56" w:rsidRPr="00164952" w:rsidRDefault="002A3738" w:rsidP="00EA693D">
            <w:pPr>
              <w:pStyle w:val="TableText0"/>
              <w:keepLines/>
              <w:jc w:val="center"/>
              <w:rPr>
                <w:b/>
                <w:szCs w:val="20"/>
              </w:rPr>
            </w:pPr>
            <w:r w:rsidRPr="00164952">
              <w:rPr>
                <w:b/>
                <w:szCs w:val="20"/>
              </w:rPr>
              <w:t>n/N (%)</w:t>
            </w:r>
          </w:p>
        </w:tc>
      </w:tr>
      <w:tr w:rsidR="00C82E56" w:rsidRPr="00164952" w14:paraId="5229D850" w14:textId="77777777" w:rsidTr="00164952">
        <w:trPr>
          <w:trHeight w:val="255"/>
        </w:trPr>
        <w:tc>
          <w:tcPr>
            <w:tcW w:w="1931" w:type="pct"/>
            <w:tcBorders>
              <w:top w:val="single" w:sz="4" w:space="0" w:color="auto"/>
              <w:left w:val="single" w:sz="4" w:space="0" w:color="auto"/>
              <w:bottom w:val="single" w:sz="4" w:space="0" w:color="auto"/>
              <w:right w:val="single" w:sz="4" w:space="0" w:color="auto"/>
            </w:tcBorders>
          </w:tcPr>
          <w:p w14:paraId="69972132" w14:textId="0E886649" w:rsidR="00C82E56" w:rsidRPr="00164952" w:rsidRDefault="002A3738" w:rsidP="00EA693D">
            <w:pPr>
              <w:pStyle w:val="TableText1"/>
              <w:keepNext/>
              <w:keepLines/>
              <w:spacing w:before="0" w:after="0"/>
              <w:rPr>
                <w:rFonts w:ascii="Arial Narrow" w:eastAsia="Calibri" w:hAnsi="Arial Narrow"/>
              </w:rPr>
            </w:pPr>
            <w:r w:rsidRPr="00164952">
              <w:rPr>
                <w:rFonts w:ascii="Arial Narrow" w:eastAsia="Calibri" w:hAnsi="Arial Narrow"/>
              </w:rPr>
              <w:t xml:space="preserve">Any </w:t>
            </w:r>
            <w:r w:rsidR="00C82E56" w:rsidRPr="00164952">
              <w:rPr>
                <w:rFonts w:ascii="Arial Narrow" w:eastAsia="Calibri" w:hAnsi="Arial Narrow"/>
              </w:rPr>
              <w:t>AE</w:t>
            </w:r>
          </w:p>
        </w:tc>
        <w:tc>
          <w:tcPr>
            <w:tcW w:w="509" w:type="pct"/>
            <w:tcBorders>
              <w:top w:val="single" w:sz="4" w:space="0" w:color="auto"/>
              <w:left w:val="single" w:sz="4" w:space="0" w:color="auto"/>
              <w:bottom w:val="single" w:sz="4" w:space="0" w:color="auto"/>
              <w:right w:val="single" w:sz="4" w:space="0" w:color="auto"/>
            </w:tcBorders>
            <w:vAlign w:val="center"/>
          </w:tcPr>
          <w:p w14:paraId="65E16DBA" w14:textId="30984333"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125/276 (45.3)</w:t>
            </w:r>
          </w:p>
        </w:tc>
        <w:tc>
          <w:tcPr>
            <w:tcW w:w="508" w:type="pct"/>
            <w:tcBorders>
              <w:top w:val="single" w:sz="4" w:space="0" w:color="auto"/>
              <w:left w:val="single" w:sz="4" w:space="0" w:color="auto"/>
              <w:bottom w:val="single" w:sz="4" w:space="0" w:color="auto"/>
              <w:right w:val="single" w:sz="4" w:space="0" w:color="auto"/>
            </w:tcBorders>
            <w:vAlign w:val="center"/>
          </w:tcPr>
          <w:p w14:paraId="143B6E5C" w14:textId="5C56BFEF"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128/274 (46.7)</w:t>
            </w:r>
          </w:p>
        </w:tc>
        <w:tc>
          <w:tcPr>
            <w:tcW w:w="509" w:type="pct"/>
            <w:tcBorders>
              <w:top w:val="single" w:sz="4" w:space="0" w:color="auto"/>
              <w:left w:val="single" w:sz="4" w:space="0" w:color="auto"/>
              <w:bottom w:val="single" w:sz="4" w:space="0" w:color="auto"/>
              <w:right w:val="single" w:sz="4" w:space="0" w:color="auto"/>
            </w:tcBorders>
            <w:vAlign w:val="center"/>
          </w:tcPr>
          <w:p w14:paraId="47058794" w14:textId="070E2DD0"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174/365 (47.7)</w:t>
            </w:r>
          </w:p>
        </w:tc>
        <w:tc>
          <w:tcPr>
            <w:tcW w:w="508" w:type="pct"/>
            <w:tcBorders>
              <w:top w:val="single" w:sz="4" w:space="0" w:color="auto"/>
              <w:left w:val="single" w:sz="4" w:space="0" w:color="auto"/>
              <w:bottom w:val="single" w:sz="4" w:space="0" w:color="auto"/>
              <w:right w:val="single" w:sz="4" w:space="0" w:color="auto"/>
            </w:tcBorders>
            <w:vAlign w:val="center"/>
          </w:tcPr>
          <w:p w14:paraId="3A2F0F89" w14:textId="46002CF3"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200/361 (55.4)</w:t>
            </w:r>
          </w:p>
        </w:tc>
        <w:tc>
          <w:tcPr>
            <w:tcW w:w="509" w:type="pct"/>
            <w:tcBorders>
              <w:top w:val="single" w:sz="4" w:space="0" w:color="auto"/>
              <w:left w:val="single" w:sz="4" w:space="0" w:color="auto"/>
              <w:bottom w:val="single" w:sz="4" w:space="0" w:color="auto"/>
              <w:right w:val="single" w:sz="4" w:space="0" w:color="auto"/>
            </w:tcBorders>
            <w:vAlign w:val="center"/>
          </w:tcPr>
          <w:p w14:paraId="3A73BB49" w14:textId="0FC93C73"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299/641 (46.6)</w:t>
            </w:r>
          </w:p>
        </w:tc>
        <w:tc>
          <w:tcPr>
            <w:tcW w:w="527" w:type="pct"/>
            <w:tcBorders>
              <w:top w:val="single" w:sz="4" w:space="0" w:color="auto"/>
              <w:left w:val="single" w:sz="4" w:space="0" w:color="auto"/>
              <w:bottom w:val="single" w:sz="4" w:space="0" w:color="auto"/>
              <w:right w:val="single" w:sz="4" w:space="0" w:color="auto"/>
            </w:tcBorders>
            <w:vAlign w:val="center"/>
          </w:tcPr>
          <w:p w14:paraId="04E4A20F" w14:textId="3620B6E8"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328/635 (51.7)</w:t>
            </w:r>
          </w:p>
        </w:tc>
      </w:tr>
      <w:tr w:rsidR="00C82E56" w:rsidRPr="00164952" w14:paraId="47CA0EBF" w14:textId="77777777" w:rsidTr="00164952">
        <w:trPr>
          <w:trHeight w:val="255"/>
        </w:trPr>
        <w:tc>
          <w:tcPr>
            <w:tcW w:w="1931" w:type="pct"/>
            <w:tcBorders>
              <w:top w:val="single" w:sz="4" w:space="0" w:color="auto"/>
              <w:left w:val="single" w:sz="4" w:space="0" w:color="auto"/>
              <w:bottom w:val="single" w:sz="4" w:space="0" w:color="auto"/>
              <w:right w:val="single" w:sz="4" w:space="0" w:color="auto"/>
            </w:tcBorders>
          </w:tcPr>
          <w:p w14:paraId="2A5C5E1D" w14:textId="2418AF20" w:rsidR="00C82E56" w:rsidRPr="00164952" w:rsidRDefault="002A3738" w:rsidP="00EA693D">
            <w:pPr>
              <w:pStyle w:val="TableText1"/>
              <w:keepNext/>
              <w:keepLines/>
              <w:spacing w:before="0" w:after="0"/>
              <w:rPr>
                <w:rFonts w:ascii="Arial Narrow" w:eastAsia="Calibri" w:hAnsi="Arial Narrow"/>
              </w:rPr>
            </w:pPr>
            <w:r w:rsidRPr="00164952">
              <w:rPr>
                <w:rFonts w:ascii="Arial Narrow" w:eastAsia="Calibri" w:hAnsi="Arial Narrow"/>
              </w:rPr>
              <w:t xml:space="preserve">Any </w:t>
            </w:r>
            <w:r w:rsidR="00C82E56" w:rsidRPr="00164952">
              <w:rPr>
                <w:rFonts w:ascii="Arial Narrow" w:eastAsia="Calibri" w:hAnsi="Arial Narrow"/>
              </w:rPr>
              <w:t>SAE</w:t>
            </w:r>
          </w:p>
        </w:tc>
        <w:tc>
          <w:tcPr>
            <w:tcW w:w="509" w:type="pct"/>
            <w:tcBorders>
              <w:top w:val="single" w:sz="4" w:space="0" w:color="auto"/>
              <w:left w:val="single" w:sz="4" w:space="0" w:color="auto"/>
              <w:bottom w:val="single" w:sz="4" w:space="0" w:color="auto"/>
              <w:right w:val="single" w:sz="4" w:space="0" w:color="auto"/>
            </w:tcBorders>
            <w:vAlign w:val="center"/>
          </w:tcPr>
          <w:p w14:paraId="34934B56" w14:textId="2015C5CA"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12/276 (4.3)</w:t>
            </w:r>
          </w:p>
        </w:tc>
        <w:tc>
          <w:tcPr>
            <w:tcW w:w="508" w:type="pct"/>
            <w:tcBorders>
              <w:top w:val="single" w:sz="4" w:space="0" w:color="auto"/>
              <w:left w:val="single" w:sz="4" w:space="0" w:color="auto"/>
              <w:bottom w:val="single" w:sz="4" w:space="0" w:color="auto"/>
              <w:right w:val="single" w:sz="4" w:space="0" w:color="auto"/>
            </w:tcBorders>
            <w:vAlign w:val="center"/>
          </w:tcPr>
          <w:p w14:paraId="11BE030D" w14:textId="7E51923F"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17/274 (6.2)</w:t>
            </w:r>
          </w:p>
        </w:tc>
        <w:tc>
          <w:tcPr>
            <w:tcW w:w="509" w:type="pct"/>
            <w:tcBorders>
              <w:top w:val="single" w:sz="4" w:space="0" w:color="auto"/>
              <w:left w:val="single" w:sz="4" w:space="0" w:color="auto"/>
              <w:bottom w:val="single" w:sz="4" w:space="0" w:color="auto"/>
              <w:right w:val="single" w:sz="4" w:space="0" w:color="auto"/>
            </w:tcBorders>
            <w:vAlign w:val="center"/>
          </w:tcPr>
          <w:p w14:paraId="4187D746" w14:textId="1A64801D"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32/365 (8.8)</w:t>
            </w:r>
          </w:p>
        </w:tc>
        <w:tc>
          <w:tcPr>
            <w:tcW w:w="508" w:type="pct"/>
            <w:tcBorders>
              <w:top w:val="single" w:sz="4" w:space="0" w:color="auto"/>
              <w:left w:val="single" w:sz="4" w:space="0" w:color="auto"/>
              <w:bottom w:val="single" w:sz="4" w:space="0" w:color="auto"/>
              <w:right w:val="single" w:sz="4" w:space="0" w:color="auto"/>
            </w:tcBorders>
            <w:vAlign w:val="center"/>
          </w:tcPr>
          <w:p w14:paraId="135A7232" w14:textId="1C938A84"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33/361 (9.1)</w:t>
            </w:r>
          </w:p>
        </w:tc>
        <w:tc>
          <w:tcPr>
            <w:tcW w:w="509" w:type="pct"/>
            <w:tcBorders>
              <w:top w:val="single" w:sz="4" w:space="0" w:color="auto"/>
              <w:left w:val="single" w:sz="4" w:space="0" w:color="auto"/>
              <w:bottom w:val="single" w:sz="4" w:space="0" w:color="auto"/>
              <w:right w:val="single" w:sz="4" w:space="0" w:color="auto"/>
            </w:tcBorders>
            <w:vAlign w:val="center"/>
          </w:tcPr>
          <w:p w14:paraId="0FDBB2DF" w14:textId="6335A359"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44/641 (6.9)</w:t>
            </w:r>
          </w:p>
        </w:tc>
        <w:tc>
          <w:tcPr>
            <w:tcW w:w="527" w:type="pct"/>
            <w:tcBorders>
              <w:top w:val="single" w:sz="4" w:space="0" w:color="auto"/>
              <w:left w:val="single" w:sz="4" w:space="0" w:color="auto"/>
              <w:bottom w:val="single" w:sz="4" w:space="0" w:color="auto"/>
              <w:right w:val="single" w:sz="4" w:space="0" w:color="auto"/>
            </w:tcBorders>
            <w:vAlign w:val="center"/>
          </w:tcPr>
          <w:p w14:paraId="7A69CC28" w14:textId="1BC86C6B"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50/635 (7.9)</w:t>
            </w:r>
          </w:p>
        </w:tc>
      </w:tr>
      <w:tr w:rsidR="00C82E56" w:rsidRPr="00164952" w14:paraId="3B1601BF" w14:textId="77777777" w:rsidTr="00164952">
        <w:trPr>
          <w:trHeight w:val="255"/>
        </w:trPr>
        <w:tc>
          <w:tcPr>
            <w:tcW w:w="1931" w:type="pct"/>
            <w:tcBorders>
              <w:top w:val="single" w:sz="4" w:space="0" w:color="auto"/>
              <w:left w:val="single" w:sz="4" w:space="0" w:color="auto"/>
              <w:bottom w:val="single" w:sz="4" w:space="0" w:color="auto"/>
              <w:right w:val="single" w:sz="4" w:space="0" w:color="auto"/>
            </w:tcBorders>
          </w:tcPr>
          <w:p w14:paraId="2DA484BD" w14:textId="2BEE2174" w:rsidR="00C82E56" w:rsidRPr="00164952" w:rsidRDefault="002A3738" w:rsidP="00EA693D">
            <w:pPr>
              <w:pStyle w:val="TableText1"/>
              <w:keepNext/>
              <w:keepLines/>
              <w:spacing w:before="0" w:after="0"/>
              <w:rPr>
                <w:rFonts w:ascii="Arial Narrow" w:eastAsia="Calibri" w:hAnsi="Arial Narrow"/>
              </w:rPr>
            </w:pPr>
            <w:r w:rsidRPr="00164952">
              <w:rPr>
                <w:rFonts w:ascii="Arial Narrow" w:eastAsia="Calibri" w:hAnsi="Arial Narrow"/>
              </w:rPr>
              <w:t>A</w:t>
            </w:r>
            <w:r w:rsidR="00C82E56" w:rsidRPr="00164952">
              <w:rPr>
                <w:rFonts w:ascii="Arial Narrow" w:eastAsia="Calibri" w:hAnsi="Arial Narrow"/>
              </w:rPr>
              <w:t>ny AESI</w:t>
            </w:r>
          </w:p>
        </w:tc>
        <w:tc>
          <w:tcPr>
            <w:tcW w:w="509" w:type="pct"/>
            <w:tcBorders>
              <w:top w:val="single" w:sz="4" w:space="0" w:color="auto"/>
              <w:left w:val="single" w:sz="4" w:space="0" w:color="auto"/>
              <w:bottom w:val="single" w:sz="4" w:space="0" w:color="auto"/>
              <w:right w:val="single" w:sz="4" w:space="0" w:color="auto"/>
            </w:tcBorders>
            <w:vAlign w:val="center"/>
          </w:tcPr>
          <w:p w14:paraId="1B8507DA" w14:textId="72F40B9A"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1/276 (0.4)</w:t>
            </w:r>
          </w:p>
        </w:tc>
        <w:tc>
          <w:tcPr>
            <w:tcW w:w="508" w:type="pct"/>
            <w:tcBorders>
              <w:top w:val="single" w:sz="4" w:space="0" w:color="auto"/>
              <w:left w:val="single" w:sz="4" w:space="0" w:color="auto"/>
              <w:bottom w:val="single" w:sz="4" w:space="0" w:color="auto"/>
              <w:right w:val="single" w:sz="4" w:space="0" w:color="auto"/>
            </w:tcBorders>
            <w:vAlign w:val="center"/>
          </w:tcPr>
          <w:p w14:paraId="598AEAB8" w14:textId="176DFEC5"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2/274 (0.7)</w:t>
            </w:r>
          </w:p>
        </w:tc>
        <w:tc>
          <w:tcPr>
            <w:tcW w:w="509" w:type="pct"/>
            <w:tcBorders>
              <w:top w:val="single" w:sz="4" w:space="0" w:color="auto"/>
              <w:left w:val="single" w:sz="4" w:space="0" w:color="auto"/>
              <w:bottom w:val="single" w:sz="4" w:space="0" w:color="auto"/>
              <w:right w:val="single" w:sz="4" w:space="0" w:color="auto"/>
            </w:tcBorders>
            <w:vAlign w:val="center"/>
          </w:tcPr>
          <w:p w14:paraId="415B7B59" w14:textId="71D38DBA"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9/365 (2.5)</w:t>
            </w:r>
          </w:p>
        </w:tc>
        <w:tc>
          <w:tcPr>
            <w:tcW w:w="508" w:type="pct"/>
            <w:tcBorders>
              <w:top w:val="single" w:sz="4" w:space="0" w:color="auto"/>
              <w:left w:val="single" w:sz="4" w:space="0" w:color="auto"/>
              <w:bottom w:val="single" w:sz="4" w:space="0" w:color="auto"/>
              <w:right w:val="single" w:sz="4" w:space="0" w:color="auto"/>
            </w:tcBorders>
            <w:vAlign w:val="center"/>
          </w:tcPr>
          <w:p w14:paraId="6D97CB63" w14:textId="5BF10152"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14/361 (3.9)</w:t>
            </w:r>
          </w:p>
        </w:tc>
        <w:tc>
          <w:tcPr>
            <w:tcW w:w="509" w:type="pct"/>
            <w:tcBorders>
              <w:top w:val="single" w:sz="4" w:space="0" w:color="auto"/>
              <w:left w:val="single" w:sz="4" w:space="0" w:color="auto"/>
              <w:bottom w:val="single" w:sz="4" w:space="0" w:color="auto"/>
              <w:right w:val="single" w:sz="4" w:space="0" w:color="auto"/>
            </w:tcBorders>
            <w:vAlign w:val="center"/>
          </w:tcPr>
          <w:p w14:paraId="73628ECC" w14:textId="47CC7E3B"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10/641 (1.6)</w:t>
            </w:r>
          </w:p>
        </w:tc>
        <w:tc>
          <w:tcPr>
            <w:tcW w:w="527" w:type="pct"/>
            <w:tcBorders>
              <w:top w:val="single" w:sz="4" w:space="0" w:color="auto"/>
              <w:left w:val="single" w:sz="4" w:space="0" w:color="auto"/>
              <w:bottom w:val="single" w:sz="4" w:space="0" w:color="auto"/>
              <w:right w:val="single" w:sz="4" w:space="0" w:color="auto"/>
            </w:tcBorders>
            <w:vAlign w:val="center"/>
          </w:tcPr>
          <w:p w14:paraId="270D0F70" w14:textId="0B13764D"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16/635 (2.5)</w:t>
            </w:r>
          </w:p>
        </w:tc>
      </w:tr>
      <w:tr w:rsidR="00C82E56" w:rsidRPr="00164952" w14:paraId="62BE69F3" w14:textId="77777777" w:rsidTr="00164952">
        <w:trPr>
          <w:trHeight w:val="255"/>
        </w:trPr>
        <w:tc>
          <w:tcPr>
            <w:tcW w:w="1931" w:type="pct"/>
            <w:tcBorders>
              <w:top w:val="single" w:sz="4" w:space="0" w:color="auto"/>
              <w:left w:val="single" w:sz="4" w:space="0" w:color="auto"/>
              <w:bottom w:val="single" w:sz="4" w:space="0" w:color="auto"/>
              <w:right w:val="single" w:sz="4" w:space="0" w:color="auto"/>
            </w:tcBorders>
          </w:tcPr>
          <w:p w14:paraId="564DCFDB" w14:textId="6D991EEA" w:rsidR="00C82E56" w:rsidRPr="00164952" w:rsidRDefault="00C82E56" w:rsidP="00EA693D">
            <w:pPr>
              <w:pStyle w:val="TableText1"/>
              <w:keepNext/>
              <w:keepLines/>
              <w:spacing w:before="0" w:after="0"/>
              <w:rPr>
                <w:rFonts w:ascii="Arial Narrow" w:eastAsia="Calibri" w:hAnsi="Arial Narrow"/>
              </w:rPr>
            </w:pPr>
            <w:r w:rsidRPr="00164952">
              <w:rPr>
                <w:rFonts w:ascii="Arial Narrow" w:eastAsia="Calibri" w:hAnsi="Arial Narrow"/>
              </w:rPr>
              <w:t>Total number of patients withdrawn from study treatment due to an AE</w:t>
            </w:r>
          </w:p>
        </w:tc>
        <w:tc>
          <w:tcPr>
            <w:tcW w:w="509" w:type="pct"/>
            <w:tcBorders>
              <w:top w:val="single" w:sz="4" w:space="0" w:color="auto"/>
              <w:left w:val="single" w:sz="4" w:space="0" w:color="auto"/>
              <w:bottom w:val="single" w:sz="4" w:space="0" w:color="auto"/>
              <w:right w:val="single" w:sz="4" w:space="0" w:color="auto"/>
            </w:tcBorders>
            <w:vAlign w:val="center"/>
          </w:tcPr>
          <w:p w14:paraId="022BEBBD" w14:textId="04AE2BC9"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1/276 (0.4)</w:t>
            </w:r>
          </w:p>
        </w:tc>
        <w:tc>
          <w:tcPr>
            <w:tcW w:w="508" w:type="pct"/>
            <w:tcBorders>
              <w:top w:val="single" w:sz="4" w:space="0" w:color="auto"/>
              <w:left w:val="single" w:sz="4" w:space="0" w:color="auto"/>
              <w:bottom w:val="single" w:sz="4" w:space="0" w:color="auto"/>
              <w:right w:val="single" w:sz="4" w:space="0" w:color="auto"/>
            </w:tcBorders>
            <w:vAlign w:val="center"/>
          </w:tcPr>
          <w:p w14:paraId="69FF69B4" w14:textId="28D28042"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1/274 (0.4)</w:t>
            </w:r>
          </w:p>
        </w:tc>
        <w:tc>
          <w:tcPr>
            <w:tcW w:w="509" w:type="pct"/>
            <w:tcBorders>
              <w:top w:val="single" w:sz="4" w:space="0" w:color="auto"/>
              <w:left w:val="single" w:sz="4" w:space="0" w:color="auto"/>
              <w:bottom w:val="single" w:sz="4" w:space="0" w:color="auto"/>
              <w:right w:val="single" w:sz="4" w:space="0" w:color="auto"/>
            </w:tcBorders>
            <w:vAlign w:val="center"/>
          </w:tcPr>
          <w:p w14:paraId="06871981" w14:textId="2E8F2D55"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3/365 (0.8)</w:t>
            </w:r>
          </w:p>
        </w:tc>
        <w:tc>
          <w:tcPr>
            <w:tcW w:w="508" w:type="pct"/>
            <w:tcBorders>
              <w:top w:val="single" w:sz="4" w:space="0" w:color="auto"/>
              <w:left w:val="single" w:sz="4" w:space="0" w:color="auto"/>
              <w:bottom w:val="single" w:sz="4" w:space="0" w:color="auto"/>
              <w:right w:val="single" w:sz="4" w:space="0" w:color="auto"/>
            </w:tcBorders>
            <w:vAlign w:val="center"/>
          </w:tcPr>
          <w:p w14:paraId="07EA1EB1" w14:textId="45CAE90D"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3/361 (0.8)</w:t>
            </w:r>
          </w:p>
        </w:tc>
        <w:tc>
          <w:tcPr>
            <w:tcW w:w="509" w:type="pct"/>
            <w:tcBorders>
              <w:top w:val="single" w:sz="4" w:space="0" w:color="auto"/>
              <w:left w:val="single" w:sz="4" w:space="0" w:color="auto"/>
              <w:bottom w:val="single" w:sz="4" w:space="0" w:color="auto"/>
              <w:right w:val="single" w:sz="4" w:space="0" w:color="auto"/>
            </w:tcBorders>
            <w:vAlign w:val="center"/>
          </w:tcPr>
          <w:p w14:paraId="3BA821F3" w14:textId="145B6307"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4/641 (0.6)</w:t>
            </w:r>
          </w:p>
        </w:tc>
        <w:tc>
          <w:tcPr>
            <w:tcW w:w="527" w:type="pct"/>
            <w:tcBorders>
              <w:top w:val="single" w:sz="4" w:space="0" w:color="auto"/>
              <w:left w:val="single" w:sz="4" w:space="0" w:color="auto"/>
              <w:bottom w:val="single" w:sz="4" w:space="0" w:color="auto"/>
              <w:right w:val="single" w:sz="4" w:space="0" w:color="auto"/>
            </w:tcBorders>
            <w:vAlign w:val="center"/>
          </w:tcPr>
          <w:p w14:paraId="3C2B4337" w14:textId="10F2CC14"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4/635 (0.6)</w:t>
            </w:r>
          </w:p>
        </w:tc>
      </w:tr>
      <w:tr w:rsidR="00C82E56" w:rsidRPr="00164952" w14:paraId="7ABB4DA2" w14:textId="77777777" w:rsidTr="00164952">
        <w:trPr>
          <w:trHeight w:val="255"/>
        </w:trPr>
        <w:tc>
          <w:tcPr>
            <w:tcW w:w="1931" w:type="pct"/>
            <w:tcBorders>
              <w:top w:val="single" w:sz="4" w:space="0" w:color="auto"/>
              <w:left w:val="single" w:sz="4" w:space="0" w:color="auto"/>
              <w:right w:val="single" w:sz="4" w:space="0" w:color="auto"/>
            </w:tcBorders>
          </w:tcPr>
          <w:p w14:paraId="3DF3685E" w14:textId="499D0757" w:rsidR="00C82E56" w:rsidRPr="00164952" w:rsidRDefault="00C82E56" w:rsidP="00EA693D">
            <w:pPr>
              <w:pStyle w:val="TableText1"/>
              <w:keepNext/>
              <w:keepLines/>
              <w:spacing w:before="0" w:after="0"/>
              <w:rPr>
                <w:rFonts w:ascii="Arial Narrow" w:eastAsia="Calibri" w:hAnsi="Arial Narrow"/>
                <w:b/>
              </w:rPr>
            </w:pPr>
            <w:r w:rsidRPr="00164952">
              <w:rPr>
                <w:rFonts w:ascii="Arial Narrow" w:eastAsia="Calibri" w:hAnsi="Arial Narrow"/>
                <w:b/>
              </w:rPr>
              <w:t xml:space="preserve">Ocular events, study eye </w:t>
            </w:r>
          </w:p>
        </w:tc>
        <w:tc>
          <w:tcPr>
            <w:tcW w:w="509" w:type="pct"/>
            <w:tcBorders>
              <w:top w:val="single" w:sz="4" w:space="0" w:color="auto"/>
              <w:left w:val="single" w:sz="4" w:space="0" w:color="auto"/>
              <w:right w:val="single" w:sz="4" w:space="0" w:color="auto"/>
            </w:tcBorders>
            <w:vAlign w:val="center"/>
          </w:tcPr>
          <w:p w14:paraId="3DF7B6DD" w14:textId="77777777" w:rsidR="00C82E56" w:rsidRPr="00164952" w:rsidRDefault="00C82E56" w:rsidP="00EA693D">
            <w:pPr>
              <w:pStyle w:val="TableText1"/>
              <w:keepNext/>
              <w:keepLines/>
              <w:spacing w:before="0" w:after="0"/>
              <w:jc w:val="center"/>
              <w:rPr>
                <w:rFonts w:ascii="Arial Narrow" w:eastAsia="Calibri" w:hAnsi="Arial Narrow"/>
              </w:rPr>
            </w:pPr>
          </w:p>
        </w:tc>
        <w:tc>
          <w:tcPr>
            <w:tcW w:w="508" w:type="pct"/>
            <w:tcBorders>
              <w:top w:val="single" w:sz="4" w:space="0" w:color="auto"/>
              <w:left w:val="single" w:sz="4" w:space="0" w:color="auto"/>
              <w:right w:val="single" w:sz="4" w:space="0" w:color="auto"/>
            </w:tcBorders>
            <w:vAlign w:val="center"/>
          </w:tcPr>
          <w:p w14:paraId="632F1885" w14:textId="77777777" w:rsidR="00C82E56" w:rsidRPr="00164952" w:rsidRDefault="00C82E56" w:rsidP="00EA693D">
            <w:pPr>
              <w:pStyle w:val="TableText1"/>
              <w:keepNext/>
              <w:keepLines/>
              <w:spacing w:before="0" w:after="0"/>
              <w:jc w:val="center"/>
              <w:rPr>
                <w:rFonts w:ascii="Arial Narrow" w:eastAsia="Calibri" w:hAnsi="Arial Narrow"/>
              </w:rPr>
            </w:pPr>
          </w:p>
        </w:tc>
        <w:tc>
          <w:tcPr>
            <w:tcW w:w="509" w:type="pct"/>
            <w:tcBorders>
              <w:top w:val="single" w:sz="4" w:space="0" w:color="auto"/>
              <w:left w:val="single" w:sz="4" w:space="0" w:color="auto"/>
              <w:right w:val="single" w:sz="4" w:space="0" w:color="auto"/>
            </w:tcBorders>
            <w:vAlign w:val="center"/>
          </w:tcPr>
          <w:p w14:paraId="20CC9729" w14:textId="77777777" w:rsidR="00C82E56" w:rsidRPr="00164952" w:rsidRDefault="00C82E56" w:rsidP="00EA693D">
            <w:pPr>
              <w:pStyle w:val="TableText1"/>
              <w:keepNext/>
              <w:keepLines/>
              <w:spacing w:before="0" w:after="0"/>
              <w:jc w:val="center"/>
              <w:rPr>
                <w:rFonts w:ascii="Arial Narrow" w:eastAsia="Calibri" w:hAnsi="Arial Narrow"/>
              </w:rPr>
            </w:pPr>
          </w:p>
        </w:tc>
        <w:tc>
          <w:tcPr>
            <w:tcW w:w="508" w:type="pct"/>
            <w:tcBorders>
              <w:top w:val="single" w:sz="4" w:space="0" w:color="auto"/>
              <w:left w:val="single" w:sz="4" w:space="0" w:color="auto"/>
              <w:right w:val="single" w:sz="4" w:space="0" w:color="auto"/>
            </w:tcBorders>
            <w:vAlign w:val="center"/>
          </w:tcPr>
          <w:p w14:paraId="63CFC880" w14:textId="77777777" w:rsidR="00C82E56" w:rsidRPr="00164952" w:rsidRDefault="00C82E56" w:rsidP="00EA693D">
            <w:pPr>
              <w:pStyle w:val="TableText1"/>
              <w:keepNext/>
              <w:keepLines/>
              <w:spacing w:before="0" w:after="0"/>
              <w:jc w:val="center"/>
              <w:rPr>
                <w:rFonts w:ascii="Arial Narrow" w:eastAsia="Calibri" w:hAnsi="Arial Narrow"/>
              </w:rPr>
            </w:pPr>
          </w:p>
        </w:tc>
        <w:tc>
          <w:tcPr>
            <w:tcW w:w="509" w:type="pct"/>
            <w:tcBorders>
              <w:top w:val="single" w:sz="4" w:space="0" w:color="auto"/>
              <w:left w:val="single" w:sz="4" w:space="0" w:color="auto"/>
              <w:right w:val="single" w:sz="4" w:space="0" w:color="auto"/>
            </w:tcBorders>
            <w:vAlign w:val="center"/>
          </w:tcPr>
          <w:p w14:paraId="354BB0B7" w14:textId="77777777" w:rsidR="00C82E56" w:rsidRPr="00164952" w:rsidRDefault="00C82E56" w:rsidP="00EA693D">
            <w:pPr>
              <w:pStyle w:val="TableText1"/>
              <w:keepNext/>
              <w:keepLines/>
              <w:spacing w:before="0" w:after="0"/>
              <w:jc w:val="center"/>
              <w:rPr>
                <w:rFonts w:ascii="Arial Narrow" w:eastAsia="Calibri" w:hAnsi="Arial Narrow"/>
              </w:rPr>
            </w:pPr>
          </w:p>
        </w:tc>
        <w:tc>
          <w:tcPr>
            <w:tcW w:w="527" w:type="pct"/>
            <w:tcBorders>
              <w:top w:val="single" w:sz="4" w:space="0" w:color="auto"/>
              <w:left w:val="single" w:sz="4" w:space="0" w:color="auto"/>
              <w:right w:val="single" w:sz="4" w:space="0" w:color="auto"/>
            </w:tcBorders>
            <w:vAlign w:val="center"/>
          </w:tcPr>
          <w:p w14:paraId="33C72AA2" w14:textId="77777777" w:rsidR="00C82E56" w:rsidRPr="00164952" w:rsidRDefault="00C82E56" w:rsidP="00EA693D">
            <w:pPr>
              <w:pStyle w:val="TableText1"/>
              <w:keepNext/>
              <w:keepLines/>
              <w:spacing w:before="0" w:after="0"/>
              <w:jc w:val="center"/>
              <w:rPr>
                <w:rFonts w:ascii="Arial Narrow" w:eastAsia="Calibri" w:hAnsi="Arial Narrow"/>
              </w:rPr>
            </w:pPr>
          </w:p>
        </w:tc>
      </w:tr>
      <w:tr w:rsidR="00C82E56" w:rsidRPr="00164952" w14:paraId="7D34F39C" w14:textId="77777777" w:rsidTr="00164952">
        <w:trPr>
          <w:trHeight w:val="255"/>
        </w:trPr>
        <w:tc>
          <w:tcPr>
            <w:tcW w:w="1931" w:type="pct"/>
            <w:tcBorders>
              <w:left w:val="single" w:sz="4" w:space="0" w:color="auto"/>
              <w:right w:val="single" w:sz="4" w:space="0" w:color="auto"/>
            </w:tcBorders>
          </w:tcPr>
          <w:p w14:paraId="7E9E364F" w14:textId="77777777" w:rsidR="00C82E56" w:rsidRPr="00164952" w:rsidRDefault="00C82E56" w:rsidP="00EA693D">
            <w:pPr>
              <w:pStyle w:val="TableText1"/>
              <w:keepNext/>
              <w:keepLines/>
              <w:spacing w:before="0" w:after="0"/>
              <w:rPr>
                <w:rFonts w:ascii="Arial Narrow" w:eastAsia="Calibri" w:hAnsi="Arial Narrow"/>
              </w:rPr>
            </w:pPr>
            <w:r w:rsidRPr="00164952">
              <w:rPr>
                <w:rFonts w:ascii="Arial Narrow" w:eastAsia="Calibri" w:hAnsi="Arial Narrow"/>
              </w:rPr>
              <w:t>AE</w:t>
            </w:r>
          </w:p>
        </w:tc>
        <w:tc>
          <w:tcPr>
            <w:tcW w:w="509" w:type="pct"/>
            <w:tcBorders>
              <w:left w:val="single" w:sz="4" w:space="0" w:color="auto"/>
              <w:right w:val="single" w:sz="4" w:space="0" w:color="auto"/>
            </w:tcBorders>
            <w:vAlign w:val="center"/>
          </w:tcPr>
          <w:p w14:paraId="16967BA6" w14:textId="4D8BC826"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45/276 (16.3)</w:t>
            </w:r>
          </w:p>
        </w:tc>
        <w:tc>
          <w:tcPr>
            <w:tcW w:w="508" w:type="pct"/>
            <w:tcBorders>
              <w:left w:val="single" w:sz="4" w:space="0" w:color="auto"/>
              <w:right w:val="single" w:sz="4" w:space="0" w:color="auto"/>
            </w:tcBorders>
            <w:vAlign w:val="center"/>
          </w:tcPr>
          <w:p w14:paraId="26124807" w14:textId="068A2C14"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56/274 (20.4)</w:t>
            </w:r>
          </w:p>
        </w:tc>
        <w:tc>
          <w:tcPr>
            <w:tcW w:w="509" w:type="pct"/>
            <w:tcBorders>
              <w:left w:val="single" w:sz="4" w:space="0" w:color="auto"/>
              <w:right w:val="single" w:sz="4" w:space="0" w:color="auto"/>
            </w:tcBorders>
            <w:vAlign w:val="center"/>
          </w:tcPr>
          <w:p w14:paraId="2661FB47" w14:textId="7DC9BFAC"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84/365 (23.0)</w:t>
            </w:r>
          </w:p>
        </w:tc>
        <w:tc>
          <w:tcPr>
            <w:tcW w:w="508" w:type="pct"/>
            <w:tcBorders>
              <w:left w:val="single" w:sz="4" w:space="0" w:color="auto"/>
              <w:right w:val="single" w:sz="4" w:space="0" w:color="auto"/>
            </w:tcBorders>
            <w:vAlign w:val="center"/>
          </w:tcPr>
          <w:p w14:paraId="17F19841" w14:textId="3FCB2378"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100/361 (27.7)</w:t>
            </w:r>
          </w:p>
        </w:tc>
        <w:tc>
          <w:tcPr>
            <w:tcW w:w="509" w:type="pct"/>
            <w:tcBorders>
              <w:left w:val="single" w:sz="4" w:space="0" w:color="auto"/>
              <w:right w:val="single" w:sz="4" w:space="0" w:color="auto"/>
            </w:tcBorders>
            <w:vAlign w:val="center"/>
          </w:tcPr>
          <w:p w14:paraId="2A6AB7B4" w14:textId="6F1C8157"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129/641 (20.1)</w:t>
            </w:r>
          </w:p>
        </w:tc>
        <w:tc>
          <w:tcPr>
            <w:tcW w:w="527" w:type="pct"/>
            <w:tcBorders>
              <w:left w:val="single" w:sz="4" w:space="0" w:color="auto"/>
              <w:right w:val="single" w:sz="4" w:space="0" w:color="auto"/>
            </w:tcBorders>
            <w:vAlign w:val="center"/>
          </w:tcPr>
          <w:p w14:paraId="5B162FCF" w14:textId="339AE323"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156/635 (24.6)</w:t>
            </w:r>
          </w:p>
        </w:tc>
      </w:tr>
      <w:tr w:rsidR="00C82E56" w:rsidRPr="00164952" w14:paraId="77234987" w14:textId="77777777" w:rsidTr="00164952">
        <w:trPr>
          <w:trHeight w:val="255"/>
        </w:trPr>
        <w:tc>
          <w:tcPr>
            <w:tcW w:w="1931" w:type="pct"/>
            <w:tcBorders>
              <w:left w:val="single" w:sz="4" w:space="0" w:color="auto"/>
              <w:right w:val="single" w:sz="4" w:space="0" w:color="auto"/>
            </w:tcBorders>
          </w:tcPr>
          <w:p w14:paraId="73729896" w14:textId="77777777" w:rsidR="00C82E56" w:rsidRPr="00164952" w:rsidRDefault="00C82E56" w:rsidP="00EA693D">
            <w:pPr>
              <w:pStyle w:val="TableText1"/>
              <w:keepNext/>
              <w:keepLines/>
              <w:spacing w:before="0" w:after="0"/>
              <w:rPr>
                <w:rFonts w:ascii="Arial Narrow" w:eastAsia="Calibri" w:hAnsi="Arial Narrow"/>
              </w:rPr>
            </w:pPr>
            <w:r w:rsidRPr="00164952">
              <w:rPr>
                <w:rFonts w:ascii="Arial Narrow" w:eastAsia="Calibri" w:hAnsi="Arial Narrow"/>
              </w:rPr>
              <w:t>SAE</w:t>
            </w:r>
          </w:p>
        </w:tc>
        <w:tc>
          <w:tcPr>
            <w:tcW w:w="509" w:type="pct"/>
            <w:tcBorders>
              <w:left w:val="single" w:sz="4" w:space="0" w:color="auto"/>
              <w:right w:val="single" w:sz="4" w:space="0" w:color="auto"/>
            </w:tcBorders>
            <w:vAlign w:val="center"/>
          </w:tcPr>
          <w:p w14:paraId="0E54A882" w14:textId="58088B5B"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3/276 (1.1)</w:t>
            </w:r>
          </w:p>
        </w:tc>
        <w:tc>
          <w:tcPr>
            <w:tcW w:w="508" w:type="pct"/>
            <w:tcBorders>
              <w:left w:val="single" w:sz="4" w:space="0" w:color="auto"/>
              <w:right w:val="single" w:sz="4" w:space="0" w:color="auto"/>
            </w:tcBorders>
            <w:vAlign w:val="center"/>
          </w:tcPr>
          <w:p w14:paraId="60D139FF" w14:textId="5AD71380"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2/274 (0.7)</w:t>
            </w:r>
          </w:p>
        </w:tc>
        <w:tc>
          <w:tcPr>
            <w:tcW w:w="509" w:type="pct"/>
            <w:tcBorders>
              <w:left w:val="single" w:sz="4" w:space="0" w:color="auto"/>
              <w:right w:val="single" w:sz="4" w:space="0" w:color="auto"/>
            </w:tcBorders>
            <w:vAlign w:val="center"/>
          </w:tcPr>
          <w:p w14:paraId="55AAE35F" w14:textId="0813EF7E"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9/365 (2.5)</w:t>
            </w:r>
          </w:p>
        </w:tc>
        <w:tc>
          <w:tcPr>
            <w:tcW w:w="508" w:type="pct"/>
            <w:tcBorders>
              <w:left w:val="single" w:sz="4" w:space="0" w:color="auto"/>
              <w:right w:val="single" w:sz="4" w:space="0" w:color="auto"/>
            </w:tcBorders>
            <w:vAlign w:val="center"/>
          </w:tcPr>
          <w:p w14:paraId="17E19765" w14:textId="7FD76E04"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12/361 (3.3)</w:t>
            </w:r>
          </w:p>
        </w:tc>
        <w:tc>
          <w:tcPr>
            <w:tcW w:w="509" w:type="pct"/>
            <w:tcBorders>
              <w:left w:val="single" w:sz="4" w:space="0" w:color="auto"/>
              <w:right w:val="single" w:sz="4" w:space="0" w:color="auto"/>
            </w:tcBorders>
            <w:vAlign w:val="center"/>
          </w:tcPr>
          <w:p w14:paraId="4479B60A" w14:textId="06A486F8"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12/641 (1.9)</w:t>
            </w:r>
          </w:p>
        </w:tc>
        <w:tc>
          <w:tcPr>
            <w:tcW w:w="527" w:type="pct"/>
            <w:tcBorders>
              <w:left w:val="single" w:sz="4" w:space="0" w:color="auto"/>
              <w:right w:val="single" w:sz="4" w:space="0" w:color="auto"/>
            </w:tcBorders>
            <w:vAlign w:val="center"/>
          </w:tcPr>
          <w:p w14:paraId="0C4967E4" w14:textId="70DA80C7"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14/635 (2.2)</w:t>
            </w:r>
          </w:p>
        </w:tc>
      </w:tr>
      <w:tr w:rsidR="00C82E56" w:rsidRPr="00164952" w14:paraId="535F2007" w14:textId="77777777" w:rsidTr="00164952">
        <w:trPr>
          <w:trHeight w:val="255"/>
        </w:trPr>
        <w:tc>
          <w:tcPr>
            <w:tcW w:w="1931" w:type="pct"/>
            <w:tcBorders>
              <w:left w:val="single" w:sz="4" w:space="0" w:color="auto"/>
              <w:right w:val="single" w:sz="4" w:space="0" w:color="auto"/>
            </w:tcBorders>
          </w:tcPr>
          <w:p w14:paraId="1FC8A69F" w14:textId="77777777" w:rsidR="00C82E56" w:rsidRPr="00164952" w:rsidRDefault="00C82E56" w:rsidP="00EA693D">
            <w:pPr>
              <w:pStyle w:val="TableText1"/>
              <w:keepNext/>
              <w:keepLines/>
              <w:spacing w:before="0" w:after="0"/>
              <w:rPr>
                <w:rFonts w:ascii="Arial Narrow" w:eastAsia="Calibri" w:hAnsi="Arial Narrow"/>
              </w:rPr>
            </w:pPr>
            <w:r w:rsidRPr="00164952">
              <w:rPr>
                <w:rFonts w:ascii="Arial Narrow" w:eastAsia="Calibri" w:hAnsi="Arial Narrow"/>
              </w:rPr>
              <w:t>AE leading to withdrawal from study treatment</w:t>
            </w:r>
          </w:p>
        </w:tc>
        <w:tc>
          <w:tcPr>
            <w:tcW w:w="509" w:type="pct"/>
            <w:tcBorders>
              <w:left w:val="single" w:sz="4" w:space="0" w:color="auto"/>
              <w:right w:val="single" w:sz="4" w:space="0" w:color="auto"/>
            </w:tcBorders>
            <w:vAlign w:val="center"/>
          </w:tcPr>
          <w:p w14:paraId="6FACEEDC" w14:textId="77777777"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0</w:t>
            </w:r>
          </w:p>
        </w:tc>
        <w:tc>
          <w:tcPr>
            <w:tcW w:w="508" w:type="pct"/>
            <w:tcBorders>
              <w:left w:val="single" w:sz="4" w:space="0" w:color="auto"/>
              <w:right w:val="single" w:sz="4" w:space="0" w:color="auto"/>
            </w:tcBorders>
            <w:vAlign w:val="center"/>
          </w:tcPr>
          <w:p w14:paraId="58546A9A" w14:textId="77777777"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0</w:t>
            </w:r>
          </w:p>
        </w:tc>
        <w:tc>
          <w:tcPr>
            <w:tcW w:w="509" w:type="pct"/>
            <w:tcBorders>
              <w:left w:val="single" w:sz="4" w:space="0" w:color="auto"/>
              <w:right w:val="single" w:sz="4" w:space="0" w:color="auto"/>
            </w:tcBorders>
            <w:vAlign w:val="center"/>
          </w:tcPr>
          <w:p w14:paraId="398A7960" w14:textId="098B4456"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3/365 (0.8)</w:t>
            </w:r>
          </w:p>
        </w:tc>
        <w:tc>
          <w:tcPr>
            <w:tcW w:w="508" w:type="pct"/>
            <w:tcBorders>
              <w:left w:val="single" w:sz="4" w:space="0" w:color="auto"/>
              <w:right w:val="single" w:sz="4" w:space="0" w:color="auto"/>
            </w:tcBorders>
            <w:vAlign w:val="center"/>
          </w:tcPr>
          <w:p w14:paraId="105F3324" w14:textId="3EC95C67"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2/361 (0.6)</w:t>
            </w:r>
          </w:p>
        </w:tc>
        <w:tc>
          <w:tcPr>
            <w:tcW w:w="509" w:type="pct"/>
            <w:tcBorders>
              <w:left w:val="single" w:sz="4" w:space="0" w:color="auto"/>
              <w:right w:val="single" w:sz="4" w:space="0" w:color="auto"/>
            </w:tcBorders>
            <w:vAlign w:val="center"/>
          </w:tcPr>
          <w:p w14:paraId="2F39A8B2" w14:textId="4DEAA7FF"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3/641 (0.5)</w:t>
            </w:r>
          </w:p>
        </w:tc>
        <w:tc>
          <w:tcPr>
            <w:tcW w:w="527" w:type="pct"/>
            <w:tcBorders>
              <w:left w:val="single" w:sz="4" w:space="0" w:color="auto"/>
              <w:right w:val="single" w:sz="4" w:space="0" w:color="auto"/>
            </w:tcBorders>
            <w:vAlign w:val="center"/>
          </w:tcPr>
          <w:p w14:paraId="52098C7B" w14:textId="3E3BAD8A"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2/635 (0.3)</w:t>
            </w:r>
          </w:p>
        </w:tc>
      </w:tr>
      <w:tr w:rsidR="00C82E56" w:rsidRPr="00164952" w14:paraId="5A81F0D4" w14:textId="77777777" w:rsidTr="00164952">
        <w:trPr>
          <w:trHeight w:val="255"/>
        </w:trPr>
        <w:tc>
          <w:tcPr>
            <w:tcW w:w="1931" w:type="pct"/>
            <w:tcBorders>
              <w:left w:val="single" w:sz="4" w:space="0" w:color="auto"/>
              <w:right w:val="single" w:sz="4" w:space="0" w:color="auto"/>
            </w:tcBorders>
          </w:tcPr>
          <w:p w14:paraId="035C821D" w14:textId="77777777" w:rsidR="00C82E56" w:rsidRPr="00164952" w:rsidRDefault="00C82E56" w:rsidP="00EA693D">
            <w:pPr>
              <w:pStyle w:val="TableText1"/>
              <w:keepNext/>
              <w:keepLines/>
              <w:spacing w:before="0" w:after="0"/>
              <w:rPr>
                <w:rFonts w:ascii="Arial Narrow" w:eastAsia="Calibri" w:hAnsi="Arial Narrow"/>
              </w:rPr>
            </w:pPr>
            <w:r w:rsidRPr="00164952">
              <w:rPr>
                <w:rFonts w:ascii="Arial Narrow" w:eastAsia="Calibri" w:hAnsi="Arial Narrow"/>
              </w:rPr>
              <w:t>Treatment-related AEs</w:t>
            </w:r>
          </w:p>
        </w:tc>
        <w:tc>
          <w:tcPr>
            <w:tcW w:w="509" w:type="pct"/>
            <w:tcBorders>
              <w:left w:val="single" w:sz="4" w:space="0" w:color="auto"/>
              <w:right w:val="single" w:sz="4" w:space="0" w:color="auto"/>
            </w:tcBorders>
            <w:vAlign w:val="center"/>
          </w:tcPr>
          <w:p w14:paraId="0EF856A6" w14:textId="127D610D"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1/276 (0.4)</w:t>
            </w:r>
          </w:p>
        </w:tc>
        <w:tc>
          <w:tcPr>
            <w:tcW w:w="508" w:type="pct"/>
            <w:tcBorders>
              <w:left w:val="single" w:sz="4" w:space="0" w:color="auto"/>
              <w:right w:val="single" w:sz="4" w:space="0" w:color="auto"/>
            </w:tcBorders>
            <w:vAlign w:val="center"/>
          </w:tcPr>
          <w:p w14:paraId="6820D60D" w14:textId="6F00E1FF"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2/274 (0.7)</w:t>
            </w:r>
          </w:p>
        </w:tc>
        <w:tc>
          <w:tcPr>
            <w:tcW w:w="509" w:type="pct"/>
            <w:tcBorders>
              <w:left w:val="single" w:sz="4" w:space="0" w:color="auto"/>
              <w:right w:val="single" w:sz="4" w:space="0" w:color="auto"/>
            </w:tcBorders>
            <w:vAlign w:val="center"/>
          </w:tcPr>
          <w:p w14:paraId="4EC08FF5" w14:textId="0FEAEF46"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14/365 (3.8)</w:t>
            </w:r>
          </w:p>
        </w:tc>
        <w:tc>
          <w:tcPr>
            <w:tcW w:w="508" w:type="pct"/>
            <w:tcBorders>
              <w:left w:val="single" w:sz="4" w:space="0" w:color="auto"/>
              <w:right w:val="single" w:sz="4" w:space="0" w:color="auto"/>
            </w:tcBorders>
            <w:vAlign w:val="center"/>
          </w:tcPr>
          <w:p w14:paraId="4C5F7EAC" w14:textId="42E9F8D1"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8/361 (2.2)</w:t>
            </w:r>
          </w:p>
        </w:tc>
        <w:tc>
          <w:tcPr>
            <w:tcW w:w="509" w:type="pct"/>
            <w:tcBorders>
              <w:left w:val="single" w:sz="4" w:space="0" w:color="auto"/>
              <w:right w:val="single" w:sz="4" w:space="0" w:color="auto"/>
            </w:tcBorders>
            <w:vAlign w:val="center"/>
          </w:tcPr>
          <w:p w14:paraId="068B7011" w14:textId="24FB4018"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15/641 (2.3)</w:t>
            </w:r>
          </w:p>
        </w:tc>
        <w:tc>
          <w:tcPr>
            <w:tcW w:w="527" w:type="pct"/>
            <w:tcBorders>
              <w:left w:val="single" w:sz="4" w:space="0" w:color="auto"/>
              <w:right w:val="single" w:sz="4" w:space="0" w:color="auto"/>
            </w:tcBorders>
            <w:vAlign w:val="center"/>
          </w:tcPr>
          <w:p w14:paraId="2E56FF03" w14:textId="55D6AE36"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10/635 (1.6)</w:t>
            </w:r>
          </w:p>
        </w:tc>
      </w:tr>
      <w:tr w:rsidR="00C82E56" w:rsidRPr="00164952" w14:paraId="5C4F1E8C" w14:textId="77777777" w:rsidTr="00164952">
        <w:trPr>
          <w:trHeight w:val="255"/>
        </w:trPr>
        <w:tc>
          <w:tcPr>
            <w:tcW w:w="1931" w:type="pct"/>
            <w:tcBorders>
              <w:left w:val="single" w:sz="4" w:space="0" w:color="auto"/>
              <w:bottom w:val="single" w:sz="4" w:space="0" w:color="auto"/>
              <w:right w:val="single" w:sz="4" w:space="0" w:color="auto"/>
            </w:tcBorders>
          </w:tcPr>
          <w:p w14:paraId="4600CD95" w14:textId="77777777" w:rsidR="00C82E56" w:rsidRPr="00164952" w:rsidRDefault="00C82E56" w:rsidP="00EA693D">
            <w:pPr>
              <w:pStyle w:val="TableText1"/>
              <w:keepNext/>
              <w:keepLines/>
              <w:spacing w:before="0" w:after="0"/>
              <w:rPr>
                <w:rFonts w:ascii="Arial Narrow" w:eastAsia="Calibri" w:hAnsi="Arial Narrow"/>
              </w:rPr>
            </w:pPr>
            <w:r w:rsidRPr="00164952">
              <w:rPr>
                <w:rFonts w:ascii="Arial Narrow" w:eastAsia="Calibri" w:hAnsi="Arial Narrow"/>
              </w:rPr>
              <w:t>Treatment-related SAEs</w:t>
            </w:r>
          </w:p>
        </w:tc>
        <w:tc>
          <w:tcPr>
            <w:tcW w:w="509" w:type="pct"/>
            <w:tcBorders>
              <w:left w:val="single" w:sz="4" w:space="0" w:color="auto"/>
              <w:bottom w:val="single" w:sz="4" w:space="0" w:color="auto"/>
              <w:right w:val="single" w:sz="4" w:space="0" w:color="auto"/>
            </w:tcBorders>
            <w:vAlign w:val="center"/>
          </w:tcPr>
          <w:p w14:paraId="27DB9B6E" w14:textId="77777777"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0</w:t>
            </w:r>
          </w:p>
        </w:tc>
        <w:tc>
          <w:tcPr>
            <w:tcW w:w="508" w:type="pct"/>
            <w:tcBorders>
              <w:left w:val="single" w:sz="4" w:space="0" w:color="auto"/>
              <w:bottom w:val="single" w:sz="4" w:space="0" w:color="auto"/>
              <w:right w:val="single" w:sz="4" w:space="0" w:color="auto"/>
            </w:tcBorders>
            <w:vAlign w:val="center"/>
          </w:tcPr>
          <w:p w14:paraId="2EE69DAF" w14:textId="77777777"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0</w:t>
            </w:r>
          </w:p>
        </w:tc>
        <w:tc>
          <w:tcPr>
            <w:tcW w:w="509" w:type="pct"/>
            <w:tcBorders>
              <w:left w:val="single" w:sz="4" w:space="0" w:color="auto"/>
              <w:bottom w:val="single" w:sz="4" w:space="0" w:color="auto"/>
              <w:right w:val="single" w:sz="4" w:space="0" w:color="auto"/>
            </w:tcBorders>
            <w:vAlign w:val="center"/>
          </w:tcPr>
          <w:p w14:paraId="603C0A6E" w14:textId="27E63120"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3/365 (0.8)</w:t>
            </w:r>
          </w:p>
        </w:tc>
        <w:tc>
          <w:tcPr>
            <w:tcW w:w="508" w:type="pct"/>
            <w:tcBorders>
              <w:left w:val="single" w:sz="4" w:space="0" w:color="auto"/>
              <w:bottom w:val="single" w:sz="4" w:space="0" w:color="auto"/>
              <w:right w:val="single" w:sz="4" w:space="0" w:color="auto"/>
            </w:tcBorders>
            <w:vAlign w:val="center"/>
          </w:tcPr>
          <w:p w14:paraId="7A68FF37" w14:textId="44F7547E"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2/361 (0.6)</w:t>
            </w:r>
          </w:p>
        </w:tc>
        <w:tc>
          <w:tcPr>
            <w:tcW w:w="509" w:type="pct"/>
            <w:tcBorders>
              <w:left w:val="single" w:sz="4" w:space="0" w:color="auto"/>
              <w:bottom w:val="single" w:sz="4" w:space="0" w:color="auto"/>
              <w:right w:val="single" w:sz="4" w:space="0" w:color="auto"/>
            </w:tcBorders>
            <w:vAlign w:val="center"/>
          </w:tcPr>
          <w:p w14:paraId="2913D858" w14:textId="5F7144A2"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3/641 (0.5)</w:t>
            </w:r>
          </w:p>
        </w:tc>
        <w:tc>
          <w:tcPr>
            <w:tcW w:w="527" w:type="pct"/>
            <w:tcBorders>
              <w:left w:val="single" w:sz="4" w:space="0" w:color="auto"/>
              <w:bottom w:val="single" w:sz="4" w:space="0" w:color="auto"/>
              <w:right w:val="single" w:sz="4" w:space="0" w:color="auto"/>
            </w:tcBorders>
            <w:vAlign w:val="center"/>
          </w:tcPr>
          <w:p w14:paraId="795F6914" w14:textId="1762D30C"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2/635 (0.3)</w:t>
            </w:r>
          </w:p>
        </w:tc>
      </w:tr>
      <w:tr w:rsidR="00C82E56" w:rsidRPr="00164952" w14:paraId="73A309DD" w14:textId="77777777" w:rsidTr="00164952">
        <w:trPr>
          <w:trHeight w:val="255"/>
        </w:trPr>
        <w:tc>
          <w:tcPr>
            <w:tcW w:w="1931" w:type="pct"/>
            <w:tcBorders>
              <w:top w:val="single" w:sz="4" w:space="0" w:color="auto"/>
              <w:left w:val="single" w:sz="4" w:space="0" w:color="auto"/>
              <w:right w:val="single" w:sz="4" w:space="0" w:color="auto"/>
            </w:tcBorders>
          </w:tcPr>
          <w:p w14:paraId="6253CB7B" w14:textId="77777777" w:rsidR="00C82E56" w:rsidRPr="00164952" w:rsidRDefault="00C82E56" w:rsidP="00EA693D">
            <w:pPr>
              <w:pStyle w:val="TableText1"/>
              <w:keepNext/>
              <w:keepLines/>
              <w:spacing w:before="0" w:after="0"/>
              <w:rPr>
                <w:rFonts w:ascii="Arial Narrow" w:eastAsia="Calibri" w:hAnsi="Arial Narrow"/>
                <w:b/>
              </w:rPr>
            </w:pPr>
            <w:r w:rsidRPr="00164952">
              <w:rPr>
                <w:rFonts w:ascii="Arial Narrow" w:eastAsia="Calibri" w:hAnsi="Arial Narrow"/>
                <w:b/>
              </w:rPr>
              <w:t>AESI</w:t>
            </w:r>
          </w:p>
        </w:tc>
        <w:tc>
          <w:tcPr>
            <w:tcW w:w="509" w:type="pct"/>
            <w:tcBorders>
              <w:top w:val="single" w:sz="4" w:space="0" w:color="auto"/>
              <w:left w:val="single" w:sz="4" w:space="0" w:color="auto"/>
              <w:right w:val="single" w:sz="4" w:space="0" w:color="auto"/>
            </w:tcBorders>
            <w:vAlign w:val="center"/>
          </w:tcPr>
          <w:p w14:paraId="43B219BB" w14:textId="45471ED1" w:rsidR="00C82E56" w:rsidRPr="00164952" w:rsidRDefault="00C82E56" w:rsidP="00EA693D">
            <w:pPr>
              <w:pStyle w:val="TableText1"/>
              <w:keepNext/>
              <w:keepLines/>
              <w:spacing w:before="0" w:after="0"/>
              <w:jc w:val="center"/>
              <w:rPr>
                <w:rFonts w:ascii="Arial Narrow" w:eastAsia="Calibri" w:hAnsi="Arial Narrow"/>
                <w:b/>
              </w:rPr>
            </w:pPr>
            <w:r w:rsidRPr="00164952">
              <w:rPr>
                <w:rFonts w:ascii="Arial Narrow" w:eastAsia="Calibri" w:hAnsi="Arial Narrow"/>
                <w:b/>
              </w:rPr>
              <w:t>1/276 (0.4)</w:t>
            </w:r>
          </w:p>
        </w:tc>
        <w:tc>
          <w:tcPr>
            <w:tcW w:w="508" w:type="pct"/>
            <w:tcBorders>
              <w:top w:val="single" w:sz="4" w:space="0" w:color="auto"/>
              <w:left w:val="single" w:sz="4" w:space="0" w:color="auto"/>
              <w:right w:val="single" w:sz="4" w:space="0" w:color="auto"/>
            </w:tcBorders>
            <w:vAlign w:val="center"/>
          </w:tcPr>
          <w:p w14:paraId="2291F1ED" w14:textId="54761F40" w:rsidR="00C82E56" w:rsidRPr="00164952" w:rsidRDefault="00C82E56" w:rsidP="00EA693D">
            <w:pPr>
              <w:pStyle w:val="TableText1"/>
              <w:keepNext/>
              <w:keepLines/>
              <w:spacing w:before="0" w:after="0"/>
              <w:jc w:val="center"/>
              <w:rPr>
                <w:rFonts w:ascii="Arial Narrow" w:eastAsia="Calibri" w:hAnsi="Arial Narrow"/>
                <w:b/>
              </w:rPr>
            </w:pPr>
            <w:r w:rsidRPr="00164952">
              <w:rPr>
                <w:rFonts w:ascii="Arial Narrow" w:eastAsia="Calibri" w:hAnsi="Arial Narrow"/>
                <w:b/>
              </w:rPr>
              <w:t>2/274 (0.7)</w:t>
            </w:r>
          </w:p>
        </w:tc>
        <w:tc>
          <w:tcPr>
            <w:tcW w:w="509" w:type="pct"/>
            <w:tcBorders>
              <w:top w:val="single" w:sz="4" w:space="0" w:color="auto"/>
              <w:left w:val="single" w:sz="4" w:space="0" w:color="auto"/>
              <w:right w:val="single" w:sz="4" w:space="0" w:color="auto"/>
            </w:tcBorders>
            <w:vAlign w:val="center"/>
          </w:tcPr>
          <w:p w14:paraId="53FAE684" w14:textId="5299C698" w:rsidR="00C82E56" w:rsidRPr="00164952" w:rsidRDefault="00C82E56" w:rsidP="00EA693D">
            <w:pPr>
              <w:pStyle w:val="TableText1"/>
              <w:keepNext/>
              <w:keepLines/>
              <w:spacing w:before="0" w:after="0"/>
              <w:jc w:val="center"/>
              <w:rPr>
                <w:rFonts w:ascii="Arial Narrow" w:eastAsia="Calibri" w:hAnsi="Arial Narrow"/>
                <w:b/>
              </w:rPr>
            </w:pPr>
            <w:r w:rsidRPr="00164952">
              <w:rPr>
                <w:rFonts w:ascii="Arial Narrow" w:eastAsia="Calibri" w:hAnsi="Arial Narrow"/>
                <w:b/>
              </w:rPr>
              <w:t>8/365 (2.2)</w:t>
            </w:r>
          </w:p>
        </w:tc>
        <w:tc>
          <w:tcPr>
            <w:tcW w:w="508" w:type="pct"/>
            <w:tcBorders>
              <w:top w:val="single" w:sz="4" w:space="0" w:color="auto"/>
              <w:left w:val="single" w:sz="4" w:space="0" w:color="auto"/>
              <w:right w:val="single" w:sz="4" w:space="0" w:color="auto"/>
            </w:tcBorders>
            <w:vAlign w:val="center"/>
          </w:tcPr>
          <w:p w14:paraId="5B6A327D" w14:textId="7064A815" w:rsidR="00C82E56" w:rsidRPr="00164952" w:rsidRDefault="00C82E56" w:rsidP="00EA693D">
            <w:pPr>
              <w:pStyle w:val="TableText1"/>
              <w:keepNext/>
              <w:keepLines/>
              <w:spacing w:before="0" w:after="0"/>
              <w:jc w:val="center"/>
              <w:rPr>
                <w:rFonts w:ascii="Arial Narrow" w:eastAsia="Calibri" w:hAnsi="Arial Narrow"/>
                <w:b/>
              </w:rPr>
            </w:pPr>
            <w:r w:rsidRPr="00164952">
              <w:rPr>
                <w:rFonts w:ascii="Arial Narrow" w:eastAsia="Calibri" w:hAnsi="Arial Narrow"/>
                <w:b/>
              </w:rPr>
              <w:t>12/361 (3.3)</w:t>
            </w:r>
          </w:p>
        </w:tc>
        <w:tc>
          <w:tcPr>
            <w:tcW w:w="509" w:type="pct"/>
            <w:tcBorders>
              <w:top w:val="single" w:sz="4" w:space="0" w:color="auto"/>
              <w:left w:val="single" w:sz="4" w:space="0" w:color="auto"/>
              <w:right w:val="single" w:sz="4" w:space="0" w:color="auto"/>
            </w:tcBorders>
            <w:vAlign w:val="center"/>
          </w:tcPr>
          <w:p w14:paraId="141FCBC4" w14:textId="609118ED" w:rsidR="00C82E56" w:rsidRPr="00164952" w:rsidRDefault="00C82E56" w:rsidP="00EA693D">
            <w:pPr>
              <w:pStyle w:val="TableText1"/>
              <w:keepNext/>
              <w:keepLines/>
              <w:spacing w:before="0" w:after="0"/>
              <w:jc w:val="center"/>
              <w:rPr>
                <w:rFonts w:ascii="Arial Narrow" w:eastAsia="Calibri" w:hAnsi="Arial Narrow"/>
                <w:b/>
              </w:rPr>
            </w:pPr>
            <w:r w:rsidRPr="00164952">
              <w:rPr>
                <w:rFonts w:ascii="Arial Narrow" w:eastAsia="Calibri" w:hAnsi="Arial Narrow"/>
                <w:b/>
              </w:rPr>
              <w:t>9/641 (1.4)</w:t>
            </w:r>
          </w:p>
        </w:tc>
        <w:tc>
          <w:tcPr>
            <w:tcW w:w="527" w:type="pct"/>
            <w:tcBorders>
              <w:top w:val="single" w:sz="4" w:space="0" w:color="auto"/>
              <w:left w:val="single" w:sz="4" w:space="0" w:color="auto"/>
              <w:right w:val="single" w:sz="4" w:space="0" w:color="auto"/>
            </w:tcBorders>
            <w:vAlign w:val="center"/>
          </w:tcPr>
          <w:p w14:paraId="22D8D654" w14:textId="39761A22" w:rsidR="00C82E56" w:rsidRPr="00164952" w:rsidRDefault="00C82E56" w:rsidP="00EA693D">
            <w:pPr>
              <w:pStyle w:val="TableText1"/>
              <w:keepNext/>
              <w:keepLines/>
              <w:spacing w:before="0" w:after="0"/>
              <w:jc w:val="center"/>
              <w:rPr>
                <w:rFonts w:ascii="Arial Narrow" w:eastAsia="Calibri" w:hAnsi="Arial Narrow"/>
                <w:b/>
              </w:rPr>
            </w:pPr>
            <w:r w:rsidRPr="00164952">
              <w:rPr>
                <w:rFonts w:ascii="Arial Narrow" w:eastAsia="Calibri" w:hAnsi="Arial Narrow"/>
                <w:b/>
              </w:rPr>
              <w:t>14/635 (2.2)</w:t>
            </w:r>
          </w:p>
        </w:tc>
      </w:tr>
      <w:tr w:rsidR="00C82E56" w:rsidRPr="00164952" w14:paraId="1BC64C45" w14:textId="77777777" w:rsidTr="00164952">
        <w:trPr>
          <w:trHeight w:val="255"/>
        </w:trPr>
        <w:tc>
          <w:tcPr>
            <w:tcW w:w="1931" w:type="pct"/>
            <w:tcBorders>
              <w:left w:val="single" w:sz="4" w:space="0" w:color="auto"/>
              <w:right w:val="single" w:sz="4" w:space="0" w:color="auto"/>
            </w:tcBorders>
          </w:tcPr>
          <w:p w14:paraId="50BE49B6" w14:textId="3C5C773E" w:rsidR="00C82E56" w:rsidRPr="00164952" w:rsidRDefault="00C82E56" w:rsidP="00EA693D">
            <w:pPr>
              <w:pStyle w:val="TableText1"/>
              <w:keepNext/>
              <w:keepLines/>
              <w:spacing w:before="0" w:after="0"/>
              <w:rPr>
                <w:rFonts w:ascii="Arial Narrow" w:eastAsia="Calibri" w:hAnsi="Arial Narrow"/>
              </w:rPr>
            </w:pPr>
            <w:r w:rsidRPr="00164952">
              <w:rPr>
                <w:rFonts w:ascii="Arial Narrow" w:eastAsia="Calibri" w:hAnsi="Arial Narrow"/>
              </w:rPr>
              <w:t>VA score</w:t>
            </w:r>
            <w:r w:rsidR="00164952" w:rsidRPr="00164952">
              <w:rPr>
                <w:rFonts w:ascii="Arial Narrow" w:eastAsia="Calibri" w:hAnsi="Arial Narrow"/>
              </w:rPr>
              <w:t xml:space="preserve"> drop</w:t>
            </w:r>
            <w:r w:rsidRPr="00164952">
              <w:rPr>
                <w:rFonts w:ascii="Arial Narrow" w:eastAsia="Calibri" w:hAnsi="Arial Narrow"/>
              </w:rPr>
              <w:t xml:space="preserve"> ≥30</w:t>
            </w:r>
            <w:r w:rsidR="00124B4F" w:rsidRPr="00164952">
              <w:rPr>
                <w:rFonts w:ascii="Arial Narrow" w:eastAsia="Calibri" w:hAnsi="Arial Narrow"/>
              </w:rPr>
              <w:t xml:space="preserve"> </w:t>
            </w:r>
            <w:r w:rsidR="00124B4F" w:rsidRPr="00164952">
              <w:rPr>
                <w:rFonts w:ascii="Arial Narrow" w:eastAsia="Calibri" w:hAnsi="Arial Narrow"/>
                <w:vertAlign w:val="superscript"/>
              </w:rPr>
              <w:t>a</w:t>
            </w:r>
          </w:p>
        </w:tc>
        <w:tc>
          <w:tcPr>
            <w:tcW w:w="509" w:type="pct"/>
            <w:tcBorders>
              <w:left w:val="single" w:sz="4" w:space="0" w:color="auto"/>
              <w:right w:val="single" w:sz="4" w:space="0" w:color="auto"/>
            </w:tcBorders>
            <w:vAlign w:val="center"/>
          </w:tcPr>
          <w:p w14:paraId="2F1EB0A5" w14:textId="02D5629F"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1/276 (0.4)</w:t>
            </w:r>
          </w:p>
        </w:tc>
        <w:tc>
          <w:tcPr>
            <w:tcW w:w="508" w:type="pct"/>
            <w:tcBorders>
              <w:left w:val="single" w:sz="4" w:space="0" w:color="auto"/>
              <w:right w:val="single" w:sz="4" w:space="0" w:color="auto"/>
            </w:tcBorders>
            <w:vAlign w:val="center"/>
          </w:tcPr>
          <w:p w14:paraId="476B8880" w14:textId="4F352030"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2/274 (0.7)</w:t>
            </w:r>
          </w:p>
        </w:tc>
        <w:tc>
          <w:tcPr>
            <w:tcW w:w="509" w:type="pct"/>
            <w:tcBorders>
              <w:left w:val="single" w:sz="4" w:space="0" w:color="auto"/>
              <w:right w:val="single" w:sz="4" w:space="0" w:color="auto"/>
            </w:tcBorders>
            <w:vAlign w:val="center"/>
          </w:tcPr>
          <w:p w14:paraId="0360792F" w14:textId="4420B4A5"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6/365 (1.6)</w:t>
            </w:r>
          </w:p>
        </w:tc>
        <w:tc>
          <w:tcPr>
            <w:tcW w:w="508" w:type="pct"/>
            <w:tcBorders>
              <w:left w:val="single" w:sz="4" w:space="0" w:color="auto"/>
              <w:right w:val="single" w:sz="4" w:space="0" w:color="auto"/>
            </w:tcBorders>
            <w:vAlign w:val="center"/>
          </w:tcPr>
          <w:p w14:paraId="2715BC05" w14:textId="35BEFB4E"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6/361 (1.7)</w:t>
            </w:r>
          </w:p>
        </w:tc>
        <w:tc>
          <w:tcPr>
            <w:tcW w:w="509" w:type="pct"/>
            <w:tcBorders>
              <w:left w:val="single" w:sz="4" w:space="0" w:color="auto"/>
              <w:right w:val="single" w:sz="4" w:space="0" w:color="auto"/>
            </w:tcBorders>
            <w:vAlign w:val="center"/>
          </w:tcPr>
          <w:p w14:paraId="07DACB49" w14:textId="7ABB9F3F"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7/641 (1.1)</w:t>
            </w:r>
          </w:p>
        </w:tc>
        <w:tc>
          <w:tcPr>
            <w:tcW w:w="527" w:type="pct"/>
            <w:tcBorders>
              <w:left w:val="single" w:sz="4" w:space="0" w:color="auto"/>
              <w:right w:val="single" w:sz="4" w:space="0" w:color="auto"/>
            </w:tcBorders>
            <w:vAlign w:val="center"/>
          </w:tcPr>
          <w:p w14:paraId="6FB55D39" w14:textId="0AD931C5"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8/635 (1.3)</w:t>
            </w:r>
          </w:p>
        </w:tc>
      </w:tr>
      <w:tr w:rsidR="00C82E56" w:rsidRPr="00164952" w14:paraId="359F3F81" w14:textId="77777777" w:rsidTr="00164952">
        <w:trPr>
          <w:trHeight w:val="255"/>
        </w:trPr>
        <w:tc>
          <w:tcPr>
            <w:tcW w:w="1931" w:type="pct"/>
            <w:tcBorders>
              <w:left w:val="single" w:sz="4" w:space="0" w:color="auto"/>
              <w:right w:val="single" w:sz="4" w:space="0" w:color="auto"/>
            </w:tcBorders>
          </w:tcPr>
          <w:p w14:paraId="2168B096" w14:textId="77777777" w:rsidR="00C82E56" w:rsidRPr="00164952" w:rsidRDefault="00C82E56" w:rsidP="00EA693D">
            <w:pPr>
              <w:pStyle w:val="TableText1"/>
              <w:keepNext/>
              <w:keepLines/>
              <w:spacing w:before="0" w:after="0"/>
              <w:rPr>
                <w:rFonts w:ascii="Arial Narrow" w:eastAsia="Calibri" w:hAnsi="Arial Narrow"/>
              </w:rPr>
            </w:pPr>
            <w:r w:rsidRPr="00164952">
              <w:rPr>
                <w:rFonts w:ascii="Arial Narrow" w:eastAsia="Calibri" w:hAnsi="Arial Narrow"/>
              </w:rPr>
              <w:t>Associated with severe IOI</w:t>
            </w:r>
          </w:p>
        </w:tc>
        <w:tc>
          <w:tcPr>
            <w:tcW w:w="509" w:type="pct"/>
            <w:tcBorders>
              <w:left w:val="single" w:sz="4" w:space="0" w:color="auto"/>
              <w:right w:val="single" w:sz="4" w:space="0" w:color="auto"/>
            </w:tcBorders>
            <w:vAlign w:val="center"/>
          </w:tcPr>
          <w:p w14:paraId="484B22D7" w14:textId="77777777"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0</w:t>
            </w:r>
          </w:p>
        </w:tc>
        <w:tc>
          <w:tcPr>
            <w:tcW w:w="508" w:type="pct"/>
            <w:tcBorders>
              <w:left w:val="single" w:sz="4" w:space="0" w:color="auto"/>
              <w:right w:val="single" w:sz="4" w:space="0" w:color="auto"/>
            </w:tcBorders>
            <w:vAlign w:val="center"/>
          </w:tcPr>
          <w:p w14:paraId="05845C5D" w14:textId="77777777"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0</w:t>
            </w:r>
          </w:p>
        </w:tc>
        <w:tc>
          <w:tcPr>
            <w:tcW w:w="509" w:type="pct"/>
            <w:tcBorders>
              <w:left w:val="single" w:sz="4" w:space="0" w:color="auto"/>
              <w:right w:val="single" w:sz="4" w:space="0" w:color="auto"/>
            </w:tcBorders>
            <w:vAlign w:val="center"/>
          </w:tcPr>
          <w:p w14:paraId="41D80F7C" w14:textId="77777777"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0</w:t>
            </w:r>
          </w:p>
        </w:tc>
        <w:tc>
          <w:tcPr>
            <w:tcW w:w="508" w:type="pct"/>
            <w:tcBorders>
              <w:left w:val="single" w:sz="4" w:space="0" w:color="auto"/>
              <w:right w:val="single" w:sz="4" w:space="0" w:color="auto"/>
            </w:tcBorders>
            <w:vAlign w:val="center"/>
          </w:tcPr>
          <w:p w14:paraId="18D6EEA0" w14:textId="77777777"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0</w:t>
            </w:r>
          </w:p>
        </w:tc>
        <w:tc>
          <w:tcPr>
            <w:tcW w:w="509" w:type="pct"/>
            <w:tcBorders>
              <w:left w:val="single" w:sz="4" w:space="0" w:color="auto"/>
              <w:right w:val="single" w:sz="4" w:space="0" w:color="auto"/>
            </w:tcBorders>
            <w:vAlign w:val="center"/>
          </w:tcPr>
          <w:p w14:paraId="088D3D28" w14:textId="77777777"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0</w:t>
            </w:r>
          </w:p>
        </w:tc>
        <w:tc>
          <w:tcPr>
            <w:tcW w:w="527" w:type="pct"/>
            <w:tcBorders>
              <w:left w:val="single" w:sz="4" w:space="0" w:color="auto"/>
              <w:right w:val="single" w:sz="4" w:space="0" w:color="auto"/>
            </w:tcBorders>
            <w:vAlign w:val="center"/>
          </w:tcPr>
          <w:p w14:paraId="2D6FD085" w14:textId="77777777"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0</w:t>
            </w:r>
          </w:p>
        </w:tc>
      </w:tr>
      <w:tr w:rsidR="00C82E56" w:rsidRPr="00164952" w14:paraId="4827A218" w14:textId="77777777" w:rsidTr="00164952">
        <w:trPr>
          <w:trHeight w:val="255"/>
        </w:trPr>
        <w:tc>
          <w:tcPr>
            <w:tcW w:w="1931" w:type="pct"/>
            <w:tcBorders>
              <w:left w:val="single" w:sz="4" w:space="0" w:color="auto"/>
              <w:right w:val="single" w:sz="4" w:space="0" w:color="auto"/>
            </w:tcBorders>
          </w:tcPr>
          <w:p w14:paraId="395412C1" w14:textId="1C9E7B4F" w:rsidR="00C82E56" w:rsidRPr="00164952" w:rsidRDefault="00C82E56" w:rsidP="00EA693D">
            <w:pPr>
              <w:pStyle w:val="TableText1"/>
              <w:keepNext/>
              <w:keepLines/>
              <w:spacing w:before="0" w:after="0"/>
              <w:rPr>
                <w:rFonts w:ascii="Arial Narrow" w:eastAsia="Calibri" w:hAnsi="Arial Narrow"/>
              </w:rPr>
            </w:pPr>
            <w:r w:rsidRPr="00164952">
              <w:rPr>
                <w:rFonts w:ascii="Arial Narrow" w:eastAsia="Calibri" w:hAnsi="Arial Narrow"/>
              </w:rPr>
              <w:t>Intervention required to prevent permanent vision loss</w:t>
            </w:r>
            <w:r w:rsidR="00124B4F" w:rsidRPr="00164952">
              <w:rPr>
                <w:rFonts w:ascii="Arial Narrow" w:eastAsia="Calibri" w:hAnsi="Arial Narrow"/>
              </w:rPr>
              <w:t xml:space="preserve"> </w:t>
            </w:r>
            <w:r w:rsidR="00124B4F" w:rsidRPr="00164952">
              <w:rPr>
                <w:rFonts w:ascii="Arial Narrow" w:eastAsia="Calibri" w:hAnsi="Arial Narrow"/>
                <w:vertAlign w:val="superscript"/>
              </w:rPr>
              <w:t>b</w:t>
            </w:r>
          </w:p>
        </w:tc>
        <w:tc>
          <w:tcPr>
            <w:tcW w:w="509" w:type="pct"/>
            <w:tcBorders>
              <w:left w:val="single" w:sz="4" w:space="0" w:color="auto"/>
              <w:right w:val="single" w:sz="4" w:space="0" w:color="auto"/>
            </w:tcBorders>
            <w:vAlign w:val="center"/>
          </w:tcPr>
          <w:p w14:paraId="69603640" w14:textId="77777777"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0</w:t>
            </w:r>
          </w:p>
        </w:tc>
        <w:tc>
          <w:tcPr>
            <w:tcW w:w="508" w:type="pct"/>
            <w:tcBorders>
              <w:left w:val="single" w:sz="4" w:space="0" w:color="auto"/>
              <w:right w:val="single" w:sz="4" w:space="0" w:color="auto"/>
            </w:tcBorders>
            <w:vAlign w:val="center"/>
          </w:tcPr>
          <w:p w14:paraId="2B0E21AC" w14:textId="77777777"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0</w:t>
            </w:r>
          </w:p>
        </w:tc>
        <w:tc>
          <w:tcPr>
            <w:tcW w:w="509" w:type="pct"/>
            <w:tcBorders>
              <w:left w:val="single" w:sz="4" w:space="0" w:color="auto"/>
              <w:right w:val="single" w:sz="4" w:space="0" w:color="auto"/>
            </w:tcBorders>
            <w:vAlign w:val="center"/>
          </w:tcPr>
          <w:p w14:paraId="582E96F4" w14:textId="49570C09"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2/365 (0.5)</w:t>
            </w:r>
          </w:p>
        </w:tc>
        <w:tc>
          <w:tcPr>
            <w:tcW w:w="508" w:type="pct"/>
            <w:tcBorders>
              <w:left w:val="single" w:sz="4" w:space="0" w:color="auto"/>
              <w:right w:val="single" w:sz="4" w:space="0" w:color="auto"/>
            </w:tcBorders>
            <w:vAlign w:val="center"/>
          </w:tcPr>
          <w:p w14:paraId="0E61F5D2" w14:textId="2B759B53"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6/361 (1.7)</w:t>
            </w:r>
          </w:p>
        </w:tc>
        <w:tc>
          <w:tcPr>
            <w:tcW w:w="509" w:type="pct"/>
            <w:tcBorders>
              <w:left w:val="single" w:sz="4" w:space="0" w:color="auto"/>
              <w:right w:val="single" w:sz="4" w:space="0" w:color="auto"/>
            </w:tcBorders>
            <w:vAlign w:val="center"/>
          </w:tcPr>
          <w:p w14:paraId="5F203155" w14:textId="59D481C3"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2/641 (0.3)</w:t>
            </w:r>
          </w:p>
        </w:tc>
        <w:tc>
          <w:tcPr>
            <w:tcW w:w="527" w:type="pct"/>
            <w:tcBorders>
              <w:left w:val="single" w:sz="4" w:space="0" w:color="auto"/>
              <w:right w:val="single" w:sz="4" w:space="0" w:color="auto"/>
            </w:tcBorders>
            <w:vAlign w:val="center"/>
          </w:tcPr>
          <w:p w14:paraId="711184FC" w14:textId="48830209"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6/635 (0.9)</w:t>
            </w:r>
          </w:p>
        </w:tc>
      </w:tr>
      <w:tr w:rsidR="00C82E56" w:rsidRPr="00164952" w14:paraId="7AB56601" w14:textId="77777777" w:rsidTr="00164952">
        <w:trPr>
          <w:trHeight w:val="255"/>
        </w:trPr>
        <w:tc>
          <w:tcPr>
            <w:tcW w:w="1931" w:type="pct"/>
            <w:tcBorders>
              <w:top w:val="single" w:sz="4" w:space="0" w:color="auto"/>
              <w:left w:val="single" w:sz="4" w:space="0" w:color="auto"/>
              <w:right w:val="single" w:sz="4" w:space="0" w:color="auto"/>
            </w:tcBorders>
          </w:tcPr>
          <w:p w14:paraId="1DDD2E50" w14:textId="6A79EDB7" w:rsidR="00C82E56" w:rsidRPr="00164952" w:rsidRDefault="00C82E56" w:rsidP="00EA693D">
            <w:pPr>
              <w:pStyle w:val="TableText1"/>
              <w:keepNext/>
              <w:keepLines/>
              <w:spacing w:before="0" w:after="0"/>
              <w:rPr>
                <w:rFonts w:ascii="Arial Narrow" w:eastAsia="Calibri" w:hAnsi="Arial Narrow"/>
                <w:b/>
              </w:rPr>
            </w:pPr>
            <w:r w:rsidRPr="00164952">
              <w:rPr>
                <w:rFonts w:ascii="Arial Narrow" w:eastAsia="Calibri" w:hAnsi="Arial Narrow"/>
                <w:b/>
              </w:rPr>
              <w:t>Adjudicated APTC events</w:t>
            </w:r>
          </w:p>
        </w:tc>
        <w:tc>
          <w:tcPr>
            <w:tcW w:w="509" w:type="pct"/>
            <w:tcBorders>
              <w:top w:val="single" w:sz="4" w:space="0" w:color="auto"/>
              <w:left w:val="single" w:sz="4" w:space="0" w:color="auto"/>
              <w:right w:val="single" w:sz="4" w:space="0" w:color="auto"/>
            </w:tcBorders>
            <w:vAlign w:val="center"/>
          </w:tcPr>
          <w:p w14:paraId="494663C4" w14:textId="64F1F832" w:rsidR="00C82E56" w:rsidRPr="00164952" w:rsidRDefault="00C82E56" w:rsidP="00EA693D">
            <w:pPr>
              <w:pStyle w:val="TableText1"/>
              <w:keepNext/>
              <w:keepLines/>
              <w:spacing w:before="0" w:after="0"/>
              <w:jc w:val="center"/>
              <w:rPr>
                <w:rFonts w:ascii="Arial Narrow" w:eastAsia="Calibri" w:hAnsi="Arial Narrow"/>
                <w:b/>
              </w:rPr>
            </w:pPr>
            <w:r w:rsidRPr="00164952">
              <w:rPr>
                <w:rFonts w:ascii="Arial Narrow" w:eastAsia="Calibri" w:hAnsi="Arial Narrow"/>
                <w:b/>
              </w:rPr>
              <w:t>3/276 (1.1)</w:t>
            </w:r>
          </w:p>
        </w:tc>
        <w:tc>
          <w:tcPr>
            <w:tcW w:w="508" w:type="pct"/>
            <w:tcBorders>
              <w:top w:val="single" w:sz="4" w:space="0" w:color="auto"/>
              <w:left w:val="single" w:sz="4" w:space="0" w:color="auto"/>
              <w:right w:val="single" w:sz="4" w:space="0" w:color="auto"/>
            </w:tcBorders>
            <w:vAlign w:val="center"/>
          </w:tcPr>
          <w:p w14:paraId="2C6E3297" w14:textId="31CB89B4" w:rsidR="00C82E56" w:rsidRPr="00164952" w:rsidRDefault="00C82E56" w:rsidP="00EA693D">
            <w:pPr>
              <w:pStyle w:val="TableText1"/>
              <w:keepNext/>
              <w:keepLines/>
              <w:spacing w:before="0" w:after="0"/>
              <w:jc w:val="center"/>
              <w:rPr>
                <w:rFonts w:ascii="Arial Narrow" w:eastAsia="Calibri" w:hAnsi="Arial Narrow"/>
                <w:b/>
              </w:rPr>
            </w:pPr>
            <w:r w:rsidRPr="00164952">
              <w:rPr>
                <w:rFonts w:ascii="Arial Narrow" w:eastAsia="Calibri" w:hAnsi="Arial Narrow"/>
                <w:b/>
              </w:rPr>
              <w:t>4/274 (1.5)</w:t>
            </w:r>
          </w:p>
        </w:tc>
        <w:tc>
          <w:tcPr>
            <w:tcW w:w="509" w:type="pct"/>
            <w:tcBorders>
              <w:top w:val="single" w:sz="4" w:space="0" w:color="auto"/>
              <w:left w:val="single" w:sz="4" w:space="0" w:color="auto"/>
              <w:right w:val="single" w:sz="4" w:space="0" w:color="auto"/>
            </w:tcBorders>
            <w:vAlign w:val="center"/>
          </w:tcPr>
          <w:p w14:paraId="1A97A346" w14:textId="686E9BAD" w:rsidR="00C82E56" w:rsidRPr="00164952" w:rsidRDefault="00C82E56" w:rsidP="00EA693D">
            <w:pPr>
              <w:pStyle w:val="TableText1"/>
              <w:keepNext/>
              <w:keepLines/>
              <w:spacing w:before="0" w:after="0"/>
              <w:jc w:val="center"/>
              <w:rPr>
                <w:rFonts w:ascii="Arial Narrow" w:eastAsia="Calibri" w:hAnsi="Arial Narrow"/>
                <w:b/>
              </w:rPr>
            </w:pPr>
            <w:r w:rsidRPr="00164952">
              <w:rPr>
                <w:rFonts w:ascii="Arial Narrow" w:eastAsia="Calibri" w:hAnsi="Arial Narrow"/>
                <w:b/>
              </w:rPr>
              <w:t>4/365 (1.1)</w:t>
            </w:r>
          </w:p>
        </w:tc>
        <w:tc>
          <w:tcPr>
            <w:tcW w:w="508" w:type="pct"/>
            <w:tcBorders>
              <w:top w:val="single" w:sz="4" w:space="0" w:color="auto"/>
              <w:left w:val="single" w:sz="4" w:space="0" w:color="auto"/>
              <w:right w:val="single" w:sz="4" w:space="0" w:color="auto"/>
            </w:tcBorders>
            <w:vAlign w:val="center"/>
          </w:tcPr>
          <w:p w14:paraId="465F74CB" w14:textId="76571B27" w:rsidR="00C82E56" w:rsidRPr="00164952" w:rsidRDefault="00C82E56" w:rsidP="00EA693D">
            <w:pPr>
              <w:pStyle w:val="TableText1"/>
              <w:keepNext/>
              <w:keepLines/>
              <w:spacing w:before="0" w:after="0"/>
              <w:jc w:val="center"/>
              <w:rPr>
                <w:rFonts w:ascii="Arial Narrow" w:eastAsia="Calibri" w:hAnsi="Arial Narrow"/>
                <w:b/>
              </w:rPr>
            </w:pPr>
            <w:r w:rsidRPr="00164952">
              <w:rPr>
                <w:rFonts w:ascii="Arial Narrow" w:eastAsia="Calibri" w:hAnsi="Arial Narrow"/>
                <w:b/>
              </w:rPr>
              <w:t>5/361 (1.4)</w:t>
            </w:r>
          </w:p>
        </w:tc>
        <w:tc>
          <w:tcPr>
            <w:tcW w:w="509" w:type="pct"/>
            <w:tcBorders>
              <w:top w:val="single" w:sz="4" w:space="0" w:color="auto"/>
              <w:left w:val="single" w:sz="4" w:space="0" w:color="auto"/>
              <w:right w:val="single" w:sz="4" w:space="0" w:color="auto"/>
            </w:tcBorders>
            <w:vAlign w:val="center"/>
          </w:tcPr>
          <w:p w14:paraId="57106AB5" w14:textId="06B9A92C" w:rsidR="00C82E56" w:rsidRPr="00164952" w:rsidRDefault="00C82E56" w:rsidP="00EA693D">
            <w:pPr>
              <w:pStyle w:val="TableText1"/>
              <w:keepNext/>
              <w:keepLines/>
              <w:spacing w:before="0" w:after="0"/>
              <w:jc w:val="center"/>
              <w:rPr>
                <w:rFonts w:ascii="Arial Narrow" w:eastAsia="Calibri" w:hAnsi="Arial Narrow"/>
                <w:b/>
              </w:rPr>
            </w:pPr>
            <w:r w:rsidRPr="00164952">
              <w:rPr>
                <w:rFonts w:ascii="Arial Narrow" w:eastAsia="Calibri" w:hAnsi="Arial Narrow"/>
                <w:b/>
              </w:rPr>
              <w:t>7/641 (1.1)</w:t>
            </w:r>
          </w:p>
        </w:tc>
        <w:tc>
          <w:tcPr>
            <w:tcW w:w="527" w:type="pct"/>
            <w:tcBorders>
              <w:top w:val="single" w:sz="4" w:space="0" w:color="auto"/>
              <w:left w:val="single" w:sz="4" w:space="0" w:color="auto"/>
              <w:right w:val="single" w:sz="4" w:space="0" w:color="auto"/>
            </w:tcBorders>
            <w:vAlign w:val="center"/>
          </w:tcPr>
          <w:p w14:paraId="2BDA8F3A" w14:textId="1B9BB628" w:rsidR="00C82E56" w:rsidRPr="00164952" w:rsidRDefault="00C82E56" w:rsidP="00EA693D">
            <w:pPr>
              <w:pStyle w:val="TableText1"/>
              <w:keepNext/>
              <w:keepLines/>
              <w:spacing w:before="0" w:after="0"/>
              <w:jc w:val="center"/>
              <w:rPr>
                <w:rFonts w:ascii="Arial Narrow" w:eastAsia="Calibri" w:hAnsi="Arial Narrow"/>
                <w:b/>
              </w:rPr>
            </w:pPr>
            <w:r w:rsidRPr="00164952">
              <w:rPr>
                <w:rFonts w:ascii="Arial Narrow" w:eastAsia="Calibri" w:hAnsi="Arial Narrow"/>
                <w:b/>
              </w:rPr>
              <w:t>9/635 (1.4)</w:t>
            </w:r>
          </w:p>
        </w:tc>
      </w:tr>
      <w:tr w:rsidR="00C82E56" w:rsidRPr="00164952" w14:paraId="58BEF29B" w14:textId="77777777" w:rsidTr="00164952">
        <w:trPr>
          <w:trHeight w:val="255"/>
        </w:trPr>
        <w:tc>
          <w:tcPr>
            <w:tcW w:w="1931" w:type="pct"/>
            <w:tcBorders>
              <w:left w:val="single" w:sz="4" w:space="0" w:color="auto"/>
              <w:right w:val="single" w:sz="4" w:space="0" w:color="auto"/>
            </w:tcBorders>
          </w:tcPr>
          <w:p w14:paraId="1C172E93" w14:textId="5A699EB8" w:rsidR="00C82E56" w:rsidRPr="00164952" w:rsidRDefault="00C82E56" w:rsidP="00EA693D">
            <w:pPr>
              <w:pStyle w:val="TableText1"/>
              <w:keepNext/>
              <w:keepLines/>
              <w:spacing w:before="0" w:after="0"/>
              <w:rPr>
                <w:rFonts w:ascii="Arial Narrow" w:eastAsia="Calibri" w:hAnsi="Arial Narrow"/>
              </w:rPr>
            </w:pPr>
            <w:r w:rsidRPr="00164952">
              <w:rPr>
                <w:rFonts w:ascii="Arial Narrow" w:eastAsia="Calibri" w:hAnsi="Arial Narrow"/>
              </w:rPr>
              <w:t>Non-fatal MI</w:t>
            </w:r>
          </w:p>
        </w:tc>
        <w:tc>
          <w:tcPr>
            <w:tcW w:w="509" w:type="pct"/>
            <w:tcBorders>
              <w:left w:val="single" w:sz="4" w:space="0" w:color="auto"/>
              <w:right w:val="single" w:sz="4" w:space="0" w:color="auto"/>
            </w:tcBorders>
            <w:vAlign w:val="center"/>
          </w:tcPr>
          <w:p w14:paraId="40627AC5" w14:textId="3FA7E6B6"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1/276 (0.4)</w:t>
            </w:r>
          </w:p>
        </w:tc>
        <w:tc>
          <w:tcPr>
            <w:tcW w:w="508" w:type="pct"/>
            <w:tcBorders>
              <w:left w:val="single" w:sz="4" w:space="0" w:color="auto"/>
              <w:right w:val="single" w:sz="4" w:space="0" w:color="auto"/>
            </w:tcBorders>
            <w:vAlign w:val="center"/>
          </w:tcPr>
          <w:p w14:paraId="1D0CA857" w14:textId="274AA737"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2/274 (0.7)</w:t>
            </w:r>
          </w:p>
        </w:tc>
        <w:tc>
          <w:tcPr>
            <w:tcW w:w="509" w:type="pct"/>
            <w:tcBorders>
              <w:left w:val="single" w:sz="4" w:space="0" w:color="auto"/>
              <w:right w:val="single" w:sz="4" w:space="0" w:color="auto"/>
            </w:tcBorders>
            <w:vAlign w:val="center"/>
          </w:tcPr>
          <w:p w14:paraId="09A2E41B" w14:textId="75FDAD50"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1/365 (0.3)</w:t>
            </w:r>
          </w:p>
        </w:tc>
        <w:tc>
          <w:tcPr>
            <w:tcW w:w="508" w:type="pct"/>
            <w:tcBorders>
              <w:left w:val="single" w:sz="4" w:space="0" w:color="auto"/>
              <w:right w:val="single" w:sz="4" w:space="0" w:color="auto"/>
            </w:tcBorders>
            <w:vAlign w:val="center"/>
          </w:tcPr>
          <w:p w14:paraId="491592C2" w14:textId="1FEEC914"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2/361 (0.6)</w:t>
            </w:r>
          </w:p>
        </w:tc>
        <w:tc>
          <w:tcPr>
            <w:tcW w:w="509" w:type="pct"/>
            <w:tcBorders>
              <w:left w:val="single" w:sz="4" w:space="0" w:color="auto"/>
              <w:right w:val="single" w:sz="4" w:space="0" w:color="auto"/>
            </w:tcBorders>
            <w:vAlign w:val="center"/>
          </w:tcPr>
          <w:p w14:paraId="5BAC0A18" w14:textId="26A4D737"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2/641 (0.3)</w:t>
            </w:r>
          </w:p>
        </w:tc>
        <w:tc>
          <w:tcPr>
            <w:tcW w:w="527" w:type="pct"/>
            <w:tcBorders>
              <w:left w:val="single" w:sz="4" w:space="0" w:color="auto"/>
              <w:right w:val="single" w:sz="4" w:space="0" w:color="auto"/>
            </w:tcBorders>
            <w:vAlign w:val="center"/>
          </w:tcPr>
          <w:p w14:paraId="720C30F4" w14:textId="1CE10F62"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4/635 (0.6)</w:t>
            </w:r>
          </w:p>
        </w:tc>
      </w:tr>
      <w:tr w:rsidR="00C82E56" w:rsidRPr="00164952" w14:paraId="1015B9FB" w14:textId="77777777" w:rsidTr="00164952">
        <w:trPr>
          <w:trHeight w:val="255"/>
        </w:trPr>
        <w:tc>
          <w:tcPr>
            <w:tcW w:w="1931" w:type="pct"/>
            <w:tcBorders>
              <w:left w:val="single" w:sz="4" w:space="0" w:color="auto"/>
              <w:right w:val="single" w:sz="4" w:space="0" w:color="auto"/>
            </w:tcBorders>
          </w:tcPr>
          <w:p w14:paraId="306E08CA" w14:textId="518A8D89" w:rsidR="00C82E56" w:rsidRPr="00164952" w:rsidRDefault="00C82E56" w:rsidP="00EA693D">
            <w:pPr>
              <w:pStyle w:val="TableText1"/>
              <w:keepNext/>
              <w:keepLines/>
              <w:spacing w:before="0" w:after="0"/>
              <w:rPr>
                <w:rFonts w:ascii="Arial Narrow" w:eastAsia="Calibri" w:hAnsi="Arial Narrow"/>
              </w:rPr>
            </w:pPr>
            <w:r w:rsidRPr="00164952">
              <w:rPr>
                <w:rFonts w:ascii="Arial Narrow" w:eastAsia="Calibri" w:hAnsi="Arial Narrow"/>
              </w:rPr>
              <w:t>Non-fatal stroke</w:t>
            </w:r>
          </w:p>
        </w:tc>
        <w:tc>
          <w:tcPr>
            <w:tcW w:w="509" w:type="pct"/>
            <w:tcBorders>
              <w:left w:val="single" w:sz="4" w:space="0" w:color="auto"/>
              <w:right w:val="single" w:sz="4" w:space="0" w:color="auto"/>
            </w:tcBorders>
            <w:vAlign w:val="center"/>
          </w:tcPr>
          <w:p w14:paraId="0853F71E" w14:textId="0117D123"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2/276 (0.7)</w:t>
            </w:r>
          </w:p>
        </w:tc>
        <w:tc>
          <w:tcPr>
            <w:tcW w:w="508" w:type="pct"/>
            <w:tcBorders>
              <w:left w:val="single" w:sz="4" w:space="0" w:color="auto"/>
              <w:right w:val="single" w:sz="4" w:space="0" w:color="auto"/>
            </w:tcBorders>
            <w:vAlign w:val="center"/>
          </w:tcPr>
          <w:p w14:paraId="183BE330" w14:textId="09BED77A"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2/274 (0.7)</w:t>
            </w:r>
          </w:p>
        </w:tc>
        <w:tc>
          <w:tcPr>
            <w:tcW w:w="509" w:type="pct"/>
            <w:tcBorders>
              <w:left w:val="single" w:sz="4" w:space="0" w:color="auto"/>
              <w:right w:val="single" w:sz="4" w:space="0" w:color="auto"/>
            </w:tcBorders>
            <w:vAlign w:val="center"/>
          </w:tcPr>
          <w:p w14:paraId="4C875F22" w14:textId="795D19CB"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3/365 (0.8)</w:t>
            </w:r>
          </w:p>
        </w:tc>
        <w:tc>
          <w:tcPr>
            <w:tcW w:w="508" w:type="pct"/>
            <w:tcBorders>
              <w:left w:val="single" w:sz="4" w:space="0" w:color="auto"/>
              <w:right w:val="single" w:sz="4" w:space="0" w:color="auto"/>
            </w:tcBorders>
            <w:vAlign w:val="center"/>
          </w:tcPr>
          <w:p w14:paraId="00598C1F" w14:textId="03B3681D"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2/361 (0.6)</w:t>
            </w:r>
          </w:p>
        </w:tc>
        <w:tc>
          <w:tcPr>
            <w:tcW w:w="509" w:type="pct"/>
            <w:tcBorders>
              <w:left w:val="single" w:sz="4" w:space="0" w:color="auto"/>
              <w:right w:val="single" w:sz="4" w:space="0" w:color="auto"/>
            </w:tcBorders>
            <w:vAlign w:val="center"/>
          </w:tcPr>
          <w:p w14:paraId="066142E7" w14:textId="14ADD6DC"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5/641 (0.8)</w:t>
            </w:r>
          </w:p>
        </w:tc>
        <w:tc>
          <w:tcPr>
            <w:tcW w:w="527" w:type="pct"/>
            <w:tcBorders>
              <w:left w:val="single" w:sz="4" w:space="0" w:color="auto"/>
              <w:right w:val="single" w:sz="4" w:space="0" w:color="auto"/>
            </w:tcBorders>
            <w:vAlign w:val="center"/>
          </w:tcPr>
          <w:p w14:paraId="5C504FE4" w14:textId="6C1883D8"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4/635 (0.6)</w:t>
            </w:r>
          </w:p>
        </w:tc>
      </w:tr>
      <w:tr w:rsidR="00C82E56" w:rsidRPr="00164952" w14:paraId="15A3D345" w14:textId="77777777" w:rsidTr="00164952">
        <w:trPr>
          <w:trHeight w:val="255"/>
        </w:trPr>
        <w:tc>
          <w:tcPr>
            <w:tcW w:w="1931" w:type="pct"/>
            <w:tcBorders>
              <w:left w:val="single" w:sz="4" w:space="0" w:color="auto"/>
              <w:bottom w:val="single" w:sz="4" w:space="0" w:color="auto"/>
              <w:right w:val="single" w:sz="4" w:space="0" w:color="auto"/>
            </w:tcBorders>
          </w:tcPr>
          <w:p w14:paraId="2C8C7ED8" w14:textId="4673CCD3" w:rsidR="00C82E56" w:rsidRPr="00164952" w:rsidRDefault="00C82E56" w:rsidP="00EA693D">
            <w:pPr>
              <w:pStyle w:val="TableText1"/>
              <w:keepNext/>
              <w:keepLines/>
              <w:spacing w:before="0" w:after="0"/>
              <w:rPr>
                <w:rFonts w:ascii="Arial Narrow" w:eastAsia="Calibri" w:hAnsi="Arial Narrow"/>
              </w:rPr>
            </w:pPr>
            <w:r w:rsidRPr="00164952">
              <w:rPr>
                <w:rFonts w:ascii="Arial Narrow" w:eastAsia="Calibri" w:hAnsi="Arial Narrow"/>
              </w:rPr>
              <w:t>Death</w:t>
            </w:r>
          </w:p>
        </w:tc>
        <w:tc>
          <w:tcPr>
            <w:tcW w:w="509" w:type="pct"/>
            <w:tcBorders>
              <w:left w:val="single" w:sz="4" w:space="0" w:color="auto"/>
              <w:bottom w:val="single" w:sz="4" w:space="0" w:color="auto"/>
              <w:right w:val="single" w:sz="4" w:space="0" w:color="auto"/>
            </w:tcBorders>
            <w:vAlign w:val="center"/>
          </w:tcPr>
          <w:p w14:paraId="24EAE1D6" w14:textId="77777777"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0</w:t>
            </w:r>
          </w:p>
        </w:tc>
        <w:tc>
          <w:tcPr>
            <w:tcW w:w="508" w:type="pct"/>
            <w:tcBorders>
              <w:left w:val="single" w:sz="4" w:space="0" w:color="auto"/>
              <w:bottom w:val="single" w:sz="4" w:space="0" w:color="auto"/>
              <w:right w:val="single" w:sz="4" w:space="0" w:color="auto"/>
            </w:tcBorders>
            <w:vAlign w:val="center"/>
          </w:tcPr>
          <w:p w14:paraId="61E69F83" w14:textId="77777777"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0</w:t>
            </w:r>
          </w:p>
        </w:tc>
        <w:tc>
          <w:tcPr>
            <w:tcW w:w="509" w:type="pct"/>
            <w:tcBorders>
              <w:left w:val="single" w:sz="4" w:space="0" w:color="auto"/>
              <w:bottom w:val="single" w:sz="4" w:space="0" w:color="auto"/>
              <w:right w:val="single" w:sz="4" w:space="0" w:color="auto"/>
            </w:tcBorders>
            <w:vAlign w:val="center"/>
          </w:tcPr>
          <w:p w14:paraId="67825D72" w14:textId="77777777"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0</w:t>
            </w:r>
          </w:p>
        </w:tc>
        <w:tc>
          <w:tcPr>
            <w:tcW w:w="508" w:type="pct"/>
            <w:tcBorders>
              <w:left w:val="single" w:sz="4" w:space="0" w:color="auto"/>
              <w:bottom w:val="single" w:sz="4" w:space="0" w:color="auto"/>
              <w:right w:val="single" w:sz="4" w:space="0" w:color="auto"/>
            </w:tcBorders>
            <w:vAlign w:val="center"/>
          </w:tcPr>
          <w:p w14:paraId="0F47DE18" w14:textId="0386F214"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1/361 (0.3)</w:t>
            </w:r>
          </w:p>
        </w:tc>
        <w:tc>
          <w:tcPr>
            <w:tcW w:w="509" w:type="pct"/>
            <w:tcBorders>
              <w:left w:val="single" w:sz="4" w:space="0" w:color="auto"/>
              <w:bottom w:val="single" w:sz="4" w:space="0" w:color="auto"/>
              <w:right w:val="single" w:sz="4" w:space="0" w:color="auto"/>
            </w:tcBorders>
            <w:vAlign w:val="center"/>
          </w:tcPr>
          <w:p w14:paraId="532005FA" w14:textId="77777777"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0</w:t>
            </w:r>
          </w:p>
        </w:tc>
        <w:tc>
          <w:tcPr>
            <w:tcW w:w="527" w:type="pct"/>
            <w:tcBorders>
              <w:left w:val="single" w:sz="4" w:space="0" w:color="auto"/>
              <w:bottom w:val="single" w:sz="4" w:space="0" w:color="auto"/>
              <w:right w:val="single" w:sz="4" w:space="0" w:color="auto"/>
            </w:tcBorders>
            <w:vAlign w:val="center"/>
          </w:tcPr>
          <w:p w14:paraId="0E9217B2" w14:textId="6B019F70" w:rsidR="00C82E56" w:rsidRPr="00164952" w:rsidRDefault="00C82E56" w:rsidP="00EA693D">
            <w:pPr>
              <w:pStyle w:val="TableText1"/>
              <w:keepNext/>
              <w:keepLines/>
              <w:spacing w:before="0" w:after="0"/>
              <w:jc w:val="center"/>
              <w:rPr>
                <w:rFonts w:ascii="Arial Narrow" w:eastAsia="Calibri" w:hAnsi="Arial Narrow"/>
              </w:rPr>
            </w:pPr>
            <w:r w:rsidRPr="00164952">
              <w:rPr>
                <w:rFonts w:ascii="Arial Narrow" w:eastAsia="Calibri" w:hAnsi="Arial Narrow"/>
              </w:rPr>
              <w:t>1/635 (0.2)</w:t>
            </w:r>
          </w:p>
        </w:tc>
      </w:tr>
    </w:tbl>
    <w:p w14:paraId="48ECBC1B" w14:textId="5E2A0113" w:rsidR="00C82E56" w:rsidRPr="00DA3B5D" w:rsidRDefault="00C82E56" w:rsidP="00EA693D">
      <w:pPr>
        <w:pStyle w:val="SourceNotes"/>
        <w:keepNext/>
        <w:keepLines/>
        <w:rPr>
          <w:rFonts w:ascii="Arial Narrow" w:hAnsi="Arial Narrow"/>
        </w:rPr>
      </w:pPr>
      <w:r w:rsidRPr="00DA3B5D">
        <w:rPr>
          <w:rFonts w:ascii="Arial Narrow" w:hAnsi="Arial Narrow"/>
        </w:rPr>
        <w:t>Source: Table 2.27, p93, Table 2.30, p107 of the submission.</w:t>
      </w:r>
    </w:p>
    <w:p w14:paraId="3CF940EF" w14:textId="18B95E93" w:rsidR="00C82E56" w:rsidRPr="00DA3B5D" w:rsidRDefault="00C82E56" w:rsidP="00EA693D">
      <w:pPr>
        <w:pStyle w:val="SourceNotes"/>
        <w:keepNext/>
        <w:keepLines/>
        <w:tabs>
          <w:tab w:val="clear" w:pos="1100"/>
          <w:tab w:val="left" w:pos="426"/>
        </w:tabs>
        <w:ind w:left="0" w:firstLine="0"/>
        <w:rPr>
          <w:rFonts w:ascii="Arial Narrow" w:hAnsi="Arial Narrow"/>
        </w:rPr>
      </w:pPr>
      <w:r w:rsidRPr="00DA3B5D">
        <w:rPr>
          <w:rFonts w:ascii="Arial Narrow" w:hAnsi="Arial Narrow"/>
        </w:rPr>
        <w:t>AE</w:t>
      </w:r>
      <w:r>
        <w:rPr>
          <w:rFonts w:ascii="Arial Narrow" w:hAnsi="Arial Narrow"/>
        </w:rPr>
        <w:t xml:space="preserve"> </w:t>
      </w:r>
      <w:r w:rsidRPr="00DA3B5D">
        <w:rPr>
          <w:rFonts w:ascii="Arial Narrow" w:hAnsi="Arial Narrow"/>
        </w:rPr>
        <w:t>=</w:t>
      </w:r>
      <w:r>
        <w:rPr>
          <w:rFonts w:ascii="Arial Narrow" w:hAnsi="Arial Narrow"/>
        </w:rPr>
        <w:t xml:space="preserve"> </w:t>
      </w:r>
      <w:r w:rsidRPr="00DA3B5D">
        <w:rPr>
          <w:rFonts w:ascii="Arial Narrow" w:hAnsi="Arial Narrow"/>
        </w:rPr>
        <w:t>adverse event; AESI</w:t>
      </w:r>
      <w:r>
        <w:rPr>
          <w:rFonts w:ascii="Arial Narrow" w:hAnsi="Arial Narrow"/>
        </w:rPr>
        <w:t xml:space="preserve"> </w:t>
      </w:r>
      <w:r w:rsidRPr="00DA3B5D">
        <w:rPr>
          <w:rFonts w:ascii="Arial Narrow" w:hAnsi="Arial Narrow"/>
        </w:rPr>
        <w:t>=</w:t>
      </w:r>
      <w:r>
        <w:rPr>
          <w:rFonts w:ascii="Arial Narrow" w:hAnsi="Arial Narrow"/>
        </w:rPr>
        <w:t xml:space="preserve"> </w:t>
      </w:r>
      <w:r w:rsidRPr="00DA3B5D">
        <w:rPr>
          <w:rFonts w:ascii="Arial Narrow" w:hAnsi="Arial Narrow"/>
        </w:rPr>
        <w:t xml:space="preserve">adverse event of special interest; </w:t>
      </w:r>
      <w:r w:rsidRPr="009F0FE8">
        <w:rPr>
          <w:rFonts w:ascii="Arial Narrow" w:hAnsi="Arial Narrow"/>
        </w:rPr>
        <w:t>APTC = Antiplatelet Trialists' Collaboration</w:t>
      </w:r>
      <w:r>
        <w:rPr>
          <w:rFonts w:ascii="Arial Narrow" w:hAnsi="Arial Narrow"/>
        </w:rPr>
        <w:t xml:space="preserve">; </w:t>
      </w:r>
      <w:r w:rsidRPr="00DA3B5D">
        <w:rPr>
          <w:rFonts w:ascii="Arial Narrow" w:hAnsi="Arial Narrow"/>
        </w:rPr>
        <w:t>IOI</w:t>
      </w:r>
      <w:r>
        <w:rPr>
          <w:rFonts w:ascii="Arial Narrow" w:hAnsi="Arial Narrow"/>
        </w:rPr>
        <w:t xml:space="preserve"> </w:t>
      </w:r>
      <w:r w:rsidRPr="00DA3B5D">
        <w:rPr>
          <w:rFonts w:ascii="Arial Narrow" w:hAnsi="Arial Narrow"/>
        </w:rPr>
        <w:t>=</w:t>
      </w:r>
      <w:r>
        <w:rPr>
          <w:rFonts w:ascii="Arial Narrow" w:hAnsi="Arial Narrow"/>
        </w:rPr>
        <w:t xml:space="preserve"> </w:t>
      </w:r>
      <w:r w:rsidRPr="00DA3B5D">
        <w:rPr>
          <w:rFonts w:ascii="Arial Narrow" w:hAnsi="Arial Narrow"/>
        </w:rPr>
        <w:t xml:space="preserve">intraocular inflammation; </w:t>
      </w:r>
      <w:r>
        <w:rPr>
          <w:rFonts w:ascii="Arial Narrow" w:hAnsi="Arial Narrow"/>
        </w:rPr>
        <w:t xml:space="preserve">MI = myocardial infarction; </w:t>
      </w:r>
      <w:r w:rsidRPr="00DA3B5D">
        <w:rPr>
          <w:rFonts w:ascii="Arial Narrow" w:hAnsi="Arial Narrow"/>
        </w:rPr>
        <w:t>Q4W</w:t>
      </w:r>
      <w:r>
        <w:rPr>
          <w:rFonts w:ascii="Arial Narrow" w:hAnsi="Arial Narrow"/>
        </w:rPr>
        <w:t xml:space="preserve"> </w:t>
      </w:r>
      <w:r w:rsidRPr="00DA3B5D">
        <w:rPr>
          <w:rFonts w:ascii="Arial Narrow" w:hAnsi="Arial Narrow"/>
        </w:rPr>
        <w:t>=</w:t>
      </w:r>
      <w:r>
        <w:rPr>
          <w:rFonts w:ascii="Arial Narrow" w:hAnsi="Arial Narrow"/>
        </w:rPr>
        <w:t xml:space="preserve"> </w:t>
      </w:r>
      <w:r w:rsidRPr="00DA3B5D">
        <w:rPr>
          <w:rFonts w:ascii="Arial Narrow" w:hAnsi="Arial Narrow"/>
        </w:rPr>
        <w:t>every four weeks; SAE</w:t>
      </w:r>
      <w:r>
        <w:rPr>
          <w:rFonts w:ascii="Arial Narrow" w:hAnsi="Arial Narrow"/>
        </w:rPr>
        <w:t xml:space="preserve"> </w:t>
      </w:r>
      <w:r w:rsidRPr="00DA3B5D">
        <w:rPr>
          <w:rFonts w:ascii="Arial Narrow" w:hAnsi="Arial Narrow"/>
        </w:rPr>
        <w:t>=</w:t>
      </w:r>
      <w:r>
        <w:rPr>
          <w:rFonts w:ascii="Arial Narrow" w:hAnsi="Arial Narrow"/>
        </w:rPr>
        <w:t xml:space="preserve"> </w:t>
      </w:r>
      <w:r w:rsidRPr="00DA3B5D">
        <w:rPr>
          <w:rFonts w:ascii="Arial Narrow" w:hAnsi="Arial Narrow"/>
        </w:rPr>
        <w:t xml:space="preserve">serious adverse event; </w:t>
      </w:r>
      <w:r w:rsidR="00124B4F">
        <w:rPr>
          <w:rFonts w:ascii="Arial Narrow" w:hAnsi="Arial Narrow"/>
        </w:rPr>
        <w:t xml:space="preserve">SAF = safety analysis set; </w:t>
      </w:r>
      <w:r w:rsidRPr="00DA3B5D">
        <w:rPr>
          <w:rFonts w:ascii="Arial Narrow" w:hAnsi="Arial Narrow"/>
        </w:rPr>
        <w:t>VA</w:t>
      </w:r>
      <w:r>
        <w:rPr>
          <w:rFonts w:ascii="Arial Narrow" w:hAnsi="Arial Narrow"/>
        </w:rPr>
        <w:t xml:space="preserve"> </w:t>
      </w:r>
      <w:r w:rsidRPr="00DA3B5D">
        <w:rPr>
          <w:rFonts w:ascii="Arial Narrow" w:hAnsi="Arial Narrow"/>
        </w:rPr>
        <w:t>=</w:t>
      </w:r>
      <w:r>
        <w:rPr>
          <w:rFonts w:ascii="Arial Narrow" w:hAnsi="Arial Narrow"/>
        </w:rPr>
        <w:t xml:space="preserve"> </w:t>
      </w:r>
      <w:r w:rsidRPr="00DA3B5D">
        <w:rPr>
          <w:rFonts w:ascii="Arial Narrow" w:hAnsi="Arial Narrow"/>
        </w:rPr>
        <w:t>visual acuity.</w:t>
      </w:r>
    </w:p>
    <w:p w14:paraId="413CE498" w14:textId="50B7300C" w:rsidR="00C82E56" w:rsidRPr="00DA3B5D" w:rsidRDefault="00C82E56" w:rsidP="00EA693D">
      <w:pPr>
        <w:pStyle w:val="SourceNotes"/>
        <w:keepNext/>
        <w:keepLines/>
        <w:tabs>
          <w:tab w:val="clear" w:pos="1100"/>
          <w:tab w:val="left" w:pos="426"/>
        </w:tabs>
        <w:ind w:left="0" w:firstLine="0"/>
        <w:rPr>
          <w:rFonts w:ascii="Arial Narrow" w:hAnsi="Arial Narrow"/>
        </w:rPr>
      </w:pPr>
      <w:r w:rsidRPr="00DA3B5D">
        <w:rPr>
          <w:rFonts w:ascii="Arial Narrow" w:eastAsia="Calibri" w:hAnsi="Arial Narrow"/>
          <w:vertAlign w:val="superscript"/>
        </w:rPr>
        <w:t>a</w:t>
      </w:r>
      <w:r w:rsidRPr="00DA3B5D">
        <w:rPr>
          <w:rFonts w:ascii="Arial Narrow" w:hAnsi="Arial Narrow"/>
        </w:rPr>
        <w:t xml:space="preserve"> Drop in VA score </w:t>
      </w:r>
      <w:r w:rsidRPr="00DA3B5D">
        <w:rPr>
          <w:rFonts w:ascii="Arial Narrow" w:hAnsi="Arial Narrow" w:cs="Calibri"/>
        </w:rPr>
        <w:t>≥</w:t>
      </w:r>
      <w:r>
        <w:rPr>
          <w:rFonts w:ascii="Arial Narrow" w:hAnsi="Arial Narrow" w:cs="Calibri"/>
        </w:rPr>
        <w:t xml:space="preserve"> </w:t>
      </w:r>
      <w:r w:rsidRPr="00DA3B5D">
        <w:rPr>
          <w:rFonts w:ascii="Arial Narrow" w:hAnsi="Arial Narrow"/>
        </w:rPr>
        <w:t>30 VA score lasting more than one hour.</w:t>
      </w:r>
    </w:p>
    <w:p w14:paraId="581A77E7" w14:textId="77777777" w:rsidR="00C82E56" w:rsidRPr="00DA3B5D" w:rsidRDefault="00C82E56" w:rsidP="00EA693D">
      <w:pPr>
        <w:pStyle w:val="SourceNotes"/>
        <w:keepNext/>
        <w:keepLines/>
        <w:tabs>
          <w:tab w:val="clear" w:pos="1100"/>
          <w:tab w:val="left" w:pos="426"/>
        </w:tabs>
        <w:ind w:left="0" w:firstLine="0"/>
        <w:rPr>
          <w:rFonts w:ascii="Arial Narrow" w:hAnsi="Arial Narrow"/>
        </w:rPr>
      </w:pPr>
      <w:r w:rsidRPr="00DA3B5D">
        <w:rPr>
          <w:rFonts w:ascii="Arial Narrow" w:eastAsia="Calibri" w:hAnsi="Arial Narrow"/>
          <w:vertAlign w:val="superscript"/>
        </w:rPr>
        <w:t>b</w:t>
      </w:r>
      <w:r w:rsidRPr="00DA3B5D">
        <w:rPr>
          <w:rFonts w:ascii="Arial Narrow" w:hAnsi="Arial Narrow"/>
        </w:rPr>
        <w:t xml:space="preserve"> Intervention required to prevent permanent vision loss is defined as required surgical or medical intervention to prevent permanent loss of sight. </w:t>
      </w:r>
      <w:r w:rsidRPr="00DA3B5D">
        <w:rPr>
          <w:rFonts w:ascii="Arial Narrow" w:hAnsi="Arial Narrow"/>
        </w:rPr>
        <w:br/>
        <w:t>Multiple occurrences of the same AE in one individual are counted only once.</w:t>
      </w:r>
    </w:p>
    <w:p w14:paraId="10BF5EFD" w14:textId="77777777" w:rsidR="00164952" w:rsidRDefault="00164952" w:rsidP="001C2A71">
      <w:pPr>
        <w:pStyle w:val="4-SubsectionHeading"/>
        <w:jc w:val="both"/>
        <w:sectPr w:rsidR="00164952" w:rsidSect="00107514">
          <w:pgSz w:w="16840" w:h="11907" w:orient="landscape" w:code="9"/>
          <w:pgMar w:top="1440" w:right="1440" w:bottom="1440" w:left="1440" w:header="1440" w:footer="1440" w:gutter="0"/>
          <w:cols w:space="708"/>
          <w:docGrid w:linePitch="360"/>
        </w:sectPr>
      </w:pPr>
      <w:bookmarkStart w:id="34" w:name="_Toc22897643"/>
    </w:p>
    <w:p w14:paraId="04908C7F" w14:textId="5A1FA00B" w:rsidR="007F1017" w:rsidRPr="00C9624D" w:rsidRDefault="007F1017" w:rsidP="001C2A71">
      <w:pPr>
        <w:pStyle w:val="4-SubsectionHeading"/>
        <w:jc w:val="both"/>
      </w:pPr>
      <w:bookmarkStart w:id="35" w:name="_Toc166768919"/>
      <w:r w:rsidRPr="00C9624D">
        <w:t>Benefits/harms</w:t>
      </w:r>
      <w:bookmarkEnd w:id="34"/>
      <w:bookmarkEnd w:id="35"/>
    </w:p>
    <w:p w14:paraId="3B653B96" w14:textId="0A15F6CA" w:rsidR="00FC1884" w:rsidRPr="003270E4" w:rsidRDefault="00311D9B" w:rsidP="001C2A71">
      <w:pPr>
        <w:pStyle w:val="3-BodyText"/>
      </w:pPr>
      <w:r w:rsidRPr="0033727A">
        <w:rPr>
          <w:snapToGrid/>
          <w:lang w:val="en-US"/>
        </w:rPr>
        <w:t xml:space="preserve">A benefits and harms table </w:t>
      </w:r>
      <w:r w:rsidR="0022366F">
        <w:rPr>
          <w:snapToGrid/>
          <w:lang w:val="en-US"/>
        </w:rPr>
        <w:t>wa</w:t>
      </w:r>
      <w:r w:rsidRPr="0033727A">
        <w:rPr>
          <w:snapToGrid/>
          <w:lang w:val="en-US"/>
        </w:rPr>
        <w:t>s not presented as the submission made a claim of non-inferiority.</w:t>
      </w:r>
    </w:p>
    <w:p w14:paraId="7A1772B6" w14:textId="1E2766DD" w:rsidR="00B60939" w:rsidRPr="00C9624D" w:rsidRDefault="00B60939" w:rsidP="001C2A71">
      <w:pPr>
        <w:pStyle w:val="4-SubsectionHeading"/>
        <w:jc w:val="both"/>
      </w:pPr>
      <w:bookmarkStart w:id="36" w:name="_Toc22897644"/>
      <w:bookmarkStart w:id="37" w:name="_Toc166768920"/>
      <w:r w:rsidRPr="00C9624D">
        <w:t>Clinical claim</w:t>
      </w:r>
      <w:bookmarkEnd w:id="36"/>
      <w:bookmarkEnd w:id="37"/>
    </w:p>
    <w:p w14:paraId="5B6DB99E" w14:textId="1E0A5D1B" w:rsidR="007133A8" w:rsidRPr="001476FA" w:rsidRDefault="00DF6B21" w:rsidP="001C2A71">
      <w:pPr>
        <w:pStyle w:val="3-BodyText"/>
        <w:rPr>
          <w:rFonts w:eastAsia="Calibri"/>
        </w:rPr>
      </w:pPr>
      <w:r w:rsidRPr="00221A1A">
        <w:rPr>
          <w:rFonts w:eastAsia="Calibri"/>
        </w:rPr>
        <w:t xml:space="preserve">The submission described faricimab as non-inferior in terms of effectiveness </w:t>
      </w:r>
      <w:r w:rsidR="00804222">
        <w:rPr>
          <w:rFonts w:eastAsia="Calibri"/>
        </w:rPr>
        <w:t xml:space="preserve">and safety </w:t>
      </w:r>
      <w:r w:rsidRPr="00221A1A">
        <w:rPr>
          <w:rFonts w:eastAsia="Calibri"/>
        </w:rPr>
        <w:t xml:space="preserve">compared with aflibercept. </w:t>
      </w:r>
      <w:r w:rsidR="007133A8" w:rsidRPr="00AC5A15">
        <w:rPr>
          <w:rFonts w:eastAsia="Calibri"/>
        </w:rPr>
        <w:t>While</w:t>
      </w:r>
      <w:r w:rsidR="00A6098C">
        <w:rPr>
          <w:rFonts w:eastAsia="Calibri"/>
        </w:rPr>
        <w:t xml:space="preserve"> the evaluation</w:t>
      </w:r>
      <w:r w:rsidR="00AF44DD">
        <w:rPr>
          <w:rFonts w:eastAsia="Calibri"/>
        </w:rPr>
        <w:t xml:space="preserve"> and ESC</w:t>
      </w:r>
      <w:r w:rsidR="00A6098C">
        <w:rPr>
          <w:rFonts w:eastAsia="Calibri"/>
        </w:rPr>
        <w:t xml:space="preserve"> considered that</w:t>
      </w:r>
      <w:r w:rsidR="007133A8" w:rsidRPr="00AC5A15">
        <w:rPr>
          <w:rFonts w:eastAsia="Calibri"/>
        </w:rPr>
        <w:t xml:space="preserve"> t</w:t>
      </w:r>
      <w:r w:rsidR="005F7588" w:rsidRPr="00AC5A15">
        <w:rPr>
          <w:rFonts w:eastAsia="Calibri"/>
        </w:rPr>
        <w:t xml:space="preserve">his claim </w:t>
      </w:r>
      <w:r w:rsidR="007133A8" w:rsidRPr="00AC5A15">
        <w:rPr>
          <w:rFonts w:eastAsia="Calibri"/>
        </w:rPr>
        <w:t xml:space="preserve">may be </w:t>
      </w:r>
      <w:r w:rsidR="005F7588" w:rsidRPr="00AC5A15">
        <w:rPr>
          <w:rFonts w:eastAsia="Calibri"/>
        </w:rPr>
        <w:t>adequately supported</w:t>
      </w:r>
      <w:r w:rsidR="007C70FF" w:rsidRPr="00AC5A15">
        <w:rPr>
          <w:rFonts w:eastAsia="Calibri"/>
        </w:rPr>
        <w:t xml:space="preserve"> </w:t>
      </w:r>
      <w:r w:rsidR="008B4063" w:rsidRPr="00AC5A15">
        <w:rPr>
          <w:rFonts w:eastAsia="Calibri"/>
        </w:rPr>
        <w:t>by the evidence presented in the submission</w:t>
      </w:r>
      <w:r w:rsidR="00312B1E" w:rsidRPr="00AC5A15">
        <w:rPr>
          <w:rFonts w:eastAsia="Calibri"/>
        </w:rPr>
        <w:t xml:space="preserve">, </w:t>
      </w:r>
      <w:r w:rsidR="00AF44DD">
        <w:rPr>
          <w:rFonts w:eastAsia="Calibri"/>
        </w:rPr>
        <w:t xml:space="preserve">they </w:t>
      </w:r>
      <w:r w:rsidR="00312B1E" w:rsidRPr="00AC5A15">
        <w:rPr>
          <w:rFonts w:eastAsia="Calibri"/>
        </w:rPr>
        <w:t>not</w:t>
      </w:r>
      <w:r w:rsidR="00C45270">
        <w:rPr>
          <w:rFonts w:eastAsia="Calibri"/>
        </w:rPr>
        <w:t>ed</w:t>
      </w:r>
      <w:r w:rsidR="00312B1E" w:rsidRPr="00AC5A15">
        <w:rPr>
          <w:rFonts w:eastAsia="Calibri"/>
        </w:rPr>
        <w:t xml:space="preserve"> the lack of comparative data beyond Week 24 in the T&amp;E maintenance phase</w:t>
      </w:r>
      <w:r w:rsidR="00804222">
        <w:rPr>
          <w:rFonts w:eastAsia="Calibri"/>
        </w:rPr>
        <w:t>.</w:t>
      </w:r>
      <w:r w:rsidR="00312B1E" w:rsidRPr="00AC5A15">
        <w:rPr>
          <w:rFonts w:eastAsia="Calibri"/>
        </w:rPr>
        <w:t xml:space="preserve"> </w:t>
      </w:r>
    </w:p>
    <w:p w14:paraId="40F3843D" w14:textId="52C5D485" w:rsidR="00312B1E" w:rsidRPr="00AC5A15" w:rsidRDefault="00DF57C4" w:rsidP="00DF57C4">
      <w:pPr>
        <w:pStyle w:val="3-BodyText"/>
        <w:rPr>
          <w:rFonts w:eastAsia="Calibri"/>
        </w:rPr>
      </w:pPr>
      <w:r w:rsidRPr="00AC5A15">
        <w:rPr>
          <w:snapToGrid/>
          <w:lang w:eastAsia="en-GB"/>
        </w:rPr>
        <w:t>Notwithstanding the uncertainty around the lack of comparative data beyond Week</w:t>
      </w:r>
      <w:r w:rsidR="00221A1A" w:rsidRPr="00AC5A15">
        <w:rPr>
          <w:snapToGrid/>
          <w:lang w:eastAsia="en-GB"/>
        </w:rPr>
        <w:t> </w:t>
      </w:r>
      <w:r w:rsidRPr="00AC5A15">
        <w:rPr>
          <w:snapToGrid/>
          <w:lang w:eastAsia="en-GB"/>
        </w:rPr>
        <w:t>24,</w:t>
      </w:r>
      <w:r w:rsidR="00221A1A" w:rsidRPr="00AC5A15">
        <w:t xml:space="preserve"> the</w:t>
      </w:r>
      <w:r w:rsidR="00AF44DD">
        <w:t xml:space="preserve"> evaluation noted that</w:t>
      </w:r>
      <w:r w:rsidR="00221A1A" w:rsidRPr="00AC5A15">
        <w:t xml:space="preserve"> BCVA gains achieved at Week 24 were maintained through Week 72 in both the BALATON and COMINO trials during the period where all patients received faricimab using a T&amp;E approach.</w:t>
      </w:r>
      <w:r w:rsidR="00AF44DD">
        <w:t xml:space="preserve"> </w:t>
      </w:r>
    </w:p>
    <w:p w14:paraId="6FC3DB2E" w14:textId="7B378B03" w:rsidR="006608AC" w:rsidRPr="00873784" w:rsidRDefault="006608AC" w:rsidP="001C2A71">
      <w:pPr>
        <w:pStyle w:val="3-BodyText"/>
        <w:rPr>
          <w:rFonts w:eastAsia="Calibri"/>
          <w:iCs/>
        </w:rPr>
      </w:pPr>
      <w:r w:rsidRPr="00AC5A15">
        <w:rPr>
          <w:iCs/>
        </w:rPr>
        <w:t>Under the proposed restrictions, both treatment-experienced and treatment-naïve patients would be eligible for treatment with faricimab</w:t>
      </w:r>
      <w:r w:rsidR="003A1B3A" w:rsidRPr="00AC5A15">
        <w:rPr>
          <w:iCs/>
        </w:rPr>
        <w:t xml:space="preserve">, in contrast to the </w:t>
      </w:r>
      <w:r w:rsidR="003A1B3A" w:rsidRPr="00AC5A15">
        <w:rPr>
          <w:rFonts w:cs="Calibri"/>
          <w:iCs/>
          <w:color w:val="000000"/>
        </w:rPr>
        <w:t xml:space="preserve">BALATON and COMINO trials which were conducted in treatment-naïve patients only (paragraph </w:t>
      </w:r>
      <w:r w:rsidR="003A1B3A" w:rsidRPr="00AC5A15">
        <w:rPr>
          <w:rFonts w:cs="Calibri"/>
          <w:iCs/>
          <w:color w:val="000000"/>
        </w:rPr>
        <w:fldChar w:fldCharType="begin" w:fldLock="1"/>
      </w:r>
      <w:r w:rsidR="003A1B3A" w:rsidRPr="00AC5A15">
        <w:rPr>
          <w:rFonts w:cs="Calibri"/>
          <w:iCs/>
          <w:color w:val="000000"/>
        </w:rPr>
        <w:instrText xml:space="preserve"> REF _Ref164862154 \r \h </w:instrText>
      </w:r>
      <w:r w:rsidR="00AC5A15">
        <w:rPr>
          <w:rFonts w:cs="Calibri"/>
          <w:iCs/>
          <w:color w:val="000000"/>
        </w:rPr>
        <w:instrText xml:space="preserve"> \* MERGEFORMAT </w:instrText>
      </w:r>
      <w:r w:rsidR="003A1B3A" w:rsidRPr="00AC5A15">
        <w:rPr>
          <w:rFonts w:cs="Calibri"/>
          <w:iCs/>
          <w:color w:val="000000"/>
        </w:rPr>
      </w:r>
      <w:r w:rsidR="003A1B3A" w:rsidRPr="00AC5A15">
        <w:rPr>
          <w:rFonts w:cs="Calibri"/>
          <w:iCs/>
          <w:color w:val="000000"/>
        </w:rPr>
        <w:fldChar w:fldCharType="separate"/>
      </w:r>
      <w:r w:rsidR="001F02BC">
        <w:rPr>
          <w:rFonts w:cs="Calibri"/>
          <w:iCs/>
          <w:color w:val="000000"/>
        </w:rPr>
        <w:t>6.7</w:t>
      </w:r>
      <w:r w:rsidR="003A1B3A" w:rsidRPr="00AC5A15">
        <w:rPr>
          <w:rFonts w:cs="Calibri"/>
          <w:iCs/>
          <w:color w:val="000000"/>
        </w:rPr>
        <w:fldChar w:fldCharType="end"/>
      </w:r>
      <w:r w:rsidR="003A1B3A" w:rsidRPr="00AC5A15">
        <w:rPr>
          <w:rFonts w:cs="Calibri"/>
          <w:iCs/>
          <w:color w:val="000000"/>
        </w:rPr>
        <w:t>)</w:t>
      </w:r>
      <w:r w:rsidRPr="00AC5A15">
        <w:rPr>
          <w:iCs/>
        </w:rPr>
        <w:t>.</w:t>
      </w:r>
      <w:r w:rsidR="003A1B3A" w:rsidRPr="00AC5A15">
        <w:rPr>
          <w:iCs/>
        </w:rPr>
        <w:t xml:space="preserve"> T</w:t>
      </w:r>
      <w:r w:rsidRPr="00AC5A15">
        <w:rPr>
          <w:rFonts w:cs="Calibri"/>
          <w:iCs/>
          <w:color w:val="000000"/>
        </w:rPr>
        <w:t>he results</w:t>
      </w:r>
      <w:r w:rsidRPr="00AC5A15" w:rsidDel="00B36856">
        <w:rPr>
          <w:rFonts w:cs="Calibri"/>
          <w:iCs/>
          <w:color w:val="000000"/>
        </w:rPr>
        <w:t xml:space="preserve"> </w:t>
      </w:r>
      <w:r w:rsidRPr="00AC5A15">
        <w:rPr>
          <w:rFonts w:cs="Calibri"/>
          <w:iCs/>
          <w:color w:val="000000"/>
        </w:rPr>
        <w:t>of the BALATON and COMINO trials conducted in treatment-na</w:t>
      </w:r>
      <w:r w:rsidR="003A1B3A" w:rsidRPr="00AC5A15">
        <w:rPr>
          <w:rFonts w:cs="Calibri"/>
          <w:iCs/>
          <w:color w:val="000000"/>
        </w:rPr>
        <w:t>ï</w:t>
      </w:r>
      <w:r w:rsidRPr="00AC5A15">
        <w:rPr>
          <w:rFonts w:cs="Calibri"/>
          <w:iCs/>
          <w:color w:val="000000"/>
        </w:rPr>
        <w:t>ve patients may not be generalisable to the targeted Australian population</w:t>
      </w:r>
      <w:r w:rsidR="003A1B3A" w:rsidRPr="00AC5A15">
        <w:rPr>
          <w:rFonts w:cs="Calibri"/>
          <w:iCs/>
          <w:color w:val="000000"/>
        </w:rPr>
        <w:t xml:space="preserve"> if</w:t>
      </w:r>
      <w:r w:rsidR="00600293" w:rsidRPr="00AC5A15">
        <w:rPr>
          <w:rFonts w:cs="Calibri"/>
          <w:iCs/>
          <w:color w:val="000000"/>
        </w:rPr>
        <w:t xml:space="preserve"> treatment-experienced </w:t>
      </w:r>
      <w:r w:rsidR="00600293" w:rsidRPr="00AC5A15">
        <w:rPr>
          <w:iCs/>
        </w:rPr>
        <w:t>patients are less amenable to modification by sequential therapies</w:t>
      </w:r>
      <w:r w:rsidRPr="00AC5A15">
        <w:rPr>
          <w:rFonts w:cs="Calibri"/>
          <w:iCs/>
          <w:color w:val="000000"/>
        </w:rPr>
        <w:t>.</w:t>
      </w:r>
    </w:p>
    <w:p w14:paraId="19DA5FDA" w14:textId="5AC54D9D" w:rsidR="00873784" w:rsidRPr="00572FD5" w:rsidRDefault="006D326A" w:rsidP="00572FD5">
      <w:pPr>
        <w:widowControl w:val="0"/>
        <w:numPr>
          <w:ilvl w:val="1"/>
          <w:numId w:val="1"/>
        </w:numPr>
        <w:spacing w:after="120"/>
        <w:jc w:val="both"/>
        <w:rPr>
          <w:rFonts w:eastAsia="Calibri"/>
          <w:iCs/>
        </w:rPr>
      </w:pPr>
      <w:r>
        <w:rPr>
          <w:rFonts w:asciiTheme="minorHAnsi" w:hAnsiTheme="minorHAnsi" w:cs="Arial"/>
          <w:iCs/>
          <w:snapToGrid w:val="0"/>
          <w:lang w:eastAsia="en-AU"/>
        </w:rPr>
        <w:t>T</w:t>
      </w:r>
      <w:r w:rsidR="00873784" w:rsidRPr="00CE42B4">
        <w:rPr>
          <w:rFonts w:asciiTheme="minorHAnsi" w:hAnsiTheme="minorHAnsi" w:cs="Arial"/>
          <w:iCs/>
          <w:snapToGrid w:val="0"/>
          <w:lang w:eastAsia="en-AU"/>
        </w:rPr>
        <w:t>he</w:t>
      </w:r>
      <w:r w:rsidR="00873784" w:rsidRPr="00CE42B4">
        <w:rPr>
          <w:rFonts w:asciiTheme="minorHAnsi" w:hAnsiTheme="minorHAnsi" w:cs="Arial"/>
          <w:snapToGrid w:val="0"/>
          <w:szCs w:val="20"/>
        </w:rPr>
        <w:t xml:space="preserve"> PBAC considered that the claim of non-inferior comparative effectiveness</w:t>
      </w:r>
      <w:r>
        <w:rPr>
          <w:rFonts w:asciiTheme="minorHAnsi" w:hAnsiTheme="minorHAnsi" w:cs="Arial"/>
          <w:snapToGrid w:val="0"/>
          <w:szCs w:val="20"/>
        </w:rPr>
        <w:t xml:space="preserve"> </w:t>
      </w:r>
      <w:r w:rsidR="00D025B6">
        <w:rPr>
          <w:rFonts w:asciiTheme="minorHAnsi" w:hAnsiTheme="minorHAnsi" w:cs="Arial"/>
          <w:snapToGrid w:val="0"/>
          <w:szCs w:val="20"/>
        </w:rPr>
        <w:t xml:space="preserve">and safety </w:t>
      </w:r>
      <w:r w:rsidR="00873784" w:rsidRPr="00CE42B4">
        <w:rPr>
          <w:rFonts w:asciiTheme="minorHAnsi" w:hAnsiTheme="minorHAnsi" w:cs="Arial"/>
          <w:snapToGrid w:val="0"/>
          <w:szCs w:val="20"/>
        </w:rPr>
        <w:t xml:space="preserve">was </w:t>
      </w:r>
      <w:r w:rsidR="00D77239">
        <w:rPr>
          <w:rFonts w:asciiTheme="minorHAnsi" w:hAnsiTheme="minorHAnsi" w:cs="Arial"/>
          <w:snapToGrid w:val="0"/>
          <w:szCs w:val="20"/>
        </w:rPr>
        <w:t>adequately demonstrated</w:t>
      </w:r>
      <w:r w:rsidR="00674345">
        <w:rPr>
          <w:rFonts w:asciiTheme="minorHAnsi" w:hAnsiTheme="minorHAnsi" w:cs="Arial"/>
          <w:snapToGrid w:val="0"/>
          <w:szCs w:val="20"/>
        </w:rPr>
        <w:t>,</w:t>
      </w:r>
      <w:r w:rsidR="00D77239">
        <w:rPr>
          <w:rFonts w:asciiTheme="minorHAnsi" w:hAnsiTheme="minorHAnsi" w:cs="Arial"/>
          <w:snapToGrid w:val="0"/>
          <w:szCs w:val="20"/>
        </w:rPr>
        <w:t xml:space="preserve"> with no particular safety signal, </w:t>
      </w:r>
      <w:r w:rsidR="00674345">
        <w:rPr>
          <w:rFonts w:asciiTheme="minorHAnsi" w:hAnsiTheme="minorHAnsi" w:cs="Arial"/>
          <w:snapToGrid w:val="0"/>
          <w:szCs w:val="20"/>
        </w:rPr>
        <w:t>noting that</w:t>
      </w:r>
      <w:r w:rsidR="00D77239">
        <w:rPr>
          <w:rFonts w:asciiTheme="minorHAnsi" w:hAnsiTheme="minorHAnsi" w:cs="Arial"/>
          <w:snapToGrid w:val="0"/>
          <w:szCs w:val="20"/>
        </w:rPr>
        <w:t xml:space="preserve"> </w:t>
      </w:r>
      <w:r w:rsidR="00D77239" w:rsidRPr="00D77239">
        <w:rPr>
          <w:rFonts w:asciiTheme="minorHAnsi" w:hAnsiTheme="minorHAnsi" w:cs="Arial"/>
          <w:snapToGrid w:val="0"/>
          <w:szCs w:val="20"/>
        </w:rPr>
        <w:t>the BALATON and COMINO trials provide</w:t>
      </w:r>
      <w:r w:rsidR="00D77239">
        <w:rPr>
          <w:rFonts w:asciiTheme="minorHAnsi" w:hAnsiTheme="minorHAnsi" w:cs="Arial"/>
          <w:snapToGrid w:val="0"/>
          <w:szCs w:val="20"/>
        </w:rPr>
        <w:t>d</w:t>
      </w:r>
      <w:r w:rsidR="00D77239" w:rsidRPr="00D77239">
        <w:rPr>
          <w:rFonts w:asciiTheme="minorHAnsi" w:hAnsiTheme="minorHAnsi" w:cs="Arial"/>
          <w:snapToGrid w:val="0"/>
          <w:szCs w:val="20"/>
        </w:rPr>
        <w:t xml:space="preserve"> direct trial evidence for faricimab versus aflibercept up to 24 weeks.</w:t>
      </w:r>
    </w:p>
    <w:p w14:paraId="5819866F" w14:textId="70A0EBA9" w:rsidR="00F85F80" w:rsidRPr="00F85F80" w:rsidRDefault="00F85F80" w:rsidP="001C2A71">
      <w:pPr>
        <w:pStyle w:val="4-SubsectionHeading"/>
        <w:jc w:val="both"/>
      </w:pPr>
      <w:bookmarkStart w:id="38" w:name="_Toc22897645"/>
      <w:bookmarkStart w:id="39" w:name="_Toc107927631"/>
      <w:bookmarkStart w:id="40" w:name="_Toc166768921"/>
      <w:r w:rsidRPr="00C9624D">
        <w:t>Economic analysis</w:t>
      </w:r>
      <w:bookmarkEnd w:id="38"/>
      <w:bookmarkEnd w:id="39"/>
      <w:bookmarkEnd w:id="40"/>
      <w:r w:rsidRPr="00C9624D">
        <w:t xml:space="preserve"> </w:t>
      </w:r>
    </w:p>
    <w:p w14:paraId="4FF5BDFB" w14:textId="5144982A" w:rsidR="000A46CC" w:rsidRPr="00535F85" w:rsidRDefault="000A46CC" w:rsidP="001C2A71">
      <w:pPr>
        <w:pStyle w:val="3-BodyText"/>
        <w:rPr>
          <w:bCs/>
          <w:lang w:val="en-US"/>
        </w:rPr>
      </w:pPr>
      <w:r w:rsidRPr="00535F85">
        <w:t xml:space="preserve">The submission presented a CMA comparing faricimab to aflibercept based on BALATON and COMINO. </w:t>
      </w:r>
      <w:r w:rsidRPr="00AC5A15">
        <w:t>The presentation of a CMA was appropriate given the claim of non-inferior efficacy and safety of faricimab compared with aflibercept.</w:t>
      </w:r>
      <w:r w:rsidRPr="00535F85">
        <w:t xml:space="preserve"> </w:t>
      </w:r>
    </w:p>
    <w:p w14:paraId="21861DED" w14:textId="71B37E81" w:rsidR="000A46CC" w:rsidRPr="00AC5A15" w:rsidRDefault="000A46CC" w:rsidP="001C2A71">
      <w:pPr>
        <w:pStyle w:val="3-BodyText"/>
        <w:ind w:left="709" w:hanging="709"/>
        <w:rPr>
          <w:bCs/>
          <w:iCs/>
          <w:lang w:val="en-US"/>
        </w:rPr>
      </w:pPr>
      <w:r w:rsidRPr="00D3322D">
        <w:t xml:space="preserve">The submission presented the CMA over a </w:t>
      </w:r>
      <w:r w:rsidR="00B750F1">
        <w:t>1-year</w:t>
      </w:r>
      <w:r w:rsidRPr="00D3322D">
        <w:t xml:space="preserve"> time horizon</w:t>
      </w:r>
      <w:r>
        <w:t xml:space="preserve">. </w:t>
      </w:r>
      <w:r w:rsidRPr="00AC5A15">
        <w:rPr>
          <w:iCs/>
        </w:rPr>
        <w:t xml:space="preserve">A </w:t>
      </w:r>
      <w:r w:rsidR="00B750F1" w:rsidRPr="00AC5A15">
        <w:rPr>
          <w:iCs/>
        </w:rPr>
        <w:t>1-year</w:t>
      </w:r>
      <w:r w:rsidRPr="00AC5A15">
        <w:rPr>
          <w:iCs/>
        </w:rPr>
        <w:t xml:space="preserve"> time horizon has previously been accepted by the PBAC for</w:t>
      </w:r>
      <w:r w:rsidR="00BC53BF" w:rsidRPr="00AC5A15">
        <w:rPr>
          <w:iCs/>
        </w:rPr>
        <w:t xml:space="preserve"> aflibercept in</w:t>
      </w:r>
      <w:r w:rsidRPr="00AC5A15">
        <w:rPr>
          <w:iCs/>
        </w:rPr>
        <w:t xml:space="preserve"> BRVO and CRVO</w:t>
      </w:r>
      <w:r w:rsidR="00BC53BF" w:rsidRPr="00AC5A15">
        <w:rPr>
          <w:rStyle w:val="FootnoteReference"/>
          <w:iCs/>
        </w:rPr>
        <w:footnoteReference w:id="3"/>
      </w:r>
      <w:r w:rsidRPr="00AC5A15">
        <w:rPr>
          <w:iCs/>
        </w:rPr>
        <w:t>.</w:t>
      </w:r>
      <w:r w:rsidR="00BC53BF" w:rsidRPr="00AC5A15">
        <w:rPr>
          <w:iCs/>
        </w:rPr>
        <w:t xml:space="preserve"> </w:t>
      </w:r>
      <w:r w:rsidRPr="00AC5A15">
        <w:rPr>
          <w:iCs/>
        </w:rPr>
        <w:t xml:space="preserve">The CMAs in previous submissions for faricimab </w:t>
      </w:r>
      <w:r w:rsidR="00BC53BF" w:rsidRPr="00AC5A15">
        <w:rPr>
          <w:iCs/>
        </w:rPr>
        <w:t xml:space="preserve">in </w:t>
      </w:r>
      <w:r w:rsidRPr="00AC5A15">
        <w:rPr>
          <w:iCs/>
        </w:rPr>
        <w:t xml:space="preserve">DMO and nAMD were conducted over a </w:t>
      </w:r>
      <w:r w:rsidR="00B750F1" w:rsidRPr="00AC5A15">
        <w:rPr>
          <w:iCs/>
        </w:rPr>
        <w:t>2-year</w:t>
      </w:r>
      <w:r w:rsidRPr="00AC5A15">
        <w:rPr>
          <w:iCs/>
        </w:rPr>
        <w:t xml:space="preserve"> time horizon to account for differences in costs in the first and subsequent years</w:t>
      </w:r>
      <w:r w:rsidR="00BC53BF" w:rsidRPr="00AC5A15">
        <w:rPr>
          <w:rStyle w:val="FootnoteReference"/>
          <w:iCs/>
        </w:rPr>
        <w:footnoteReference w:id="4"/>
      </w:r>
      <w:r w:rsidRPr="00AC5A15">
        <w:rPr>
          <w:iCs/>
        </w:rPr>
        <w:t xml:space="preserve">. </w:t>
      </w:r>
    </w:p>
    <w:p w14:paraId="3136DB79" w14:textId="7412E26E" w:rsidR="000A46CC" w:rsidRPr="000537D4" w:rsidRDefault="000A46CC" w:rsidP="001C2A71">
      <w:pPr>
        <w:pStyle w:val="3-BodyText"/>
        <w:ind w:left="709" w:hanging="709"/>
        <w:rPr>
          <w:b/>
          <w:bCs/>
          <w:lang w:val="en-US"/>
        </w:rPr>
      </w:pPr>
      <w:r w:rsidRPr="00D3322D">
        <w:t xml:space="preserve">The key components </w:t>
      </w:r>
      <w:r>
        <w:t xml:space="preserve">and assumptions of the CMA are presented in </w:t>
      </w:r>
      <w:r>
        <w:fldChar w:fldCharType="begin" w:fldLock="1"/>
      </w:r>
      <w:r>
        <w:instrText xml:space="preserve"> REF _Ref163458672 \h </w:instrText>
      </w:r>
      <w:r w:rsidR="001C2A71">
        <w:instrText xml:space="preserve"> \* MERGEFORMAT </w:instrText>
      </w:r>
      <w:r>
        <w:fldChar w:fldCharType="separate"/>
      </w:r>
      <w:r w:rsidR="00423F23">
        <w:t xml:space="preserve">Table </w:t>
      </w:r>
      <w:r w:rsidR="00423F23">
        <w:rPr>
          <w:noProof/>
        </w:rPr>
        <w:t>7</w:t>
      </w:r>
      <w:r>
        <w:fldChar w:fldCharType="end"/>
      </w:r>
      <w:r>
        <w:t>.</w:t>
      </w:r>
    </w:p>
    <w:p w14:paraId="208E8AA6" w14:textId="185A4FB4" w:rsidR="000A46CC" w:rsidRPr="0047797B" w:rsidRDefault="000A46CC" w:rsidP="00EA693D">
      <w:pPr>
        <w:pStyle w:val="Caption"/>
        <w:jc w:val="both"/>
        <w:rPr>
          <w:rStyle w:val="CommentReference"/>
          <w:b/>
          <w:szCs w:val="18"/>
        </w:rPr>
      </w:pPr>
      <w:bookmarkStart w:id="41" w:name="_Ref163458672"/>
      <w:r>
        <w:t xml:space="preserve">Table </w:t>
      </w:r>
      <w:r w:rsidR="001B6BE3">
        <w:fldChar w:fldCharType="begin" w:fldLock="1"/>
      </w:r>
      <w:r w:rsidR="001B6BE3">
        <w:instrText xml:space="preserve"> SEQ Table \* ARABIC </w:instrText>
      </w:r>
      <w:r w:rsidR="001B6BE3">
        <w:fldChar w:fldCharType="separate"/>
      </w:r>
      <w:r w:rsidR="00423F23">
        <w:rPr>
          <w:noProof/>
        </w:rPr>
        <w:t>7</w:t>
      </w:r>
      <w:r w:rsidR="001B6BE3">
        <w:rPr>
          <w:noProof/>
        </w:rPr>
        <w:fldChar w:fldCharType="end"/>
      </w:r>
      <w:bookmarkEnd w:id="41"/>
      <w:r>
        <w:t xml:space="preserve">: </w:t>
      </w:r>
      <w:r w:rsidRPr="00656188">
        <w:rPr>
          <w:rStyle w:val="CommentReference"/>
          <w:b/>
          <w:szCs w:val="24"/>
        </w:rPr>
        <w:t xml:space="preserve">Key components and assumptions of the cost-minimisation </w:t>
      </w:r>
      <w:r>
        <w:rPr>
          <w:rStyle w:val="CommentReference"/>
          <w:b/>
          <w:szCs w:val="24"/>
        </w:rPr>
        <w:t>approach</w:t>
      </w:r>
    </w:p>
    <w:tbl>
      <w:tblPr>
        <w:tblStyle w:val="TableGrid"/>
        <w:tblW w:w="5000" w:type="pct"/>
        <w:tblLayout w:type="fixed"/>
        <w:tblLook w:val="04A0" w:firstRow="1" w:lastRow="0" w:firstColumn="1" w:lastColumn="0" w:noHBand="0" w:noVBand="1"/>
      </w:tblPr>
      <w:tblGrid>
        <w:gridCol w:w="2784"/>
        <w:gridCol w:w="6233"/>
      </w:tblGrid>
      <w:tr w:rsidR="000A46CC" w:rsidRPr="007E055C" w14:paraId="44F0B12E" w14:textId="77777777" w:rsidTr="001D246A">
        <w:tc>
          <w:tcPr>
            <w:tcW w:w="1544" w:type="pct"/>
          </w:tcPr>
          <w:p w14:paraId="1769C60B" w14:textId="77777777" w:rsidR="000A46CC" w:rsidRPr="007E055C" w:rsidRDefault="000A46CC" w:rsidP="00EA693D">
            <w:pPr>
              <w:pStyle w:val="TableText0"/>
              <w:keepLines/>
              <w:jc w:val="both"/>
              <w:rPr>
                <w:b/>
                <w:szCs w:val="20"/>
              </w:rPr>
            </w:pPr>
            <w:r w:rsidRPr="007E055C">
              <w:rPr>
                <w:b/>
                <w:szCs w:val="20"/>
              </w:rPr>
              <w:t>Component</w:t>
            </w:r>
          </w:p>
        </w:tc>
        <w:tc>
          <w:tcPr>
            <w:tcW w:w="3456" w:type="pct"/>
          </w:tcPr>
          <w:p w14:paraId="4FDF4F44" w14:textId="77777777" w:rsidR="000A46CC" w:rsidRPr="007E055C" w:rsidRDefault="000A46CC" w:rsidP="00EA693D">
            <w:pPr>
              <w:pStyle w:val="TableText0"/>
              <w:keepLines/>
              <w:jc w:val="both"/>
              <w:rPr>
                <w:szCs w:val="20"/>
              </w:rPr>
            </w:pPr>
            <w:r w:rsidRPr="007E055C">
              <w:rPr>
                <w:b/>
                <w:szCs w:val="20"/>
              </w:rPr>
              <w:t>Assumption</w:t>
            </w:r>
          </w:p>
        </w:tc>
      </w:tr>
      <w:tr w:rsidR="000A46CC" w:rsidRPr="007E055C" w14:paraId="6056D5DB" w14:textId="77777777" w:rsidTr="001D246A">
        <w:tc>
          <w:tcPr>
            <w:tcW w:w="1544" w:type="pct"/>
          </w:tcPr>
          <w:p w14:paraId="60CA0481" w14:textId="77777777" w:rsidR="000A46CC" w:rsidRPr="007E055C" w:rsidRDefault="000A46CC" w:rsidP="00EA693D">
            <w:pPr>
              <w:pStyle w:val="TableText0"/>
              <w:keepLines/>
              <w:rPr>
                <w:szCs w:val="20"/>
              </w:rPr>
            </w:pPr>
            <w:r w:rsidRPr="007E055C">
              <w:rPr>
                <w:szCs w:val="20"/>
              </w:rPr>
              <w:t xml:space="preserve">Therapeutic claim: effectiveness </w:t>
            </w:r>
          </w:p>
        </w:tc>
        <w:tc>
          <w:tcPr>
            <w:tcW w:w="3456" w:type="pct"/>
          </w:tcPr>
          <w:p w14:paraId="411BBE0D" w14:textId="1991E980" w:rsidR="000A46CC" w:rsidRPr="00FD1687" w:rsidRDefault="000A46CC" w:rsidP="00EA693D">
            <w:pPr>
              <w:pStyle w:val="TableText0"/>
              <w:keepLines/>
              <w:rPr>
                <w:szCs w:val="20"/>
              </w:rPr>
            </w:pPr>
            <w:r w:rsidRPr="00FD1687">
              <w:rPr>
                <w:szCs w:val="20"/>
              </w:rPr>
              <w:t xml:space="preserve">Based on evidence presented in </w:t>
            </w:r>
            <w:r w:rsidR="00FD1687" w:rsidRPr="00FD1687">
              <w:rPr>
                <w:szCs w:val="20"/>
              </w:rPr>
              <w:t>the submission</w:t>
            </w:r>
            <w:r w:rsidRPr="00FD1687">
              <w:rPr>
                <w:szCs w:val="20"/>
              </w:rPr>
              <w:t xml:space="preserve">, effectiveness was assumed to be non-inferior </w:t>
            </w:r>
          </w:p>
        </w:tc>
      </w:tr>
      <w:tr w:rsidR="000A46CC" w:rsidRPr="007E055C" w14:paraId="6A2DA168" w14:textId="77777777" w:rsidTr="001D246A">
        <w:tc>
          <w:tcPr>
            <w:tcW w:w="1544" w:type="pct"/>
          </w:tcPr>
          <w:p w14:paraId="7E572A4A" w14:textId="77777777" w:rsidR="000A46CC" w:rsidRPr="007E055C" w:rsidRDefault="000A46CC" w:rsidP="00EA693D">
            <w:pPr>
              <w:pStyle w:val="TableText0"/>
              <w:keepLines/>
              <w:rPr>
                <w:szCs w:val="20"/>
              </w:rPr>
            </w:pPr>
            <w:r w:rsidRPr="007E055C">
              <w:rPr>
                <w:szCs w:val="20"/>
              </w:rPr>
              <w:t xml:space="preserve">Therapeutic claim: safety </w:t>
            </w:r>
          </w:p>
        </w:tc>
        <w:tc>
          <w:tcPr>
            <w:tcW w:w="3456" w:type="pct"/>
          </w:tcPr>
          <w:p w14:paraId="70FE631F" w14:textId="34B3B1EE" w:rsidR="000A46CC" w:rsidRPr="00FD1687" w:rsidRDefault="000A46CC" w:rsidP="00EA693D">
            <w:pPr>
              <w:pStyle w:val="TableText0"/>
              <w:keepLines/>
              <w:rPr>
                <w:szCs w:val="20"/>
              </w:rPr>
            </w:pPr>
            <w:r w:rsidRPr="00FD1687">
              <w:rPr>
                <w:szCs w:val="20"/>
              </w:rPr>
              <w:t xml:space="preserve">Based on evidence presented in </w:t>
            </w:r>
            <w:r w:rsidR="00FD1687" w:rsidRPr="00FD1687">
              <w:rPr>
                <w:szCs w:val="20"/>
              </w:rPr>
              <w:t>the submission</w:t>
            </w:r>
            <w:r w:rsidRPr="00FD1687">
              <w:rPr>
                <w:szCs w:val="20"/>
              </w:rPr>
              <w:t xml:space="preserve">, safety was assumed to be non-inferior </w:t>
            </w:r>
          </w:p>
        </w:tc>
      </w:tr>
      <w:tr w:rsidR="000A46CC" w:rsidRPr="007E055C" w14:paraId="5D565932" w14:textId="77777777" w:rsidTr="001D246A">
        <w:tc>
          <w:tcPr>
            <w:tcW w:w="1544" w:type="pct"/>
          </w:tcPr>
          <w:p w14:paraId="73960A70" w14:textId="77777777" w:rsidR="000A46CC" w:rsidRPr="007E055C" w:rsidRDefault="000A46CC" w:rsidP="00EA693D">
            <w:pPr>
              <w:pStyle w:val="TableText0"/>
              <w:keepLines/>
              <w:rPr>
                <w:szCs w:val="20"/>
              </w:rPr>
            </w:pPr>
            <w:r w:rsidRPr="007E055C">
              <w:rPr>
                <w:szCs w:val="20"/>
              </w:rPr>
              <w:t xml:space="preserve">Evidence base </w:t>
            </w:r>
          </w:p>
        </w:tc>
        <w:tc>
          <w:tcPr>
            <w:tcW w:w="3456" w:type="pct"/>
          </w:tcPr>
          <w:p w14:paraId="5E1B6DF6" w14:textId="00CB4F0D" w:rsidR="000A46CC" w:rsidRPr="007E055C" w:rsidRDefault="000A46CC" w:rsidP="00EA693D">
            <w:pPr>
              <w:pStyle w:val="TableText0"/>
              <w:keepLines/>
              <w:rPr>
                <w:szCs w:val="20"/>
              </w:rPr>
            </w:pPr>
            <w:r w:rsidRPr="007E055C">
              <w:rPr>
                <w:szCs w:val="20"/>
              </w:rPr>
              <w:t xml:space="preserve">Direct comparison of faricimab and aflibercept from BALATON and COMINO </w:t>
            </w:r>
            <w:r w:rsidR="0093480F" w:rsidRPr="007E055C">
              <w:rPr>
                <w:szCs w:val="20"/>
              </w:rPr>
              <w:t>trials</w:t>
            </w:r>
          </w:p>
        </w:tc>
      </w:tr>
      <w:tr w:rsidR="000A46CC" w:rsidRPr="007E055C" w14:paraId="3AFACCF8" w14:textId="77777777" w:rsidTr="001D246A">
        <w:tc>
          <w:tcPr>
            <w:tcW w:w="1544" w:type="pct"/>
          </w:tcPr>
          <w:p w14:paraId="54A8C368" w14:textId="77777777" w:rsidR="000A46CC" w:rsidRPr="007E055C" w:rsidRDefault="000A46CC" w:rsidP="00EA693D">
            <w:pPr>
              <w:pStyle w:val="TableText0"/>
              <w:keepLines/>
              <w:rPr>
                <w:szCs w:val="20"/>
              </w:rPr>
            </w:pPr>
            <w:r w:rsidRPr="007E055C">
              <w:rPr>
                <w:szCs w:val="20"/>
              </w:rPr>
              <w:t xml:space="preserve">Equi-effective doses </w:t>
            </w:r>
          </w:p>
        </w:tc>
        <w:tc>
          <w:tcPr>
            <w:tcW w:w="3456" w:type="pct"/>
          </w:tcPr>
          <w:p w14:paraId="695D4A5D" w14:textId="77777777" w:rsidR="000A46CC" w:rsidRPr="007E055C" w:rsidRDefault="000A46CC" w:rsidP="00EA693D">
            <w:pPr>
              <w:pStyle w:val="TableText0"/>
              <w:keepLines/>
              <w:rPr>
                <w:szCs w:val="20"/>
              </w:rPr>
            </w:pPr>
            <w:r w:rsidRPr="007E055C">
              <w:rPr>
                <w:szCs w:val="20"/>
              </w:rPr>
              <w:t>Faricimab Q4W is equivalent to aflibercept Q4W on a 1:1 equi-effective dose</w:t>
            </w:r>
          </w:p>
        </w:tc>
      </w:tr>
      <w:tr w:rsidR="000A46CC" w:rsidRPr="007E055C" w14:paraId="03AEFFF6" w14:textId="77777777" w:rsidTr="001D246A">
        <w:tc>
          <w:tcPr>
            <w:tcW w:w="1544" w:type="pct"/>
          </w:tcPr>
          <w:p w14:paraId="4296113F" w14:textId="77777777" w:rsidR="000A46CC" w:rsidRPr="007E055C" w:rsidRDefault="000A46CC" w:rsidP="00EA693D">
            <w:pPr>
              <w:pStyle w:val="TableText0"/>
              <w:keepLines/>
              <w:rPr>
                <w:szCs w:val="20"/>
              </w:rPr>
            </w:pPr>
            <w:r w:rsidRPr="007E055C">
              <w:rPr>
                <w:szCs w:val="20"/>
              </w:rPr>
              <w:t xml:space="preserve">Direct medicine costs </w:t>
            </w:r>
          </w:p>
        </w:tc>
        <w:tc>
          <w:tcPr>
            <w:tcW w:w="3456" w:type="pct"/>
          </w:tcPr>
          <w:p w14:paraId="12207ED9" w14:textId="77777777" w:rsidR="000A46CC" w:rsidRPr="007E055C" w:rsidRDefault="000A46CC" w:rsidP="00EA693D">
            <w:pPr>
              <w:pStyle w:val="TableText0"/>
              <w:keepLines/>
              <w:rPr>
                <w:szCs w:val="20"/>
              </w:rPr>
            </w:pPr>
            <w:r w:rsidRPr="007E055C">
              <w:rPr>
                <w:szCs w:val="20"/>
              </w:rPr>
              <w:t>Equivalent; faricimab Q4W would cost the same as aflibercept Q4W per injection</w:t>
            </w:r>
          </w:p>
        </w:tc>
      </w:tr>
      <w:tr w:rsidR="000A46CC" w:rsidRPr="007E055C" w14:paraId="36F1CFAE" w14:textId="77777777" w:rsidTr="001D246A">
        <w:tc>
          <w:tcPr>
            <w:tcW w:w="1544" w:type="pct"/>
          </w:tcPr>
          <w:p w14:paraId="6B9E2B86" w14:textId="77777777" w:rsidR="000A46CC" w:rsidRPr="007E055C" w:rsidRDefault="000A46CC" w:rsidP="00EA693D">
            <w:pPr>
              <w:pStyle w:val="TableText0"/>
              <w:keepLines/>
              <w:rPr>
                <w:szCs w:val="20"/>
              </w:rPr>
            </w:pPr>
            <w:r w:rsidRPr="007E055C">
              <w:rPr>
                <w:szCs w:val="20"/>
              </w:rPr>
              <w:t xml:space="preserve">Other costs or cost offsets </w:t>
            </w:r>
          </w:p>
        </w:tc>
        <w:tc>
          <w:tcPr>
            <w:tcW w:w="3456" w:type="pct"/>
          </w:tcPr>
          <w:p w14:paraId="2DF8A57F" w14:textId="77777777" w:rsidR="000A46CC" w:rsidRPr="007E055C" w:rsidRDefault="000A46CC" w:rsidP="00EA693D">
            <w:pPr>
              <w:pStyle w:val="TableText0"/>
              <w:keepLines/>
              <w:rPr>
                <w:szCs w:val="20"/>
              </w:rPr>
            </w:pPr>
            <w:r w:rsidRPr="007E055C">
              <w:rPr>
                <w:szCs w:val="20"/>
              </w:rPr>
              <w:t>No</w:t>
            </w:r>
          </w:p>
        </w:tc>
      </w:tr>
    </w:tbl>
    <w:p w14:paraId="75B9182E" w14:textId="074167F1" w:rsidR="000A46CC" w:rsidRDefault="000A46CC" w:rsidP="00EA693D">
      <w:pPr>
        <w:pStyle w:val="FooterTableFigure"/>
        <w:keepNext/>
        <w:keepLines/>
        <w:jc w:val="both"/>
      </w:pPr>
      <w:r>
        <w:t>Source: Table 3.1, p140 of the submission.</w:t>
      </w:r>
    </w:p>
    <w:p w14:paraId="58E191F9" w14:textId="77777777" w:rsidR="000A46CC" w:rsidRDefault="000A46CC" w:rsidP="00EA693D">
      <w:pPr>
        <w:pStyle w:val="FooterTableFigure"/>
        <w:keepNext/>
        <w:keepLines/>
        <w:jc w:val="both"/>
      </w:pPr>
      <w:r>
        <w:t>Q4W = every four weeks.</w:t>
      </w:r>
    </w:p>
    <w:p w14:paraId="6E70EA0D" w14:textId="772AFD8B" w:rsidR="009A6F79" w:rsidRPr="009A6F79" w:rsidRDefault="000A46CC" w:rsidP="00B750F1">
      <w:pPr>
        <w:pStyle w:val="3-BodyText"/>
        <w:rPr>
          <w:bCs/>
          <w:iCs/>
        </w:rPr>
      </w:pPr>
      <w:r>
        <w:t>The submission assumed a 1:1 equi-effective dose ratio between faricimab 6 mg and aflibercept 2 mg, based on equivalent dosing of</w:t>
      </w:r>
      <w:r w:rsidRPr="000B60FB">
        <w:t xml:space="preserve"> </w:t>
      </w:r>
      <w:r>
        <w:t>faricimab and aflibercept (Q4W through to Week 24) in</w:t>
      </w:r>
      <w:r w:rsidR="00613D85">
        <w:t xml:space="preserve"> the</w:t>
      </w:r>
      <w:r>
        <w:t xml:space="preserve"> BALATON and COMINO</w:t>
      </w:r>
      <w:r w:rsidR="00613D85">
        <w:t xml:space="preserve"> trials</w:t>
      </w:r>
      <w:r>
        <w:t xml:space="preserve">. </w:t>
      </w:r>
      <w:r w:rsidR="009A6F79">
        <w:rPr>
          <w:bCs/>
          <w:iCs/>
        </w:rPr>
        <w:t xml:space="preserve">The evaluation </w:t>
      </w:r>
      <w:r w:rsidR="00C47F5A">
        <w:rPr>
          <w:bCs/>
          <w:iCs/>
        </w:rPr>
        <w:t>considered</w:t>
      </w:r>
      <w:r w:rsidR="009A6F79">
        <w:rPr>
          <w:bCs/>
          <w:iCs/>
        </w:rPr>
        <w:t xml:space="preserve"> that the </w:t>
      </w:r>
      <w:r w:rsidR="009A6F79" w:rsidRPr="00AC5A15">
        <w:rPr>
          <w:bCs/>
          <w:iCs/>
        </w:rPr>
        <w:t>application of a 1</w:t>
      </w:r>
      <w:r w:rsidR="009A6F79">
        <w:rPr>
          <w:bCs/>
          <w:iCs/>
        </w:rPr>
        <w:t>-</w:t>
      </w:r>
      <w:r w:rsidR="009A6F79" w:rsidRPr="00AC5A15">
        <w:rPr>
          <w:bCs/>
          <w:iCs/>
        </w:rPr>
        <w:t>year time horizon based on 24</w:t>
      </w:r>
      <w:r w:rsidR="009A6F79">
        <w:rPr>
          <w:bCs/>
          <w:iCs/>
        </w:rPr>
        <w:t>-</w:t>
      </w:r>
      <w:r w:rsidR="009A6F79" w:rsidRPr="00AC5A15">
        <w:rPr>
          <w:bCs/>
          <w:iCs/>
        </w:rPr>
        <w:t xml:space="preserve">week (6 months) data, does not account for the duration of treatment intervals that would be observed in clinical practice in the T&amp;E maintenance phase of treatment, and therefore </w:t>
      </w:r>
      <w:r w:rsidR="009A6F79" w:rsidRPr="001476FA">
        <w:rPr>
          <w:bCs/>
          <w:iCs/>
        </w:rPr>
        <w:t>limits</w:t>
      </w:r>
      <w:r w:rsidR="009A6F79" w:rsidRPr="00AC5A15">
        <w:rPr>
          <w:bCs/>
          <w:iCs/>
        </w:rPr>
        <w:t xml:space="preserve"> an evidence-based estimate of the equi-effective doses of faricimab and aflibercept.</w:t>
      </w:r>
    </w:p>
    <w:p w14:paraId="36D41182" w14:textId="70046DF7" w:rsidR="00B750F1" w:rsidRPr="001476FA" w:rsidRDefault="000A46CC" w:rsidP="00B750F1">
      <w:pPr>
        <w:pStyle w:val="3-BodyText"/>
        <w:rPr>
          <w:bCs/>
          <w:iCs/>
        </w:rPr>
      </w:pPr>
      <w:r w:rsidRPr="00D40D19">
        <w:rPr>
          <w:lang w:val="en-US"/>
        </w:rPr>
        <w:t xml:space="preserve">The annual number of injections estimated by the CMA was based on </w:t>
      </w:r>
      <w:r w:rsidRPr="003320EF">
        <w:rPr>
          <w:lang w:val="en-US"/>
        </w:rPr>
        <w:t xml:space="preserve">the mean number of injections (5.8 injections in both faricimab and aflibercept arms) reported in </w:t>
      </w:r>
      <w:r w:rsidR="00613D85" w:rsidRPr="003320EF">
        <w:rPr>
          <w:lang w:val="en-US"/>
        </w:rPr>
        <w:t>the trials</w:t>
      </w:r>
      <w:r w:rsidRPr="003320EF">
        <w:rPr>
          <w:lang w:val="en-US"/>
        </w:rPr>
        <w:t xml:space="preserve"> at 24 weeks</w:t>
      </w:r>
      <w:r w:rsidR="00613D85" w:rsidRPr="003320EF">
        <w:rPr>
          <w:lang w:val="en-US"/>
        </w:rPr>
        <w:t>,</w:t>
      </w:r>
      <w:r w:rsidRPr="003320EF">
        <w:rPr>
          <w:lang w:val="en-US"/>
        </w:rPr>
        <w:t xml:space="preserve"> extrapolated to a 52</w:t>
      </w:r>
      <w:r w:rsidR="00FD1687" w:rsidRPr="003320EF">
        <w:rPr>
          <w:lang w:val="en-US"/>
        </w:rPr>
        <w:t>-</w:t>
      </w:r>
      <w:r w:rsidRPr="003320EF">
        <w:rPr>
          <w:lang w:val="en-US"/>
        </w:rPr>
        <w:t xml:space="preserve">week period (12.6 injections). </w:t>
      </w:r>
      <w:r w:rsidRPr="003320EF">
        <w:rPr>
          <w:iCs/>
          <w:lang w:val="en-US"/>
        </w:rPr>
        <w:t>Th</w:t>
      </w:r>
      <w:r w:rsidR="0007647C" w:rsidRPr="003320EF">
        <w:rPr>
          <w:iCs/>
          <w:lang w:val="en-US"/>
        </w:rPr>
        <w:t>e ESC and the evaluation considered th</w:t>
      </w:r>
      <w:r w:rsidRPr="003320EF">
        <w:rPr>
          <w:iCs/>
          <w:lang w:val="en-US"/>
        </w:rPr>
        <w:t>is extrapolation was unsupported by the evidence given that n</w:t>
      </w:r>
      <w:r w:rsidRPr="003320EF">
        <w:rPr>
          <w:iCs/>
        </w:rPr>
        <w:t>o comparative data were available beyond 24</w:t>
      </w:r>
      <w:r w:rsidR="001D246A" w:rsidRPr="003320EF">
        <w:rPr>
          <w:iCs/>
        </w:rPr>
        <w:t xml:space="preserve"> </w:t>
      </w:r>
      <w:r w:rsidRPr="003320EF">
        <w:rPr>
          <w:iCs/>
        </w:rPr>
        <w:t>weeks in BALATON and COMINO</w:t>
      </w:r>
      <w:r w:rsidRPr="003320EF">
        <w:rPr>
          <w:bCs/>
          <w:iCs/>
        </w:rPr>
        <w:t>. The</w:t>
      </w:r>
      <w:r w:rsidR="002C2FAC" w:rsidRPr="001476FA">
        <w:rPr>
          <w:bCs/>
          <w:iCs/>
        </w:rPr>
        <w:t xml:space="preserve"> number of </w:t>
      </w:r>
      <w:r w:rsidR="00B750F1" w:rsidRPr="001476FA">
        <w:rPr>
          <w:bCs/>
          <w:iCs/>
        </w:rPr>
        <w:t xml:space="preserve">doses </w:t>
      </w:r>
      <w:r w:rsidR="002C2FAC" w:rsidRPr="001476FA">
        <w:rPr>
          <w:bCs/>
          <w:iCs/>
        </w:rPr>
        <w:t>(12.6</w:t>
      </w:r>
      <w:r w:rsidR="00B750F1" w:rsidRPr="001476FA">
        <w:rPr>
          <w:bCs/>
          <w:iCs/>
        </w:rPr>
        <w:t xml:space="preserve"> for both agents</w:t>
      </w:r>
      <w:r w:rsidR="002C2FAC" w:rsidRPr="001476FA">
        <w:rPr>
          <w:bCs/>
          <w:iCs/>
        </w:rPr>
        <w:t>) was higher than expected using a T&amp;E approach</w:t>
      </w:r>
      <w:r w:rsidR="00B750F1" w:rsidRPr="001476FA">
        <w:rPr>
          <w:bCs/>
          <w:iCs/>
        </w:rPr>
        <w:t>.</w:t>
      </w:r>
      <w:r w:rsidR="002C2FAC" w:rsidRPr="001476FA">
        <w:rPr>
          <w:bCs/>
          <w:iCs/>
        </w:rPr>
        <w:t xml:space="preserve"> </w:t>
      </w:r>
      <w:r w:rsidR="00B750F1" w:rsidRPr="001476FA">
        <w:rPr>
          <w:bCs/>
          <w:iCs/>
        </w:rPr>
        <w:t xml:space="preserve">The PSCR clarified that </w:t>
      </w:r>
      <w:r w:rsidR="00F15690">
        <w:rPr>
          <w:bCs/>
          <w:iCs/>
        </w:rPr>
        <w:t xml:space="preserve">12.6 doses over 1 year was indicative only, and that </w:t>
      </w:r>
      <w:r w:rsidR="00B750F1" w:rsidRPr="001476FA">
        <w:rPr>
          <w:bCs/>
          <w:iCs/>
        </w:rPr>
        <w:t xml:space="preserve">the CMA assumed there would be 1 vial per administration, with dosing based on three monthly loading doses </w:t>
      </w:r>
      <w:r w:rsidR="00530AE1" w:rsidRPr="001476FA">
        <w:rPr>
          <w:bCs/>
          <w:iCs/>
        </w:rPr>
        <w:t xml:space="preserve">followed by a </w:t>
      </w:r>
      <w:r w:rsidR="00B750F1" w:rsidRPr="001476FA">
        <w:rPr>
          <w:bCs/>
          <w:iCs/>
        </w:rPr>
        <w:t>T&amp;E</w:t>
      </w:r>
      <w:r w:rsidR="00530AE1" w:rsidRPr="001476FA">
        <w:rPr>
          <w:bCs/>
          <w:iCs/>
        </w:rPr>
        <w:t xml:space="preserve"> approach</w:t>
      </w:r>
      <w:r w:rsidR="00B750F1" w:rsidRPr="001476FA">
        <w:rPr>
          <w:bCs/>
          <w:iCs/>
        </w:rPr>
        <w:t xml:space="preserve"> for both faricimab and aflibercept</w:t>
      </w:r>
      <w:r w:rsidR="003320EF">
        <w:rPr>
          <w:bCs/>
          <w:iCs/>
        </w:rPr>
        <w:t>,</w:t>
      </w:r>
      <w:r w:rsidR="00B750F1" w:rsidRPr="001476FA">
        <w:rPr>
          <w:bCs/>
          <w:iCs/>
        </w:rPr>
        <w:t xml:space="preserve"> based on a 1:1 </w:t>
      </w:r>
      <w:r w:rsidR="0007647C" w:rsidRPr="001476FA">
        <w:rPr>
          <w:bCs/>
          <w:iCs/>
        </w:rPr>
        <w:t>equi-effective dose</w:t>
      </w:r>
      <w:r w:rsidR="009A6F79">
        <w:rPr>
          <w:bCs/>
          <w:iCs/>
        </w:rPr>
        <w:t xml:space="preserve"> ratio</w:t>
      </w:r>
      <w:r w:rsidR="003320EF">
        <w:rPr>
          <w:bCs/>
          <w:iCs/>
        </w:rPr>
        <w:t xml:space="preserve"> and</w:t>
      </w:r>
      <w:r w:rsidR="009A6F79">
        <w:rPr>
          <w:bCs/>
          <w:iCs/>
        </w:rPr>
        <w:t xml:space="preserve"> the</w:t>
      </w:r>
      <w:r w:rsidR="003320EF">
        <w:rPr>
          <w:bCs/>
          <w:iCs/>
        </w:rPr>
        <w:t xml:space="preserve"> approved/proposed </w:t>
      </w:r>
      <w:r w:rsidR="003320EF" w:rsidRPr="00873192">
        <w:t>dosing schedules</w:t>
      </w:r>
      <w:r w:rsidR="003320EF">
        <w:t xml:space="preserve"> for aflibercept/faricimab</w:t>
      </w:r>
      <w:r w:rsidR="00B750F1" w:rsidRPr="001476FA">
        <w:rPr>
          <w:bCs/>
          <w:iCs/>
        </w:rPr>
        <w:t xml:space="preserve">. </w:t>
      </w:r>
    </w:p>
    <w:p w14:paraId="2ECAC875" w14:textId="4DEBB0EC" w:rsidR="000A46CC" w:rsidRPr="00B22778" w:rsidRDefault="00FE5C97" w:rsidP="00D21CAF">
      <w:pPr>
        <w:pStyle w:val="3-BodyText"/>
      </w:pPr>
      <w:r w:rsidRPr="00B22778">
        <w:rPr>
          <w:bCs/>
        </w:rPr>
        <w:t>The submission asserted that given the</w:t>
      </w:r>
      <w:r w:rsidR="00C106D3" w:rsidRPr="00B22778">
        <w:rPr>
          <w:bCs/>
        </w:rPr>
        <w:t xml:space="preserve"> faricimab</w:t>
      </w:r>
      <w:r w:rsidRPr="00B22778">
        <w:rPr>
          <w:bCs/>
        </w:rPr>
        <w:t xml:space="preserve"> mechanism of action and</w:t>
      </w:r>
      <w:r w:rsidR="00C106D3" w:rsidRPr="00B22778">
        <w:rPr>
          <w:bCs/>
        </w:rPr>
        <w:t xml:space="preserve"> its</w:t>
      </w:r>
      <w:r w:rsidRPr="00B22778">
        <w:rPr>
          <w:bCs/>
        </w:rPr>
        <w:t xml:space="preserve"> demonstrated</w:t>
      </w:r>
      <w:r w:rsidR="00C106D3" w:rsidRPr="00B22778">
        <w:rPr>
          <w:bCs/>
        </w:rPr>
        <w:t xml:space="preserve"> efficacy</w:t>
      </w:r>
      <w:r w:rsidRPr="00B22778">
        <w:rPr>
          <w:bCs/>
        </w:rPr>
        <w:t xml:space="preserve"> </w:t>
      </w:r>
      <w:r w:rsidR="00C106D3" w:rsidRPr="00B22778">
        <w:rPr>
          <w:bCs/>
        </w:rPr>
        <w:t>in</w:t>
      </w:r>
      <w:r w:rsidRPr="00B22778">
        <w:rPr>
          <w:bCs/>
        </w:rPr>
        <w:t xml:space="preserve"> nAMD and DMO, similar outcomes</w:t>
      </w:r>
      <w:r w:rsidR="00C106D3" w:rsidRPr="00B22778">
        <w:rPr>
          <w:bCs/>
        </w:rPr>
        <w:t xml:space="preserve"> to those observed in the BALATON and COMINO trials</w:t>
      </w:r>
      <w:r w:rsidRPr="00B22778">
        <w:rPr>
          <w:bCs/>
        </w:rPr>
        <w:t xml:space="preserve"> are likely with </w:t>
      </w:r>
      <w:r w:rsidR="00C106D3" w:rsidRPr="00B22778">
        <w:rPr>
          <w:bCs/>
        </w:rPr>
        <w:t>fewer</w:t>
      </w:r>
      <w:r w:rsidRPr="00B22778">
        <w:rPr>
          <w:bCs/>
        </w:rPr>
        <w:t xml:space="preserve"> injections of faricimab</w:t>
      </w:r>
      <w:r w:rsidR="00613D85" w:rsidRPr="00B22778">
        <w:rPr>
          <w:bCs/>
        </w:rPr>
        <w:t>,</w:t>
      </w:r>
      <w:r w:rsidRPr="00B22778">
        <w:rPr>
          <w:bCs/>
        </w:rPr>
        <w:t xml:space="preserve"> and therefore </w:t>
      </w:r>
      <w:r w:rsidR="00C106D3" w:rsidRPr="00B22778">
        <w:rPr>
          <w:bCs/>
        </w:rPr>
        <w:t>a</w:t>
      </w:r>
      <w:r w:rsidRPr="00B22778">
        <w:rPr>
          <w:bCs/>
        </w:rPr>
        <w:t xml:space="preserve"> 1:1 dose equivalence is a conservative assumption. </w:t>
      </w:r>
      <w:r w:rsidR="00535117" w:rsidRPr="00535117">
        <w:rPr>
          <w:bCs/>
        </w:rPr>
        <w:t>The PBAC noted that, while a 1:1 relativity is conservative compared to the relativity recommended for faricimab vs aflibercept 2 mg for nAMD (0.55:1 over two years)</w:t>
      </w:r>
      <w:r w:rsidR="009F6852" w:rsidRPr="00B22778">
        <w:rPr>
          <w:rStyle w:val="FootnoteReference"/>
          <w:bCs/>
        </w:rPr>
        <w:footnoteReference w:id="5"/>
      </w:r>
      <w:r w:rsidR="00535117">
        <w:rPr>
          <w:bCs/>
        </w:rPr>
        <w:t xml:space="preserve"> that </w:t>
      </w:r>
      <w:r w:rsidR="00535117" w:rsidRPr="00535117">
        <w:rPr>
          <w:bCs/>
        </w:rPr>
        <w:t>it is not conservative compared to the relativity recommended for faricimab vs aflibercept 2</w:t>
      </w:r>
      <w:r w:rsidR="000976B0">
        <w:rPr>
          <w:bCs/>
        </w:rPr>
        <w:t> </w:t>
      </w:r>
      <w:r w:rsidR="00535117" w:rsidRPr="00535117">
        <w:rPr>
          <w:bCs/>
        </w:rPr>
        <w:t xml:space="preserve">mg for </w:t>
      </w:r>
      <w:r w:rsidR="00754530">
        <w:rPr>
          <w:bCs/>
        </w:rPr>
        <w:t>DMO</w:t>
      </w:r>
      <w:r w:rsidR="00754530" w:rsidRPr="00535117">
        <w:rPr>
          <w:bCs/>
        </w:rPr>
        <w:t xml:space="preserve"> </w:t>
      </w:r>
      <w:r w:rsidR="00535117" w:rsidRPr="00535117">
        <w:rPr>
          <w:bCs/>
        </w:rPr>
        <w:t>(1.11:1 over two years</w:t>
      </w:r>
      <w:r w:rsidR="00535117">
        <w:rPr>
          <w:bCs/>
        </w:rPr>
        <w:t>)</w:t>
      </w:r>
      <w:r w:rsidR="009F6852" w:rsidRPr="00B22778">
        <w:rPr>
          <w:rStyle w:val="FootnoteReference"/>
          <w:bCs/>
        </w:rPr>
        <w:footnoteReference w:id="6"/>
      </w:r>
      <w:r w:rsidRPr="00B22778">
        <w:rPr>
          <w:bCs/>
        </w:rPr>
        <w:t>.</w:t>
      </w:r>
      <w:r w:rsidR="001C41A0" w:rsidRPr="00B22778">
        <w:rPr>
          <w:rFonts w:cstheme="minorHAnsi"/>
          <w:bCs/>
        </w:rPr>
        <w:t xml:space="preserve"> </w:t>
      </w:r>
      <w:r w:rsidR="002A5795" w:rsidRPr="00B22778">
        <w:rPr>
          <w:rFonts w:cstheme="minorHAnsi"/>
          <w:bCs/>
        </w:rPr>
        <w:t xml:space="preserve">The </w:t>
      </w:r>
      <w:r w:rsidR="00F15690">
        <w:rPr>
          <w:rFonts w:cstheme="minorHAnsi"/>
          <w:bCs/>
        </w:rPr>
        <w:t>p</w:t>
      </w:r>
      <w:r w:rsidR="002A5795" w:rsidRPr="00B22778">
        <w:rPr>
          <w:rFonts w:cstheme="minorHAnsi"/>
          <w:bCs/>
        </w:rPr>
        <w:t>re-PBAC response maintained</w:t>
      </w:r>
      <w:r w:rsidR="008353DA" w:rsidRPr="00B22778">
        <w:rPr>
          <w:rFonts w:cstheme="minorHAnsi"/>
          <w:bCs/>
        </w:rPr>
        <w:t xml:space="preserve"> </w:t>
      </w:r>
      <w:r w:rsidR="002A5795" w:rsidRPr="00B22778">
        <w:rPr>
          <w:rFonts w:cstheme="minorHAnsi"/>
          <w:bCs/>
        </w:rPr>
        <w:t xml:space="preserve">that a 1:1 dose equivalence </w:t>
      </w:r>
      <w:r w:rsidR="00343F62" w:rsidRPr="00B22778">
        <w:rPr>
          <w:rFonts w:cstheme="minorHAnsi"/>
          <w:bCs/>
        </w:rPr>
        <w:t>for faricimab:aflibercept in RVO is appropriate, given the claim of non-inferiority in the comparative period of the RCTs, and the identical dosing and regimen for faricimab and aflibercept [up to Week 24].</w:t>
      </w:r>
      <w:r w:rsidR="000A26F8" w:rsidRPr="00B22778">
        <w:rPr>
          <w:rFonts w:cstheme="minorHAnsi"/>
          <w:bCs/>
        </w:rPr>
        <w:t xml:space="preserve"> </w:t>
      </w:r>
    </w:p>
    <w:p w14:paraId="22D3A08A" w14:textId="52AC8BDF" w:rsidR="000A46CC" w:rsidRPr="00AC5A15" w:rsidRDefault="000A46CC" w:rsidP="001C2A71">
      <w:pPr>
        <w:pStyle w:val="3-BodyText"/>
        <w:ind w:left="709" w:hanging="709"/>
        <w:rPr>
          <w:iCs/>
        </w:rPr>
      </w:pPr>
      <w:r w:rsidRPr="00AC5A15">
        <w:rPr>
          <w:iCs/>
        </w:rPr>
        <w:t>The results of the CMA based on the</w:t>
      </w:r>
      <w:r w:rsidR="007554FE" w:rsidRPr="00AC5A15">
        <w:rPr>
          <w:iCs/>
        </w:rPr>
        <w:t xml:space="preserve"> </w:t>
      </w:r>
      <w:r w:rsidRPr="00AC5A15">
        <w:rPr>
          <w:iCs/>
        </w:rPr>
        <w:t xml:space="preserve">assumed </w:t>
      </w:r>
      <w:r w:rsidR="001D246A" w:rsidRPr="00AC5A15">
        <w:rPr>
          <w:iCs/>
        </w:rPr>
        <w:t>effective</w:t>
      </w:r>
      <w:r w:rsidR="0029067D" w:rsidRPr="00AC5A15">
        <w:rPr>
          <w:iCs/>
        </w:rPr>
        <w:t xml:space="preserve"> </w:t>
      </w:r>
      <w:r w:rsidRPr="00AC5A15">
        <w:rPr>
          <w:iCs/>
        </w:rPr>
        <w:t>AEMP</w:t>
      </w:r>
      <w:r w:rsidR="0029067D" w:rsidRPr="00AC5A15">
        <w:rPr>
          <w:iCs/>
        </w:rPr>
        <w:t xml:space="preserve"> of aflibercept</w:t>
      </w:r>
      <w:r w:rsidR="000A26F8">
        <w:rPr>
          <w:iCs/>
        </w:rPr>
        <w:t xml:space="preserve"> </w:t>
      </w:r>
      <w:r w:rsidR="000A26F8">
        <w:t xml:space="preserve">using a </w:t>
      </w:r>
      <w:r w:rsidR="000A26F8" w:rsidRPr="0029067D">
        <w:t>1:1 equi-effective dose ratio</w:t>
      </w:r>
      <w:r w:rsidRPr="00AC5A15">
        <w:rPr>
          <w:iCs/>
        </w:rPr>
        <w:t xml:space="preserve"> </w:t>
      </w:r>
      <w:r w:rsidR="001345D4">
        <w:rPr>
          <w:iCs/>
        </w:rPr>
        <w:t>is</w:t>
      </w:r>
      <w:r w:rsidRPr="00AC5A15">
        <w:rPr>
          <w:iCs/>
        </w:rPr>
        <w:t xml:space="preserve"> presented in </w:t>
      </w:r>
      <w:r w:rsidRPr="00AC5A15">
        <w:rPr>
          <w:iCs/>
        </w:rPr>
        <w:fldChar w:fldCharType="begin" w:fldLock="1"/>
      </w:r>
      <w:r w:rsidRPr="00AC5A15">
        <w:rPr>
          <w:iCs/>
        </w:rPr>
        <w:instrText xml:space="preserve"> REF _Ref163458538 \h  \* MERGEFORMAT </w:instrText>
      </w:r>
      <w:r w:rsidRPr="00AC5A15">
        <w:rPr>
          <w:iCs/>
        </w:rPr>
      </w:r>
      <w:r w:rsidRPr="00AC5A15">
        <w:rPr>
          <w:iCs/>
        </w:rPr>
        <w:fldChar w:fldCharType="separate"/>
      </w:r>
      <w:r w:rsidR="00423F23" w:rsidRPr="00AC5A15">
        <w:rPr>
          <w:iCs/>
        </w:rPr>
        <w:t xml:space="preserve">Table </w:t>
      </w:r>
      <w:r w:rsidR="00423F23" w:rsidRPr="00AC5A15">
        <w:rPr>
          <w:iCs/>
          <w:noProof/>
        </w:rPr>
        <w:t>8</w:t>
      </w:r>
      <w:r w:rsidRPr="00AC5A15">
        <w:rPr>
          <w:iCs/>
        </w:rPr>
        <w:fldChar w:fldCharType="end"/>
      </w:r>
      <w:r w:rsidRPr="00AC5A15">
        <w:rPr>
          <w:iCs/>
        </w:rPr>
        <w:t xml:space="preserve">. </w:t>
      </w:r>
    </w:p>
    <w:p w14:paraId="2BC29158" w14:textId="6D56746F" w:rsidR="000A46CC" w:rsidRPr="00AC5A15" w:rsidRDefault="000A46CC" w:rsidP="00EA693D">
      <w:pPr>
        <w:pStyle w:val="Caption"/>
        <w:jc w:val="both"/>
        <w:rPr>
          <w:rStyle w:val="CommentReference"/>
          <w:b/>
          <w:iCs/>
          <w:szCs w:val="24"/>
        </w:rPr>
      </w:pPr>
      <w:bookmarkStart w:id="42" w:name="_Ref163458538"/>
      <w:bookmarkStart w:id="43" w:name="_Ref163458533"/>
      <w:r w:rsidRPr="00AC5A15">
        <w:rPr>
          <w:iCs/>
        </w:rPr>
        <w:t xml:space="preserve">Table </w:t>
      </w:r>
      <w:r w:rsidRPr="00AC5A15">
        <w:rPr>
          <w:iCs/>
        </w:rPr>
        <w:fldChar w:fldCharType="begin" w:fldLock="1"/>
      </w:r>
      <w:r w:rsidRPr="00AC5A15">
        <w:rPr>
          <w:iCs/>
        </w:rPr>
        <w:instrText xml:space="preserve"> SEQ Table \* ARABIC </w:instrText>
      </w:r>
      <w:r w:rsidRPr="00AC5A15">
        <w:rPr>
          <w:iCs/>
        </w:rPr>
        <w:fldChar w:fldCharType="separate"/>
      </w:r>
      <w:r w:rsidR="00423F23" w:rsidRPr="00AC5A15">
        <w:rPr>
          <w:iCs/>
          <w:noProof/>
        </w:rPr>
        <w:t>8</w:t>
      </w:r>
      <w:r w:rsidRPr="00AC5A15">
        <w:rPr>
          <w:iCs/>
          <w:noProof/>
        </w:rPr>
        <w:fldChar w:fldCharType="end"/>
      </w:r>
      <w:bookmarkEnd w:id="42"/>
      <w:r w:rsidRPr="00AC5A15">
        <w:rPr>
          <w:rStyle w:val="CommentReference"/>
          <w:b/>
          <w:iCs/>
          <w:szCs w:val="24"/>
        </w:rPr>
        <w:t xml:space="preserve">: Results of the cost-minimisation approach, </w:t>
      </w:r>
      <w:r w:rsidR="001D246A" w:rsidRPr="00AC5A15">
        <w:rPr>
          <w:rStyle w:val="CommentReference"/>
          <w:b/>
          <w:iCs/>
          <w:szCs w:val="24"/>
        </w:rPr>
        <w:t xml:space="preserve">assumed </w:t>
      </w:r>
      <w:r w:rsidRPr="00AC5A15">
        <w:rPr>
          <w:rStyle w:val="CommentReference"/>
          <w:b/>
          <w:iCs/>
          <w:szCs w:val="24"/>
        </w:rPr>
        <w:t xml:space="preserve">effective </w:t>
      </w:r>
      <w:bookmarkEnd w:id="43"/>
      <w:r w:rsidRPr="00AC5A15">
        <w:rPr>
          <w:rStyle w:val="CommentReference"/>
          <w:b/>
          <w:iCs/>
          <w:szCs w:val="24"/>
        </w:rPr>
        <w:t xml:space="preserve">AEMP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984"/>
        <w:gridCol w:w="2076"/>
      </w:tblGrid>
      <w:tr w:rsidR="000A46CC" w:rsidRPr="00AC5A15" w14:paraId="2DB68E8D" w14:textId="77777777" w:rsidTr="001D246A">
        <w:tc>
          <w:tcPr>
            <w:tcW w:w="4957" w:type="dxa"/>
            <w:tcBorders>
              <w:bottom w:val="single" w:sz="4" w:space="0" w:color="auto"/>
            </w:tcBorders>
          </w:tcPr>
          <w:p w14:paraId="624EB42F" w14:textId="77777777" w:rsidR="000A46CC" w:rsidRPr="00AC5A15" w:rsidRDefault="000A46CC" w:rsidP="00EA693D">
            <w:pPr>
              <w:pStyle w:val="In-tableHeading"/>
              <w:keepLines/>
              <w:jc w:val="both"/>
              <w:rPr>
                <w:iCs/>
                <w:szCs w:val="20"/>
              </w:rPr>
            </w:pPr>
            <w:r w:rsidRPr="00AC5A15">
              <w:rPr>
                <w:iCs/>
                <w:szCs w:val="20"/>
              </w:rPr>
              <w:t>Component</w:t>
            </w:r>
          </w:p>
        </w:tc>
        <w:tc>
          <w:tcPr>
            <w:tcW w:w="1984" w:type="dxa"/>
            <w:tcBorders>
              <w:bottom w:val="single" w:sz="4" w:space="0" w:color="auto"/>
            </w:tcBorders>
          </w:tcPr>
          <w:p w14:paraId="00635967" w14:textId="77777777" w:rsidR="000A46CC" w:rsidRPr="00AC5A15" w:rsidRDefault="000A46CC" w:rsidP="00EA693D">
            <w:pPr>
              <w:pStyle w:val="In-tableHeading"/>
              <w:keepLines/>
              <w:jc w:val="center"/>
              <w:rPr>
                <w:iCs/>
                <w:szCs w:val="20"/>
              </w:rPr>
            </w:pPr>
            <w:r w:rsidRPr="00AC5A15">
              <w:rPr>
                <w:iCs/>
                <w:szCs w:val="20"/>
              </w:rPr>
              <w:t>Faricimab</w:t>
            </w:r>
          </w:p>
        </w:tc>
        <w:tc>
          <w:tcPr>
            <w:tcW w:w="2076" w:type="dxa"/>
            <w:tcBorders>
              <w:bottom w:val="single" w:sz="4" w:space="0" w:color="auto"/>
            </w:tcBorders>
          </w:tcPr>
          <w:p w14:paraId="7E696E39" w14:textId="0453E07D" w:rsidR="000A46CC" w:rsidRPr="00AC5A15" w:rsidRDefault="000A46CC" w:rsidP="00EA693D">
            <w:pPr>
              <w:pStyle w:val="In-tableHeading"/>
              <w:keepLines/>
              <w:jc w:val="center"/>
              <w:rPr>
                <w:iCs/>
                <w:szCs w:val="20"/>
              </w:rPr>
            </w:pPr>
            <w:r w:rsidRPr="00AC5A15">
              <w:rPr>
                <w:iCs/>
                <w:szCs w:val="20"/>
              </w:rPr>
              <w:t>Aflibercept</w:t>
            </w:r>
          </w:p>
        </w:tc>
      </w:tr>
      <w:tr w:rsidR="000A46CC" w:rsidRPr="00AC5A15" w14:paraId="7CB2E035" w14:textId="77777777" w:rsidTr="001D246A">
        <w:tc>
          <w:tcPr>
            <w:tcW w:w="4957" w:type="dxa"/>
            <w:tcBorders>
              <w:right w:val="nil"/>
            </w:tcBorders>
          </w:tcPr>
          <w:p w14:paraId="4F87733D" w14:textId="77777777" w:rsidR="000A46CC" w:rsidRPr="00AC5A15" w:rsidRDefault="000A46CC" w:rsidP="00EA693D">
            <w:pPr>
              <w:pStyle w:val="TableText0"/>
              <w:keepLines/>
              <w:jc w:val="both"/>
              <w:rPr>
                <w:b/>
                <w:iCs/>
                <w:szCs w:val="20"/>
              </w:rPr>
            </w:pPr>
            <w:r w:rsidRPr="00AC5A15">
              <w:rPr>
                <w:b/>
                <w:iCs/>
                <w:szCs w:val="20"/>
              </w:rPr>
              <w:t xml:space="preserve">Treatment cost </w:t>
            </w:r>
          </w:p>
        </w:tc>
        <w:tc>
          <w:tcPr>
            <w:tcW w:w="1984" w:type="dxa"/>
            <w:tcBorders>
              <w:left w:val="nil"/>
              <w:right w:val="nil"/>
            </w:tcBorders>
          </w:tcPr>
          <w:p w14:paraId="1A5CD7F5" w14:textId="77777777" w:rsidR="000A46CC" w:rsidRPr="00AC5A15" w:rsidRDefault="000A46CC" w:rsidP="00EA693D">
            <w:pPr>
              <w:pStyle w:val="TableText0"/>
              <w:keepLines/>
              <w:jc w:val="both"/>
              <w:rPr>
                <w:b/>
                <w:iCs/>
                <w:szCs w:val="20"/>
              </w:rPr>
            </w:pPr>
          </w:p>
        </w:tc>
        <w:tc>
          <w:tcPr>
            <w:tcW w:w="2076" w:type="dxa"/>
            <w:tcBorders>
              <w:left w:val="nil"/>
            </w:tcBorders>
          </w:tcPr>
          <w:p w14:paraId="76D5A1F3" w14:textId="77777777" w:rsidR="000A46CC" w:rsidRPr="00AC5A15" w:rsidRDefault="000A46CC" w:rsidP="00EA693D">
            <w:pPr>
              <w:pStyle w:val="TableText0"/>
              <w:keepLines/>
              <w:jc w:val="both"/>
              <w:rPr>
                <w:b/>
                <w:iCs/>
                <w:szCs w:val="20"/>
              </w:rPr>
            </w:pPr>
          </w:p>
        </w:tc>
      </w:tr>
      <w:tr w:rsidR="000A46CC" w:rsidRPr="00AC5A15" w14:paraId="1056167E" w14:textId="77777777" w:rsidTr="001D246A">
        <w:tc>
          <w:tcPr>
            <w:tcW w:w="4957" w:type="dxa"/>
          </w:tcPr>
          <w:p w14:paraId="7550580C" w14:textId="32EBA6C2" w:rsidR="000A46CC" w:rsidRPr="00AC5A15" w:rsidRDefault="000A46CC" w:rsidP="00EA693D">
            <w:pPr>
              <w:pStyle w:val="TableText0"/>
              <w:keepLines/>
              <w:jc w:val="both"/>
              <w:rPr>
                <w:iCs/>
                <w:szCs w:val="20"/>
              </w:rPr>
            </w:pPr>
            <w:r w:rsidRPr="00AC5A15">
              <w:rPr>
                <w:iCs/>
                <w:szCs w:val="20"/>
              </w:rPr>
              <w:t>Cost per administration (</w:t>
            </w:r>
            <w:r w:rsidR="001345D4">
              <w:rPr>
                <w:iCs/>
                <w:szCs w:val="20"/>
              </w:rPr>
              <w:t xml:space="preserve">assumed </w:t>
            </w:r>
            <w:r w:rsidRPr="00AC5A15">
              <w:rPr>
                <w:iCs/>
                <w:szCs w:val="20"/>
              </w:rPr>
              <w:t>effective AEMP)</w:t>
            </w:r>
          </w:p>
        </w:tc>
        <w:tc>
          <w:tcPr>
            <w:tcW w:w="1984" w:type="dxa"/>
          </w:tcPr>
          <w:p w14:paraId="264EBBDF" w14:textId="17842CDF" w:rsidR="000A46CC" w:rsidRPr="00754530" w:rsidRDefault="000A46CC" w:rsidP="00EA693D">
            <w:pPr>
              <w:pStyle w:val="TableText0"/>
              <w:keepLines/>
              <w:jc w:val="center"/>
              <w:rPr>
                <w:iCs/>
                <w:szCs w:val="20"/>
                <w:highlight w:val="black"/>
                <w:vertAlign w:val="superscript"/>
              </w:rPr>
            </w:pPr>
            <w:r w:rsidRPr="00B411D3">
              <w:rPr>
                <w:iCs/>
                <w:szCs w:val="20"/>
              </w:rPr>
              <w:t>$</w:t>
            </w:r>
            <w:r w:rsidR="007A1CFA" w:rsidRPr="007A1CFA">
              <w:rPr>
                <w:iCs/>
                <w:color w:val="000000"/>
                <w:szCs w:val="20"/>
                <w:shd w:val="solid" w:color="000000" w:fill="000000"/>
                <w14:textFill>
                  <w14:solidFill>
                    <w14:srgbClr w14:val="000000">
                      <w14:alpha w14:val="100000"/>
                    </w14:srgbClr>
                  </w14:solidFill>
                </w14:textFill>
              </w:rPr>
              <w:t>|</w:t>
            </w:r>
          </w:p>
        </w:tc>
        <w:tc>
          <w:tcPr>
            <w:tcW w:w="2076" w:type="dxa"/>
          </w:tcPr>
          <w:p w14:paraId="358A2910" w14:textId="13CD8C40" w:rsidR="000A46CC" w:rsidRPr="00754530" w:rsidRDefault="000A46CC" w:rsidP="00EA693D">
            <w:pPr>
              <w:pStyle w:val="TableText0"/>
              <w:keepLines/>
              <w:jc w:val="center"/>
              <w:rPr>
                <w:iCs/>
                <w:szCs w:val="20"/>
                <w:highlight w:val="black"/>
              </w:rPr>
            </w:pPr>
            <w:r w:rsidRPr="00B411D3">
              <w:rPr>
                <w:iCs/>
                <w:szCs w:val="20"/>
              </w:rPr>
              <w:t>$</w:t>
            </w:r>
            <w:r w:rsidR="007A1CFA" w:rsidRPr="007A1CFA">
              <w:rPr>
                <w:iCs/>
                <w:color w:val="000000"/>
                <w:szCs w:val="20"/>
                <w:shd w:val="solid" w:color="000000" w:fill="000000"/>
                <w14:textFill>
                  <w14:solidFill>
                    <w14:srgbClr w14:val="000000">
                      <w14:alpha w14:val="100000"/>
                    </w14:srgbClr>
                  </w14:solidFill>
                </w14:textFill>
              </w:rPr>
              <w:t>|</w:t>
            </w:r>
          </w:p>
        </w:tc>
      </w:tr>
      <w:tr w:rsidR="000A46CC" w:rsidRPr="00AC5A15" w14:paraId="4B086B5F" w14:textId="77777777" w:rsidTr="001D246A">
        <w:tc>
          <w:tcPr>
            <w:tcW w:w="4957" w:type="dxa"/>
          </w:tcPr>
          <w:p w14:paraId="51A9A4C8" w14:textId="18947B7B" w:rsidR="000A46CC" w:rsidRPr="00AC5A15" w:rsidRDefault="00B70DB9" w:rsidP="00EA693D">
            <w:pPr>
              <w:pStyle w:val="TableText0"/>
              <w:keepLines/>
              <w:jc w:val="both"/>
              <w:rPr>
                <w:iCs/>
                <w:szCs w:val="20"/>
              </w:rPr>
            </w:pPr>
            <w:r>
              <w:rPr>
                <w:iCs/>
                <w:szCs w:val="20"/>
              </w:rPr>
              <w:t>Estimated</w:t>
            </w:r>
            <w:r w:rsidR="001345D4">
              <w:rPr>
                <w:iCs/>
                <w:szCs w:val="20"/>
              </w:rPr>
              <w:t xml:space="preserve"> f</w:t>
            </w:r>
            <w:r w:rsidR="000A46CC" w:rsidRPr="00AC5A15">
              <w:rPr>
                <w:iCs/>
                <w:szCs w:val="20"/>
              </w:rPr>
              <w:t>requency of administration over 1 year</w:t>
            </w:r>
          </w:p>
        </w:tc>
        <w:tc>
          <w:tcPr>
            <w:tcW w:w="1984" w:type="dxa"/>
          </w:tcPr>
          <w:p w14:paraId="742371A8" w14:textId="2BA617C1" w:rsidR="000A46CC" w:rsidRPr="00F518C6" w:rsidRDefault="000A46CC" w:rsidP="00EA693D">
            <w:pPr>
              <w:pStyle w:val="TableText0"/>
              <w:keepLines/>
              <w:jc w:val="center"/>
              <w:rPr>
                <w:iCs/>
                <w:szCs w:val="20"/>
              </w:rPr>
            </w:pPr>
            <w:r w:rsidRPr="00F518C6">
              <w:rPr>
                <w:iCs/>
                <w:szCs w:val="20"/>
              </w:rPr>
              <w:t>12.6</w:t>
            </w:r>
            <w:r w:rsidR="00247A1B" w:rsidRPr="00F518C6">
              <w:rPr>
                <w:iCs/>
                <w:szCs w:val="20"/>
                <w:vertAlign w:val="superscript"/>
              </w:rPr>
              <w:t>a</w:t>
            </w:r>
          </w:p>
        </w:tc>
        <w:tc>
          <w:tcPr>
            <w:tcW w:w="2076" w:type="dxa"/>
          </w:tcPr>
          <w:p w14:paraId="0ECC348B" w14:textId="5C9869F0" w:rsidR="000A46CC" w:rsidRPr="00F518C6" w:rsidRDefault="000A46CC" w:rsidP="00EA693D">
            <w:pPr>
              <w:pStyle w:val="TableText0"/>
              <w:keepLines/>
              <w:jc w:val="center"/>
              <w:rPr>
                <w:iCs/>
                <w:szCs w:val="20"/>
              </w:rPr>
            </w:pPr>
            <w:r w:rsidRPr="00F518C6">
              <w:rPr>
                <w:iCs/>
                <w:szCs w:val="20"/>
              </w:rPr>
              <w:t>12.6</w:t>
            </w:r>
            <w:r w:rsidR="00247A1B" w:rsidRPr="00F518C6">
              <w:rPr>
                <w:iCs/>
                <w:szCs w:val="20"/>
                <w:vertAlign w:val="superscript"/>
              </w:rPr>
              <w:t>a</w:t>
            </w:r>
          </w:p>
        </w:tc>
      </w:tr>
      <w:tr w:rsidR="000A46CC" w:rsidRPr="00AC5A15" w14:paraId="643EE907" w14:textId="77777777" w:rsidTr="001D246A">
        <w:tc>
          <w:tcPr>
            <w:tcW w:w="4957" w:type="dxa"/>
          </w:tcPr>
          <w:p w14:paraId="1D0C022A" w14:textId="77777777" w:rsidR="000A46CC" w:rsidRPr="00AC5A15" w:rsidRDefault="000A46CC" w:rsidP="00EA693D">
            <w:pPr>
              <w:pStyle w:val="TableText0"/>
              <w:keepLines/>
              <w:jc w:val="both"/>
              <w:rPr>
                <w:iCs/>
                <w:szCs w:val="20"/>
              </w:rPr>
            </w:pPr>
            <w:r w:rsidRPr="00AC5A15">
              <w:rPr>
                <w:iCs/>
                <w:szCs w:val="20"/>
              </w:rPr>
              <w:t>Total cost per year</w:t>
            </w:r>
          </w:p>
        </w:tc>
        <w:tc>
          <w:tcPr>
            <w:tcW w:w="1984" w:type="dxa"/>
          </w:tcPr>
          <w:p w14:paraId="70BBD940" w14:textId="7689B1F3" w:rsidR="000A46CC" w:rsidRPr="00754530" w:rsidRDefault="000A46CC" w:rsidP="00EA693D">
            <w:pPr>
              <w:pStyle w:val="TableText0"/>
              <w:keepLines/>
              <w:jc w:val="center"/>
              <w:rPr>
                <w:iCs/>
                <w:szCs w:val="20"/>
                <w:highlight w:val="black"/>
              </w:rPr>
            </w:pPr>
            <w:r w:rsidRPr="00B411D3">
              <w:rPr>
                <w:iCs/>
                <w:szCs w:val="20"/>
              </w:rPr>
              <w:t>$</w:t>
            </w:r>
            <w:r w:rsidR="007A1CFA" w:rsidRPr="007A1CFA">
              <w:rPr>
                <w:iCs/>
                <w:color w:val="000000"/>
                <w:szCs w:val="20"/>
                <w:shd w:val="solid" w:color="000000" w:fill="000000"/>
                <w14:textFill>
                  <w14:solidFill>
                    <w14:srgbClr w14:val="000000">
                      <w14:alpha w14:val="100000"/>
                    </w14:srgbClr>
                  </w14:solidFill>
                </w14:textFill>
              </w:rPr>
              <w:t>|</w:t>
            </w:r>
          </w:p>
        </w:tc>
        <w:tc>
          <w:tcPr>
            <w:tcW w:w="2076" w:type="dxa"/>
          </w:tcPr>
          <w:p w14:paraId="718A5DD7" w14:textId="55EF0992" w:rsidR="000A46CC" w:rsidRPr="00754530" w:rsidRDefault="000A46CC" w:rsidP="00EA693D">
            <w:pPr>
              <w:pStyle w:val="TableText0"/>
              <w:keepLines/>
              <w:jc w:val="center"/>
              <w:rPr>
                <w:iCs/>
                <w:szCs w:val="20"/>
                <w:highlight w:val="black"/>
              </w:rPr>
            </w:pPr>
            <w:r w:rsidRPr="00B411D3">
              <w:rPr>
                <w:iCs/>
                <w:szCs w:val="20"/>
              </w:rPr>
              <w:t>$</w:t>
            </w:r>
            <w:r w:rsidR="007A1CFA" w:rsidRPr="007A1CFA">
              <w:rPr>
                <w:iCs/>
                <w:color w:val="000000"/>
                <w:szCs w:val="20"/>
                <w:shd w:val="solid" w:color="000000" w:fill="000000"/>
                <w14:textFill>
                  <w14:solidFill>
                    <w14:srgbClr w14:val="000000">
                      <w14:alpha w14:val="100000"/>
                    </w14:srgbClr>
                  </w14:solidFill>
                </w14:textFill>
              </w:rPr>
              <w:t>|</w:t>
            </w:r>
          </w:p>
        </w:tc>
      </w:tr>
    </w:tbl>
    <w:p w14:paraId="5C7EAF59" w14:textId="18FC0999" w:rsidR="000A46CC" w:rsidRPr="00AC5A15" w:rsidRDefault="000A46CC" w:rsidP="00EA693D">
      <w:pPr>
        <w:pStyle w:val="FooterTableFigure"/>
        <w:keepNext/>
        <w:keepLines/>
        <w:jc w:val="both"/>
        <w:rPr>
          <w:iCs/>
        </w:rPr>
      </w:pPr>
      <w:r w:rsidRPr="00CF5947">
        <w:rPr>
          <w:iCs/>
        </w:rPr>
        <w:t xml:space="preserve">Source: constructed by the </w:t>
      </w:r>
      <w:r w:rsidR="00CF5947" w:rsidRPr="00C32FD7">
        <w:rPr>
          <w:iCs/>
        </w:rPr>
        <w:t>evaluation</w:t>
      </w:r>
      <w:r w:rsidRPr="00C32FD7">
        <w:rPr>
          <w:iCs/>
        </w:rPr>
        <w:t>.</w:t>
      </w:r>
    </w:p>
    <w:p w14:paraId="0319C233" w14:textId="20D7BF27" w:rsidR="000A46CC" w:rsidRPr="00AC5A15" w:rsidRDefault="000A46CC" w:rsidP="00EA693D">
      <w:pPr>
        <w:pStyle w:val="FooterTableFigure"/>
        <w:keepNext/>
        <w:keepLines/>
        <w:jc w:val="both"/>
        <w:rPr>
          <w:iCs/>
        </w:rPr>
      </w:pPr>
      <w:r w:rsidRPr="00AC5A15">
        <w:rPr>
          <w:iCs/>
        </w:rPr>
        <w:t>AEMP = approved ex-manufacturer price</w:t>
      </w:r>
      <w:r w:rsidR="00432828" w:rsidRPr="00AC5A15">
        <w:rPr>
          <w:iCs/>
        </w:rPr>
        <w:t>.</w:t>
      </w:r>
    </w:p>
    <w:p w14:paraId="0E3BE257" w14:textId="5A598BA5" w:rsidR="000A46CC" w:rsidRDefault="000A46CC" w:rsidP="00EA693D">
      <w:pPr>
        <w:pStyle w:val="FooterTableFigure"/>
        <w:keepNext/>
        <w:keepLines/>
        <w:jc w:val="both"/>
        <w:rPr>
          <w:iCs/>
        </w:rPr>
      </w:pPr>
      <w:r w:rsidRPr="00AC5A15">
        <w:rPr>
          <w:iCs/>
        </w:rPr>
        <w:t>Note: the AEMP of faricimab was estimated based on</w:t>
      </w:r>
      <w:r w:rsidR="001345D4">
        <w:rPr>
          <w:iCs/>
        </w:rPr>
        <w:t xml:space="preserve"> an </w:t>
      </w:r>
      <w:r w:rsidRPr="00AC5A15">
        <w:rPr>
          <w:iCs/>
        </w:rPr>
        <w:t xml:space="preserve">assumed effective price for aflibercept of </w:t>
      </w:r>
      <w:r w:rsidRPr="006077F4">
        <w:rPr>
          <w:iCs/>
        </w:rPr>
        <w:t>$</w:t>
      </w:r>
      <w:r w:rsidR="007A1CFA" w:rsidRPr="007A1CFA">
        <w:rPr>
          <w:iCs/>
          <w:color w:val="000000"/>
          <w:spacing w:val="40"/>
          <w:shd w:val="solid" w:color="000000" w:fill="000000"/>
          <w:fitText w:val="280" w:id="-893184768"/>
          <w14:textFill>
            <w14:solidFill>
              <w14:srgbClr w14:val="000000">
                <w14:alpha w14:val="100000"/>
              </w14:srgbClr>
            </w14:solidFill>
          </w14:textFill>
        </w:rPr>
        <w:t xml:space="preserve">|  </w:t>
      </w:r>
      <w:r w:rsidR="007A1CFA" w:rsidRPr="007A1CFA">
        <w:rPr>
          <w:iCs/>
          <w:color w:val="000000"/>
          <w:spacing w:val="2"/>
          <w:shd w:val="solid" w:color="000000" w:fill="000000"/>
          <w:fitText w:val="280" w:id="-893184768"/>
          <w14:textFill>
            <w14:solidFill>
              <w14:srgbClr w14:val="000000">
                <w14:alpha w14:val="100000"/>
              </w14:srgbClr>
            </w14:solidFill>
          </w14:textFill>
        </w:rPr>
        <w:t>|</w:t>
      </w:r>
      <w:r w:rsidRPr="00AC5A15">
        <w:rPr>
          <w:iCs/>
        </w:rPr>
        <w:t>.</w:t>
      </w:r>
    </w:p>
    <w:p w14:paraId="4C2BAA8E" w14:textId="76694E86" w:rsidR="00B70DB9" w:rsidRDefault="00B70DB9" w:rsidP="00EA693D">
      <w:pPr>
        <w:pStyle w:val="FooterTableFigure"/>
        <w:keepNext/>
        <w:keepLines/>
        <w:numPr>
          <w:ilvl w:val="0"/>
          <w:numId w:val="11"/>
        </w:numPr>
        <w:ind w:left="142" w:hanging="153"/>
        <w:jc w:val="both"/>
      </w:pPr>
      <w:r>
        <w:t>Assumed 1:1</w:t>
      </w:r>
      <w:r w:rsidR="00C32FD7">
        <w:t xml:space="preserve"> dose</w:t>
      </w:r>
      <w:r>
        <w:t xml:space="preserve"> equivalence between faricimab and aflibercept based on </w:t>
      </w:r>
      <w:r w:rsidRPr="00D40D19">
        <w:rPr>
          <w:lang w:val="en-US"/>
        </w:rPr>
        <w:t>the mean number of injections (5.8 injections</w:t>
      </w:r>
      <w:r>
        <w:rPr>
          <w:lang w:val="en-US"/>
        </w:rPr>
        <w:t xml:space="preserve"> in both faricimab and aflibercept arms</w:t>
      </w:r>
      <w:r w:rsidRPr="00D40D19">
        <w:rPr>
          <w:lang w:val="en-US"/>
        </w:rPr>
        <w:t xml:space="preserve">) reported in </w:t>
      </w:r>
      <w:r>
        <w:rPr>
          <w:lang w:val="en-US"/>
        </w:rPr>
        <w:t xml:space="preserve">the </w:t>
      </w:r>
      <w:r w:rsidRPr="00D40D19">
        <w:rPr>
          <w:lang w:val="en-US"/>
        </w:rPr>
        <w:t>BALATON and COMINO</w:t>
      </w:r>
      <w:r>
        <w:rPr>
          <w:lang w:val="en-US"/>
        </w:rPr>
        <w:t xml:space="preserve"> trials</w:t>
      </w:r>
      <w:r w:rsidRPr="00D40D19">
        <w:rPr>
          <w:lang w:val="en-US"/>
        </w:rPr>
        <w:t xml:space="preserve"> at 24 weeks extrapolated to a 52-week estimate.</w:t>
      </w:r>
      <w:r>
        <w:rPr>
          <w:lang w:val="en-US"/>
        </w:rPr>
        <w:t xml:space="preserve"> </w:t>
      </w:r>
      <w:r w:rsidRPr="00B30660">
        <w:rPr>
          <w:rFonts w:cstheme="minorHAnsi"/>
          <w:bCs/>
          <w:iCs/>
          <w:color w:val="000000" w:themeColor="text1"/>
        </w:rPr>
        <w:t xml:space="preserve">The PSCR clarified that </w:t>
      </w:r>
      <w:r>
        <w:rPr>
          <w:rFonts w:cstheme="minorHAnsi"/>
          <w:bCs/>
          <w:iCs/>
          <w:color w:val="000000" w:themeColor="text1"/>
        </w:rPr>
        <w:t xml:space="preserve">frequency of administration was estimated based on the </w:t>
      </w:r>
      <w:r w:rsidR="00E96D7A">
        <w:rPr>
          <w:rFonts w:cstheme="minorHAnsi"/>
          <w:bCs/>
          <w:iCs/>
          <w:color w:val="000000" w:themeColor="text1"/>
        </w:rPr>
        <w:t>trial-based</w:t>
      </w:r>
      <w:r>
        <w:rPr>
          <w:rFonts w:cstheme="minorHAnsi"/>
          <w:bCs/>
          <w:iCs/>
          <w:color w:val="000000" w:themeColor="text1"/>
        </w:rPr>
        <w:t xml:space="preserve"> extrapolation, but that </w:t>
      </w:r>
      <w:r w:rsidRPr="00B30660">
        <w:rPr>
          <w:rFonts w:cstheme="minorHAnsi"/>
          <w:bCs/>
          <w:iCs/>
          <w:color w:val="000000" w:themeColor="text1"/>
        </w:rPr>
        <w:t xml:space="preserve">the CMA assumed there would be 1 vial per administration (with dosing based on </w:t>
      </w:r>
      <w:r>
        <w:rPr>
          <w:rFonts w:cstheme="minorHAnsi"/>
          <w:bCs/>
          <w:iCs/>
          <w:color w:val="000000" w:themeColor="text1"/>
        </w:rPr>
        <w:t>3</w:t>
      </w:r>
      <w:r w:rsidRPr="00B30660">
        <w:rPr>
          <w:rFonts w:cstheme="minorHAnsi"/>
          <w:bCs/>
          <w:iCs/>
          <w:color w:val="000000" w:themeColor="text1"/>
        </w:rPr>
        <w:t xml:space="preserve"> monthly loading doses then </w:t>
      </w:r>
      <w:r>
        <w:rPr>
          <w:rFonts w:cstheme="minorHAnsi"/>
          <w:bCs/>
          <w:iCs/>
          <w:color w:val="000000" w:themeColor="text1"/>
        </w:rPr>
        <w:t>T&amp;E</w:t>
      </w:r>
      <w:r w:rsidRPr="00B30660">
        <w:rPr>
          <w:rFonts w:cstheme="minorHAnsi"/>
          <w:bCs/>
          <w:iCs/>
          <w:color w:val="000000" w:themeColor="text1"/>
        </w:rPr>
        <w:t>) for both faricimab and aflibercept based on a 1:1 equi-effective dose.</w:t>
      </w:r>
    </w:p>
    <w:p w14:paraId="288A3E3A" w14:textId="40F6681C" w:rsidR="000A46CC" w:rsidRPr="00AC5A15" w:rsidRDefault="00C32FD7" w:rsidP="001C2A71">
      <w:pPr>
        <w:pStyle w:val="3-BodyText"/>
        <w:ind w:left="709" w:hanging="709"/>
      </w:pPr>
      <w:r>
        <w:t xml:space="preserve">As the </w:t>
      </w:r>
      <w:r w:rsidR="000A46CC" w:rsidRPr="00AC5A15">
        <w:t xml:space="preserve">PBAC </w:t>
      </w:r>
      <w:r>
        <w:t xml:space="preserve">has </w:t>
      </w:r>
      <w:r w:rsidR="000A46CC" w:rsidRPr="00AC5A15">
        <w:t>accept</w:t>
      </w:r>
      <w:r>
        <w:t>ed</w:t>
      </w:r>
      <w:r w:rsidR="000A46CC" w:rsidRPr="00AC5A15">
        <w:t xml:space="preserve"> the clinical claim of overall non-inferior effectiveness and safety, the CMA approach must establish that the cost per patient for treatment with faricimab would be no more than the cost per patient of aflibercept</w:t>
      </w:r>
      <w:r w:rsidR="000A26F8">
        <w:t xml:space="preserve"> or the lowest cost alternative</w:t>
      </w:r>
      <w:r w:rsidR="000A46CC" w:rsidRPr="00AC5A15">
        <w:t xml:space="preserve">. Where these cost per patient calculations are uncertain, the guiding principle is that the Australian Government should not bear the financial risk of this uncertainty because the Australian population already has access to therapy that is at least as effective and safe. </w:t>
      </w:r>
    </w:p>
    <w:p w14:paraId="4AE68B48" w14:textId="77777777" w:rsidR="000A46CC" w:rsidRDefault="000A46CC" w:rsidP="001C2A71">
      <w:pPr>
        <w:pStyle w:val="4-SubsectionHeading"/>
        <w:jc w:val="both"/>
      </w:pPr>
      <w:bookmarkStart w:id="44" w:name="_Toc22897646"/>
      <w:bookmarkStart w:id="45" w:name="_Toc107927632"/>
      <w:bookmarkStart w:id="46" w:name="_Toc166768922"/>
      <w:r w:rsidRPr="002C2775">
        <w:t>Drug cost/patient/year</w:t>
      </w:r>
      <w:bookmarkEnd w:id="44"/>
      <w:bookmarkEnd w:id="45"/>
      <w:bookmarkEnd w:id="46"/>
    </w:p>
    <w:p w14:paraId="1A55814A" w14:textId="3CB440F0" w:rsidR="00393D25" w:rsidRPr="006077F4" w:rsidRDefault="000A46CC" w:rsidP="00A727DE">
      <w:pPr>
        <w:pStyle w:val="3-BodyText"/>
        <w:ind w:left="709" w:hanging="709"/>
      </w:pPr>
      <w:bookmarkStart w:id="47" w:name="_Hlk107307804"/>
      <w:r w:rsidRPr="00AC5A15">
        <w:t xml:space="preserve">The drug cost per patient per year is presented in </w:t>
      </w:r>
      <w:r w:rsidR="00A727DE" w:rsidRPr="00AC5A15">
        <w:fldChar w:fldCharType="begin" w:fldLock="1"/>
      </w:r>
      <w:r w:rsidR="00A727DE" w:rsidRPr="00AC5A15">
        <w:instrText xml:space="preserve"> REF _Ref166770994 \h  \* MERGEFORMAT </w:instrText>
      </w:r>
      <w:r w:rsidR="00A727DE" w:rsidRPr="00AC5A15">
        <w:fldChar w:fldCharType="separate"/>
      </w:r>
      <w:r w:rsidR="00423F23" w:rsidRPr="00AC5A15">
        <w:t xml:space="preserve">Table </w:t>
      </w:r>
      <w:r w:rsidR="00423F23" w:rsidRPr="00AC5A15">
        <w:rPr>
          <w:noProof/>
        </w:rPr>
        <w:t>1</w:t>
      </w:r>
      <w:r w:rsidR="004B2DBC">
        <w:rPr>
          <w:noProof/>
        </w:rPr>
        <w:t>0</w:t>
      </w:r>
      <w:r w:rsidR="00A727DE" w:rsidRPr="00AC5A15">
        <w:fldChar w:fldCharType="end"/>
      </w:r>
      <w:r w:rsidR="00A727DE" w:rsidRPr="00AC5A15">
        <w:t xml:space="preserve"> </w:t>
      </w:r>
      <w:r w:rsidRPr="00AC5A15">
        <w:t>using</w:t>
      </w:r>
      <w:r w:rsidR="000B2531" w:rsidRPr="00AC5A15">
        <w:t xml:space="preserve"> an</w:t>
      </w:r>
      <w:r w:rsidRPr="00AC5A15">
        <w:t xml:space="preserve"> assumed effective </w:t>
      </w:r>
      <w:r w:rsidR="00C32FD7">
        <w:t xml:space="preserve">ex-manufacturer </w:t>
      </w:r>
      <w:r w:rsidRPr="00AC5A15">
        <w:t>price</w:t>
      </w:r>
      <w:r w:rsidR="000B2531" w:rsidRPr="00AC5A15">
        <w:t xml:space="preserve"> of </w:t>
      </w:r>
      <w:r w:rsidR="000B2531" w:rsidRPr="006077F4">
        <w:t>$</w:t>
      </w:r>
      <w:r w:rsidR="007A1CFA" w:rsidRPr="001910DB">
        <w:rPr>
          <w:color w:val="000000"/>
          <w:w w:val="15"/>
          <w:shd w:val="solid" w:color="000000" w:fill="000000"/>
          <w:fitText w:val="-20" w:id="-893184767"/>
          <w14:textFill>
            <w14:solidFill>
              <w14:srgbClr w14:val="000000">
                <w14:alpha w14:val="100000"/>
              </w14:srgbClr>
            </w14:solidFill>
          </w14:textFill>
        </w:rPr>
        <w:t xml:space="preserve">|  </w:t>
      </w:r>
      <w:r w:rsidR="007A1CFA" w:rsidRPr="001910DB">
        <w:rPr>
          <w:color w:val="000000"/>
          <w:spacing w:val="-69"/>
          <w:w w:val="15"/>
          <w:shd w:val="solid" w:color="000000" w:fill="000000"/>
          <w:fitText w:val="-20" w:id="-893184767"/>
          <w14:textFill>
            <w14:solidFill>
              <w14:srgbClr w14:val="000000">
                <w14:alpha w14:val="100000"/>
              </w14:srgbClr>
            </w14:solidFill>
          </w14:textFill>
        </w:rPr>
        <w:t>|</w:t>
      </w:r>
      <w:r w:rsidR="000B2531" w:rsidRPr="006077F4">
        <w:t xml:space="preserve"> per vial</w:t>
      </w:r>
      <w:r w:rsidRPr="006077F4">
        <w:t>.</w:t>
      </w:r>
      <w:bookmarkStart w:id="48" w:name="_Ref163459632"/>
    </w:p>
    <w:p w14:paraId="2E5B19C6" w14:textId="4621F190" w:rsidR="000A46CC" w:rsidRPr="006077F4" w:rsidRDefault="000A46CC" w:rsidP="00EA693D">
      <w:pPr>
        <w:pStyle w:val="Caption"/>
        <w:jc w:val="both"/>
        <w:rPr>
          <w:rStyle w:val="CommentReference"/>
          <w:b/>
          <w:szCs w:val="24"/>
        </w:rPr>
      </w:pPr>
      <w:bookmarkStart w:id="49" w:name="_Ref166770994"/>
      <w:r w:rsidRPr="006077F4">
        <w:t xml:space="preserve">Table </w:t>
      </w:r>
      <w:r w:rsidR="001B6BE3" w:rsidRPr="006077F4">
        <w:fldChar w:fldCharType="begin" w:fldLock="1"/>
      </w:r>
      <w:r w:rsidR="001B6BE3" w:rsidRPr="006077F4">
        <w:instrText xml:space="preserve"> SEQ Table \* ARABIC </w:instrText>
      </w:r>
      <w:r w:rsidR="001B6BE3" w:rsidRPr="006077F4">
        <w:fldChar w:fldCharType="separate"/>
      </w:r>
      <w:r w:rsidR="00423F23" w:rsidRPr="006077F4">
        <w:rPr>
          <w:noProof/>
        </w:rPr>
        <w:t>1</w:t>
      </w:r>
      <w:r w:rsidR="004B2DBC" w:rsidRPr="006077F4">
        <w:rPr>
          <w:noProof/>
        </w:rPr>
        <w:t>0</w:t>
      </w:r>
      <w:r w:rsidR="001B6BE3" w:rsidRPr="006077F4">
        <w:rPr>
          <w:noProof/>
        </w:rPr>
        <w:fldChar w:fldCharType="end"/>
      </w:r>
      <w:bookmarkEnd w:id="48"/>
      <w:bookmarkEnd w:id="49"/>
      <w:r w:rsidRPr="006077F4">
        <w:t xml:space="preserve">: </w:t>
      </w:r>
      <w:r w:rsidRPr="006077F4">
        <w:rPr>
          <w:rStyle w:val="CommentReference"/>
          <w:b/>
          <w:szCs w:val="24"/>
        </w:rPr>
        <w:t>Drug cost per patient per year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57"/>
        <w:gridCol w:w="1246"/>
        <w:gridCol w:w="1244"/>
        <w:gridCol w:w="1250"/>
        <w:gridCol w:w="1244"/>
        <w:gridCol w:w="1252"/>
        <w:gridCol w:w="1324"/>
      </w:tblGrid>
      <w:tr w:rsidR="000A46CC" w:rsidRPr="006077F4" w14:paraId="37AAEAE0" w14:textId="77777777" w:rsidTr="006B5A44">
        <w:trPr>
          <w:cantSplit/>
          <w:tblHeader/>
          <w:jc w:val="center"/>
        </w:trPr>
        <w:tc>
          <w:tcPr>
            <w:tcW w:w="808" w:type="pct"/>
            <w:tcBorders>
              <w:top w:val="single" w:sz="4" w:space="0" w:color="auto"/>
              <w:left w:val="single" w:sz="4" w:space="0" w:color="auto"/>
              <w:bottom w:val="single" w:sz="4" w:space="0" w:color="auto"/>
              <w:right w:val="single" w:sz="4" w:space="0" w:color="auto"/>
            </w:tcBorders>
            <w:vAlign w:val="center"/>
          </w:tcPr>
          <w:p w14:paraId="77F896DF" w14:textId="77777777" w:rsidR="000A46CC" w:rsidRPr="006077F4" w:rsidRDefault="000A46CC" w:rsidP="00EA693D">
            <w:pPr>
              <w:pStyle w:val="In-tableHeading"/>
              <w:keepLines/>
              <w:jc w:val="both"/>
              <w:rPr>
                <w:szCs w:val="20"/>
              </w:rPr>
            </w:pPr>
          </w:p>
        </w:tc>
        <w:tc>
          <w:tcPr>
            <w:tcW w:w="691" w:type="pct"/>
            <w:tcBorders>
              <w:top w:val="single" w:sz="4" w:space="0" w:color="auto"/>
              <w:left w:val="single" w:sz="4" w:space="0" w:color="auto"/>
              <w:bottom w:val="single" w:sz="4" w:space="0" w:color="auto"/>
              <w:right w:val="single" w:sz="4" w:space="0" w:color="auto"/>
            </w:tcBorders>
            <w:vAlign w:val="center"/>
            <w:hideMark/>
          </w:tcPr>
          <w:p w14:paraId="16C0CFF7" w14:textId="77777777" w:rsidR="000A46CC" w:rsidRPr="006077F4" w:rsidRDefault="000A46CC" w:rsidP="00EA693D">
            <w:pPr>
              <w:pStyle w:val="In-tableHeading"/>
              <w:keepLines/>
              <w:jc w:val="center"/>
              <w:rPr>
                <w:szCs w:val="20"/>
              </w:rPr>
            </w:pPr>
            <w:r w:rsidRPr="006077F4">
              <w:rPr>
                <w:szCs w:val="20"/>
              </w:rPr>
              <w:t>Faricimab</w:t>
            </w:r>
          </w:p>
          <w:p w14:paraId="7DF70062" w14:textId="77777777" w:rsidR="000A46CC" w:rsidRPr="006077F4" w:rsidRDefault="000A46CC" w:rsidP="00EA693D">
            <w:pPr>
              <w:pStyle w:val="In-tableHeading"/>
              <w:keepLines/>
              <w:jc w:val="center"/>
              <w:rPr>
                <w:szCs w:val="20"/>
              </w:rPr>
            </w:pPr>
            <w:r w:rsidRPr="006077F4">
              <w:rPr>
                <w:szCs w:val="20"/>
              </w:rPr>
              <w:t>trial dose and duration</w:t>
            </w:r>
          </w:p>
        </w:tc>
        <w:tc>
          <w:tcPr>
            <w:tcW w:w="690" w:type="pct"/>
            <w:tcBorders>
              <w:top w:val="single" w:sz="4" w:space="0" w:color="auto"/>
              <w:left w:val="single" w:sz="4" w:space="0" w:color="auto"/>
              <w:bottom w:val="single" w:sz="4" w:space="0" w:color="auto"/>
              <w:right w:val="single" w:sz="4" w:space="0" w:color="auto"/>
            </w:tcBorders>
            <w:vAlign w:val="center"/>
            <w:hideMark/>
          </w:tcPr>
          <w:p w14:paraId="07D69EA6" w14:textId="77777777" w:rsidR="000A46CC" w:rsidRPr="006077F4" w:rsidRDefault="000A46CC" w:rsidP="00EA693D">
            <w:pPr>
              <w:pStyle w:val="In-tableHeading"/>
              <w:keepLines/>
              <w:jc w:val="center"/>
              <w:rPr>
                <w:szCs w:val="20"/>
              </w:rPr>
            </w:pPr>
            <w:r w:rsidRPr="006077F4">
              <w:rPr>
                <w:szCs w:val="20"/>
              </w:rPr>
              <w:t>Faricimab</w:t>
            </w:r>
          </w:p>
          <w:p w14:paraId="4F910146" w14:textId="77777777" w:rsidR="000A46CC" w:rsidRPr="006077F4" w:rsidRDefault="000A46CC" w:rsidP="00EA693D">
            <w:pPr>
              <w:pStyle w:val="In-tableHeading"/>
              <w:keepLines/>
              <w:jc w:val="center"/>
              <w:rPr>
                <w:szCs w:val="20"/>
              </w:rPr>
            </w:pPr>
            <w:r w:rsidRPr="006077F4">
              <w:rPr>
                <w:szCs w:val="20"/>
              </w:rPr>
              <w:t>CMA</w:t>
            </w:r>
          </w:p>
        </w:tc>
        <w:tc>
          <w:tcPr>
            <w:tcW w:w="693" w:type="pct"/>
            <w:tcBorders>
              <w:top w:val="single" w:sz="4" w:space="0" w:color="auto"/>
              <w:left w:val="single" w:sz="4" w:space="0" w:color="auto"/>
              <w:bottom w:val="single" w:sz="4" w:space="0" w:color="auto"/>
              <w:right w:val="single" w:sz="4" w:space="0" w:color="auto"/>
            </w:tcBorders>
            <w:vAlign w:val="center"/>
            <w:hideMark/>
          </w:tcPr>
          <w:p w14:paraId="08EAB266" w14:textId="77777777" w:rsidR="000A46CC" w:rsidRPr="006077F4" w:rsidRDefault="000A46CC" w:rsidP="00EA693D">
            <w:pPr>
              <w:pStyle w:val="In-tableHeading"/>
              <w:keepLines/>
              <w:jc w:val="center"/>
              <w:rPr>
                <w:szCs w:val="20"/>
              </w:rPr>
            </w:pPr>
            <w:r w:rsidRPr="006077F4">
              <w:rPr>
                <w:szCs w:val="20"/>
              </w:rPr>
              <w:t>Faricimab</w:t>
            </w:r>
          </w:p>
          <w:p w14:paraId="2ECAAFF9" w14:textId="77777777" w:rsidR="000A46CC" w:rsidRPr="006077F4" w:rsidRDefault="000A46CC" w:rsidP="00EA693D">
            <w:pPr>
              <w:pStyle w:val="In-tableHeading"/>
              <w:keepLines/>
              <w:jc w:val="center"/>
              <w:rPr>
                <w:szCs w:val="20"/>
              </w:rPr>
            </w:pPr>
            <w:r w:rsidRPr="006077F4">
              <w:rPr>
                <w:szCs w:val="20"/>
              </w:rPr>
              <w:t>financial estimates</w:t>
            </w:r>
          </w:p>
        </w:tc>
        <w:tc>
          <w:tcPr>
            <w:tcW w:w="690" w:type="pct"/>
            <w:tcBorders>
              <w:top w:val="single" w:sz="4" w:space="0" w:color="auto"/>
              <w:left w:val="single" w:sz="4" w:space="0" w:color="auto"/>
              <w:bottom w:val="single" w:sz="4" w:space="0" w:color="auto"/>
              <w:right w:val="single" w:sz="4" w:space="0" w:color="auto"/>
            </w:tcBorders>
            <w:vAlign w:val="center"/>
            <w:hideMark/>
          </w:tcPr>
          <w:p w14:paraId="30CDB0C9" w14:textId="77777777" w:rsidR="000A46CC" w:rsidRPr="006077F4" w:rsidRDefault="000A46CC" w:rsidP="00EA693D">
            <w:pPr>
              <w:pStyle w:val="In-tableHeading"/>
              <w:keepLines/>
              <w:jc w:val="center"/>
              <w:rPr>
                <w:szCs w:val="20"/>
              </w:rPr>
            </w:pPr>
            <w:r w:rsidRPr="006077F4">
              <w:rPr>
                <w:szCs w:val="20"/>
              </w:rPr>
              <w:t>Aflibercept</w:t>
            </w:r>
          </w:p>
          <w:p w14:paraId="5E03D3E1" w14:textId="77777777" w:rsidR="000A46CC" w:rsidRPr="006077F4" w:rsidRDefault="000A46CC" w:rsidP="00EA693D">
            <w:pPr>
              <w:pStyle w:val="In-tableHeading"/>
              <w:keepLines/>
              <w:jc w:val="center"/>
              <w:rPr>
                <w:szCs w:val="20"/>
              </w:rPr>
            </w:pPr>
            <w:r w:rsidRPr="006077F4">
              <w:rPr>
                <w:szCs w:val="20"/>
              </w:rPr>
              <w:t>trial dose and duration</w:t>
            </w:r>
          </w:p>
        </w:tc>
        <w:tc>
          <w:tcPr>
            <w:tcW w:w="694" w:type="pct"/>
            <w:tcBorders>
              <w:top w:val="single" w:sz="4" w:space="0" w:color="auto"/>
              <w:left w:val="single" w:sz="4" w:space="0" w:color="auto"/>
              <w:bottom w:val="single" w:sz="4" w:space="0" w:color="auto"/>
              <w:right w:val="single" w:sz="4" w:space="0" w:color="auto"/>
            </w:tcBorders>
            <w:vAlign w:val="center"/>
            <w:hideMark/>
          </w:tcPr>
          <w:p w14:paraId="53E435CE" w14:textId="77777777" w:rsidR="000A46CC" w:rsidRPr="006077F4" w:rsidRDefault="000A46CC" w:rsidP="00EA693D">
            <w:pPr>
              <w:pStyle w:val="In-tableHeading"/>
              <w:keepLines/>
              <w:jc w:val="center"/>
              <w:rPr>
                <w:szCs w:val="20"/>
              </w:rPr>
            </w:pPr>
            <w:r w:rsidRPr="006077F4">
              <w:rPr>
                <w:szCs w:val="20"/>
              </w:rPr>
              <w:t>Aflibercept</w:t>
            </w:r>
          </w:p>
          <w:p w14:paraId="74F0FC38" w14:textId="77777777" w:rsidR="000A46CC" w:rsidRPr="006077F4" w:rsidRDefault="000A46CC" w:rsidP="00EA693D">
            <w:pPr>
              <w:pStyle w:val="In-tableHeading"/>
              <w:keepLines/>
              <w:jc w:val="center"/>
              <w:rPr>
                <w:szCs w:val="20"/>
              </w:rPr>
            </w:pPr>
            <w:r w:rsidRPr="006077F4">
              <w:rPr>
                <w:szCs w:val="20"/>
              </w:rPr>
              <w:t>CMA</w:t>
            </w:r>
          </w:p>
        </w:tc>
        <w:tc>
          <w:tcPr>
            <w:tcW w:w="734" w:type="pct"/>
            <w:tcBorders>
              <w:top w:val="single" w:sz="4" w:space="0" w:color="auto"/>
              <w:left w:val="single" w:sz="4" w:space="0" w:color="auto"/>
              <w:bottom w:val="single" w:sz="4" w:space="0" w:color="auto"/>
              <w:right w:val="single" w:sz="4" w:space="0" w:color="auto"/>
            </w:tcBorders>
            <w:hideMark/>
          </w:tcPr>
          <w:p w14:paraId="5C08EF1F" w14:textId="77777777" w:rsidR="000A46CC" w:rsidRPr="006077F4" w:rsidRDefault="000A46CC" w:rsidP="00EA693D">
            <w:pPr>
              <w:pStyle w:val="In-tableHeading"/>
              <w:keepLines/>
              <w:jc w:val="center"/>
              <w:rPr>
                <w:szCs w:val="20"/>
              </w:rPr>
            </w:pPr>
            <w:r w:rsidRPr="006077F4">
              <w:rPr>
                <w:szCs w:val="20"/>
              </w:rPr>
              <w:t>Aflibercept</w:t>
            </w:r>
          </w:p>
          <w:p w14:paraId="5DCA5EFD" w14:textId="77777777" w:rsidR="000A46CC" w:rsidRPr="006077F4" w:rsidRDefault="000A46CC" w:rsidP="00EA693D">
            <w:pPr>
              <w:pStyle w:val="In-tableHeading"/>
              <w:keepLines/>
              <w:jc w:val="center"/>
              <w:rPr>
                <w:szCs w:val="20"/>
              </w:rPr>
            </w:pPr>
            <w:r w:rsidRPr="006077F4">
              <w:rPr>
                <w:szCs w:val="20"/>
              </w:rPr>
              <w:t>financial estimates</w:t>
            </w:r>
          </w:p>
        </w:tc>
      </w:tr>
      <w:tr w:rsidR="006B5A44" w:rsidRPr="006077F4" w14:paraId="16F33D25" w14:textId="77777777" w:rsidTr="006B5A44">
        <w:trPr>
          <w:cantSplit/>
          <w:trHeight w:val="289"/>
          <w:tblHeader/>
          <w:jc w:val="center"/>
        </w:trPr>
        <w:tc>
          <w:tcPr>
            <w:tcW w:w="808" w:type="pct"/>
            <w:tcBorders>
              <w:top w:val="single" w:sz="4" w:space="0" w:color="auto"/>
              <w:left w:val="single" w:sz="4" w:space="0" w:color="auto"/>
              <w:bottom w:val="single" w:sz="4" w:space="0" w:color="auto"/>
              <w:right w:val="single" w:sz="4" w:space="0" w:color="auto"/>
            </w:tcBorders>
            <w:vAlign w:val="center"/>
          </w:tcPr>
          <w:p w14:paraId="33015A7C" w14:textId="77777777" w:rsidR="006B5A44" w:rsidRPr="006077F4" w:rsidRDefault="006B5A44" w:rsidP="00EA693D">
            <w:pPr>
              <w:pStyle w:val="In-tableHeading"/>
              <w:keepLines/>
              <w:jc w:val="both"/>
              <w:rPr>
                <w:b w:val="0"/>
                <w:bCs/>
                <w:szCs w:val="20"/>
              </w:rPr>
            </w:pPr>
            <w:r w:rsidRPr="006077F4">
              <w:rPr>
                <w:b w:val="0"/>
                <w:bCs/>
                <w:szCs w:val="20"/>
              </w:rPr>
              <w:t>Mean dose/scripts</w:t>
            </w:r>
          </w:p>
        </w:tc>
        <w:tc>
          <w:tcPr>
            <w:tcW w:w="2074" w:type="pct"/>
            <w:gridSpan w:val="3"/>
            <w:tcBorders>
              <w:top w:val="single" w:sz="4" w:space="0" w:color="auto"/>
              <w:left w:val="single" w:sz="4" w:space="0" w:color="auto"/>
              <w:bottom w:val="single" w:sz="4" w:space="0" w:color="auto"/>
              <w:right w:val="single" w:sz="4" w:space="0" w:color="auto"/>
            </w:tcBorders>
            <w:vAlign w:val="center"/>
          </w:tcPr>
          <w:p w14:paraId="525602FB" w14:textId="26F526FB" w:rsidR="006B5A44" w:rsidRPr="006077F4" w:rsidRDefault="006B5A44" w:rsidP="00EA693D">
            <w:pPr>
              <w:pStyle w:val="In-tableHeading"/>
              <w:keepLines/>
              <w:jc w:val="center"/>
              <w:rPr>
                <w:b w:val="0"/>
                <w:bCs/>
                <w:szCs w:val="20"/>
                <w:vertAlign w:val="superscript"/>
              </w:rPr>
            </w:pPr>
            <w:r w:rsidRPr="006077F4">
              <w:rPr>
                <w:b w:val="0"/>
                <w:bCs/>
                <w:szCs w:val="20"/>
              </w:rPr>
              <w:t>12.6</w:t>
            </w:r>
            <w:r w:rsidRPr="006077F4">
              <w:rPr>
                <w:b w:val="0"/>
                <w:bCs/>
                <w:szCs w:val="20"/>
                <w:vertAlign w:val="superscript"/>
              </w:rPr>
              <w:t>a</w:t>
            </w:r>
          </w:p>
        </w:tc>
        <w:tc>
          <w:tcPr>
            <w:tcW w:w="2118" w:type="pct"/>
            <w:gridSpan w:val="3"/>
            <w:tcBorders>
              <w:top w:val="single" w:sz="4" w:space="0" w:color="auto"/>
              <w:left w:val="single" w:sz="4" w:space="0" w:color="auto"/>
              <w:bottom w:val="single" w:sz="4" w:space="0" w:color="auto"/>
              <w:right w:val="single" w:sz="4" w:space="0" w:color="auto"/>
            </w:tcBorders>
            <w:vAlign w:val="center"/>
          </w:tcPr>
          <w:p w14:paraId="2F02BC01" w14:textId="6528E4C9" w:rsidR="006B5A44" w:rsidRPr="006077F4" w:rsidRDefault="006B5A44" w:rsidP="00EA693D">
            <w:pPr>
              <w:pStyle w:val="In-tableHeading"/>
              <w:keepLines/>
              <w:jc w:val="center"/>
              <w:rPr>
                <w:b w:val="0"/>
                <w:bCs/>
                <w:szCs w:val="20"/>
                <w:vertAlign w:val="superscript"/>
              </w:rPr>
            </w:pPr>
            <w:r w:rsidRPr="006077F4">
              <w:rPr>
                <w:b w:val="0"/>
                <w:bCs/>
                <w:szCs w:val="20"/>
              </w:rPr>
              <w:t>12.6</w:t>
            </w:r>
            <w:r w:rsidRPr="006077F4">
              <w:rPr>
                <w:b w:val="0"/>
                <w:bCs/>
                <w:szCs w:val="20"/>
                <w:vertAlign w:val="superscript"/>
              </w:rPr>
              <w:t>a</w:t>
            </w:r>
          </w:p>
        </w:tc>
      </w:tr>
      <w:tr w:rsidR="000A46CC" w:rsidRPr="006077F4" w14:paraId="0CD557FC" w14:textId="77777777" w:rsidTr="006B5A44">
        <w:trPr>
          <w:cantSplit/>
          <w:jc w:val="center"/>
        </w:trPr>
        <w:tc>
          <w:tcPr>
            <w:tcW w:w="808" w:type="pct"/>
            <w:tcBorders>
              <w:top w:val="single" w:sz="4" w:space="0" w:color="auto"/>
              <w:left w:val="single" w:sz="4" w:space="0" w:color="auto"/>
              <w:bottom w:val="single" w:sz="4" w:space="0" w:color="auto"/>
              <w:right w:val="single" w:sz="4" w:space="0" w:color="auto"/>
            </w:tcBorders>
            <w:vAlign w:val="center"/>
            <w:hideMark/>
          </w:tcPr>
          <w:p w14:paraId="0C7D728F" w14:textId="77777777" w:rsidR="000A46CC" w:rsidRPr="006077F4" w:rsidRDefault="000A46CC" w:rsidP="00EA693D">
            <w:pPr>
              <w:pStyle w:val="TableText0"/>
              <w:keepLines/>
              <w:spacing w:line="256" w:lineRule="auto"/>
              <w:jc w:val="both"/>
              <w:rPr>
                <w:szCs w:val="20"/>
                <w:lang w:val="en-US"/>
              </w:rPr>
            </w:pPr>
            <w:r w:rsidRPr="006077F4">
              <w:rPr>
                <w:szCs w:val="20"/>
                <w:lang w:val="en-US"/>
              </w:rPr>
              <w:t>DPMQ per script</w:t>
            </w:r>
          </w:p>
        </w:tc>
        <w:tc>
          <w:tcPr>
            <w:tcW w:w="2074" w:type="pct"/>
            <w:gridSpan w:val="3"/>
            <w:tcBorders>
              <w:top w:val="single" w:sz="4" w:space="0" w:color="auto"/>
              <w:left w:val="single" w:sz="4" w:space="0" w:color="auto"/>
              <w:bottom w:val="single" w:sz="4" w:space="0" w:color="auto"/>
              <w:right w:val="single" w:sz="4" w:space="0" w:color="auto"/>
            </w:tcBorders>
            <w:vAlign w:val="center"/>
          </w:tcPr>
          <w:p w14:paraId="43A0A1AE" w14:textId="6ABF279D" w:rsidR="000A46CC" w:rsidRPr="006077F4" w:rsidRDefault="000A46CC" w:rsidP="00EA693D">
            <w:pPr>
              <w:pStyle w:val="TableText0"/>
              <w:keepLines/>
              <w:jc w:val="center"/>
              <w:rPr>
                <w:i/>
                <w:iCs/>
                <w:strike/>
                <w:szCs w:val="20"/>
                <w:lang w:val="en-US"/>
              </w:rPr>
            </w:pPr>
            <w:r w:rsidRPr="006077F4">
              <w:rPr>
                <w:szCs w:val="20"/>
              </w:rPr>
              <w:t>$</w:t>
            </w:r>
            <w:r w:rsidR="007A1CFA" w:rsidRPr="007A1CFA">
              <w:rPr>
                <w:color w:val="000000"/>
                <w:szCs w:val="20"/>
                <w:shd w:val="solid" w:color="000000" w:fill="000000"/>
                <w14:textFill>
                  <w14:solidFill>
                    <w14:srgbClr w14:val="000000">
                      <w14:alpha w14:val="100000"/>
                    </w14:srgbClr>
                  </w14:solidFill>
                </w14:textFill>
              </w:rPr>
              <w:t>|</w:t>
            </w:r>
          </w:p>
        </w:tc>
        <w:tc>
          <w:tcPr>
            <w:tcW w:w="2118" w:type="pct"/>
            <w:gridSpan w:val="3"/>
            <w:tcBorders>
              <w:top w:val="single" w:sz="4" w:space="0" w:color="auto"/>
              <w:left w:val="single" w:sz="4" w:space="0" w:color="auto"/>
              <w:bottom w:val="single" w:sz="4" w:space="0" w:color="auto"/>
              <w:right w:val="single" w:sz="4" w:space="0" w:color="auto"/>
            </w:tcBorders>
            <w:vAlign w:val="center"/>
          </w:tcPr>
          <w:p w14:paraId="04675FDD" w14:textId="51DBD894" w:rsidR="000A46CC" w:rsidRPr="006077F4" w:rsidRDefault="000A46CC" w:rsidP="00EA693D">
            <w:pPr>
              <w:pStyle w:val="TableText0"/>
              <w:keepLines/>
              <w:spacing w:line="256" w:lineRule="auto"/>
              <w:jc w:val="center"/>
              <w:rPr>
                <w:i/>
                <w:szCs w:val="20"/>
                <w:lang w:val="en-US"/>
              </w:rPr>
            </w:pPr>
            <w:r w:rsidRPr="006077F4">
              <w:rPr>
                <w:szCs w:val="20"/>
              </w:rPr>
              <w:t>$</w:t>
            </w:r>
            <w:r w:rsidR="007A1CFA" w:rsidRPr="007A1CFA">
              <w:rPr>
                <w:color w:val="000000"/>
                <w:szCs w:val="20"/>
                <w:shd w:val="solid" w:color="000000" w:fill="000000"/>
                <w14:textFill>
                  <w14:solidFill>
                    <w14:srgbClr w14:val="000000">
                      <w14:alpha w14:val="100000"/>
                    </w14:srgbClr>
                  </w14:solidFill>
                </w14:textFill>
              </w:rPr>
              <w:t>|</w:t>
            </w:r>
          </w:p>
        </w:tc>
      </w:tr>
      <w:tr w:rsidR="006B5A44" w:rsidRPr="007E055C" w14:paraId="32C00BBD" w14:textId="77777777" w:rsidTr="006B5A44">
        <w:trPr>
          <w:cantSplit/>
          <w:jc w:val="center"/>
        </w:trPr>
        <w:tc>
          <w:tcPr>
            <w:tcW w:w="808" w:type="pct"/>
            <w:tcBorders>
              <w:top w:val="single" w:sz="4" w:space="0" w:color="auto"/>
              <w:left w:val="single" w:sz="4" w:space="0" w:color="auto"/>
              <w:bottom w:val="single" w:sz="4" w:space="0" w:color="auto"/>
              <w:right w:val="single" w:sz="4" w:space="0" w:color="auto"/>
            </w:tcBorders>
            <w:vAlign w:val="center"/>
            <w:hideMark/>
          </w:tcPr>
          <w:p w14:paraId="6F9D28F3" w14:textId="77777777" w:rsidR="006B5A44" w:rsidRPr="006077F4" w:rsidRDefault="006B5A44" w:rsidP="00EA693D">
            <w:pPr>
              <w:pStyle w:val="TableText0"/>
              <w:keepLines/>
              <w:jc w:val="both"/>
              <w:rPr>
                <w:szCs w:val="20"/>
                <w:lang w:val="en-US"/>
              </w:rPr>
            </w:pPr>
            <w:r w:rsidRPr="006077F4">
              <w:rPr>
                <w:szCs w:val="20"/>
                <w:lang w:val="en-US"/>
              </w:rPr>
              <w:t>Cost/patient/year</w:t>
            </w:r>
          </w:p>
        </w:tc>
        <w:tc>
          <w:tcPr>
            <w:tcW w:w="2074" w:type="pct"/>
            <w:gridSpan w:val="3"/>
            <w:tcBorders>
              <w:top w:val="single" w:sz="4" w:space="0" w:color="auto"/>
              <w:left w:val="single" w:sz="4" w:space="0" w:color="auto"/>
              <w:bottom w:val="single" w:sz="4" w:space="0" w:color="auto"/>
              <w:right w:val="single" w:sz="4" w:space="0" w:color="auto"/>
            </w:tcBorders>
            <w:vAlign w:val="center"/>
          </w:tcPr>
          <w:p w14:paraId="4E7D23D7" w14:textId="40A33DDA" w:rsidR="006B5A44" w:rsidRPr="006077F4" w:rsidRDefault="006B5A44" w:rsidP="00EA693D">
            <w:pPr>
              <w:pStyle w:val="TableText0"/>
              <w:keepLines/>
              <w:jc w:val="center"/>
              <w:rPr>
                <w:szCs w:val="20"/>
                <w:lang w:val="en-US"/>
              </w:rPr>
            </w:pPr>
            <w:r w:rsidRPr="006077F4">
              <w:rPr>
                <w:szCs w:val="20"/>
              </w:rPr>
              <w:t>$</w:t>
            </w:r>
            <w:r w:rsidR="007A1CFA" w:rsidRPr="007A1CFA">
              <w:rPr>
                <w:color w:val="000000"/>
                <w:szCs w:val="20"/>
                <w:shd w:val="solid" w:color="000000" w:fill="000000"/>
                <w14:textFill>
                  <w14:solidFill>
                    <w14:srgbClr w14:val="000000">
                      <w14:alpha w14:val="100000"/>
                    </w14:srgbClr>
                  </w14:solidFill>
                </w14:textFill>
              </w:rPr>
              <w:t>|</w:t>
            </w:r>
          </w:p>
        </w:tc>
        <w:tc>
          <w:tcPr>
            <w:tcW w:w="2118" w:type="pct"/>
            <w:gridSpan w:val="3"/>
            <w:tcBorders>
              <w:top w:val="single" w:sz="4" w:space="0" w:color="auto"/>
              <w:left w:val="single" w:sz="4" w:space="0" w:color="auto"/>
              <w:bottom w:val="single" w:sz="4" w:space="0" w:color="auto"/>
              <w:right w:val="single" w:sz="4" w:space="0" w:color="auto"/>
            </w:tcBorders>
            <w:vAlign w:val="center"/>
          </w:tcPr>
          <w:p w14:paraId="7806AA4C" w14:textId="1163CC4A" w:rsidR="006B5A44" w:rsidRPr="006077F4" w:rsidRDefault="006B5A44" w:rsidP="00EA693D">
            <w:pPr>
              <w:pStyle w:val="TableText0"/>
              <w:keepLines/>
              <w:jc w:val="center"/>
              <w:rPr>
                <w:szCs w:val="20"/>
                <w:lang w:val="en-US"/>
              </w:rPr>
            </w:pPr>
            <w:r w:rsidRPr="006077F4">
              <w:rPr>
                <w:szCs w:val="20"/>
              </w:rPr>
              <w:t>$</w:t>
            </w:r>
            <w:r w:rsidR="007A1CFA" w:rsidRPr="007A1CFA">
              <w:rPr>
                <w:color w:val="000000"/>
                <w:szCs w:val="20"/>
                <w:shd w:val="solid" w:color="000000" w:fill="000000"/>
                <w14:textFill>
                  <w14:solidFill>
                    <w14:srgbClr w14:val="000000">
                      <w14:alpha w14:val="100000"/>
                    </w14:srgbClr>
                  </w14:solidFill>
                </w14:textFill>
              </w:rPr>
              <w:t>|</w:t>
            </w:r>
          </w:p>
        </w:tc>
      </w:tr>
    </w:tbl>
    <w:p w14:paraId="0C8F1B51" w14:textId="77777777" w:rsidR="000A46CC" w:rsidRDefault="000A46CC" w:rsidP="00EA693D">
      <w:pPr>
        <w:pStyle w:val="FooterTableFigure"/>
        <w:keepNext/>
        <w:keepLines/>
        <w:jc w:val="both"/>
      </w:pPr>
      <w:r>
        <w:t xml:space="preserve">Source: constructed during the evaluation based on Section 3 and Section 4 of the submission. </w:t>
      </w:r>
    </w:p>
    <w:p w14:paraId="6917BB1B" w14:textId="77777777" w:rsidR="000A46CC" w:rsidRDefault="000A46CC" w:rsidP="00EA693D">
      <w:pPr>
        <w:pStyle w:val="FooterTableFigure"/>
        <w:keepNext/>
        <w:keepLines/>
        <w:jc w:val="both"/>
      </w:pPr>
      <w:r>
        <w:t>CMA= cost-minimisation approach; DPMQ = dispensed price maximum quantity mg = milligrams.</w:t>
      </w:r>
    </w:p>
    <w:p w14:paraId="7333F316" w14:textId="108CE707" w:rsidR="00B3278C" w:rsidRDefault="00B3278C" w:rsidP="00EA693D">
      <w:pPr>
        <w:pStyle w:val="FooterTableFigure"/>
        <w:keepNext/>
        <w:keepLines/>
        <w:jc w:val="both"/>
      </w:pPr>
      <w:r>
        <w:t xml:space="preserve">Notes: The financial estimates presented by the submission assumed faricimab use would be the same </w:t>
      </w:r>
      <w:r w:rsidR="001F5242">
        <w:t xml:space="preserve">as aflibercept </w:t>
      </w:r>
    </w:p>
    <w:p w14:paraId="4E71DBFD" w14:textId="0DD09217" w:rsidR="000A46CC" w:rsidRDefault="00FF328A" w:rsidP="00EA693D">
      <w:pPr>
        <w:pStyle w:val="FooterTableFigure"/>
        <w:keepNext/>
        <w:keepLines/>
        <w:jc w:val="both"/>
      </w:pPr>
      <w:bookmarkStart w:id="50" w:name="_Hlk172193466"/>
      <w:r w:rsidRPr="00FF328A">
        <w:rPr>
          <w:vertAlign w:val="superscript"/>
        </w:rPr>
        <w:t>a</w:t>
      </w:r>
      <w:r>
        <w:t xml:space="preserve"> </w:t>
      </w:r>
      <w:r w:rsidR="00254BA2">
        <w:t>Assumed</w:t>
      </w:r>
      <w:r w:rsidR="000A46CC">
        <w:t xml:space="preserve"> </w:t>
      </w:r>
      <w:r w:rsidR="00254BA2">
        <w:t xml:space="preserve">1:1 script equivalence between faricimab and aflibercept </w:t>
      </w:r>
      <w:r w:rsidR="000A46CC">
        <w:t xml:space="preserve">based on </w:t>
      </w:r>
      <w:r w:rsidR="000A46CC" w:rsidRPr="00D40D19">
        <w:rPr>
          <w:lang w:val="en-US"/>
        </w:rPr>
        <w:t>the mean number of injections (5.8 injections</w:t>
      </w:r>
      <w:r w:rsidR="000A46CC">
        <w:rPr>
          <w:lang w:val="en-US"/>
        </w:rPr>
        <w:t xml:space="preserve"> in both faricimab and aflibercept arms</w:t>
      </w:r>
      <w:r w:rsidR="000A46CC" w:rsidRPr="00D40D19">
        <w:rPr>
          <w:lang w:val="en-US"/>
        </w:rPr>
        <w:t xml:space="preserve">) reported in </w:t>
      </w:r>
      <w:r w:rsidR="002E4EBF">
        <w:rPr>
          <w:lang w:val="en-US"/>
        </w:rPr>
        <w:t xml:space="preserve">the </w:t>
      </w:r>
      <w:r w:rsidR="000A46CC" w:rsidRPr="00D40D19">
        <w:rPr>
          <w:lang w:val="en-US"/>
        </w:rPr>
        <w:t>BALATON and COMINO</w:t>
      </w:r>
      <w:r w:rsidR="002E4EBF">
        <w:rPr>
          <w:lang w:val="en-US"/>
        </w:rPr>
        <w:t xml:space="preserve"> trials</w:t>
      </w:r>
      <w:r w:rsidR="000A46CC" w:rsidRPr="00D40D19">
        <w:rPr>
          <w:lang w:val="en-US"/>
        </w:rPr>
        <w:t xml:space="preserve"> at 24 weeks extrapolated to a </w:t>
      </w:r>
      <w:r w:rsidR="00726A4F" w:rsidRPr="00D40D19">
        <w:rPr>
          <w:lang w:val="en-US"/>
        </w:rPr>
        <w:t>52-week</w:t>
      </w:r>
      <w:r w:rsidR="000A46CC" w:rsidRPr="00D40D19">
        <w:rPr>
          <w:lang w:val="en-US"/>
        </w:rPr>
        <w:t xml:space="preserve"> estimate.</w:t>
      </w:r>
    </w:p>
    <w:p w14:paraId="0111694F" w14:textId="77777777" w:rsidR="000A46CC" w:rsidRPr="00C9624D" w:rsidRDefault="000A46CC" w:rsidP="00A727DE">
      <w:pPr>
        <w:pStyle w:val="4-SubsectionHeading"/>
        <w:keepNext w:val="0"/>
        <w:jc w:val="both"/>
      </w:pPr>
      <w:bookmarkStart w:id="51" w:name="_Toc22897647"/>
      <w:bookmarkStart w:id="52" w:name="_Toc107927633"/>
      <w:bookmarkStart w:id="53" w:name="_Toc166768923"/>
      <w:bookmarkEnd w:id="47"/>
      <w:bookmarkEnd w:id="50"/>
      <w:r w:rsidRPr="00C9624D">
        <w:t>Estimated PBS usage &amp; financial implications</w:t>
      </w:r>
      <w:bookmarkEnd w:id="51"/>
      <w:bookmarkEnd w:id="52"/>
      <w:bookmarkEnd w:id="53"/>
    </w:p>
    <w:p w14:paraId="64794698" w14:textId="5CEC5103" w:rsidR="00E9303F" w:rsidRDefault="000A46CC" w:rsidP="00A727DE">
      <w:pPr>
        <w:pStyle w:val="3-BodyText"/>
        <w:ind w:left="709" w:hanging="709"/>
      </w:pPr>
      <w:bookmarkStart w:id="54" w:name="_Ref104805262"/>
      <w:r>
        <w:t xml:space="preserve">This submission </w:t>
      </w:r>
      <w:r w:rsidR="003B20E6">
        <w:t>was</w:t>
      </w:r>
      <w:r>
        <w:t xml:space="preserve"> not considered by DUSC. </w:t>
      </w:r>
    </w:p>
    <w:p w14:paraId="418E2EB9" w14:textId="4BE81909" w:rsidR="00393D25" w:rsidRPr="00A727DE" w:rsidRDefault="000A46CC" w:rsidP="00A727DE">
      <w:pPr>
        <w:pStyle w:val="3-BodyText"/>
        <w:ind w:left="709" w:hanging="709"/>
      </w:pPr>
      <w:r>
        <w:t xml:space="preserve">The submission used a market share approach to estimate the extent of use and financial impact of listing faricimab on the PBS. </w:t>
      </w:r>
      <w:r w:rsidRPr="00AC5A15">
        <w:t xml:space="preserve">This was consistent with the claim of non-inferiority in terms of effectiveness and safety compared with aflibercept and the CMA presented by the submission. </w:t>
      </w:r>
      <w:r>
        <w:t>The market size of anti-VEGF therapies for RVO was estimated from the historical use of aflibercept for RVO. The sources of data utilised are shown in</w:t>
      </w:r>
      <w:bookmarkStart w:id="55" w:name="_Ref163461170"/>
      <w:bookmarkStart w:id="56" w:name="_Ref104805295"/>
      <w:bookmarkEnd w:id="54"/>
      <w:r w:rsidR="00A727DE">
        <w:t xml:space="preserve"> </w:t>
      </w:r>
      <w:r w:rsidR="00A727DE">
        <w:fldChar w:fldCharType="begin" w:fldLock="1"/>
      </w:r>
      <w:r w:rsidR="00A727DE">
        <w:instrText xml:space="preserve"> REF _Ref166771067 \h </w:instrText>
      </w:r>
      <w:r w:rsidR="00A727DE">
        <w:fldChar w:fldCharType="separate"/>
      </w:r>
      <w:r w:rsidR="00D025B6" w:rsidRPr="00B4003B">
        <w:t xml:space="preserve">Table </w:t>
      </w:r>
      <w:r w:rsidR="00D025B6">
        <w:t>1</w:t>
      </w:r>
      <w:r w:rsidR="00D025B6">
        <w:rPr>
          <w:noProof/>
        </w:rPr>
        <w:t>1</w:t>
      </w:r>
      <w:r w:rsidR="00A727DE">
        <w:fldChar w:fldCharType="end"/>
      </w:r>
      <w:r w:rsidR="00A727DE">
        <w:t>.</w:t>
      </w:r>
    </w:p>
    <w:p w14:paraId="1C90C6B8" w14:textId="083EDAD9" w:rsidR="000A46CC" w:rsidRDefault="000A46CC" w:rsidP="00EA693D">
      <w:pPr>
        <w:pStyle w:val="Caption"/>
        <w:widowControl w:val="0"/>
        <w:jc w:val="both"/>
        <w:rPr>
          <w:rStyle w:val="CommentReference"/>
          <w:b/>
          <w:szCs w:val="24"/>
        </w:rPr>
      </w:pPr>
      <w:bookmarkStart w:id="57" w:name="_Ref166771067"/>
      <w:r w:rsidRPr="00B4003B">
        <w:t xml:space="preserve">Table </w:t>
      </w:r>
      <w:r w:rsidR="00861F82">
        <w:t>1</w:t>
      </w:r>
      <w:r w:rsidR="001B6BE3">
        <w:fldChar w:fldCharType="begin" w:fldLock="1"/>
      </w:r>
      <w:r w:rsidR="001B6BE3">
        <w:instrText xml:space="preserve"> SEQ Table \* ARABIC </w:instrText>
      </w:r>
      <w:r w:rsidR="001B6BE3">
        <w:fldChar w:fldCharType="separate"/>
      </w:r>
      <w:r w:rsidR="00423F23">
        <w:rPr>
          <w:noProof/>
        </w:rPr>
        <w:t>1</w:t>
      </w:r>
      <w:r w:rsidR="001B6BE3">
        <w:rPr>
          <w:noProof/>
        </w:rPr>
        <w:fldChar w:fldCharType="end"/>
      </w:r>
      <w:bookmarkEnd w:id="55"/>
      <w:bookmarkEnd w:id="57"/>
      <w:r w:rsidRPr="00B4003B">
        <w:t>:</w:t>
      </w:r>
      <w:r w:rsidRPr="00B4003B">
        <w:rPr>
          <w:rStyle w:val="CommentReference"/>
          <w:b/>
          <w:szCs w:val="24"/>
        </w:rPr>
        <w:t xml:space="preserve"> Key inputs for financial estimates</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969"/>
        <w:gridCol w:w="3373"/>
      </w:tblGrid>
      <w:tr w:rsidR="000A46CC" w:rsidRPr="007E055C" w14:paraId="4929929F" w14:textId="77777777" w:rsidTr="00A727DE">
        <w:trPr>
          <w:tblHeader/>
        </w:trPr>
        <w:tc>
          <w:tcPr>
            <w:tcW w:w="1838" w:type="dxa"/>
            <w:vAlign w:val="center"/>
          </w:tcPr>
          <w:p w14:paraId="792431E2" w14:textId="77777777" w:rsidR="000A46CC" w:rsidRPr="007E055C" w:rsidRDefault="000A46CC" w:rsidP="00EA693D">
            <w:pPr>
              <w:pStyle w:val="In-tableHeading"/>
              <w:keepLines/>
              <w:widowControl w:val="0"/>
              <w:jc w:val="both"/>
              <w:rPr>
                <w:szCs w:val="20"/>
              </w:rPr>
            </w:pPr>
            <w:r w:rsidRPr="007E055C">
              <w:rPr>
                <w:szCs w:val="20"/>
              </w:rPr>
              <w:t>Data</w:t>
            </w:r>
          </w:p>
        </w:tc>
        <w:tc>
          <w:tcPr>
            <w:tcW w:w="3969" w:type="dxa"/>
            <w:vAlign w:val="center"/>
          </w:tcPr>
          <w:p w14:paraId="7C9A93A9" w14:textId="77777777" w:rsidR="000A46CC" w:rsidRPr="007E055C" w:rsidRDefault="000A46CC" w:rsidP="00EA693D">
            <w:pPr>
              <w:pStyle w:val="In-tableHeading"/>
              <w:keepLines/>
              <w:widowControl w:val="0"/>
              <w:jc w:val="both"/>
              <w:rPr>
                <w:szCs w:val="20"/>
              </w:rPr>
            </w:pPr>
            <w:r w:rsidRPr="007E055C">
              <w:rPr>
                <w:szCs w:val="20"/>
              </w:rPr>
              <w:t>Value applied and source</w:t>
            </w:r>
          </w:p>
        </w:tc>
        <w:tc>
          <w:tcPr>
            <w:tcW w:w="3373" w:type="dxa"/>
            <w:vAlign w:val="center"/>
          </w:tcPr>
          <w:p w14:paraId="511FB9D9" w14:textId="77777777" w:rsidR="000A46CC" w:rsidRPr="007E055C" w:rsidRDefault="000A46CC" w:rsidP="00EA693D">
            <w:pPr>
              <w:pStyle w:val="In-tableHeading"/>
              <w:keepLines/>
              <w:widowControl w:val="0"/>
              <w:jc w:val="both"/>
              <w:rPr>
                <w:szCs w:val="20"/>
              </w:rPr>
            </w:pPr>
            <w:r w:rsidRPr="007E055C">
              <w:rPr>
                <w:szCs w:val="20"/>
              </w:rPr>
              <w:t>Comment</w:t>
            </w:r>
          </w:p>
        </w:tc>
      </w:tr>
      <w:tr w:rsidR="000A46CC" w:rsidRPr="007E055C" w14:paraId="7AF9B073" w14:textId="77777777" w:rsidTr="00A727DE">
        <w:trPr>
          <w:tblHeader/>
        </w:trPr>
        <w:tc>
          <w:tcPr>
            <w:tcW w:w="9180" w:type="dxa"/>
            <w:gridSpan w:val="3"/>
            <w:vAlign w:val="center"/>
          </w:tcPr>
          <w:p w14:paraId="5AEAC0F7" w14:textId="77777777" w:rsidR="000A46CC" w:rsidRPr="007E055C" w:rsidRDefault="000A46CC" w:rsidP="00EA693D">
            <w:pPr>
              <w:pStyle w:val="In-tableHeading"/>
              <w:keepLines/>
              <w:widowControl w:val="0"/>
              <w:jc w:val="both"/>
              <w:rPr>
                <w:szCs w:val="20"/>
              </w:rPr>
            </w:pPr>
            <w:r w:rsidRPr="007E055C">
              <w:rPr>
                <w:szCs w:val="20"/>
              </w:rPr>
              <w:t>Treatment utilisation</w:t>
            </w:r>
          </w:p>
        </w:tc>
      </w:tr>
      <w:tr w:rsidR="000A46CC" w:rsidRPr="007E055C" w14:paraId="24644B1B" w14:textId="77777777" w:rsidTr="00A727DE">
        <w:trPr>
          <w:tblHeader/>
        </w:trPr>
        <w:tc>
          <w:tcPr>
            <w:tcW w:w="9180" w:type="dxa"/>
            <w:gridSpan w:val="3"/>
            <w:vAlign w:val="center"/>
          </w:tcPr>
          <w:p w14:paraId="57F31B1F" w14:textId="77777777" w:rsidR="000A46CC" w:rsidRPr="007E055C" w:rsidRDefault="000A46CC" w:rsidP="00EA693D">
            <w:pPr>
              <w:pStyle w:val="TableText0"/>
              <w:keepLines/>
              <w:widowControl w:val="0"/>
              <w:jc w:val="both"/>
              <w:rPr>
                <w:b/>
                <w:iCs/>
                <w:szCs w:val="20"/>
              </w:rPr>
            </w:pPr>
            <w:r w:rsidRPr="007E055C">
              <w:rPr>
                <w:b/>
                <w:iCs/>
                <w:szCs w:val="20"/>
              </w:rPr>
              <w:t>Anti-VEGF market without listing of faricimab</w:t>
            </w:r>
          </w:p>
        </w:tc>
      </w:tr>
      <w:tr w:rsidR="000A46CC" w:rsidRPr="007E055C" w14:paraId="1744FDD3" w14:textId="77777777" w:rsidTr="00A727DE">
        <w:trPr>
          <w:tblHeader/>
        </w:trPr>
        <w:tc>
          <w:tcPr>
            <w:tcW w:w="1838" w:type="dxa"/>
            <w:vAlign w:val="center"/>
          </w:tcPr>
          <w:p w14:paraId="36A2124B" w14:textId="77777777" w:rsidR="000A46CC" w:rsidRPr="007E055C" w:rsidRDefault="000A46CC" w:rsidP="00EA693D">
            <w:pPr>
              <w:pStyle w:val="TableText0"/>
              <w:keepLines/>
              <w:widowControl w:val="0"/>
              <w:rPr>
                <w:szCs w:val="20"/>
              </w:rPr>
            </w:pPr>
            <w:r w:rsidRPr="007E055C">
              <w:rPr>
                <w:szCs w:val="20"/>
              </w:rPr>
              <w:t>Estimated anti-VEGF market for 2023 (scripts)</w:t>
            </w:r>
          </w:p>
        </w:tc>
        <w:tc>
          <w:tcPr>
            <w:tcW w:w="3969" w:type="dxa"/>
            <w:vAlign w:val="center"/>
          </w:tcPr>
          <w:p w14:paraId="02A485AA" w14:textId="77777777" w:rsidR="000A46CC" w:rsidRPr="007E055C" w:rsidRDefault="000A46CC" w:rsidP="00EA693D">
            <w:pPr>
              <w:pStyle w:val="TableText0"/>
              <w:keepLines/>
              <w:widowControl w:val="0"/>
              <w:rPr>
                <w:szCs w:val="20"/>
              </w:rPr>
            </w:pPr>
            <w:r w:rsidRPr="007E055C">
              <w:rPr>
                <w:szCs w:val="20"/>
              </w:rPr>
              <w:t>77,671</w:t>
            </w:r>
          </w:p>
          <w:p w14:paraId="7CA889FE" w14:textId="77777777" w:rsidR="000A46CC" w:rsidRPr="007E055C" w:rsidRDefault="000A46CC" w:rsidP="00EA693D">
            <w:pPr>
              <w:pStyle w:val="TableText0"/>
              <w:keepLines/>
              <w:widowControl w:val="0"/>
              <w:rPr>
                <w:szCs w:val="20"/>
              </w:rPr>
            </w:pPr>
            <w:r w:rsidRPr="007E055C">
              <w:rPr>
                <w:szCs w:val="20"/>
              </w:rPr>
              <w:t>Medicare statistics. Estimated as the number of scripts for aflibercept item numbers relevant to the RVO indication (11991D, 13138L, 12132M and 13141P).</w:t>
            </w:r>
          </w:p>
        </w:tc>
        <w:tc>
          <w:tcPr>
            <w:tcW w:w="3373" w:type="dxa"/>
            <w:vAlign w:val="center"/>
          </w:tcPr>
          <w:p w14:paraId="68C2E12A" w14:textId="77777777" w:rsidR="000A46CC" w:rsidRPr="00AC5A15" w:rsidRDefault="000A46CC" w:rsidP="00EA693D">
            <w:pPr>
              <w:pStyle w:val="TableText0"/>
              <w:keepLines/>
              <w:widowControl w:val="0"/>
              <w:rPr>
                <w:szCs w:val="20"/>
              </w:rPr>
            </w:pPr>
            <w:r w:rsidRPr="00AC5A15">
              <w:rPr>
                <w:szCs w:val="20"/>
              </w:rPr>
              <w:t xml:space="preserve">This was reasonable; however, the submission did not account for the utilisation of ranibizumab for RVO. Although the utilisation of ranibizumab has been declining, its overall market share in RVO was 20% in 2023. </w:t>
            </w:r>
          </w:p>
        </w:tc>
      </w:tr>
      <w:tr w:rsidR="000A46CC" w:rsidRPr="007E055C" w14:paraId="303C25D6" w14:textId="77777777" w:rsidTr="00A727DE">
        <w:trPr>
          <w:tblHeader/>
        </w:trPr>
        <w:tc>
          <w:tcPr>
            <w:tcW w:w="1838" w:type="dxa"/>
            <w:vAlign w:val="center"/>
          </w:tcPr>
          <w:p w14:paraId="4CCA3AE7" w14:textId="77777777" w:rsidR="000A46CC" w:rsidRPr="007E055C" w:rsidRDefault="000A46CC" w:rsidP="00EA693D">
            <w:pPr>
              <w:pStyle w:val="TableText0"/>
              <w:keepLines/>
              <w:widowControl w:val="0"/>
              <w:rPr>
                <w:szCs w:val="20"/>
              </w:rPr>
            </w:pPr>
            <w:r w:rsidRPr="007E055C">
              <w:rPr>
                <w:szCs w:val="20"/>
              </w:rPr>
              <w:t>Annual market growth (in scripts)</w:t>
            </w:r>
          </w:p>
        </w:tc>
        <w:tc>
          <w:tcPr>
            <w:tcW w:w="3969" w:type="dxa"/>
            <w:vAlign w:val="center"/>
          </w:tcPr>
          <w:p w14:paraId="0542930D" w14:textId="19169A31" w:rsidR="000A46CC" w:rsidRPr="007E055C" w:rsidRDefault="007A1CFA" w:rsidP="00EA693D">
            <w:pPr>
              <w:pStyle w:val="TableText0"/>
              <w:keepLines/>
              <w:widowControl w:val="0"/>
              <w:rPr>
                <w:szCs w:val="20"/>
              </w:rPr>
            </w:pPr>
            <w:r w:rsidRPr="007A1CFA">
              <w:rPr>
                <w:color w:val="000000"/>
                <w:spacing w:val="53"/>
                <w:szCs w:val="20"/>
                <w:shd w:val="solid" w:color="000000" w:fill="000000"/>
                <w:fitText w:val="330" w:id="-893184766"/>
                <w14:textFill>
                  <w14:solidFill>
                    <w14:srgbClr w14:val="000000">
                      <w14:alpha w14:val="100000"/>
                    </w14:srgbClr>
                  </w14:solidFill>
                </w14:textFill>
              </w:rPr>
              <w:t>|||</w:t>
            </w:r>
            <w:r w:rsidRPr="007A1CFA">
              <w:rPr>
                <w:color w:val="000000"/>
                <w:spacing w:val="1"/>
                <w:szCs w:val="20"/>
                <w:shd w:val="solid" w:color="000000" w:fill="000000"/>
                <w:fitText w:val="330" w:id="-893184766"/>
                <w14:textFill>
                  <w14:solidFill>
                    <w14:srgbClr w14:val="000000">
                      <w14:alpha w14:val="100000"/>
                    </w14:srgbClr>
                  </w14:solidFill>
                </w14:textFill>
              </w:rPr>
              <w:t>|</w:t>
            </w:r>
            <w:r w:rsidR="00D57752">
              <w:rPr>
                <w:szCs w:val="20"/>
                <w:vertAlign w:val="superscript"/>
              </w:rPr>
              <w:t>1</w:t>
            </w:r>
            <w:r w:rsidR="000A46CC" w:rsidRPr="00D17249">
              <w:rPr>
                <w:szCs w:val="20"/>
              </w:rPr>
              <w:t xml:space="preserve"> in Year 1 to </w:t>
            </w:r>
            <w:r w:rsidRPr="007A1CFA">
              <w:rPr>
                <w:color w:val="000000"/>
                <w:spacing w:val="53"/>
                <w:szCs w:val="20"/>
                <w:shd w:val="solid" w:color="000000" w:fill="000000"/>
                <w:fitText w:val="330" w:id="-893184765"/>
                <w14:textFill>
                  <w14:solidFill>
                    <w14:srgbClr w14:val="000000">
                      <w14:alpha w14:val="100000"/>
                    </w14:srgbClr>
                  </w14:solidFill>
                </w14:textFill>
              </w:rPr>
              <w:t>|||</w:t>
            </w:r>
            <w:r w:rsidRPr="007A1CFA">
              <w:rPr>
                <w:color w:val="000000"/>
                <w:spacing w:val="1"/>
                <w:szCs w:val="20"/>
                <w:shd w:val="solid" w:color="000000" w:fill="000000"/>
                <w:fitText w:val="330" w:id="-893184765"/>
                <w14:textFill>
                  <w14:solidFill>
                    <w14:srgbClr w14:val="000000">
                      <w14:alpha w14:val="100000"/>
                    </w14:srgbClr>
                  </w14:solidFill>
                </w14:textFill>
              </w:rPr>
              <w:t>|</w:t>
            </w:r>
            <w:r w:rsidR="00D57752">
              <w:rPr>
                <w:szCs w:val="20"/>
                <w:vertAlign w:val="superscript"/>
              </w:rPr>
              <w:t>2</w:t>
            </w:r>
            <w:r w:rsidR="000A46CC" w:rsidRPr="00D17249">
              <w:rPr>
                <w:szCs w:val="20"/>
              </w:rPr>
              <w:t xml:space="preserve"> in</w:t>
            </w:r>
            <w:r w:rsidR="000A46CC" w:rsidRPr="007E055C">
              <w:rPr>
                <w:szCs w:val="20"/>
              </w:rPr>
              <w:t xml:space="preserve"> Year 6.</w:t>
            </w:r>
          </w:p>
          <w:p w14:paraId="6610191C" w14:textId="77777777" w:rsidR="000A46CC" w:rsidRPr="007E055C" w:rsidRDefault="000A46CC" w:rsidP="00EA693D">
            <w:pPr>
              <w:pStyle w:val="TableText0"/>
              <w:keepLines/>
              <w:widowControl w:val="0"/>
              <w:rPr>
                <w:szCs w:val="20"/>
              </w:rPr>
            </w:pPr>
            <w:r w:rsidRPr="007E055C">
              <w:rPr>
                <w:szCs w:val="20"/>
              </w:rPr>
              <w:t>The submission applied a linear trend using the method of least squares to extrapolate projected PBS utilisation in 2024 to 2029.</w:t>
            </w:r>
          </w:p>
        </w:tc>
        <w:tc>
          <w:tcPr>
            <w:tcW w:w="3373" w:type="dxa"/>
            <w:vMerge w:val="restart"/>
            <w:vAlign w:val="center"/>
          </w:tcPr>
          <w:p w14:paraId="27F65589" w14:textId="372568E9" w:rsidR="000A46CC" w:rsidRPr="00AC5A15" w:rsidRDefault="000A46CC" w:rsidP="00EA693D">
            <w:pPr>
              <w:pStyle w:val="TableText0"/>
              <w:keepLines/>
              <w:widowControl w:val="0"/>
              <w:rPr>
                <w:szCs w:val="20"/>
              </w:rPr>
            </w:pPr>
            <w:r w:rsidRPr="00AC5A15">
              <w:rPr>
                <w:szCs w:val="20"/>
              </w:rPr>
              <w:t xml:space="preserve">The % growth applied by the submission ranged from </w:t>
            </w:r>
            <w:r w:rsidR="007A1CFA" w:rsidRPr="007A1CFA">
              <w:rPr>
                <w:color w:val="000000"/>
                <w:spacing w:val="53"/>
                <w:szCs w:val="20"/>
                <w:shd w:val="solid" w:color="000000" w:fill="000000"/>
                <w:fitText w:val="330" w:id="-893184764"/>
                <w14:textFill>
                  <w14:solidFill>
                    <w14:srgbClr w14:val="000000">
                      <w14:alpha w14:val="100000"/>
                    </w14:srgbClr>
                  </w14:solidFill>
                </w14:textFill>
              </w:rPr>
              <w:t>|||</w:t>
            </w:r>
            <w:r w:rsidR="007A1CFA" w:rsidRPr="007A1CFA">
              <w:rPr>
                <w:color w:val="000000"/>
                <w:spacing w:val="1"/>
                <w:szCs w:val="20"/>
                <w:shd w:val="solid" w:color="000000" w:fill="000000"/>
                <w:fitText w:val="330" w:id="-893184764"/>
                <w14:textFill>
                  <w14:solidFill>
                    <w14:srgbClr w14:val="000000">
                      <w14:alpha w14:val="100000"/>
                    </w14:srgbClr>
                  </w14:solidFill>
                </w14:textFill>
              </w:rPr>
              <w:t>|</w:t>
            </w:r>
            <w:r w:rsidRPr="00AC5A15">
              <w:rPr>
                <w:szCs w:val="20"/>
              </w:rPr>
              <w:t xml:space="preserve">% in the first year to </w:t>
            </w:r>
            <w:r w:rsidR="007A1CFA" w:rsidRPr="007A1CFA">
              <w:rPr>
                <w:color w:val="000000"/>
                <w:spacing w:val="53"/>
                <w:szCs w:val="20"/>
                <w:shd w:val="solid" w:color="000000" w:fill="000000"/>
                <w:fitText w:val="330" w:id="-893184763"/>
                <w14:textFill>
                  <w14:solidFill>
                    <w14:srgbClr w14:val="000000">
                      <w14:alpha w14:val="100000"/>
                    </w14:srgbClr>
                  </w14:solidFill>
                </w14:textFill>
              </w:rPr>
              <w:t>|||</w:t>
            </w:r>
            <w:r w:rsidR="007A1CFA" w:rsidRPr="007A1CFA">
              <w:rPr>
                <w:color w:val="000000"/>
                <w:spacing w:val="1"/>
                <w:szCs w:val="20"/>
                <w:shd w:val="solid" w:color="000000" w:fill="000000"/>
                <w:fitText w:val="330" w:id="-893184763"/>
                <w14:textFill>
                  <w14:solidFill>
                    <w14:srgbClr w14:val="000000">
                      <w14:alpha w14:val="100000"/>
                    </w14:srgbClr>
                  </w14:solidFill>
                </w14:textFill>
              </w:rPr>
              <w:t>|</w:t>
            </w:r>
            <w:r w:rsidRPr="00AC5A15">
              <w:rPr>
                <w:szCs w:val="20"/>
              </w:rPr>
              <w:t>% in Year 6. The submission inappropriately applied the linear trend function to a portion of the model rather than the observed data to estimate the utilisation of aflibercept in 2024 to 2029.</w:t>
            </w:r>
          </w:p>
        </w:tc>
      </w:tr>
      <w:tr w:rsidR="000A46CC" w:rsidRPr="007E055C" w14:paraId="1090665E" w14:textId="77777777" w:rsidTr="00A727DE">
        <w:trPr>
          <w:tblHeader/>
        </w:trPr>
        <w:tc>
          <w:tcPr>
            <w:tcW w:w="1838" w:type="dxa"/>
            <w:vAlign w:val="center"/>
          </w:tcPr>
          <w:p w14:paraId="0E845E02" w14:textId="77777777" w:rsidR="000A46CC" w:rsidRPr="007E055C" w:rsidRDefault="000A46CC" w:rsidP="00EA693D">
            <w:pPr>
              <w:pStyle w:val="TableText0"/>
              <w:keepLines/>
              <w:widowControl w:val="0"/>
              <w:rPr>
                <w:szCs w:val="20"/>
              </w:rPr>
            </w:pPr>
            <w:r w:rsidRPr="007E055C">
              <w:rPr>
                <w:szCs w:val="20"/>
              </w:rPr>
              <w:t xml:space="preserve">Projected market size of aflibercept for RVO </w:t>
            </w:r>
          </w:p>
        </w:tc>
        <w:tc>
          <w:tcPr>
            <w:tcW w:w="3969" w:type="dxa"/>
            <w:vAlign w:val="center"/>
          </w:tcPr>
          <w:p w14:paraId="07172F59" w14:textId="50999845" w:rsidR="000A46CC" w:rsidRPr="007E055C" w:rsidRDefault="000A46CC" w:rsidP="00EA693D">
            <w:pPr>
              <w:pStyle w:val="TableText0"/>
              <w:keepLines/>
              <w:widowControl w:val="0"/>
              <w:rPr>
                <w:szCs w:val="20"/>
              </w:rPr>
            </w:pPr>
            <w:r w:rsidRPr="00952EF1">
              <w:rPr>
                <w:szCs w:val="20"/>
              </w:rPr>
              <w:t xml:space="preserve">From </w:t>
            </w:r>
            <w:r w:rsidR="007A1CFA" w:rsidRPr="007A1CFA">
              <w:rPr>
                <w:color w:val="000000"/>
                <w:spacing w:val="53"/>
                <w:szCs w:val="20"/>
                <w:shd w:val="solid" w:color="000000" w:fill="000000"/>
                <w:fitText w:val="330" w:id="-893184762"/>
                <w14:textFill>
                  <w14:solidFill>
                    <w14:srgbClr w14:val="000000">
                      <w14:alpha w14:val="100000"/>
                    </w14:srgbClr>
                  </w14:solidFill>
                </w14:textFill>
              </w:rPr>
              <w:t>|||</w:t>
            </w:r>
            <w:r w:rsidR="007A1CFA" w:rsidRPr="007A1CFA">
              <w:rPr>
                <w:color w:val="000000"/>
                <w:spacing w:val="1"/>
                <w:szCs w:val="20"/>
                <w:shd w:val="solid" w:color="000000" w:fill="000000"/>
                <w:fitText w:val="330" w:id="-893184762"/>
                <w14:textFill>
                  <w14:solidFill>
                    <w14:srgbClr w14:val="000000">
                      <w14:alpha w14:val="100000"/>
                    </w14:srgbClr>
                  </w14:solidFill>
                </w14:textFill>
              </w:rPr>
              <w:t>|</w:t>
            </w:r>
            <w:r w:rsidR="002B6132">
              <w:rPr>
                <w:szCs w:val="20"/>
                <w:vertAlign w:val="superscript"/>
              </w:rPr>
              <w:t>3</w:t>
            </w:r>
            <w:r w:rsidRPr="00952EF1">
              <w:rPr>
                <w:szCs w:val="20"/>
              </w:rPr>
              <w:t xml:space="preserve"> scripts in Year 1 to </w:t>
            </w:r>
            <w:r w:rsidR="007A1CFA" w:rsidRPr="007A1CFA">
              <w:rPr>
                <w:color w:val="000000"/>
                <w:spacing w:val="49"/>
                <w:szCs w:val="20"/>
                <w:shd w:val="solid" w:color="000000" w:fill="000000"/>
                <w:fitText w:val="320" w:id="-893184761"/>
                <w14:textFill>
                  <w14:solidFill>
                    <w14:srgbClr w14:val="000000">
                      <w14:alpha w14:val="100000"/>
                    </w14:srgbClr>
                  </w14:solidFill>
                </w14:textFill>
              </w:rPr>
              <w:t>|||</w:t>
            </w:r>
            <w:r w:rsidR="007A1CFA" w:rsidRPr="007A1CFA">
              <w:rPr>
                <w:color w:val="000000"/>
                <w:spacing w:val="3"/>
                <w:szCs w:val="20"/>
                <w:shd w:val="solid" w:color="000000" w:fill="000000"/>
                <w:fitText w:val="320" w:id="-893184761"/>
                <w14:textFill>
                  <w14:solidFill>
                    <w14:srgbClr w14:val="000000">
                      <w14:alpha w14:val="100000"/>
                    </w14:srgbClr>
                  </w14:solidFill>
                </w14:textFill>
              </w:rPr>
              <w:t>|</w:t>
            </w:r>
            <w:r w:rsidR="002B6132">
              <w:rPr>
                <w:szCs w:val="20"/>
                <w:vertAlign w:val="superscript"/>
              </w:rPr>
              <w:t>3</w:t>
            </w:r>
            <w:r w:rsidRPr="00952EF1">
              <w:rPr>
                <w:szCs w:val="20"/>
              </w:rPr>
              <w:t xml:space="preserve"> scripts</w:t>
            </w:r>
            <w:r w:rsidRPr="007E055C">
              <w:rPr>
                <w:szCs w:val="20"/>
              </w:rPr>
              <w:t xml:space="preserve"> in Year 6. Calculated 2023 scripts for aflibercept and the assumed annual growth of RVO market.</w:t>
            </w:r>
          </w:p>
        </w:tc>
        <w:tc>
          <w:tcPr>
            <w:tcW w:w="3373" w:type="dxa"/>
            <w:vMerge/>
            <w:vAlign w:val="center"/>
          </w:tcPr>
          <w:p w14:paraId="1F801AC9" w14:textId="77777777" w:rsidR="000A46CC" w:rsidRPr="007E055C" w:rsidRDefault="000A46CC" w:rsidP="00EA693D">
            <w:pPr>
              <w:pStyle w:val="TableText0"/>
              <w:keepLines/>
              <w:widowControl w:val="0"/>
              <w:jc w:val="both"/>
              <w:rPr>
                <w:i/>
                <w:szCs w:val="20"/>
              </w:rPr>
            </w:pPr>
          </w:p>
        </w:tc>
      </w:tr>
      <w:tr w:rsidR="000A46CC" w:rsidRPr="007E055C" w14:paraId="23C00E2C" w14:textId="77777777" w:rsidTr="00A727DE">
        <w:trPr>
          <w:tblHeader/>
        </w:trPr>
        <w:tc>
          <w:tcPr>
            <w:tcW w:w="9180" w:type="dxa"/>
            <w:gridSpan w:val="3"/>
            <w:vAlign w:val="center"/>
          </w:tcPr>
          <w:p w14:paraId="0EB3D35B" w14:textId="77777777" w:rsidR="000A46CC" w:rsidRPr="007E055C" w:rsidRDefault="000A46CC" w:rsidP="00EA693D">
            <w:pPr>
              <w:pStyle w:val="TableText0"/>
              <w:keepLines/>
              <w:widowControl w:val="0"/>
              <w:jc w:val="both"/>
              <w:rPr>
                <w:b/>
                <w:szCs w:val="20"/>
              </w:rPr>
            </w:pPr>
            <w:r w:rsidRPr="007E055C">
              <w:rPr>
                <w:b/>
                <w:szCs w:val="20"/>
              </w:rPr>
              <w:t>RVO market with the listing of faricimab</w:t>
            </w:r>
          </w:p>
        </w:tc>
      </w:tr>
      <w:tr w:rsidR="000A46CC" w:rsidRPr="007E055C" w14:paraId="1C2F2E77" w14:textId="77777777" w:rsidTr="00A727DE">
        <w:trPr>
          <w:tblHeader/>
        </w:trPr>
        <w:tc>
          <w:tcPr>
            <w:tcW w:w="1838" w:type="dxa"/>
            <w:vAlign w:val="center"/>
          </w:tcPr>
          <w:p w14:paraId="19EC65BC" w14:textId="77777777" w:rsidR="000A46CC" w:rsidRPr="007E055C" w:rsidRDefault="000A46CC" w:rsidP="00EA693D">
            <w:pPr>
              <w:pStyle w:val="TableText0"/>
              <w:keepLines/>
              <w:widowControl w:val="0"/>
              <w:rPr>
                <w:szCs w:val="20"/>
              </w:rPr>
            </w:pPr>
            <w:r w:rsidRPr="007E055C">
              <w:rPr>
                <w:szCs w:val="20"/>
              </w:rPr>
              <w:t>Uptake rate (rate of substitution)</w:t>
            </w:r>
          </w:p>
        </w:tc>
        <w:tc>
          <w:tcPr>
            <w:tcW w:w="3969" w:type="dxa"/>
            <w:vAlign w:val="center"/>
          </w:tcPr>
          <w:p w14:paraId="1D07962B" w14:textId="04E9205D" w:rsidR="000A46CC" w:rsidRPr="007E055C" w:rsidRDefault="007A1CFA" w:rsidP="00EA693D">
            <w:pPr>
              <w:pStyle w:val="TableText0"/>
              <w:keepLines/>
              <w:widowControl w:val="0"/>
              <w:rPr>
                <w:szCs w:val="20"/>
              </w:rPr>
            </w:pPr>
            <w:r w:rsidRPr="007A1CFA">
              <w:rPr>
                <w:color w:val="000000"/>
                <w:spacing w:val="53"/>
                <w:szCs w:val="20"/>
                <w:shd w:val="solid" w:color="000000" w:fill="000000"/>
                <w:fitText w:val="330" w:id="-893184760"/>
                <w14:textFill>
                  <w14:solidFill>
                    <w14:srgbClr w14:val="000000">
                      <w14:alpha w14:val="100000"/>
                    </w14:srgbClr>
                  </w14:solidFill>
                </w14:textFill>
              </w:rPr>
              <w:t>|||</w:t>
            </w:r>
            <w:r w:rsidRPr="007A1CFA">
              <w:rPr>
                <w:color w:val="000000"/>
                <w:spacing w:val="1"/>
                <w:szCs w:val="20"/>
                <w:shd w:val="solid" w:color="000000" w:fill="000000"/>
                <w:fitText w:val="330" w:id="-893184760"/>
                <w14:textFill>
                  <w14:solidFill>
                    <w14:srgbClr w14:val="000000">
                      <w14:alpha w14:val="100000"/>
                    </w14:srgbClr>
                  </w14:solidFill>
                </w14:textFill>
              </w:rPr>
              <w:t>|</w:t>
            </w:r>
            <w:r w:rsidR="000A46CC" w:rsidRPr="00952EF1">
              <w:rPr>
                <w:szCs w:val="20"/>
              </w:rPr>
              <w:t>% within 4 years. Assumed uptake rates for Year 1 (</w:t>
            </w:r>
            <w:r w:rsidRPr="007A1CFA">
              <w:rPr>
                <w:color w:val="000000"/>
                <w:spacing w:val="53"/>
                <w:szCs w:val="20"/>
                <w:shd w:val="solid" w:color="000000" w:fill="000000"/>
                <w:fitText w:val="330" w:id="-893184759"/>
                <w14:textFill>
                  <w14:solidFill>
                    <w14:srgbClr w14:val="000000">
                      <w14:alpha w14:val="100000"/>
                    </w14:srgbClr>
                  </w14:solidFill>
                </w14:textFill>
              </w:rPr>
              <w:t>|||</w:t>
            </w:r>
            <w:r w:rsidRPr="007A1CFA">
              <w:rPr>
                <w:color w:val="000000"/>
                <w:spacing w:val="1"/>
                <w:szCs w:val="20"/>
                <w:shd w:val="solid" w:color="000000" w:fill="000000"/>
                <w:fitText w:val="330" w:id="-893184759"/>
                <w14:textFill>
                  <w14:solidFill>
                    <w14:srgbClr w14:val="000000">
                      <w14:alpha w14:val="100000"/>
                    </w14:srgbClr>
                  </w14:solidFill>
                </w14:textFill>
              </w:rPr>
              <w:t>|</w:t>
            </w:r>
            <w:r w:rsidR="000A46CC" w:rsidRPr="00952EF1">
              <w:rPr>
                <w:szCs w:val="20"/>
              </w:rPr>
              <w:t>%) and Year 4 (</w:t>
            </w:r>
            <w:r w:rsidRPr="007A1CFA">
              <w:rPr>
                <w:color w:val="000000"/>
                <w:spacing w:val="53"/>
                <w:szCs w:val="20"/>
                <w:shd w:val="solid" w:color="000000" w:fill="000000"/>
                <w:fitText w:val="330" w:id="-893184758"/>
                <w14:textFill>
                  <w14:solidFill>
                    <w14:srgbClr w14:val="000000">
                      <w14:alpha w14:val="100000"/>
                    </w14:srgbClr>
                  </w14:solidFill>
                </w14:textFill>
              </w:rPr>
              <w:t>|||</w:t>
            </w:r>
            <w:r w:rsidRPr="007A1CFA">
              <w:rPr>
                <w:color w:val="000000"/>
                <w:spacing w:val="1"/>
                <w:szCs w:val="20"/>
                <w:shd w:val="solid" w:color="000000" w:fill="000000"/>
                <w:fitText w:val="330" w:id="-893184758"/>
                <w14:textFill>
                  <w14:solidFill>
                    <w14:srgbClr w14:val="000000">
                      <w14:alpha w14:val="100000"/>
                    </w14:srgbClr>
                  </w14:solidFill>
                </w14:textFill>
              </w:rPr>
              <w:t>|</w:t>
            </w:r>
            <w:r w:rsidR="000A46CC" w:rsidRPr="00952EF1">
              <w:rPr>
                <w:szCs w:val="20"/>
              </w:rPr>
              <w:t>%) and</w:t>
            </w:r>
            <w:r w:rsidR="000A46CC" w:rsidRPr="007E055C">
              <w:rPr>
                <w:szCs w:val="20"/>
              </w:rPr>
              <w:t xml:space="preserve"> estimated values for Year 2 to Year 4 as a constant rate of change based on the assumed values.</w:t>
            </w:r>
          </w:p>
        </w:tc>
        <w:tc>
          <w:tcPr>
            <w:tcW w:w="3373" w:type="dxa"/>
            <w:vAlign w:val="center"/>
          </w:tcPr>
          <w:p w14:paraId="4718C44A" w14:textId="274FE072" w:rsidR="000A46CC" w:rsidRPr="00AC5A15" w:rsidRDefault="000A46CC" w:rsidP="00EA693D">
            <w:pPr>
              <w:pStyle w:val="TableText0"/>
              <w:keepLines/>
              <w:widowControl w:val="0"/>
              <w:rPr>
                <w:szCs w:val="20"/>
              </w:rPr>
            </w:pPr>
            <w:r w:rsidRPr="00AC5A15">
              <w:rPr>
                <w:szCs w:val="20"/>
              </w:rPr>
              <w:t>The submission did not provide any justification for the assumed uptake rate. The submission conducted sensitivity analyses to examine the impact of varying the uptake rate by 10%.</w:t>
            </w:r>
            <w:r w:rsidR="00C332C2">
              <w:rPr>
                <w:szCs w:val="20"/>
              </w:rPr>
              <w:t xml:space="preserve"> </w:t>
            </w:r>
            <w:r w:rsidR="00C332C2" w:rsidRPr="00C32FD7">
              <w:rPr>
                <w:szCs w:val="20"/>
              </w:rPr>
              <w:t>The ESC considered that the uptake rate may be higher in patients who switch from ranibizumab to faricimab.</w:t>
            </w:r>
          </w:p>
        </w:tc>
      </w:tr>
      <w:tr w:rsidR="000A46CC" w:rsidRPr="007E055C" w14:paraId="43E516B4" w14:textId="77777777" w:rsidTr="00A727DE">
        <w:trPr>
          <w:tblHeader/>
        </w:trPr>
        <w:tc>
          <w:tcPr>
            <w:tcW w:w="1838" w:type="dxa"/>
            <w:vAlign w:val="center"/>
          </w:tcPr>
          <w:p w14:paraId="59164E11" w14:textId="77777777" w:rsidR="000A46CC" w:rsidRPr="007E055C" w:rsidRDefault="000A46CC" w:rsidP="00EA693D">
            <w:pPr>
              <w:pStyle w:val="TableText0"/>
              <w:keepLines/>
              <w:widowControl w:val="0"/>
              <w:rPr>
                <w:szCs w:val="20"/>
              </w:rPr>
            </w:pPr>
            <w:r w:rsidRPr="007E055C">
              <w:rPr>
                <w:szCs w:val="20"/>
              </w:rPr>
              <w:t>Script equivalence</w:t>
            </w:r>
          </w:p>
        </w:tc>
        <w:tc>
          <w:tcPr>
            <w:tcW w:w="3969" w:type="dxa"/>
            <w:vAlign w:val="center"/>
          </w:tcPr>
          <w:p w14:paraId="47BDBCEA" w14:textId="3E6239C0" w:rsidR="000A46CC" w:rsidRPr="007E055C" w:rsidRDefault="000A46CC" w:rsidP="00EA693D">
            <w:pPr>
              <w:pStyle w:val="TableText0"/>
              <w:keepLines/>
              <w:widowControl w:val="0"/>
              <w:rPr>
                <w:szCs w:val="20"/>
              </w:rPr>
            </w:pPr>
            <w:r w:rsidRPr="007E055C">
              <w:rPr>
                <w:szCs w:val="20"/>
              </w:rPr>
              <w:t xml:space="preserve">Faricimab is a direct substitute for aflibercept on a 1:1 basis. </w:t>
            </w:r>
          </w:p>
        </w:tc>
        <w:tc>
          <w:tcPr>
            <w:tcW w:w="3373" w:type="dxa"/>
            <w:vAlign w:val="center"/>
          </w:tcPr>
          <w:p w14:paraId="55053592" w14:textId="073F3E8B" w:rsidR="000A46CC" w:rsidRPr="00AC5A15" w:rsidRDefault="000A46CC" w:rsidP="00EA693D">
            <w:pPr>
              <w:pStyle w:val="TableText0"/>
              <w:keepLines/>
              <w:widowControl w:val="0"/>
              <w:rPr>
                <w:szCs w:val="20"/>
              </w:rPr>
            </w:pPr>
            <w:r w:rsidRPr="00AC5A15">
              <w:rPr>
                <w:szCs w:val="20"/>
              </w:rPr>
              <w:t>This was consistent with the CMA, noting that no trial data or utilisation data are available to inform script equivalence in the maintenance phase.</w:t>
            </w:r>
          </w:p>
        </w:tc>
      </w:tr>
    </w:tbl>
    <w:p w14:paraId="46A4CA1D" w14:textId="1BC1FFC0" w:rsidR="000A46CC" w:rsidRDefault="000A46CC" w:rsidP="00EA693D">
      <w:pPr>
        <w:pStyle w:val="FooterTableFigure"/>
        <w:keepNext/>
        <w:keepLines/>
        <w:widowControl w:val="0"/>
        <w:jc w:val="both"/>
      </w:pPr>
      <w:r>
        <w:t>Source: Table 4.2 p145, Table 4.3 p145, Table 4.7, p147, Table 4.9 p148 and Section 4 Workbook.xlsx, spreadsheet ‘Projected growth’</w:t>
      </w:r>
      <w:r w:rsidR="00300606">
        <w:t>.</w:t>
      </w:r>
    </w:p>
    <w:p w14:paraId="3AEA8264" w14:textId="4EDE57C7" w:rsidR="000A46CC" w:rsidRDefault="000A46CC" w:rsidP="00EA693D">
      <w:pPr>
        <w:pStyle w:val="FooterTableFigure"/>
        <w:keepNext/>
        <w:keepLines/>
        <w:widowControl w:val="0"/>
        <w:jc w:val="both"/>
      </w:pPr>
      <w:r w:rsidRPr="002C693D">
        <w:t>DUSC = Drug Utilisation Sub Committee</w:t>
      </w:r>
      <w:r>
        <w:t xml:space="preserve"> </w:t>
      </w:r>
      <w:r w:rsidRPr="002C693D">
        <w:t>PBAC = Pharmaceutical Benefit Advisory Committee</w:t>
      </w:r>
      <w:r>
        <w:t>;</w:t>
      </w:r>
      <w:r w:rsidRPr="002C693D">
        <w:t xml:space="preserve"> PBS</w:t>
      </w:r>
      <w:r>
        <w:t xml:space="preserve"> = Pharmaceutical Benefit Scheme; PSD = Public Summary Document; RPBS = Repatriation Pharmaceutical Benefit Scheme; VEGF = Vascular Endothelial Growth Factor</w:t>
      </w:r>
      <w:r w:rsidR="00300606">
        <w:t>.</w:t>
      </w:r>
    </w:p>
    <w:p w14:paraId="490ADE3B" w14:textId="77777777" w:rsidR="00D57752" w:rsidRPr="000976B0" w:rsidRDefault="00D57752" w:rsidP="00EA693D">
      <w:pPr>
        <w:pStyle w:val="FooterTableFigure"/>
        <w:keepNext/>
        <w:keepLines/>
        <w:jc w:val="both"/>
        <w:rPr>
          <w:i/>
          <w:iCs/>
        </w:rPr>
      </w:pPr>
      <w:r w:rsidRPr="000976B0">
        <w:rPr>
          <w:i/>
          <w:iCs/>
        </w:rPr>
        <w:t>The redacted values correspond to the following ranges</w:t>
      </w:r>
    </w:p>
    <w:p w14:paraId="40FC583F" w14:textId="77777777" w:rsidR="00D57752" w:rsidRPr="000976B0" w:rsidRDefault="00D57752" w:rsidP="00EA693D">
      <w:pPr>
        <w:pStyle w:val="FooterTableFigure"/>
        <w:keepNext/>
        <w:keepLines/>
        <w:jc w:val="both"/>
        <w:rPr>
          <w:i/>
          <w:iCs/>
        </w:rPr>
      </w:pPr>
      <w:r w:rsidRPr="000976B0">
        <w:rPr>
          <w:i/>
          <w:iCs/>
          <w:vertAlign w:val="superscript"/>
        </w:rPr>
        <w:t>1</w:t>
      </w:r>
      <w:r w:rsidRPr="000976B0">
        <w:rPr>
          <w:i/>
          <w:iCs/>
        </w:rPr>
        <w:t xml:space="preserve"> 20,000 to &lt; 30,000</w:t>
      </w:r>
    </w:p>
    <w:p w14:paraId="2BD2486C" w14:textId="36881161" w:rsidR="00D57752" w:rsidRPr="000976B0" w:rsidRDefault="00D57752" w:rsidP="00EA693D">
      <w:pPr>
        <w:pStyle w:val="FooterTableFigure"/>
        <w:keepNext/>
        <w:keepLines/>
        <w:jc w:val="both"/>
        <w:rPr>
          <w:i/>
          <w:iCs/>
        </w:rPr>
      </w:pPr>
      <w:r w:rsidRPr="000976B0">
        <w:rPr>
          <w:i/>
          <w:iCs/>
          <w:vertAlign w:val="superscript"/>
        </w:rPr>
        <w:t>2</w:t>
      </w:r>
      <w:r w:rsidRPr="000976B0">
        <w:rPr>
          <w:i/>
          <w:iCs/>
        </w:rPr>
        <w:t xml:space="preserve"> 10,000 to &lt; 20,000</w:t>
      </w:r>
    </w:p>
    <w:p w14:paraId="3D31216A" w14:textId="4D6EF65C" w:rsidR="00D57752" w:rsidRPr="000976B0" w:rsidRDefault="00D57752" w:rsidP="00EA693D">
      <w:pPr>
        <w:pStyle w:val="FooterTableFigure"/>
        <w:keepNext/>
        <w:keepLines/>
        <w:jc w:val="both"/>
        <w:rPr>
          <w:i/>
          <w:iCs/>
        </w:rPr>
      </w:pPr>
      <w:r w:rsidRPr="000976B0">
        <w:rPr>
          <w:i/>
          <w:iCs/>
          <w:vertAlign w:val="superscript"/>
        </w:rPr>
        <w:t>3</w:t>
      </w:r>
      <w:r w:rsidRPr="000976B0">
        <w:rPr>
          <w:i/>
          <w:iCs/>
        </w:rPr>
        <w:t xml:space="preserve"> </w:t>
      </w:r>
      <w:r w:rsidR="0019037A" w:rsidRPr="000976B0">
        <w:rPr>
          <w:i/>
          <w:iCs/>
        </w:rPr>
        <w:t>10</w:t>
      </w:r>
      <w:r w:rsidRPr="000976B0">
        <w:rPr>
          <w:i/>
          <w:iCs/>
        </w:rPr>
        <w:t xml:space="preserve">0,000 to &lt; </w:t>
      </w:r>
      <w:r w:rsidR="0019037A" w:rsidRPr="000976B0">
        <w:rPr>
          <w:i/>
          <w:iCs/>
        </w:rPr>
        <w:t>20</w:t>
      </w:r>
      <w:r w:rsidRPr="000976B0">
        <w:rPr>
          <w:i/>
          <w:iCs/>
        </w:rPr>
        <w:t>0,000</w:t>
      </w:r>
    </w:p>
    <w:p w14:paraId="51991796" w14:textId="27C5B39C" w:rsidR="000A46CC" w:rsidRPr="001476FA" w:rsidRDefault="000A46CC" w:rsidP="00A727DE">
      <w:pPr>
        <w:pStyle w:val="3-BodyText"/>
        <w:ind w:left="709" w:hanging="709"/>
      </w:pPr>
      <w:bookmarkStart w:id="58" w:name="_Toc22897648"/>
      <w:bookmarkStart w:id="59" w:name="_Toc107927634"/>
      <w:bookmarkEnd w:id="56"/>
      <w:r>
        <w:t>T</w:t>
      </w:r>
      <w:r w:rsidRPr="00B90EE5">
        <w:t xml:space="preserve">he submission predicted that the introduction of </w:t>
      </w:r>
      <w:r>
        <w:t>faricimab</w:t>
      </w:r>
      <w:r w:rsidRPr="00B90EE5">
        <w:t xml:space="preserve"> into the current </w:t>
      </w:r>
      <w:r>
        <w:t>RVO</w:t>
      </w:r>
      <w:r w:rsidRPr="00B90EE5">
        <w:t xml:space="preserve"> market will result in </w:t>
      </w:r>
      <w:r w:rsidR="007A1CFA" w:rsidRPr="001910DB">
        <w:rPr>
          <w:color w:val="000000"/>
          <w:w w:val="15"/>
          <w:shd w:val="solid" w:color="000000" w:fill="000000"/>
          <w:fitText w:val="-20" w:id="-893184757"/>
          <w14:textFill>
            <w14:solidFill>
              <w14:srgbClr w14:val="000000">
                <w14:alpha w14:val="100000"/>
              </w14:srgbClr>
            </w14:solidFill>
          </w14:textFill>
        </w:rPr>
        <w:t xml:space="preserve">|  </w:t>
      </w:r>
      <w:r w:rsidR="007A1CFA" w:rsidRPr="001910DB">
        <w:rPr>
          <w:color w:val="000000"/>
          <w:spacing w:val="-69"/>
          <w:w w:val="15"/>
          <w:shd w:val="solid" w:color="000000" w:fill="000000"/>
          <w:fitText w:val="-20" w:id="-893184757"/>
          <w14:textFill>
            <w14:solidFill>
              <w14:srgbClr w14:val="000000">
                <w14:alpha w14:val="100000"/>
              </w14:srgbClr>
            </w14:solidFill>
          </w14:textFill>
        </w:rPr>
        <w:t>|</w:t>
      </w:r>
      <w:r w:rsidRPr="00B90EE5">
        <w:t xml:space="preserve">% of all </w:t>
      </w:r>
      <w:r>
        <w:t>RVO</w:t>
      </w:r>
      <w:r w:rsidRPr="00B90EE5">
        <w:t xml:space="preserve"> patients receiving </w:t>
      </w:r>
      <w:r>
        <w:t>faricimab</w:t>
      </w:r>
      <w:r w:rsidRPr="00B90EE5">
        <w:t xml:space="preserve"> for PBS-subsidised anti-VEGF maintenance treatment </w:t>
      </w:r>
      <w:r>
        <w:t xml:space="preserve">by Year 4 of its listing. </w:t>
      </w:r>
      <w:r w:rsidRPr="00AC5A15">
        <w:t>The</w:t>
      </w:r>
      <w:r w:rsidR="00AD6EDA">
        <w:t xml:space="preserve"> evaluation considered that the</w:t>
      </w:r>
      <w:r w:rsidRPr="00AC5A15">
        <w:t xml:space="preserve"> assumed uptake rate for faricimab </w:t>
      </w:r>
      <w:r w:rsidR="00AD6EDA">
        <w:t>may be overestimated</w:t>
      </w:r>
      <w:r w:rsidRPr="00AC5A15">
        <w:t xml:space="preserve"> given that that the clinical trial evidence presented by the submission showed similar effectiveness and safety for faricimab and aflibercept. The uptake rate</w:t>
      </w:r>
      <w:r w:rsidR="00E9303F" w:rsidRPr="00AC5A15">
        <w:t xml:space="preserve"> of</w:t>
      </w:r>
      <w:r w:rsidRPr="00AC5A15">
        <w:t xml:space="preserve"> up to </w:t>
      </w:r>
      <w:r w:rsidR="007A1CFA" w:rsidRPr="001910DB">
        <w:rPr>
          <w:color w:val="000000"/>
          <w:w w:val="15"/>
          <w:shd w:val="solid" w:color="000000" w:fill="000000"/>
          <w:fitText w:val="-20" w:id="-893184756"/>
          <w14:textFill>
            <w14:solidFill>
              <w14:srgbClr w14:val="000000">
                <w14:alpha w14:val="100000"/>
              </w14:srgbClr>
            </w14:solidFill>
          </w14:textFill>
        </w:rPr>
        <w:t xml:space="preserve">|  </w:t>
      </w:r>
      <w:r w:rsidR="007A1CFA" w:rsidRPr="001910DB">
        <w:rPr>
          <w:color w:val="000000"/>
          <w:spacing w:val="-69"/>
          <w:w w:val="15"/>
          <w:shd w:val="solid" w:color="000000" w:fill="000000"/>
          <w:fitText w:val="-20" w:id="-893184756"/>
          <w14:textFill>
            <w14:solidFill>
              <w14:srgbClr w14:val="000000">
                <w14:alpha w14:val="100000"/>
              </w14:srgbClr>
            </w14:solidFill>
          </w14:textFill>
        </w:rPr>
        <w:t>|</w:t>
      </w:r>
      <w:r w:rsidRPr="00AC5A15">
        <w:t>% in Year 6 was consistent with the uptake rate previously applied in the faricimab submission</w:t>
      </w:r>
      <w:r w:rsidR="00AD6EDA">
        <w:t>s</w:t>
      </w:r>
      <w:r w:rsidRPr="00AC5A15">
        <w:t xml:space="preserve"> for DMO and nAMD, however it was lower in Year 1 of listing (</w:t>
      </w:r>
      <w:r w:rsidR="007A1CFA" w:rsidRPr="001910DB">
        <w:rPr>
          <w:color w:val="000000"/>
          <w:w w:val="15"/>
          <w:shd w:val="solid" w:color="000000" w:fill="000000"/>
          <w:fitText w:val="-20" w:id="-893184755"/>
          <w14:textFill>
            <w14:solidFill>
              <w14:srgbClr w14:val="000000">
                <w14:alpha w14:val="100000"/>
              </w14:srgbClr>
            </w14:solidFill>
          </w14:textFill>
        </w:rPr>
        <w:t xml:space="preserve">|  </w:t>
      </w:r>
      <w:r w:rsidR="007A1CFA" w:rsidRPr="001910DB">
        <w:rPr>
          <w:color w:val="000000"/>
          <w:spacing w:val="-69"/>
          <w:w w:val="15"/>
          <w:shd w:val="solid" w:color="000000" w:fill="000000"/>
          <w:fitText w:val="-20" w:id="-893184755"/>
          <w14:textFill>
            <w14:solidFill>
              <w14:srgbClr w14:val="000000">
                <w14:alpha w14:val="100000"/>
              </w14:srgbClr>
            </w14:solidFill>
          </w14:textFill>
        </w:rPr>
        <w:t>|</w:t>
      </w:r>
      <w:r w:rsidRPr="00AC5A15">
        <w:t xml:space="preserve">% versus </w:t>
      </w:r>
      <w:r w:rsidR="007A1CFA" w:rsidRPr="001910DB">
        <w:rPr>
          <w:color w:val="000000"/>
          <w:w w:val="15"/>
          <w:shd w:val="solid" w:color="000000" w:fill="000000"/>
          <w:fitText w:val="-20" w:id="-893184754"/>
          <w14:textFill>
            <w14:solidFill>
              <w14:srgbClr w14:val="000000">
                <w14:alpha w14:val="100000"/>
              </w14:srgbClr>
            </w14:solidFill>
          </w14:textFill>
        </w:rPr>
        <w:t xml:space="preserve">|  </w:t>
      </w:r>
      <w:r w:rsidR="007A1CFA" w:rsidRPr="001910DB">
        <w:rPr>
          <w:color w:val="000000"/>
          <w:spacing w:val="-69"/>
          <w:w w:val="15"/>
          <w:shd w:val="solid" w:color="000000" w:fill="000000"/>
          <w:fitText w:val="-20" w:id="-893184754"/>
          <w14:textFill>
            <w14:solidFill>
              <w14:srgbClr w14:val="000000">
                <w14:alpha w14:val="100000"/>
              </w14:srgbClr>
            </w14:solidFill>
          </w14:textFill>
        </w:rPr>
        <w:t>|</w:t>
      </w:r>
      <w:r w:rsidRPr="00AC5A15">
        <w:t>%; para</w:t>
      </w:r>
      <w:r w:rsidR="00B30660">
        <w:t>graph</w:t>
      </w:r>
      <w:r w:rsidRPr="00AC5A15">
        <w:t xml:space="preserve"> 6.58, faricimab DMO PSD, para</w:t>
      </w:r>
      <w:r w:rsidR="00B30660">
        <w:t>graph</w:t>
      </w:r>
      <w:r w:rsidRPr="00AC5A15">
        <w:t xml:space="preserve"> 6.51, faricimab nAMD PSD, May 2022 PBAC meetings). </w:t>
      </w:r>
      <w:r w:rsidR="00C332C2">
        <w:t>While t</w:t>
      </w:r>
      <w:r w:rsidRPr="00AC5A15">
        <w:t>he uptake rate for faricimab in the nAMD and DMO indications would be expected to be higher given it has a longer dosing interval relative to its nominated comparator (aflibercept) in those indications</w:t>
      </w:r>
      <w:r w:rsidR="00C332C2">
        <w:t xml:space="preserve">, </w:t>
      </w:r>
      <w:r w:rsidR="00C332C2" w:rsidRPr="001476FA">
        <w:t>the ESC considered that some clinicians may similarly expect that treatment with faricimab may result in longer treatment intervals than aflibercept despite the lack of comparative data after Week</w:t>
      </w:r>
      <w:r w:rsidR="0002363C">
        <w:t> </w:t>
      </w:r>
      <w:r w:rsidR="00C332C2" w:rsidRPr="001476FA">
        <w:t>24</w:t>
      </w:r>
      <w:r w:rsidRPr="001476FA">
        <w:t xml:space="preserve">. </w:t>
      </w:r>
    </w:p>
    <w:p w14:paraId="792AA67D" w14:textId="3FB1A4B9" w:rsidR="000A46CC" w:rsidRPr="00AC5A15" w:rsidRDefault="000A46CC" w:rsidP="00A727DE">
      <w:pPr>
        <w:pStyle w:val="3-BodyText"/>
        <w:ind w:left="709" w:hanging="709"/>
      </w:pPr>
      <w:r w:rsidRPr="00AC5A15">
        <w:t>The submission did not account for</w:t>
      </w:r>
      <w:r w:rsidR="00E9303F" w:rsidRPr="00AC5A15">
        <w:t xml:space="preserve"> faricimab</w:t>
      </w:r>
      <w:r w:rsidRPr="00AC5A15">
        <w:t xml:space="preserve"> loading doses in the initial year of treatment </w:t>
      </w:r>
      <w:r w:rsidR="00B95290">
        <w:t>for</w:t>
      </w:r>
      <w:r w:rsidRPr="00AC5A15">
        <w:t xml:space="preserve"> patients who</w:t>
      </w:r>
      <w:r w:rsidR="007F3548" w:rsidRPr="00AC5A15">
        <w:t xml:space="preserve"> may</w:t>
      </w:r>
      <w:r w:rsidRPr="00AC5A15">
        <w:t xml:space="preserve"> switch from aflibercept</w:t>
      </w:r>
      <w:r w:rsidR="005637B9">
        <w:t xml:space="preserve"> </w:t>
      </w:r>
      <w:r w:rsidR="005637B9" w:rsidRPr="001476FA">
        <w:t>(or ranibizumab</w:t>
      </w:r>
      <w:r w:rsidR="005637B9">
        <w:t>)</w:t>
      </w:r>
      <w:r w:rsidRPr="00AC5A15">
        <w:t xml:space="preserve"> to faricimab. </w:t>
      </w:r>
      <w:r w:rsidR="00B95290" w:rsidRPr="001476FA">
        <w:t xml:space="preserve">If the administration frequency for patients </w:t>
      </w:r>
      <w:r w:rsidR="003E1CD0" w:rsidRPr="001476FA">
        <w:t>previously receiving aflibercept</w:t>
      </w:r>
      <w:r w:rsidR="00B95290" w:rsidRPr="001476FA">
        <w:t xml:space="preserve"> was longer than 4 weeks,</w:t>
      </w:r>
      <w:r w:rsidR="00B95290">
        <w:t xml:space="preserve"> t</w:t>
      </w:r>
      <w:r w:rsidRPr="00AC5A15">
        <w:t>his would result in additional costs to Government.</w:t>
      </w:r>
      <w:r w:rsidR="00495B42" w:rsidRPr="00AC5A15">
        <w:t xml:space="preserve"> </w:t>
      </w:r>
    </w:p>
    <w:p w14:paraId="7441F0CF" w14:textId="23885FDA" w:rsidR="000A46CC" w:rsidRPr="00D8391F" w:rsidRDefault="000A46CC" w:rsidP="00A727DE">
      <w:pPr>
        <w:pStyle w:val="3-BodyText"/>
        <w:ind w:left="709" w:hanging="709"/>
      </w:pPr>
      <w:r w:rsidRPr="00D8391F">
        <w:t xml:space="preserve">The estimated utilisation and financial impact of listing faricimab on the PBS using the </w:t>
      </w:r>
      <w:r w:rsidR="0098285D">
        <w:t xml:space="preserve">assumed </w:t>
      </w:r>
      <w:r w:rsidRPr="00D8391F">
        <w:t xml:space="preserve">effective prices are presented in </w:t>
      </w:r>
      <w:r w:rsidRPr="00D8391F">
        <w:fldChar w:fldCharType="begin" w:fldLock="1"/>
      </w:r>
      <w:r w:rsidRPr="00D8391F">
        <w:instrText xml:space="preserve"> REF _Ref163461455 \h  \* MERGEFORMAT </w:instrText>
      </w:r>
      <w:r w:rsidRPr="00D8391F">
        <w:fldChar w:fldCharType="separate"/>
      </w:r>
      <w:r w:rsidR="00423F23">
        <w:t xml:space="preserve">Table </w:t>
      </w:r>
      <w:r w:rsidR="00423F23">
        <w:rPr>
          <w:noProof/>
        </w:rPr>
        <w:t>1</w:t>
      </w:r>
      <w:r w:rsidR="004B2DBC">
        <w:rPr>
          <w:noProof/>
        </w:rPr>
        <w:t>2</w:t>
      </w:r>
      <w:r w:rsidRPr="00D8391F">
        <w:fldChar w:fldCharType="end"/>
      </w:r>
      <w:r w:rsidRPr="00D8391F">
        <w:t xml:space="preserve">. </w:t>
      </w:r>
    </w:p>
    <w:p w14:paraId="20C02884" w14:textId="2D9180B9" w:rsidR="000A46CC" w:rsidRPr="00ED0300" w:rsidRDefault="000A46CC" w:rsidP="00EA693D">
      <w:pPr>
        <w:pStyle w:val="Caption"/>
        <w:jc w:val="both"/>
        <w:rPr>
          <w:rStyle w:val="CommentReference"/>
          <w:b/>
          <w:szCs w:val="24"/>
        </w:rPr>
      </w:pPr>
      <w:bookmarkStart w:id="60" w:name="_Ref163461455"/>
      <w:r>
        <w:t xml:space="preserve">Table </w:t>
      </w:r>
      <w:r w:rsidR="001B6BE3">
        <w:fldChar w:fldCharType="begin" w:fldLock="1"/>
      </w:r>
      <w:r w:rsidR="001B6BE3">
        <w:instrText xml:space="preserve"> SEQ Table \* ARABIC </w:instrText>
      </w:r>
      <w:r w:rsidR="001B6BE3">
        <w:fldChar w:fldCharType="separate"/>
      </w:r>
      <w:r w:rsidR="00423F23">
        <w:rPr>
          <w:noProof/>
        </w:rPr>
        <w:t>1</w:t>
      </w:r>
      <w:r w:rsidR="004B2DBC">
        <w:rPr>
          <w:noProof/>
        </w:rPr>
        <w:t>2</w:t>
      </w:r>
      <w:r w:rsidR="001B6BE3">
        <w:rPr>
          <w:noProof/>
        </w:rPr>
        <w:fldChar w:fldCharType="end"/>
      </w:r>
      <w:bookmarkEnd w:id="60"/>
      <w:r w:rsidRPr="00ED0300">
        <w:rPr>
          <w:rStyle w:val="CommentReference"/>
          <w:b/>
          <w:szCs w:val="24"/>
        </w:rPr>
        <w:t>:</w:t>
      </w:r>
      <w:r w:rsidRPr="00464775">
        <w:rPr>
          <w:rStyle w:val="CommentReference"/>
          <w:b/>
          <w:szCs w:val="24"/>
        </w:rPr>
        <w:t xml:space="preserve"> Estimated use and financial implications</w:t>
      </w:r>
      <w:r>
        <w:rPr>
          <w:rStyle w:val="CommentReference"/>
          <w:b/>
          <w:szCs w:val="24"/>
        </w:rPr>
        <w:t xml:space="preserve"> (assumed effective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0"/>
        <w:gridCol w:w="1135"/>
        <w:gridCol w:w="1134"/>
        <w:gridCol w:w="1134"/>
        <w:gridCol w:w="1134"/>
        <w:gridCol w:w="1277"/>
        <w:gridCol w:w="1363"/>
      </w:tblGrid>
      <w:tr w:rsidR="000A46CC" w:rsidRPr="007E055C" w14:paraId="2A6F89FA" w14:textId="77777777" w:rsidTr="001D246A">
        <w:trPr>
          <w:tblHeader/>
        </w:trPr>
        <w:tc>
          <w:tcPr>
            <w:tcW w:w="1020" w:type="pct"/>
            <w:shd w:val="clear" w:color="auto" w:fill="auto"/>
            <w:vAlign w:val="center"/>
          </w:tcPr>
          <w:p w14:paraId="06DF186A" w14:textId="77777777" w:rsidR="000A46CC" w:rsidRPr="007E055C" w:rsidRDefault="000A46CC" w:rsidP="00EA693D">
            <w:pPr>
              <w:pStyle w:val="In-tableHeading"/>
              <w:keepLines/>
              <w:jc w:val="both"/>
              <w:rPr>
                <w:szCs w:val="20"/>
              </w:rPr>
            </w:pPr>
          </w:p>
        </w:tc>
        <w:tc>
          <w:tcPr>
            <w:tcW w:w="629" w:type="pct"/>
            <w:shd w:val="clear" w:color="auto" w:fill="auto"/>
            <w:vAlign w:val="center"/>
          </w:tcPr>
          <w:p w14:paraId="37B8406C" w14:textId="77777777" w:rsidR="000A46CC" w:rsidRPr="007E055C" w:rsidRDefault="000A46CC" w:rsidP="00EA693D">
            <w:pPr>
              <w:pStyle w:val="In-tableHeading"/>
              <w:keepLines/>
              <w:jc w:val="center"/>
              <w:rPr>
                <w:szCs w:val="20"/>
              </w:rPr>
            </w:pPr>
            <w:r w:rsidRPr="007E055C">
              <w:rPr>
                <w:szCs w:val="20"/>
              </w:rPr>
              <w:t>Year 1</w:t>
            </w:r>
          </w:p>
        </w:tc>
        <w:tc>
          <w:tcPr>
            <w:tcW w:w="629" w:type="pct"/>
            <w:shd w:val="clear" w:color="auto" w:fill="auto"/>
            <w:vAlign w:val="center"/>
          </w:tcPr>
          <w:p w14:paraId="328C45A1" w14:textId="77777777" w:rsidR="000A46CC" w:rsidRPr="007E055C" w:rsidRDefault="000A46CC" w:rsidP="00EA693D">
            <w:pPr>
              <w:pStyle w:val="In-tableHeading"/>
              <w:keepLines/>
              <w:jc w:val="center"/>
              <w:rPr>
                <w:szCs w:val="20"/>
              </w:rPr>
            </w:pPr>
            <w:r w:rsidRPr="007E055C">
              <w:rPr>
                <w:szCs w:val="20"/>
              </w:rPr>
              <w:t>Year 2</w:t>
            </w:r>
          </w:p>
        </w:tc>
        <w:tc>
          <w:tcPr>
            <w:tcW w:w="629" w:type="pct"/>
            <w:shd w:val="clear" w:color="auto" w:fill="auto"/>
            <w:vAlign w:val="center"/>
          </w:tcPr>
          <w:p w14:paraId="4A57F586" w14:textId="77777777" w:rsidR="000A46CC" w:rsidRPr="007E055C" w:rsidRDefault="000A46CC" w:rsidP="00EA693D">
            <w:pPr>
              <w:pStyle w:val="In-tableHeading"/>
              <w:keepLines/>
              <w:jc w:val="center"/>
              <w:rPr>
                <w:szCs w:val="20"/>
              </w:rPr>
            </w:pPr>
            <w:r w:rsidRPr="007E055C">
              <w:rPr>
                <w:szCs w:val="20"/>
              </w:rPr>
              <w:t>Year 3</w:t>
            </w:r>
          </w:p>
        </w:tc>
        <w:tc>
          <w:tcPr>
            <w:tcW w:w="629" w:type="pct"/>
            <w:shd w:val="clear" w:color="auto" w:fill="auto"/>
            <w:vAlign w:val="center"/>
          </w:tcPr>
          <w:p w14:paraId="2B72ECD3" w14:textId="77777777" w:rsidR="000A46CC" w:rsidRPr="007E055C" w:rsidRDefault="000A46CC" w:rsidP="00EA693D">
            <w:pPr>
              <w:pStyle w:val="In-tableHeading"/>
              <w:keepLines/>
              <w:jc w:val="center"/>
              <w:rPr>
                <w:szCs w:val="20"/>
              </w:rPr>
            </w:pPr>
            <w:r w:rsidRPr="007E055C">
              <w:rPr>
                <w:szCs w:val="20"/>
              </w:rPr>
              <w:t>Year 4</w:t>
            </w:r>
          </w:p>
        </w:tc>
        <w:tc>
          <w:tcPr>
            <w:tcW w:w="708" w:type="pct"/>
            <w:shd w:val="clear" w:color="auto" w:fill="auto"/>
            <w:vAlign w:val="center"/>
          </w:tcPr>
          <w:p w14:paraId="72F417A4" w14:textId="77777777" w:rsidR="000A46CC" w:rsidRPr="007E055C" w:rsidRDefault="000A46CC" w:rsidP="00EA693D">
            <w:pPr>
              <w:pStyle w:val="In-tableHeading"/>
              <w:keepLines/>
              <w:jc w:val="center"/>
              <w:rPr>
                <w:szCs w:val="20"/>
              </w:rPr>
            </w:pPr>
            <w:r w:rsidRPr="007E055C">
              <w:rPr>
                <w:szCs w:val="20"/>
              </w:rPr>
              <w:t>Year 5</w:t>
            </w:r>
          </w:p>
        </w:tc>
        <w:tc>
          <w:tcPr>
            <w:tcW w:w="756" w:type="pct"/>
          </w:tcPr>
          <w:p w14:paraId="193BE93D" w14:textId="77777777" w:rsidR="000A46CC" w:rsidRPr="007E055C" w:rsidRDefault="000A46CC" w:rsidP="00EA693D">
            <w:pPr>
              <w:pStyle w:val="In-tableHeading"/>
              <w:keepLines/>
              <w:jc w:val="center"/>
              <w:rPr>
                <w:szCs w:val="20"/>
              </w:rPr>
            </w:pPr>
            <w:r w:rsidRPr="007E055C">
              <w:rPr>
                <w:szCs w:val="20"/>
              </w:rPr>
              <w:t>Year 6</w:t>
            </w:r>
          </w:p>
        </w:tc>
      </w:tr>
      <w:tr w:rsidR="000A46CC" w:rsidRPr="007E055C" w14:paraId="4FF46064" w14:textId="77777777" w:rsidTr="001D246A">
        <w:tc>
          <w:tcPr>
            <w:tcW w:w="5000" w:type="pct"/>
            <w:gridSpan w:val="7"/>
            <w:shd w:val="clear" w:color="auto" w:fill="auto"/>
            <w:vAlign w:val="center"/>
          </w:tcPr>
          <w:p w14:paraId="140CF3DF" w14:textId="77777777" w:rsidR="000A46CC" w:rsidRPr="007E055C" w:rsidRDefault="000A46CC" w:rsidP="00EA693D">
            <w:pPr>
              <w:pStyle w:val="In-tableHeading"/>
              <w:keepLines/>
              <w:jc w:val="both"/>
              <w:rPr>
                <w:bCs/>
                <w:color w:val="000000"/>
                <w:szCs w:val="20"/>
              </w:rPr>
            </w:pPr>
            <w:r w:rsidRPr="007E055C">
              <w:rPr>
                <w:bCs/>
                <w:color w:val="000000"/>
                <w:szCs w:val="20"/>
              </w:rPr>
              <w:t>Estimated extent of use of faricimab</w:t>
            </w:r>
          </w:p>
        </w:tc>
      </w:tr>
      <w:tr w:rsidR="000A46CC" w:rsidRPr="007E055C" w14:paraId="278E48B2" w14:textId="77777777" w:rsidTr="001D246A">
        <w:tc>
          <w:tcPr>
            <w:tcW w:w="1020" w:type="pct"/>
            <w:shd w:val="clear" w:color="auto" w:fill="auto"/>
            <w:vAlign w:val="center"/>
          </w:tcPr>
          <w:p w14:paraId="6D22C6E0" w14:textId="39CC5356" w:rsidR="000A46CC" w:rsidRPr="007E055C" w:rsidRDefault="000A46CC" w:rsidP="00EA693D">
            <w:pPr>
              <w:pStyle w:val="TableText0"/>
              <w:keepLines/>
              <w:rPr>
                <w:szCs w:val="20"/>
              </w:rPr>
            </w:pPr>
            <w:r w:rsidRPr="007E055C">
              <w:rPr>
                <w:szCs w:val="20"/>
              </w:rPr>
              <w:t>Number of scripts dispensed</w:t>
            </w:r>
          </w:p>
        </w:tc>
        <w:tc>
          <w:tcPr>
            <w:tcW w:w="629" w:type="pct"/>
            <w:shd w:val="clear" w:color="auto" w:fill="auto"/>
            <w:vAlign w:val="center"/>
          </w:tcPr>
          <w:p w14:paraId="6A346473" w14:textId="352277AE" w:rsidR="000A46CC" w:rsidRPr="00952EF1" w:rsidRDefault="007A1CFA" w:rsidP="00EA693D">
            <w:pPr>
              <w:pStyle w:val="TableText0"/>
              <w:keepLines/>
              <w:jc w:val="center"/>
              <w:rPr>
                <w:color w:val="000000"/>
                <w:szCs w:val="20"/>
              </w:rPr>
            </w:pPr>
            <w:r w:rsidRPr="007A1CFA">
              <w:rPr>
                <w:rFonts w:hint="eastAsia"/>
                <w:color w:val="000000"/>
                <w:w w:val="15"/>
                <w:szCs w:val="20"/>
                <w:shd w:val="solid" w:color="000000" w:fill="000000"/>
                <w:fitText w:val="40" w:id="-893184753"/>
                <w14:textFill>
                  <w14:solidFill>
                    <w14:srgbClr w14:val="000000">
                      <w14:alpha w14:val="100000"/>
                    </w14:srgbClr>
                  </w14:solidFill>
                </w14:textFill>
              </w:rPr>
              <w:t xml:space="preserve">　</w:t>
            </w:r>
            <w:r w:rsidRPr="007A1CFA">
              <w:rPr>
                <w:color w:val="000000"/>
                <w:w w:val="15"/>
                <w:szCs w:val="20"/>
                <w:shd w:val="solid" w:color="000000" w:fill="000000"/>
                <w:fitText w:val="40" w:id="-893184753"/>
                <w14:textFill>
                  <w14:solidFill>
                    <w14:srgbClr w14:val="000000">
                      <w14:alpha w14:val="100000"/>
                    </w14:srgbClr>
                  </w14:solidFill>
                </w14:textFill>
              </w:rPr>
              <w:t>|</w:t>
            </w:r>
            <w:r w:rsidRPr="007A1CFA">
              <w:rPr>
                <w:rFonts w:hint="eastAsia"/>
                <w:color w:val="000000"/>
                <w:spacing w:val="-25"/>
                <w:w w:val="15"/>
                <w:szCs w:val="20"/>
                <w:shd w:val="solid" w:color="000000" w:fill="000000"/>
                <w:fitText w:val="40" w:id="-893184753"/>
                <w14:textFill>
                  <w14:solidFill>
                    <w14:srgbClr w14:val="000000">
                      <w14:alpha w14:val="100000"/>
                    </w14:srgbClr>
                  </w14:solidFill>
                </w14:textFill>
              </w:rPr>
              <w:t xml:space="preserve">　</w:t>
            </w:r>
            <w:r w:rsidR="00C56D72" w:rsidRPr="00952EF1">
              <w:rPr>
                <w:szCs w:val="20"/>
                <w:vertAlign w:val="superscript"/>
              </w:rPr>
              <w:t>1</w:t>
            </w:r>
          </w:p>
        </w:tc>
        <w:tc>
          <w:tcPr>
            <w:tcW w:w="629" w:type="pct"/>
            <w:shd w:val="clear" w:color="auto" w:fill="auto"/>
            <w:vAlign w:val="center"/>
          </w:tcPr>
          <w:p w14:paraId="76FE9153" w14:textId="5489CF9D" w:rsidR="000A46CC" w:rsidRPr="00952EF1" w:rsidRDefault="007A1CFA" w:rsidP="00EA693D">
            <w:pPr>
              <w:pStyle w:val="TableText0"/>
              <w:keepLines/>
              <w:jc w:val="center"/>
              <w:rPr>
                <w:color w:val="000000"/>
                <w:szCs w:val="20"/>
              </w:rPr>
            </w:pPr>
            <w:r w:rsidRPr="007A1CFA">
              <w:rPr>
                <w:rFonts w:hint="eastAsia"/>
                <w:color w:val="000000"/>
                <w:w w:val="15"/>
                <w:szCs w:val="20"/>
                <w:shd w:val="solid" w:color="000000" w:fill="000000"/>
                <w:fitText w:val="40" w:id="-893184752"/>
                <w14:textFill>
                  <w14:solidFill>
                    <w14:srgbClr w14:val="000000">
                      <w14:alpha w14:val="100000"/>
                    </w14:srgbClr>
                  </w14:solidFill>
                </w14:textFill>
              </w:rPr>
              <w:t xml:space="preserve">　</w:t>
            </w:r>
            <w:r w:rsidRPr="007A1CFA">
              <w:rPr>
                <w:color w:val="000000"/>
                <w:w w:val="15"/>
                <w:szCs w:val="20"/>
                <w:shd w:val="solid" w:color="000000" w:fill="000000"/>
                <w:fitText w:val="40" w:id="-893184752"/>
                <w14:textFill>
                  <w14:solidFill>
                    <w14:srgbClr w14:val="000000">
                      <w14:alpha w14:val="100000"/>
                    </w14:srgbClr>
                  </w14:solidFill>
                </w14:textFill>
              </w:rPr>
              <w:t>|</w:t>
            </w:r>
            <w:r w:rsidRPr="007A1CFA">
              <w:rPr>
                <w:rFonts w:hint="eastAsia"/>
                <w:color w:val="000000"/>
                <w:spacing w:val="-25"/>
                <w:w w:val="15"/>
                <w:szCs w:val="20"/>
                <w:shd w:val="solid" w:color="000000" w:fill="000000"/>
                <w:fitText w:val="40" w:id="-893184752"/>
                <w14:textFill>
                  <w14:solidFill>
                    <w14:srgbClr w14:val="000000">
                      <w14:alpha w14:val="100000"/>
                    </w14:srgbClr>
                  </w14:solidFill>
                </w14:textFill>
              </w:rPr>
              <w:t xml:space="preserve">　</w:t>
            </w:r>
            <w:r w:rsidR="00C56D72" w:rsidRPr="00952EF1">
              <w:rPr>
                <w:szCs w:val="20"/>
                <w:vertAlign w:val="superscript"/>
              </w:rPr>
              <w:t>2</w:t>
            </w:r>
          </w:p>
        </w:tc>
        <w:tc>
          <w:tcPr>
            <w:tcW w:w="629" w:type="pct"/>
            <w:shd w:val="clear" w:color="auto" w:fill="auto"/>
            <w:vAlign w:val="center"/>
          </w:tcPr>
          <w:p w14:paraId="1F1A1F88" w14:textId="0280CBF3" w:rsidR="000A46CC" w:rsidRPr="00952EF1" w:rsidRDefault="007A1CFA" w:rsidP="00EA693D">
            <w:pPr>
              <w:pStyle w:val="TableText0"/>
              <w:keepLines/>
              <w:jc w:val="center"/>
              <w:rPr>
                <w:color w:val="000000"/>
                <w:szCs w:val="20"/>
              </w:rPr>
            </w:pPr>
            <w:r w:rsidRPr="007A1CFA">
              <w:rPr>
                <w:color w:val="000000"/>
                <w:spacing w:val="164"/>
                <w:szCs w:val="20"/>
                <w:shd w:val="solid" w:color="000000" w:fill="000000"/>
                <w:fitText w:val="250" w:id="-893184767"/>
                <w14:textFill>
                  <w14:solidFill>
                    <w14:srgbClr w14:val="000000">
                      <w14:alpha w14:val="100000"/>
                    </w14:srgbClr>
                  </w14:solidFill>
                </w14:textFill>
              </w:rPr>
              <w:t>|</w:t>
            </w:r>
            <w:r w:rsidRPr="007A1CFA">
              <w:rPr>
                <w:color w:val="000000"/>
                <w:spacing w:val="1"/>
                <w:szCs w:val="20"/>
                <w:shd w:val="solid" w:color="000000" w:fill="000000"/>
                <w:fitText w:val="250" w:id="-893184767"/>
                <w14:textFill>
                  <w14:solidFill>
                    <w14:srgbClr w14:val="000000">
                      <w14:alpha w14:val="100000"/>
                    </w14:srgbClr>
                  </w14:solidFill>
                </w14:textFill>
              </w:rPr>
              <w:t>|</w:t>
            </w:r>
            <w:r w:rsidR="00C56D72" w:rsidRPr="00952EF1">
              <w:rPr>
                <w:szCs w:val="20"/>
                <w:vertAlign w:val="superscript"/>
              </w:rPr>
              <w:t>3</w:t>
            </w:r>
          </w:p>
        </w:tc>
        <w:tc>
          <w:tcPr>
            <w:tcW w:w="629" w:type="pct"/>
            <w:shd w:val="clear" w:color="auto" w:fill="auto"/>
            <w:vAlign w:val="center"/>
          </w:tcPr>
          <w:p w14:paraId="483859FB" w14:textId="208859D3" w:rsidR="000A46CC" w:rsidRPr="00952EF1" w:rsidRDefault="007A1CFA" w:rsidP="00EA693D">
            <w:pPr>
              <w:pStyle w:val="TableText0"/>
              <w:keepLines/>
              <w:jc w:val="center"/>
              <w:rPr>
                <w:color w:val="000000"/>
                <w:szCs w:val="20"/>
              </w:rPr>
            </w:pPr>
            <w:r w:rsidRPr="007A1CFA">
              <w:rPr>
                <w:rFonts w:hint="eastAsia"/>
                <w:color w:val="000000"/>
                <w:w w:val="15"/>
                <w:szCs w:val="20"/>
                <w:shd w:val="solid" w:color="000000" w:fill="000000"/>
                <w:fitText w:val="40" w:id="-893184766"/>
                <w14:textFill>
                  <w14:solidFill>
                    <w14:srgbClr w14:val="000000">
                      <w14:alpha w14:val="100000"/>
                    </w14:srgbClr>
                  </w14:solidFill>
                </w14:textFill>
              </w:rPr>
              <w:t xml:space="preserve">　</w:t>
            </w:r>
            <w:r w:rsidRPr="007A1CFA">
              <w:rPr>
                <w:color w:val="000000"/>
                <w:w w:val="15"/>
                <w:szCs w:val="20"/>
                <w:shd w:val="solid" w:color="000000" w:fill="000000"/>
                <w:fitText w:val="40" w:id="-893184766"/>
                <w14:textFill>
                  <w14:solidFill>
                    <w14:srgbClr w14:val="000000">
                      <w14:alpha w14:val="100000"/>
                    </w14:srgbClr>
                  </w14:solidFill>
                </w14:textFill>
              </w:rPr>
              <w:t>|</w:t>
            </w:r>
            <w:r w:rsidRPr="007A1CFA">
              <w:rPr>
                <w:rFonts w:hint="eastAsia"/>
                <w:color w:val="000000"/>
                <w:spacing w:val="-25"/>
                <w:w w:val="15"/>
                <w:szCs w:val="20"/>
                <w:shd w:val="solid" w:color="000000" w:fill="000000"/>
                <w:fitText w:val="40" w:id="-893184766"/>
                <w14:textFill>
                  <w14:solidFill>
                    <w14:srgbClr w14:val="000000">
                      <w14:alpha w14:val="100000"/>
                    </w14:srgbClr>
                  </w14:solidFill>
                </w14:textFill>
              </w:rPr>
              <w:t xml:space="preserve">　</w:t>
            </w:r>
            <w:r w:rsidR="00E82AFB" w:rsidRPr="00952EF1">
              <w:rPr>
                <w:szCs w:val="20"/>
                <w:vertAlign w:val="superscript"/>
              </w:rPr>
              <w:t>4</w:t>
            </w:r>
          </w:p>
        </w:tc>
        <w:tc>
          <w:tcPr>
            <w:tcW w:w="708" w:type="pct"/>
            <w:shd w:val="clear" w:color="auto" w:fill="auto"/>
            <w:vAlign w:val="center"/>
          </w:tcPr>
          <w:p w14:paraId="34E0C727" w14:textId="5A2E07BC" w:rsidR="000A46CC" w:rsidRPr="00952EF1" w:rsidRDefault="007A1CFA" w:rsidP="00EA693D">
            <w:pPr>
              <w:pStyle w:val="TableText0"/>
              <w:keepLines/>
              <w:jc w:val="center"/>
              <w:rPr>
                <w:color w:val="000000"/>
                <w:szCs w:val="20"/>
              </w:rPr>
            </w:pPr>
            <w:r w:rsidRPr="007A1CFA">
              <w:rPr>
                <w:color w:val="000000"/>
                <w:szCs w:val="20"/>
                <w:shd w:val="solid" w:color="000000" w:fill="000000"/>
                <w14:textFill>
                  <w14:solidFill>
                    <w14:srgbClr w14:val="000000">
                      <w14:alpha w14:val="100000"/>
                    </w14:srgbClr>
                  </w14:solidFill>
                </w14:textFill>
              </w:rPr>
              <w:t>|</w:t>
            </w:r>
            <w:r w:rsidR="009274A9" w:rsidRPr="00952EF1">
              <w:rPr>
                <w:szCs w:val="20"/>
                <w:vertAlign w:val="superscript"/>
              </w:rPr>
              <w:t>5</w:t>
            </w:r>
          </w:p>
        </w:tc>
        <w:tc>
          <w:tcPr>
            <w:tcW w:w="756" w:type="pct"/>
            <w:vAlign w:val="center"/>
          </w:tcPr>
          <w:p w14:paraId="2E44FC42" w14:textId="53DF1155" w:rsidR="000A46CC" w:rsidRPr="00952EF1" w:rsidRDefault="007A1CFA" w:rsidP="00EA693D">
            <w:pPr>
              <w:pStyle w:val="TableText0"/>
              <w:keepLines/>
              <w:jc w:val="center"/>
              <w:rPr>
                <w:color w:val="000000"/>
                <w:szCs w:val="20"/>
              </w:rPr>
            </w:pPr>
            <w:r w:rsidRPr="007A1CFA">
              <w:rPr>
                <w:color w:val="000000"/>
                <w:szCs w:val="20"/>
                <w:shd w:val="solid" w:color="000000" w:fill="000000"/>
                <w14:textFill>
                  <w14:solidFill>
                    <w14:srgbClr w14:val="000000">
                      <w14:alpha w14:val="100000"/>
                    </w14:srgbClr>
                  </w14:solidFill>
                </w14:textFill>
              </w:rPr>
              <w:t>|</w:t>
            </w:r>
            <w:r w:rsidR="00E10368" w:rsidRPr="00952EF1">
              <w:rPr>
                <w:szCs w:val="20"/>
                <w:vertAlign w:val="superscript"/>
              </w:rPr>
              <w:t>6</w:t>
            </w:r>
          </w:p>
        </w:tc>
      </w:tr>
      <w:tr w:rsidR="000A46CC" w:rsidRPr="007E055C" w14:paraId="22DA9A9D" w14:textId="77777777" w:rsidTr="001D246A">
        <w:tc>
          <w:tcPr>
            <w:tcW w:w="5000" w:type="pct"/>
            <w:gridSpan w:val="7"/>
            <w:shd w:val="clear" w:color="auto" w:fill="auto"/>
            <w:vAlign w:val="center"/>
          </w:tcPr>
          <w:p w14:paraId="18878A8A" w14:textId="77777777" w:rsidR="000A46CC" w:rsidRPr="00952EF1" w:rsidRDefault="000A46CC" w:rsidP="00EA693D">
            <w:pPr>
              <w:pStyle w:val="TableText0"/>
              <w:keepLines/>
              <w:rPr>
                <w:b/>
                <w:szCs w:val="20"/>
              </w:rPr>
            </w:pPr>
            <w:r w:rsidRPr="00952EF1">
              <w:rPr>
                <w:b/>
                <w:szCs w:val="20"/>
              </w:rPr>
              <w:t>Estimated financial implications of faricimab</w:t>
            </w:r>
          </w:p>
        </w:tc>
      </w:tr>
      <w:tr w:rsidR="000A46CC" w:rsidRPr="007E055C" w14:paraId="0CF73BFF" w14:textId="77777777" w:rsidTr="001D246A">
        <w:tc>
          <w:tcPr>
            <w:tcW w:w="1020" w:type="pct"/>
            <w:shd w:val="clear" w:color="auto" w:fill="auto"/>
            <w:vAlign w:val="center"/>
          </w:tcPr>
          <w:p w14:paraId="376A41A4" w14:textId="77777777" w:rsidR="000A46CC" w:rsidRPr="007E055C" w:rsidRDefault="000A46CC" w:rsidP="00EA693D">
            <w:pPr>
              <w:pStyle w:val="TableText0"/>
              <w:keepLines/>
              <w:rPr>
                <w:szCs w:val="20"/>
              </w:rPr>
            </w:pPr>
            <w:r w:rsidRPr="007E055C">
              <w:rPr>
                <w:szCs w:val="20"/>
              </w:rPr>
              <w:t>Cost to PBS/RPBS less copayments</w:t>
            </w:r>
          </w:p>
        </w:tc>
        <w:tc>
          <w:tcPr>
            <w:tcW w:w="629" w:type="pct"/>
            <w:shd w:val="clear" w:color="auto" w:fill="auto"/>
            <w:vAlign w:val="center"/>
          </w:tcPr>
          <w:p w14:paraId="02650ACC" w14:textId="28421242" w:rsidR="000A46CC" w:rsidRPr="00952EF1" w:rsidRDefault="007A1CFA" w:rsidP="00EA693D">
            <w:pPr>
              <w:pStyle w:val="TableText0"/>
              <w:keepLines/>
              <w:jc w:val="center"/>
              <w:rPr>
                <w:szCs w:val="20"/>
              </w:rPr>
            </w:pPr>
            <w:r w:rsidRPr="007A1CFA">
              <w:rPr>
                <w:rFonts w:cs="Calibri" w:hint="eastAsia"/>
                <w:color w:val="000000" w:themeColor="text1"/>
                <w:w w:val="15"/>
                <w:szCs w:val="20"/>
                <w:shd w:val="solid" w:color="000000" w:fill="000000"/>
                <w:fitText w:val="40" w:id="-893184765"/>
                <w14:textFill>
                  <w14:solidFill>
                    <w14:schemeClr w14:val="tx1">
                      <w14:alpha w14:val="100000"/>
                    </w14:schemeClr>
                  </w14:solidFill>
                </w14:textFill>
              </w:rPr>
              <w:t xml:space="preserve">　</w:t>
            </w:r>
            <w:r w:rsidRPr="007A1CFA">
              <w:rPr>
                <w:rFonts w:cs="Calibri"/>
                <w:color w:val="000000" w:themeColor="text1"/>
                <w:w w:val="15"/>
                <w:szCs w:val="20"/>
                <w:shd w:val="solid" w:color="000000" w:fill="000000"/>
                <w:fitText w:val="40" w:id="-893184765"/>
                <w14:textFill>
                  <w14:solidFill>
                    <w14:schemeClr w14:val="tx1">
                      <w14:alpha w14:val="100000"/>
                    </w14:schemeClr>
                  </w14:solidFill>
                </w14:textFill>
              </w:rPr>
              <w:t>|</w:t>
            </w:r>
            <w:r w:rsidRPr="007A1CFA">
              <w:rPr>
                <w:rFonts w:cs="Calibri" w:hint="eastAsia"/>
                <w:color w:val="000000" w:themeColor="text1"/>
                <w:spacing w:val="-25"/>
                <w:w w:val="15"/>
                <w:szCs w:val="20"/>
                <w:shd w:val="solid" w:color="000000" w:fill="000000"/>
                <w:fitText w:val="40" w:id="-893184765"/>
                <w14:textFill>
                  <w14:solidFill>
                    <w14:schemeClr w14:val="tx1">
                      <w14:alpha w14:val="100000"/>
                    </w14:schemeClr>
                  </w14:solidFill>
                </w14:textFill>
              </w:rPr>
              <w:t xml:space="preserve">　</w:t>
            </w:r>
            <w:r w:rsidR="00B51D54" w:rsidRPr="00952EF1">
              <w:rPr>
                <w:rFonts w:cs="Calibri"/>
                <w:color w:val="000000" w:themeColor="text1"/>
                <w:szCs w:val="20"/>
                <w:vertAlign w:val="superscript"/>
              </w:rPr>
              <w:t>7</w:t>
            </w:r>
          </w:p>
        </w:tc>
        <w:tc>
          <w:tcPr>
            <w:tcW w:w="629" w:type="pct"/>
            <w:shd w:val="clear" w:color="auto" w:fill="auto"/>
            <w:vAlign w:val="center"/>
          </w:tcPr>
          <w:p w14:paraId="795BDBE5" w14:textId="55454140" w:rsidR="000A46CC" w:rsidRPr="00952EF1" w:rsidRDefault="007A1CFA" w:rsidP="00EA693D">
            <w:pPr>
              <w:pStyle w:val="TableText0"/>
              <w:keepLines/>
              <w:jc w:val="center"/>
              <w:rPr>
                <w:szCs w:val="20"/>
              </w:rPr>
            </w:pPr>
            <w:r w:rsidRPr="007A1CFA">
              <w:rPr>
                <w:rFonts w:cs="Calibri" w:hint="eastAsia"/>
                <w:color w:val="000000" w:themeColor="text1"/>
                <w:w w:val="15"/>
                <w:szCs w:val="20"/>
                <w:shd w:val="solid" w:color="000000" w:fill="000000"/>
                <w:fitText w:val="40" w:id="-893184764"/>
                <w14:textFill>
                  <w14:solidFill>
                    <w14:schemeClr w14:val="tx1">
                      <w14:alpha w14:val="100000"/>
                    </w14:schemeClr>
                  </w14:solidFill>
                </w14:textFill>
              </w:rPr>
              <w:t xml:space="preserve">　</w:t>
            </w:r>
            <w:r w:rsidRPr="007A1CFA">
              <w:rPr>
                <w:rFonts w:cs="Calibri"/>
                <w:color w:val="000000" w:themeColor="text1"/>
                <w:w w:val="15"/>
                <w:szCs w:val="20"/>
                <w:shd w:val="solid" w:color="000000" w:fill="000000"/>
                <w:fitText w:val="40" w:id="-893184764"/>
                <w14:textFill>
                  <w14:solidFill>
                    <w14:schemeClr w14:val="tx1">
                      <w14:alpha w14:val="100000"/>
                    </w14:schemeClr>
                  </w14:solidFill>
                </w14:textFill>
              </w:rPr>
              <w:t>|</w:t>
            </w:r>
            <w:r w:rsidRPr="007A1CFA">
              <w:rPr>
                <w:rFonts w:cs="Calibri" w:hint="eastAsia"/>
                <w:color w:val="000000" w:themeColor="text1"/>
                <w:spacing w:val="-25"/>
                <w:w w:val="15"/>
                <w:szCs w:val="20"/>
                <w:shd w:val="solid" w:color="000000" w:fill="000000"/>
                <w:fitText w:val="40" w:id="-893184764"/>
                <w14:textFill>
                  <w14:solidFill>
                    <w14:schemeClr w14:val="tx1">
                      <w14:alpha w14:val="100000"/>
                    </w14:schemeClr>
                  </w14:solidFill>
                </w14:textFill>
              </w:rPr>
              <w:t xml:space="preserve">　</w:t>
            </w:r>
            <w:r w:rsidR="00250015" w:rsidRPr="00952EF1">
              <w:rPr>
                <w:rFonts w:cs="Calibri"/>
                <w:color w:val="000000" w:themeColor="text1"/>
                <w:szCs w:val="20"/>
                <w:vertAlign w:val="superscript"/>
              </w:rPr>
              <w:t>8</w:t>
            </w:r>
          </w:p>
        </w:tc>
        <w:tc>
          <w:tcPr>
            <w:tcW w:w="629" w:type="pct"/>
            <w:shd w:val="clear" w:color="auto" w:fill="auto"/>
            <w:vAlign w:val="center"/>
          </w:tcPr>
          <w:p w14:paraId="540FCB57" w14:textId="4869FDAF" w:rsidR="000A46CC" w:rsidRPr="00952EF1" w:rsidRDefault="007A1CFA" w:rsidP="00EA693D">
            <w:pPr>
              <w:pStyle w:val="TableText0"/>
              <w:keepLines/>
              <w:jc w:val="center"/>
              <w:rPr>
                <w:szCs w:val="20"/>
              </w:rPr>
            </w:pPr>
            <w:r w:rsidRPr="007A1CFA">
              <w:rPr>
                <w:rFonts w:cs="Calibri" w:hint="eastAsia"/>
                <w:color w:val="000000" w:themeColor="text1"/>
                <w:w w:val="15"/>
                <w:szCs w:val="20"/>
                <w:shd w:val="solid" w:color="000000" w:fill="000000"/>
                <w:fitText w:val="40" w:id="-893184763"/>
                <w14:textFill>
                  <w14:solidFill>
                    <w14:schemeClr w14:val="tx1">
                      <w14:alpha w14:val="100000"/>
                    </w14:schemeClr>
                  </w14:solidFill>
                </w14:textFill>
              </w:rPr>
              <w:t xml:space="preserve">　</w:t>
            </w:r>
            <w:r w:rsidRPr="007A1CFA">
              <w:rPr>
                <w:rFonts w:cs="Calibri"/>
                <w:color w:val="000000" w:themeColor="text1"/>
                <w:w w:val="15"/>
                <w:szCs w:val="20"/>
                <w:shd w:val="solid" w:color="000000" w:fill="000000"/>
                <w:fitText w:val="40" w:id="-893184763"/>
                <w14:textFill>
                  <w14:solidFill>
                    <w14:schemeClr w14:val="tx1">
                      <w14:alpha w14:val="100000"/>
                    </w14:schemeClr>
                  </w14:solidFill>
                </w14:textFill>
              </w:rPr>
              <w:t>|</w:t>
            </w:r>
            <w:r w:rsidRPr="007A1CFA">
              <w:rPr>
                <w:rFonts w:cs="Calibri" w:hint="eastAsia"/>
                <w:color w:val="000000" w:themeColor="text1"/>
                <w:spacing w:val="-25"/>
                <w:w w:val="15"/>
                <w:szCs w:val="20"/>
                <w:shd w:val="solid" w:color="000000" w:fill="000000"/>
                <w:fitText w:val="40" w:id="-893184763"/>
                <w14:textFill>
                  <w14:solidFill>
                    <w14:schemeClr w14:val="tx1">
                      <w14:alpha w14:val="100000"/>
                    </w14:schemeClr>
                  </w14:solidFill>
                </w14:textFill>
              </w:rPr>
              <w:t xml:space="preserve">　</w:t>
            </w:r>
            <w:r w:rsidR="00250015" w:rsidRPr="00952EF1">
              <w:rPr>
                <w:rFonts w:cs="Calibri"/>
                <w:color w:val="000000" w:themeColor="text1"/>
                <w:szCs w:val="20"/>
                <w:vertAlign w:val="superscript"/>
              </w:rPr>
              <w:t>9</w:t>
            </w:r>
          </w:p>
        </w:tc>
        <w:tc>
          <w:tcPr>
            <w:tcW w:w="629" w:type="pct"/>
            <w:shd w:val="clear" w:color="auto" w:fill="auto"/>
            <w:vAlign w:val="center"/>
          </w:tcPr>
          <w:p w14:paraId="7CF8AFC7" w14:textId="04206EBD" w:rsidR="000A46CC" w:rsidRPr="00952EF1" w:rsidRDefault="007A1CFA" w:rsidP="00EA693D">
            <w:pPr>
              <w:pStyle w:val="TableText0"/>
              <w:keepLines/>
              <w:jc w:val="center"/>
              <w:rPr>
                <w:szCs w:val="20"/>
              </w:rPr>
            </w:pPr>
            <w:r w:rsidRPr="007A1CFA">
              <w:rPr>
                <w:rFonts w:cs="Calibri" w:hint="eastAsia"/>
                <w:color w:val="000000" w:themeColor="text1"/>
                <w:w w:val="15"/>
                <w:szCs w:val="20"/>
                <w:shd w:val="solid" w:color="000000" w:fill="000000"/>
                <w:fitText w:val="70" w:id="-893184762"/>
                <w14:textFill>
                  <w14:solidFill>
                    <w14:schemeClr w14:val="tx1">
                      <w14:alpha w14:val="100000"/>
                    </w14:schemeClr>
                  </w14:solidFill>
                </w14:textFill>
              </w:rPr>
              <w:t xml:space="preserve">　</w:t>
            </w:r>
            <w:r w:rsidRPr="007A1CFA">
              <w:rPr>
                <w:rFonts w:cs="Calibri"/>
                <w:color w:val="000000" w:themeColor="text1"/>
                <w:w w:val="15"/>
                <w:szCs w:val="20"/>
                <w:shd w:val="solid" w:color="000000" w:fill="000000"/>
                <w:fitText w:val="70" w:id="-893184762"/>
                <w14:textFill>
                  <w14:solidFill>
                    <w14:schemeClr w14:val="tx1">
                      <w14:alpha w14:val="100000"/>
                    </w14:schemeClr>
                  </w14:solidFill>
                </w14:textFill>
              </w:rPr>
              <w:t>|</w:t>
            </w:r>
            <w:r w:rsidRPr="007A1CFA">
              <w:rPr>
                <w:rFonts w:cs="Calibri" w:hint="eastAsia"/>
                <w:color w:val="000000" w:themeColor="text1"/>
                <w:spacing w:val="4"/>
                <w:w w:val="15"/>
                <w:szCs w:val="20"/>
                <w:shd w:val="solid" w:color="000000" w:fill="000000"/>
                <w:fitText w:val="70" w:id="-893184762"/>
                <w14:textFill>
                  <w14:solidFill>
                    <w14:schemeClr w14:val="tx1">
                      <w14:alpha w14:val="100000"/>
                    </w14:schemeClr>
                  </w14:solidFill>
                </w14:textFill>
              </w:rPr>
              <w:t xml:space="preserve">　</w:t>
            </w:r>
            <w:r w:rsidR="00131C0E" w:rsidRPr="00952EF1">
              <w:rPr>
                <w:rFonts w:cs="Calibri"/>
                <w:color w:val="000000" w:themeColor="text1"/>
                <w:szCs w:val="20"/>
                <w:vertAlign w:val="superscript"/>
              </w:rPr>
              <w:t>10</w:t>
            </w:r>
          </w:p>
        </w:tc>
        <w:tc>
          <w:tcPr>
            <w:tcW w:w="708" w:type="pct"/>
            <w:shd w:val="clear" w:color="auto" w:fill="auto"/>
            <w:vAlign w:val="center"/>
          </w:tcPr>
          <w:p w14:paraId="6B7C6A10" w14:textId="05BC6C7D" w:rsidR="000A46CC" w:rsidRPr="00952EF1" w:rsidRDefault="007A1CFA" w:rsidP="00EA693D">
            <w:pPr>
              <w:pStyle w:val="TableText0"/>
              <w:keepLines/>
              <w:jc w:val="center"/>
              <w:rPr>
                <w:szCs w:val="20"/>
              </w:rPr>
            </w:pPr>
            <w:r w:rsidRPr="007A1CFA">
              <w:rPr>
                <w:rFonts w:cs="Calibri"/>
                <w:color w:val="000000" w:themeColor="text1"/>
                <w:szCs w:val="20"/>
                <w:shd w:val="solid" w:color="000000" w:fill="000000"/>
                <w14:textFill>
                  <w14:solidFill>
                    <w14:schemeClr w14:val="tx1">
                      <w14:alpha w14:val="100000"/>
                    </w14:schemeClr>
                  </w14:solidFill>
                </w14:textFill>
              </w:rPr>
              <w:t>|</w:t>
            </w:r>
            <w:r w:rsidR="00131C0E" w:rsidRPr="00952EF1">
              <w:rPr>
                <w:rFonts w:cs="Calibri"/>
                <w:color w:val="000000" w:themeColor="text1"/>
                <w:szCs w:val="20"/>
                <w:vertAlign w:val="superscript"/>
              </w:rPr>
              <w:t>11</w:t>
            </w:r>
          </w:p>
        </w:tc>
        <w:tc>
          <w:tcPr>
            <w:tcW w:w="756" w:type="pct"/>
            <w:vAlign w:val="center"/>
          </w:tcPr>
          <w:p w14:paraId="1EFDE2EC" w14:textId="69C9AEE3" w:rsidR="000A46CC" w:rsidRPr="00952EF1" w:rsidRDefault="007A1CFA" w:rsidP="00EA693D">
            <w:pPr>
              <w:pStyle w:val="TableText0"/>
              <w:keepLines/>
              <w:jc w:val="center"/>
              <w:rPr>
                <w:szCs w:val="20"/>
              </w:rPr>
            </w:pPr>
            <w:r w:rsidRPr="007A1CFA">
              <w:rPr>
                <w:rFonts w:cs="Calibri"/>
                <w:color w:val="000000" w:themeColor="text1"/>
                <w:szCs w:val="20"/>
                <w:shd w:val="solid" w:color="000000" w:fill="000000"/>
                <w14:textFill>
                  <w14:solidFill>
                    <w14:schemeClr w14:val="tx1">
                      <w14:alpha w14:val="100000"/>
                    </w14:schemeClr>
                  </w14:solidFill>
                </w14:textFill>
              </w:rPr>
              <w:t>|</w:t>
            </w:r>
            <w:r w:rsidR="00AD7A5C" w:rsidRPr="00952EF1">
              <w:rPr>
                <w:rFonts w:cs="Calibri"/>
                <w:color w:val="000000" w:themeColor="text1"/>
                <w:szCs w:val="20"/>
                <w:vertAlign w:val="superscript"/>
              </w:rPr>
              <w:t>11</w:t>
            </w:r>
          </w:p>
        </w:tc>
      </w:tr>
      <w:tr w:rsidR="000A46CC" w:rsidRPr="007E055C" w14:paraId="47B2FFC8" w14:textId="77777777" w:rsidTr="001D246A">
        <w:tc>
          <w:tcPr>
            <w:tcW w:w="5000" w:type="pct"/>
            <w:gridSpan w:val="7"/>
            <w:shd w:val="clear" w:color="auto" w:fill="auto"/>
            <w:vAlign w:val="center"/>
          </w:tcPr>
          <w:p w14:paraId="03C56B53" w14:textId="77777777" w:rsidR="000A46CC" w:rsidRPr="00952EF1" w:rsidRDefault="000A46CC" w:rsidP="00EA693D">
            <w:pPr>
              <w:pStyle w:val="TableText0"/>
              <w:keepLines/>
              <w:rPr>
                <w:b/>
                <w:bCs w:val="0"/>
                <w:szCs w:val="20"/>
              </w:rPr>
            </w:pPr>
            <w:r w:rsidRPr="00952EF1">
              <w:rPr>
                <w:b/>
                <w:bCs w:val="0"/>
                <w:szCs w:val="20"/>
              </w:rPr>
              <w:t>Estimated financial implications for aflibercept</w:t>
            </w:r>
          </w:p>
        </w:tc>
      </w:tr>
      <w:tr w:rsidR="000A46CC" w:rsidRPr="007E055C" w14:paraId="5B06275D" w14:textId="77777777" w:rsidTr="001D246A">
        <w:tc>
          <w:tcPr>
            <w:tcW w:w="1020" w:type="pct"/>
            <w:shd w:val="clear" w:color="auto" w:fill="auto"/>
            <w:vAlign w:val="center"/>
          </w:tcPr>
          <w:p w14:paraId="390B7113" w14:textId="77777777" w:rsidR="000A46CC" w:rsidRPr="007E055C" w:rsidRDefault="000A46CC" w:rsidP="00EA693D">
            <w:pPr>
              <w:pStyle w:val="TableText0"/>
              <w:keepLines/>
              <w:rPr>
                <w:szCs w:val="20"/>
              </w:rPr>
            </w:pPr>
            <w:r w:rsidRPr="007E055C">
              <w:rPr>
                <w:szCs w:val="20"/>
              </w:rPr>
              <w:t>Cost to PBS/RPBS less copayments</w:t>
            </w:r>
          </w:p>
        </w:tc>
        <w:tc>
          <w:tcPr>
            <w:tcW w:w="629" w:type="pct"/>
            <w:shd w:val="clear" w:color="auto" w:fill="auto"/>
            <w:vAlign w:val="center"/>
          </w:tcPr>
          <w:p w14:paraId="06FDC271" w14:textId="3CF0040F" w:rsidR="000A46CC" w:rsidRPr="00952EF1" w:rsidRDefault="000A46CC" w:rsidP="00EA693D">
            <w:pPr>
              <w:pStyle w:val="TableText0"/>
              <w:keepLines/>
              <w:jc w:val="center"/>
              <w:rPr>
                <w:szCs w:val="20"/>
              </w:rPr>
            </w:pPr>
            <w:r w:rsidRPr="00952EF1">
              <w:rPr>
                <w:rFonts w:cs="Calibri"/>
                <w:color w:val="000000" w:themeColor="text1"/>
                <w:szCs w:val="20"/>
              </w:rPr>
              <w:t>-</w:t>
            </w:r>
            <w:r w:rsidR="007A1CFA" w:rsidRPr="007A1CFA">
              <w:rPr>
                <w:rFonts w:cs="Calibri" w:hint="eastAsia"/>
                <w:color w:val="000000" w:themeColor="text1"/>
                <w:w w:val="22"/>
                <w:szCs w:val="20"/>
                <w:shd w:val="solid" w:color="000000" w:fill="000000"/>
                <w:fitText w:val="100" w:id="-893184761"/>
                <w14:textFill>
                  <w14:solidFill>
                    <w14:schemeClr w14:val="tx1">
                      <w14:alpha w14:val="100000"/>
                    </w14:schemeClr>
                  </w14:solidFill>
                </w14:textFill>
              </w:rPr>
              <w:t xml:space="preserve">　</w:t>
            </w:r>
            <w:r w:rsidR="007A1CFA" w:rsidRPr="007A1CFA">
              <w:rPr>
                <w:rFonts w:cs="Calibri"/>
                <w:color w:val="000000" w:themeColor="text1"/>
                <w:w w:val="22"/>
                <w:szCs w:val="20"/>
                <w:shd w:val="solid" w:color="000000" w:fill="000000"/>
                <w:fitText w:val="100" w:id="-893184761"/>
                <w14:textFill>
                  <w14:solidFill>
                    <w14:schemeClr w14:val="tx1">
                      <w14:alpha w14:val="100000"/>
                    </w14:schemeClr>
                  </w14:solidFill>
                </w14:textFill>
              </w:rPr>
              <w:t>|</w:t>
            </w:r>
            <w:r w:rsidR="007A1CFA" w:rsidRPr="007A1CFA">
              <w:rPr>
                <w:rFonts w:cs="Calibri" w:hint="eastAsia"/>
                <w:color w:val="000000" w:themeColor="text1"/>
                <w:spacing w:val="3"/>
                <w:w w:val="22"/>
                <w:szCs w:val="20"/>
                <w:shd w:val="solid" w:color="000000" w:fill="000000"/>
                <w:fitText w:val="100" w:id="-893184761"/>
                <w14:textFill>
                  <w14:solidFill>
                    <w14:schemeClr w14:val="tx1">
                      <w14:alpha w14:val="100000"/>
                    </w14:schemeClr>
                  </w14:solidFill>
                </w14:textFill>
              </w:rPr>
              <w:t xml:space="preserve">　</w:t>
            </w:r>
            <w:r w:rsidR="00901656" w:rsidRPr="00952EF1">
              <w:rPr>
                <w:rFonts w:cs="Calibri"/>
                <w:color w:val="000000" w:themeColor="text1"/>
                <w:szCs w:val="20"/>
                <w:vertAlign w:val="superscript"/>
              </w:rPr>
              <w:t>12</w:t>
            </w:r>
          </w:p>
        </w:tc>
        <w:tc>
          <w:tcPr>
            <w:tcW w:w="629" w:type="pct"/>
            <w:shd w:val="clear" w:color="auto" w:fill="auto"/>
            <w:vAlign w:val="center"/>
          </w:tcPr>
          <w:p w14:paraId="5019290A" w14:textId="0A8186C8" w:rsidR="000A46CC" w:rsidRPr="00952EF1" w:rsidRDefault="000A46CC" w:rsidP="00EA693D">
            <w:pPr>
              <w:pStyle w:val="TableText0"/>
              <w:keepLines/>
              <w:jc w:val="center"/>
              <w:rPr>
                <w:szCs w:val="20"/>
              </w:rPr>
            </w:pPr>
            <w:r w:rsidRPr="00952EF1">
              <w:rPr>
                <w:rFonts w:cs="Calibri"/>
                <w:color w:val="000000" w:themeColor="text1"/>
                <w:szCs w:val="20"/>
              </w:rPr>
              <w:t>-</w:t>
            </w:r>
            <w:r w:rsidR="007A1CFA" w:rsidRPr="007A1CFA">
              <w:rPr>
                <w:rFonts w:cs="Calibri" w:hint="eastAsia"/>
                <w:color w:val="000000" w:themeColor="text1"/>
                <w:w w:val="22"/>
                <w:szCs w:val="20"/>
                <w:shd w:val="solid" w:color="000000" w:fill="000000"/>
                <w:fitText w:val="100" w:id="-893184760"/>
                <w14:textFill>
                  <w14:solidFill>
                    <w14:schemeClr w14:val="tx1">
                      <w14:alpha w14:val="100000"/>
                    </w14:schemeClr>
                  </w14:solidFill>
                </w14:textFill>
              </w:rPr>
              <w:t xml:space="preserve">　</w:t>
            </w:r>
            <w:r w:rsidR="007A1CFA" w:rsidRPr="007A1CFA">
              <w:rPr>
                <w:rFonts w:cs="Calibri"/>
                <w:color w:val="000000" w:themeColor="text1"/>
                <w:w w:val="22"/>
                <w:szCs w:val="20"/>
                <w:shd w:val="solid" w:color="000000" w:fill="000000"/>
                <w:fitText w:val="100" w:id="-893184760"/>
                <w14:textFill>
                  <w14:solidFill>
                    <w14:schemeClr w14:val="tx1">
                      <w14:alpha w14:val="100000"/>
                    </w14:schemeClr>
                  </w14:solidFill>
                </w14:textFill>
              </w:rPr>
              <w:t>|</w:t>
            </w:r>
            <w:r w:rsidR="007A1CFA" w:rsidRPr="007A1CFA">
              <w:rPr>
                <w:rFonts w:cs="Calibri" w:hint="eastAsia"/>
                <w:color w:val="000000" w:themeColor="text1"/>
                <w:spacing w:val="3"/>
                <w:w w:val="22"/>
                <w:szCs w:val="20"/>
                <w:shd w:val="solid" w:color="000000" w:fill="000000"/>
                <w:fitText w:val="100" w:id="-893184760"/>
                <w14:textFill>
                  <w14:solidFill>
                    <w14:schemeClr w14:val="tx1">
                      <w14:alpha w14:val="100000"/>
                    </w14:schemeClr>
                  </w14:solidFill>
                </w14:textFill>
              </w:rPr>
              <w:t xml:space="preserve">　</w:t>
            </w:r>
            <w:r w:rsidR="00A7074B" w:rsidRPr="00952EF1">
              <w:rPr>
                <w:rFonts w:cs="Calibri"/>
                <w:color w:val="000000" w:themeColor="text1"/>
                <w:szCs w:val="20"/>
                <w:vertAlign w:val="superscript"/>
              </w:rPr>
              <w:t>12</w:t>
            </w:r>
          </w:p>
        </w:tc>
        <w:tc>
          <w:tcPr>
            <w:tcW w:w="629" w:type="pct"/>
            <w:shd w:val="clear" w:color="auto" w:fill="auto"/>
            <w:vAlign w:val="center"/>
          </w:tcPr>
          <w:p w14:paraId="7048431D" w14:textId="757A6B52" w:rsidR="000A46CC" w:rsidRPr="00952EF1" w:rsidRDefault="000A46CC" w:rsidP="00EA693D">
            <w:pPr>
              <w:pStyle w:val="TableText0"/>
              <w:keepLines/>
              <w:jc w:val="center"/>
              <w:rPr>
                <w:szCs w:val="20"/>
              </w:rPr>
            </w:pPr>
            <w:r w:rsidRPr="00952EF1">
              <w:rPr>
                <w:rFonts w:cs="Calibri"/>
                <w:color w:val="000000" w:themeColor="text1"/>
                <w:szCs w:val="20"/>
              </w:rPr>
              <w:t>-</w:t>
            </w:r>
            <w:r w:rsidR="007A1CFA" w:rsidRPr="007A1CFA">
              <w:rPr>
                <w:rFonts w:cs="Calibri" w:hint="eastAsia"/>
                <w:color w:val="000000" w:themeColor="text1"/>
                <w:w w:val="22"/>
                <w:szCs w:val="20"/>
                <w:shd w:val="solid" w:color="000000" w:fill="000000"/>
                <w:fitText w:val="100" w:id="-893184759"/>
                <w14:textFill>
                  <w14:solidFill>
                    <w14:schemeClr w14:val="tx1">
                      <w14:alpha w14:val="100000"/>
                    </w14:schemeClr>
                  </w14:solidFill>
                </w14:textFill>
              </w:rPr>
              <w:t xml:space="preserve">　</w:t>
            </w:r>
            <w:r w:rsidR="007A1CFA" w:rsidRPr="007A1CFA">
              <w:rPr>
                <w:rFonts w:cs="Calibri"/>
                <w:color w:val="000000" w:themeColor="text1"/>
                <w:w w:val="22"/>
                <w:szCs w:val="20"/>
                <w:shd w:val="solid" w:color="000000" w:fill="000000"/>
                <w:fitText w:val="100" w:id="-893184759"/>
                <w14:textFill>
                  <w14:solidFill>
                    <w14:schemeClr w14:val="tx1">
                      <w14:alpha w14:val="100000"/>
                    </w14:schemeClr>
                  </w14:solidFill>
                </w14:textFill>
              </w:rPr>
              <w:t>|</w:t>
            </w:r>
            <w:r w:rsidR="007A1CFA" w:rsidRPr="007A1CFA">
              <w:rPr>
                <w:rFonts w:cs="Calibri" w:hint="eastAsia"/>
                <w:color w:val="000000" w:themeColor="text1"/>
                <w:spacing w:val="3"/>
                <w:w w:val="22"/>
                <w:szCs w:val="20"/>
                <w:shd w:val="solid" w:color="000000" w:fill="000000"/>
                <w:fitText w:val="100" w:id="-893184759"/>
                <w14:textFill>
                  <w14:solidFill>
                    <w14:schemeClr w14:val="tx1">
                      <w14:alpha w14:val="100000"/>
                    </w14:schemeClr>
                  </w14:solidFill>
                </w14:textFill>
              </w:rPr>
              <w:t xml:space="preserve">　</w:t>
            </w:r>
            <w:r w:rsidR="00A7074B" w:rsidRPr="00952EF1">
              <w:rPr>
                <w:rFonts w:cs="Calibri"/>
                <w:color w:val="000000" w:themeColor="text1"/>
                <w:szCs w:val="20"/>
                <w:vertAlign w:val="superscript"/>
              </w:rPr>
              <w:t>12</w:t>
            </w:r>
          </w:p>
        </w:tc>
        <w:tc>
          <w:tcPr>
            <w:tcW w:w="629" w:type="pct"/>
            <w:shd w:val="clear" w:color="auto" w:fill="auto"/>
            <w:vAlign w:val="center"/>
          </w:tcPr>
          <w:p w14:paraId="1F43B19D" w14:textId="7BD7C0FE" w:rsidR="000A46CC" w:rsidRPr="00952EF1" w:rsidRDefault="000A46CC" w:rsidP="00EA693D">
            <w:pPr>
              <w:pStyle w:val="TableText0"/>
              <w:keepLines/>
              <w:jc w:val="center"/>
              <w:rPr>
                <w:szCs w:val="20"/>
              </w:rPr>
            </w:pPr>
            <w:r w:rsidRPr="00952EF1">
              <w:rPr>
                <w:rFonts w:cs="Calibri"/>
                <w:color w:val="000000" w:themeColor="text1"/>
                <w:szCs w:val="20"/>
              </w:rPr>
              <w:t>-</w:t>
            </w:r>
            <w:r w:rsidR="007A1CFA" w:rsidRPr="007A1CFA">
              <w:rPr>
                <w:rFonts w:cs="Calibri" w:hint="eastAsia"/>
                <w:color w:val="000000" w:themeColor="text1"/>
                <w:w w:val="22"/>
                <w:szCs w:val="20"/>
                <w:shd w:val="solid" w:color="000000" w:fill="000000"/>
                <w:fitText w:val="100" w:id="-893184758"/>
                <w14:textFill>
                  <w14:solidFill>
                    <w14:schemeClr w14:val="tx1">
                      <w14:alpha w14:val="100000"/>
                    </w14:schemeClr>
                  </w14:solidFill>
                </w14:textFill>
              </w:rPr>
              <w:t xml:space="preserve">　</w:t>
            </w:r>
            <w:r w:rsidR="007A1CFA" w:rsidRPr="007A1CFA">
              <w:rPr>
                <w:rFonts w:cs="Calibri"/>
                <w:color w:val="000000" w:themeColor="text1"/>
                <w:w w:val="22"/>
                <w:szCs w:val="20"/>
                <w:shd w:val="solid" w:color="000000" w:fill="000000"/>
                <w:fitText w:val="100" w:id="-893184758"/>
                <w14:textFill>
                  <w14:solidFill>
                    <w14:schemeClr w14:val="tx1">
                      <w14:alpha w14:val="100000"/>
                    </w14:schemeClr>
                  </w14:solidFill>
                </w14:textFill>
              </w:rPr>
              <w:t>|</w:t>
            </w:r>
            <w:r w:rsidR="007A1CFA" w:rsidRPr="007A1CFA">
              <w:rPr>
                <w:rFonts w:cs="Calibri" w:hint="eastAsia"/>
                <w:color w:val="000000" w:themeColor="text1"/>
                <w:spacing w:val="3"/>
                <w:w w:val="22"/>
                <w:szCs w:val="20"/>
                <w:shd w:val="solid" w:color="000000" w:fill="000000"/>
                <w:fitText w:val="100" w:id="-893184758"/>
                <w14:textFill>
                  <w14:solidFill>
                    <w14:schemeClr w14:val="tx1">
                      <w14:alpha w14:val="100000"/>
                    </w14:schemeClr>
                  </w14:solidFill>
                </w14:textFill>
              </w:rPr>
              <w:t xml:space="preserve">　</w:t>
            </w:r>
            <w:r w:rsidR="00A7074B" w:rsidRPr="00952EF1">
              <w:rPr>
                <w:rFonts w:cs="Calibri"/>
                <w:color w:val="000000" w:themeColor="text1"/>
                <w:szCs w:val="20"/>
                <w:vertAlign w:val="superscript"/>
              </w:rPr>
              <w:t>12</w:t>
            </w:r>
          </w:p>
        </w:tc>
        <w:tc>
          <w:tcPr>
            <w:tcW w:w="708" w:type="pct"/>
            <w:shd w:val="clear" w:color="auto" w:fill="auto"/>
            <w:vAlign w:val="center"/>
          </w:tcPr>
          <w:p w14:paraId="0301941A" w14:textId="243DD3CE" w:rsidR="000A46CC" w:rsidRPr="00952EF1" w:rsidRDefault="000A46CC" w:rsidP="00EA693D">
            <w:pPr>
              <w:pStyle w:val="TableText0"/>
              <w:keepLines/>
              <w:jc w:val="center"/>
              <w:rPr>
                <w:szCs w:val="20"/>
              </w:rPr>
            </w:pPr>
            <w:r w:rsidRPr="00952EF1">
              <w:rPr>
                <w:rFonts w:cs="Calibri"/>
                <w:color w:val="000000" w:themeColor="text1"/>
                <w:szCs w:val="20"/>
              </w:rPr>
              <w:t>-</w:t>
            </w:r>
            <w:r w:rsidR="007A1CFA" w:rsidRPr="001910DB">
              <w:rPr>
                <w:rFonts w:cs="Calibri" w:hint="eastAsia"/>
                <w:color w:val="000000" w:themeColor="text1"/>
                <w:w w:val="15"/>
                <w:szCs w:val="20"/>
                <w:shd w:val="solid" w:color="000000" w:fill="000000"/>
                <w:fitText w:val="20" w:id="-893184757"/>
                <w14:textFill>
                  <w14:solidFill>
                    <w14:schemeClr w14:val="tx1">
                      <w14:alpha w14:val="100000"/>
                    </w14:schemeClr>
                  </w14:solidFill>
                </w14:textFill>
              </w:rPr>
              <w:t xml:space="preserve">　</w:t>
            </w:r>
            <w:r w:rsidR="007A1CFA" w:rsidRPr="001910DB">
              <w:rPr>
                <w:rFonts w:cs="Calibri"/>
                <w:color w:val="000000" w:themeColor="text1"/>
                <w:w w:val="15"/>
                <w:szCs w:val="20"/>
                <w:shd w:val="solid" w:color="000000" w:fill="000000"/>
                <w:fitText w:val="20" w:id="-893184757"/>
                <w14:textFill>
                  <w14:solidFill>
                    <w14:schemeClr w14:val="tx1">
                      <w14:alpha w14:val="100000"/>
                    </w14:schemeClr>
                  </w14:solidFill>
                </w14:textFill>
              </w:rPr>
              <w:t>|</w:t>
            </w:r>
            <w:r w:rsidR="007A1CFA" w:rsidRPr="001910DB">
              <w:rPr>
                <w:rFonts w:cs="Calibri" w:hint="eastAsia"/>
                <w:color w:val="000000" w:themeColor="text1"/>
                <w:spacing w:val="-46"/>
                <w:w w:val="15"/>
                <w:szCs w:val="20"/>
                <w:shd w:val="solid" w:color="000000" w:fill="000000"/>
                <w:fitText w:val="20" w:id="-893184757"/>
                <w14:textFill>
                  <w14:solidFill>
                    <w14:schemeClr w14:val="tx1">
                      <w14:alpha w14:val="100000"/>
                    </w14:schemeClr>
                  </w14:solidFill>
                </w14:textFill>
              </w:rPr>
              <w:t xml:space="preserve">　</w:t>
            </w:r>
            <w:r w:rsidR="00A7074B" w:rsidRPr="00952EF1">
              <w:rPr>
                <w:rFonts w:cs="Calibri"/>
                <w:color w:val="000000" w:themeColor="text1"/>
                <w:szCs w:val="20"/>
                <w:vertAlign w:val="superscript"/>
              </w:rPr>
              <w:t>12</w:t>
            </w:r>
          </w:p>
        </w:tc>
        <w:tc>
          <w:tcPr>
            <w:tcW w:w="756" w:type="pct"/>
            <w:vAlign w:val="center"/>
          </w:tcPr>
          <w:p w14:paraId="6E9B6888" w14:textId="698B6E85" w:rsidR="000A46CC" w:rsidRPr="00952EF1" w:rsidRDefault="000A46CC" w:rsidP="00EA693D">
            <w:pPr>
              <w:pStyle w:val="TableText0"/>
              <w:keepLines/>
              <w:jc w:val="center"/>
              <w:rPr>
                <w:szCs w:val="20"/>
              </w:rPr>
            </w:pPr>
            <w:r w:rsidRPr="00952EF1">
              <w:rPr>
                <w:rFonts w:cs="Calibri"/>
                <w:color w:val="000000" w:themeColor="text1"/>
                <w:szCs w:val="20"/>
              </w:rPr>
              <w:t>-</w:t>
            </w:r>
            <w:r w:rsidR="007A1CFA" w:rsidRPr="007A1CFA">
              <w:rPr>
                <w:rFonts w:cs="Calibri"/>
                <w:color w:val="000000" w:themeColor="text1"/>
                <w:szCs w:val="20"/>
                <w:shd w:val="solid" w:color="000000" w:fill="000000"/>
                <w14:textFill>
                  <w14:solidFill>
                    <w14:schemeClr w14:val="tx1">
                      <w14:alpha w14:val="100000"/>
                    </w14:schemeClr>
                  </w14:solidFill>
                </w14:textFill>
              </w:rPr>
              <w:t>|</w:t>
            </w:r>
            <w:r w:rsidR="006A165E" w:rsidRPr="00952EF1">
              <w:rPr>
                <w:rFonts w:cs="Calibri"/>
                <w:color w:val="000000" w:themeColor="text1"/>
                <w:szCs w:val="20"/>
                <w:vertAlign w:val="superscript"/>
              </w:rPr>
              <w:t>12</w:t>
            </w:r>
          </w:p>
        </w:tc>
      </w:tr>
      <w:tr w:rsidR="000A46CC" w:rsidRPr="007E055C" w14:paraId="08F973F0" w14:textId="77777777" w:rsidTr="001D246A">
        <w:tc>
          <w:tcPr>
            <w:tcW w:w="5000" w:type="pct"/>
            <w:gridSpan w:val="7"/>
            <w:shd w:val="clear" w:color="auto" w:fill="auto"/>
            <w:vAlign w:val="center"/>
          </w:tcPr>
          <w:p w14:paraId="1620F23B" w14:textId="77777777" w:rsidR="000A46CC" w:rsidRPr="007E055C" w:rsidRDefault="000A46CC" w:rsidP="00EA693D">
            <w:pPr>
              <w:pStyle w:val="TableText0"/>
              <w:keepLines/>
              <w:rPr>
                <w:b/>
                <w:szCs w:val="20"/>
              </w:rPr>
            </w:pPr>
            <w:r w:rsidRPr="007E055C">
              <w:rPr>
                <w:b/>
                <w:szCs w:val="20"/>
              </w:rPr>
              <w:t>Net financial implications</w:t>
            </w:r>
          </w:p>
        </w:tc>
      </w:tr>
      <w:tr w:rsidR="000A46CC" w:rsidRPr="007E055C" w14:paraId="2CDB3797" w14:textId="77777777" w:rsidTr="001D246A">
        <w:tc>
          <w:tcPr>
            <w:tcW w:w="1020" w:type="pct"/>
            <w:shd w:val="clear" w:color="auto" w:fill="auto"/>
            <w:vAlign w:val="center"/>
          </w:tcPr>
          <w:p w14:paraId="64E181FF" w14:textId="77777777" w:rsidR="000A46CC" w:rsidRPr="007E055C" w:rsidRDefault="000A46CC" w:rsidP="00EA693D">
            <w:pPr>
              <w:pStyle w:val="TableText0"/>
              <w:keepLines/>
              <w:rPr>
                <w:szCs w:val="20"/>
              </w:rPr>
            </w:pPr>
            <w:r w:rsidRPr="007E055C">
              <w:rPr>
                <w:szCs w:val="20"/>
              </w:rPr>
              <w:t>Net cost to PBS/RPBS</w:t>
            </w:r>
          </w:p>
        </w:tc>
        <w:tc>
          <w:tcPr>
            <w:tcW w:w="629" w:type="pct"/>
            <w:shd w:val="clear" w:color="auto" w:fill="auto"/>
            <w:vAlign w:val="center"/>
          </w:tcPr>
          <w:p w14:paraId="3A44FC3D" w14:textId="1C48A928" w:rsidR="000A46CC" w:rsidRPr="00C2419F" w:rsidRDefault="007A1CFA" w:rsidP="00EA693D">
            <w:pPr>
              <w:pStyle w:val="TableText0"/>
              <w:keepLines/>
              <w:jc w:val="center"/>
              <w:rPr>
                <w:szCs w:val="20"/>
                <w:highlight w:val="lightGray"/>
              </w:rPr>
            </w:pPr>
            <w:r w:rsidRPr="007A1CFA">
              <w:rPr>
                <w:rFonts w:hint="eastAsia"/>
                <w:color w:val="000000"/>
                <w:w w:val="15"/>
                <w:szCs w:val="20"/>
                <w:shd w:val="solid" w:color="000000" w:fill="000000"/>
                <w:fitText w:val="70" w:id="-893184756"/>
                <w14:textFill>
                  <w14:solidFill>
                    <w14:srgbClr w14:val="000000">
                      <w14:alpha w14:val="100000"/>
                    </w14:srgbClr>
                  </w14:solidFill>
                </w14:textFill>
              </w:rPr>
              <w:t xml:space="preserve">　</w:t>
            </w:r>
            <w:r w:rsidRPr="007A1CFA">
              <w:rPr>
                <w:color w:val="000000"/>
                <w:w w:val="15"/>
                <w:szCs w:val="20"/>
                <w:shd w:val="solid" w:color="000000" w:fill="000000"/>
                <w:fitText w:val="70" w:id="-893184756"/>
                <w14:textFill>
                  <w14:solidFill>
                    <w14:srgbClr w14:val="000000">
                      <w14:alpha w14:val="100000"/>
                    </w14:srgbClr>
                  </w14:solidFill>
                </w14:textFill>
              </w:rPr>
              <w:t>|</w:t>
            </w:r>
            <w:r w:rsidRPr="007A1CFA">
              <w:rPr>
                <w:rFonts w:hint="eastAsia"/>
                <w:color w:val="000000"/>
                <w:spacing w:val="4"/>
                <w:w w:val="15"/>
                <w:szCs w:val="20"/>
                <w:shd w:val="solid" w:color="000000" w:fill="000000"/>
                <w:fitText w:val="70" w:id="-893184756"/>
                <w14:textFill>
                  <w14:solidFill>
                    <w14:srgbClr w14:val="000000">
                      <w14:alpha w14:val="100000"/>
                    </w14:srgbClr>
                  </w14:solidFill>
                </w14:textFill>
              </w:rPr>
              <w:t xml:space="preserve">　</w:t>
            </w:r>
            <w:r w:rsidR="006A165E" w:rsidRPr="006A165E">
              <w:rPr>
                <w:szCs w:val="20"/>
                <w:vertAlign w:val="superscript"/>
              </w:rPr>
              <w:t>13</w:t>
            </w:r>
          </w:p>
        </w:tc>
        <w:tc>
          <w:tcPr>
            <w:tcW w:w="629" w:type="pct"/>
            <w:shd w:val="clear" w:color="auto" w:fill="auto"/>
            <w:vAlign w:val="center"/>
          </w:tcPr>
          <w:p w14:paraId="038D7985" w14:textId="1DC68CBA" w:rsidR="000A46CC" w:rsidRPr="00C2419F" w:rsidRDefault="007A1CFA" w:rsidP="00EA693D">
            <w:pPr>
              <w:pStyle w:val="TableText0"/>
              <w:keepLines/>
              <w:jc w:val="center"/>
              <w:rPr>
                <w:szCs w:val="20"/>
                <w:highlight w:val="lightGray"/>
              </w:rPr>
            </w:pPr>
            <w:r w:rsidRPr="007A1CFA">
              <w:rPr>
                <w:rFonts w:hint="eastAsia"/>
                <w:color w:val="000000"/>
                <w:w w:val="15"/>
                <w:szCs w:val="20"/>
                <w:shd w:val="solid" w:color="000000" w:fill="000000"/>
                <w:fitText w:val="70" w:id="-893184755"/>
                <w14:textFill>
                  <w14:solidFill>
                    <w14:srgbClr w14:val="000000">
                      <w14:alpha w14:val="100000"/>
                    </w14:srgbClr>
                  </w14:solidFill>
                </w14:textFill>
              </w:rPr>
              <w:t xml:space="preserve">　</w:t>
            </w:r>
            <w:r w:rsidRPr="007A1CFA">
              <w:rPr>
                <w:color w:val="000000"/>
                <w:w w:val="15"/>
                <w:szCs w:val="20"/>
                <w:shd w:val="solid" w:color="000000" w:fill="000000"/>
                <w:fitText w:val="70" w:id="-893184755"/>
                <w14:textFill>
                  <w14:solidFill>
                    <w14:srgbClr w14:val="000000">
                      <w14:alpha w14:val="100000"/>
                    </w14:srgbClr>
                  </w14:solidFill>
                </w14:textFill>
              </w:rPr>
              <w:t>|</w:t>
            </w:r>
            <w:r w:rsidRPr="007A1CFA">
              <w:rPr>
                <w:rFonts w:hint="eastAsia"/>
                <w:color w:val="000000"/>
                <w:spacing w:val="4"/>
                <w:w w:val="15"/>
                <w:szCs w:val="20"/>
                <w:shd w:val="solid" w:color="000000" w:fill="000000"/>
                <w:fitText w:val="70" w:id="-893184755"/>
                <w14:textFill>
                  <w14:solidFill>
                    <w14:srgbClr w14:val="000000">
                      <w14:alpha w14:val="100000"/>
                    </w14:srgbClr>
                  </w14:solidFill>
                </w14:textFill>
              </w:rPr>
              <w:t xml:space="preserve">　</w:t>
            </w:r>
            <w:r w:rsidR="006A165E" w:rsidRPr="006A165E">
              <w:rPr>
                <w:szCs w:val="20"/>
                <w:vertAlign w:val="superscript"/>
              </w:rPr>
              <w:t>13</w:t>
            </w:r>
          </w:p>
        </w:tc>
        <w:tc>
          <w:tcPr>
            <w:tcW w:w="629" w:type="pct"/>
            <w:shd w:val="clear" w:color="auto" w:fill="auto"/>
            <w:vAlign w:val="center"/>
          </w:tcPr>
          <w:p w14:paraId="657B901F" w14:textId="1A86322E" w:rsidR="000A46CC" w:rsidRPr="00C2419F" w:rsidRDefault="007A1CFA" w:rsidP="00EA693D">
            <w:pPr>
              <w:pStyle w:val="TableText0"/>
              <w:keepLines/>
              <w:jc w:val="center"/>
              <w:rPr>
                <w:szCs w:val="20"/>
                <w:highlight w:val="lightGray"/>
              </w:rPr>
            </w:pPr>
            <w:r w:rsidRPr="007A1CFA">
              <w:rPr>
                <w:rFonts w:hint="eastAsia"/>
                <w:color w:val="000000"/>
                <w:w w:val="15"/>
                <w:szCs w:val="20"/>
                <w:shd w:val="solid" w:color="000000" w:fill="000000"/>
                <w:fitText w:val="70" w:id="-893184754"/>
                <w14:textFill>
                  <w14:solidFill>
                    <w14:srgbClr w14:val="000000">
                      <w14:alpha w14:val="100000"/>
                    </w14:srgbClr>
                  </w14:solidFill>
                </w14:textFill>
              </w:rPr>
              <w:t xml:space="preserve">　</w:t>
            </w:r>
            <w:r w:rsidRPr="007A1CFA">
              <w:rPr>
                <w:color w:val="000000"/>
                <w:w w:val="15"/>
                <w:szCs w:val="20"/>
                <w:shd w:val="solid" w:color="000000" w:fill="000000"/>
                <w:fitText w:val="70" w:id="-893184754"/>
                <w14:textFill>
                  <w14:solidFill>
                    <w14:srgbClr w14:val="000000">
                      <w14:alpha w14:val="100000"/>
                    </w14:srgbClr>
                  </w14:solidFill>
                </w14:textFill>
              </w:rPr>
              <w:t>|</w:t>
            </w:r>
            <w:r w:rsidRPr="007A1CFA">
              <w:rPr>
                <w:rFonts w:hint="eastAsia"/>
                <w:color w:val="000000"/>
                <w:spacing w:val="4"/>
                <w:w w:val="15"/>
                <w:szCs w:val="20"/>
                <w:shd w:val="solid" w:color="000000" w:fill="000000"/>
                <w:fitText w:val="70" w:id="-893184754"/>
                <w14:textFill>
                  <w14:solidFill>
                    <w14:srgbClr w14:val="000000">
                      <w14:alpha w14:val="100000"/>
                    </w14:srgbClr>
                  </w14:solidFill>
                </w14:textFill>
              </w:rPr>
              <w:t xml:space="preserve">　</w:t>
            </w:r>
            <w:r w:rsidR="00346B01" w:rsidRPr="006A165E">
              <w:rPr>
                <w:szCs w:val="20"/>
                <w:vertAlign w:val="superscript"/>
              </w:rPr>
              <w:t>13</w:t>
            </w:r>
          </w:p>
        </w:tc>
        <w:tc>
          <w:tcPr>
            <w:tcW w:w="629" w:type="pct"/>
            <w:shd w:val="clear" w:color="auto" w:fill="auto"/>
            <w:vAlign w:val="center"/>
          </w:tcPr>
          <w:p w14:paraId="5054E6ED" w14:textId="37380F1F" w:rsidR="000A46CC" w:rsidRPr="00C2419F" w:rsidRDefault="007A1CFA" w:rsidP="00EA693D">
            <w:pPr>
              <w:pStyle w:val="TableText0"/>
              <w:keepLines/>
              <w:jc w:val="center"/>
              <w:rPr>
                <w:szCs w:val="20"/>
                <w:highlight w:val="lightGray"/>
              </w:rPr>
            </w:pPr>
            <w:r w:rsidRPr="007A1CFA">
              <w:rPr>
                <w:rFonts w:hint="eastAsia"/>
                <w:color w:val="000000"/>
                <w:w w:val="15"/>
                <w:szCs w:val="20"/>
                <w:shd w:val="solid" w:color="000000" w:fill="000000"/>
                <w:fitText w:val="70" w:id="-893184753"/>
                <w14:textFill>
                  <w14:solidFill>
                    <w14:srgbClr w14:val="000000">
                      <w14:alpha w14:val="100000"/>
                    </w14:srgbClr>
                  </w14:solidFill>
                </w14:textFill>
              </w:rPr>
              <w:t xml:space="preserve">　</w:t>
            </w:r>
            <w:r w:rsidRPr="007A1CFA">
              <w:rPr>
                <w:color w:val="000000"/>
                <w:w w:val="15"/>
                <w:szCs w:val="20"/>
                <w:shd w:val="solid" w:color="000000" w:fill="000000"/>
                <w:fitText w:val="70" w:id="-893184753"/>
                <w14:textFill>
                  <w14:solidFill>
                    <w14:srgbClr w14:val="000000">
                      <w14:alpha w14:val="100000"/>
                    </w14:srgbClr>
                  </w14:solidFill>
                </w14:textFill>
              </w:rPr>
              <w:t>|</w:t>
            </w:r>
            <w:r w:rsidRPr="007A1CFA">
              <w:rPr>
                <w:rFonts w:hint="eastAsia"/>
                <w:color w:val="000000"/>
                <w:spacing w:val="4"/>
                <w:w w:val="15"/>
                <w:szCs w:val="20"/>
                <w:shd w:val="solid" w:color="000000" w:fill="000000"/>
                <w:fitText w:val="70" w:id="-893184753"/>
                <w14:textFill>
                  <w14:solidFill>
                    <w14:srgbClr w14:val="000000">
                      <w14:alpha w14:val="100000"/>
                    </w14:srgbClr>
                  </w14:solidFill>
                </w14:textFill>
              </w:rPr>
              <w:t xml:space="preserve">　</w:t>
            </w:r>
            <w:r w:rsidR="00346B01" w:rsidRPr="006A165E">
              <w:rPr>
                <w:szCs w:val="20"/>
                <w:vertAlign w:val="superscript"/>
              </w:rPr>
              <w:t>13</w:t>
            </w:r>
          </w:p>
        </w:tc>
        <w:tc>
          <w:tcPr>
            <w:tcW w:w="708" w:type="pct"/>
            <w:shd w:val="clear" w:color="auto" w:fill="auto"/>
            <w:vAlign w:val="center"/>
          </w:tcPr>
          <w:p w14:paraId="642C00FD" w14:textId="220377C3" w:rsidR="000A46CC" w:rsidRPr="00C2419F" w:rsidRDefault="007A1CFA" w:rsidP="00EA693D">
            <w:pPr>
              <w:pStyle w:val="TableText0"/>
              <w:keepLines/>
              <w:jc w:val="center"/>
              <w:rPr>
                <w:szCs w:val="20"/>
                <w:highlight w:val="lightGray"/>
              </w:rPr>
            </w:pPr>
            <w:r w:rsidRPr="007A1CFA">
              <w:rPr>
                <w:color w:val="000000"/>
                <w:szCs w:val="20"/>
                <w:shd w:val="solid" w:color="000000" w:fill="000000"/>
                <w14:textFill>
                  <w14:solidFill>
                    <w14:srgbClr w14:val="000000">
                      <w14:alpha w14:val="100000"/>
                    </w14:srgbClr>
                  </w14:solidFill>
                </w14:textFill>
              </w:rPr>
              <w:t>|</w:t>
            </w:r>
            <w:r w:rsidR="00346B01" w:rsidRPr="006A165E">
              <w:rPr>
                <w:szCs w:val="20"/>
                <w:vertAlign w:val="superscript"/>
              </w:rPr>
              <w:t>13</w:t>
            </w:r>
          </w:p>
        </w:tc>
        <w:tc>
          <w:tcPr>
            <w:tcW w:w="756" w:type="pct"/>
            <w:vAlign w:val="center"/>
          </w:tcPr>
          <w:p w14:paraId="072EE386" w14:textId="459E7B31" w:rsidR="000A46CC" w:rsidRPr="00C2419F" w:rsidRDefault="007A1CFA" w:rsidP="00EA693D">
            <w:pPr>
              <w:pStyle w:val="TableText0"/>
              <w:keepLines/>
              <w:jc w:val="center"/>
              <w:rPr>
                <w:szCs w:val="20"/>
                <w:highlight w:val="lightGray"/>
              </w:rPr>
            </w:pPr>
            <w:r w:rsidRPr="007A1CFA">
              <w:rPr>
                <w:color w:val="000000"/>
                <w:szCs w:val="20"/>
                <w:shd w:val="solid" w:color="000000" w:fill="000000"/>
                <w14:textFill>
                  <w14:solidFill>
                    <w14:srgbClr w14:val="000000">
                      <w14:alpha w14:val="100000"/>
                    </w14:srgbClr>
                  </w14:solidFill>
                </w14:textFill>
              </w:rPr>
              <w:t>|</w:t>
            </w:r>
            <w:r w:rsidR="00346B01" w:rsidRPr="006A165E">
              <w:rPr>
                <w:szCs w:val="20"/>
                <w:vertAlign w:val="superscript"/>
              </w:rPr>
              <w:t>13</w:t>
            </w:r>
          </w:p>
        </w:tc>
      </w:tr>
      <w:tr w:rsidR="000A46CC" w:rsidRPr="007E055C" w14:paraId="51789300" w14:textId="77777777" w:rsidTr="001D246A">
        <w:tc>
          <w:tcPr>
            <w:tcW w:w="1020" w:type="pct"/>
            <w:shd w:val="clear" w:color="auto" w:fill="auto"/>
            <w:vAlign w:val="center"/>
          </w:tcPr>
          <w:p w14:paraId="70F06043" w14:textId="77777777" w:rsidR="000A46CC" w:rsidRPr="007E055C" w:rsidRDefault="000A46CC" w:rsidP="00EA693D">
            <w:pPr>
              <w:pStyle w:val="TableText0"/>
              <w:keepLines/>
              <w:rPr>
                <w:szCs w:val="20"/>
              </w:rPr>
            </w:pPr>
            <w:r w:rsidRPr="007E055C">
              <w:rPr>
                <w:szCs w:val="20"/>
              </w:rPr>
              <w:t>Net cost to MBS</w:t>
            </w:r>
          </w:p>
        </w:tc>
        <w:tc>
          <w:tcPr>
            <w:tcW w:w="629" w:type="pct"/>
            <w:shd w:val="clear" w:color="auto" w:fill="auto"/>
            <w:vAlign w:val="center"/>
          </w:tcPr>
          <w:p w14:paraId="50A9E453" w14:textId="67D7BF84" w:rsidR="000A46CC" w:rsidRPr="00C2419F" w:rsidRDefault="007A1CFA" w:rsidP="00EA693D">
            <w:pPr>
              <w:pStyle w:val="TableText0"/>
              <w:keepLines/>
              <w:jc w:val="center"/>
              <w:rPr>
                <w:szCs w:val="20"/>
                <w:highlight w:val="lightGray"/>
              </w:rPr>
            </w:pPr>
            <w:r w:rsidRPr="007A1CFA">
              <w:rPr>
                <w:rFonts w:hint="eastAsia"/>
                <w:color w:val="000000"/>
                <w:w w:val="15"/>
                <w:szCs w:val="20"/>
                <w:shd w:val="solid" w:color="000000" w:fill="000000"/>
                <w:fitText w:val="70" w:id="-893184752"/>
                <w14:textFill>
                  <w14:solidFill>
                    <w14:srgbClr w14:val="000000">
                      <w14:alpha w14:val="100000"/>
                    </w14:srgbClr>
                  </w14:solidFill>
                </w14:textFill>
              </w:rPr>
              <w:t xml:space="preserve">　</w:t>
            </w:r>
            <w:r w:rsidRPr="007A1CFA">
              <w:rPr>
                <w:color w:val="000000"/>
                <w:w w:val="15"/>
                <w:szCs w:val="20"/>
                <w:shd w:val="solid" w:color="000000" w:fill="000000"/>
                <w:fitText w:val="70" w:id="-893184752"/>
                <w14:textFill>
                  <w14:solidFill>
                    <w14:srgbClr w14:val="000000">
                      <w14:alpha w14:val="100000"/>
                    </w14:srgbClr>
                  </w14:solidFill>
                </w14:textFill>
              </w:rPr>
              <w:t>|</w:t>
            </w:r>
            <w:r w:rsidRPr="007A1CFA">
              <w:rPr>
                <w:rFonts w:hint="eastAsia"/>
                <w:color w:val="000000"/>
                <w:spacing w:val="4"/>
                <w:w w:val="15"/>
                <w:szCs w:val="20"/>
                <w:shd w:val="solid" w:color="000000" w:fill="000000"/>
                <w:fitText w:val="70" w:id="-893184752"/>
                <w14:textFill>
                  <w14:solidFill>
                    <w14:srgbClr w14:val="000000">
                      <w14:alpha w14:val="100000"/>
                    </w14:srgbClr>
                  </w14:solidFill>
                </w14:textFill>
              </w:rPr>
              <w:t xml:space="preserve">　</w:t>
            </w:r>
            <w:r w:rsidR="006A165E" w:rsidRPr="006A165E">
              <w:rPr>
                <w:szCs w:val="20"/>
                <w:vertAlign w:val="superscript"/>
              </w:rPr>
              <w:t>13</w:t>
            </w:r>
          </w:p>
        </w:tc>
        <w:tc>
          <w:tcPr>
            <w:tcW w:w="629" w:type="pct"/>
            <w:shd w:val="clear" w:color="auto" w:fill="auto"/>
            <w:vAlign w:val="center"/>
          </w:tcPr>
          <w:p w14:paraId="20A912E7" w14:textId="18717990" w:rsidR="000A46CC" w:rsidRPr="00C2419F" w:rsidRDefault="007A1CFA" w:rsidP="00EA693D">
            <w:pPr>
              <w:pStyle w:val="TableText0"/>
              <w:keepLines/>
              <w:jc w:val="center"/>
              <w:rPr>
                <w:szCs w:val="20"/>
                <w:highlight w:val="lightGray"/>
              </w:rPr>
            </w:pPr>
            <w:r w:rsidRPr="007A1CFA">
              <w:rPr>
                <w:rFonts w:hint="eastAsia"/>
                <w:color w:val="000000"/>
                <w:w w:val="15"/>
                <w:szCs w:val="20"/>
                <w:shd w:val="solid" w:color="000000" w:fill="000000"/>
                <w:fitText w:val="70" w:id="-893184768"/>
                <w14:textFill>
                  <w14:solidFill>
                    <w14:srgbClr w14:val="000000">
                      <w14:alpha w14:val="100000"/>
                    </w14:srgbClr>
                  </w14:solidFill>
                </w14:textFill>
              </w:rPr>
              <w:t xml:space="preserve">　</w:t>
            </w:r>
            <w:r w:rsidRPr="007A1CFA">
              <w:rPr>
                <w:color w:val="000000"/>
                <w:w w:val="15"/>
                <w:szCs w:val="20"/>
                <w:shd w:val="solid" w:color="000000" w:fill="000000"/>
                <w:fitText w:val="70" w:id="-893184768"/>
                <w14:textFill>
                  <w14:solidFill>
                    <w14:srgbClr w14:val="000000">
                      <w14:alpha w14:val="100000"/>
                    </w14:srgbClr>
                  </w14:solidFill>
                </w14:textFill>
              </w:rPr>
              <w:t>|</w:t>
            </w:r>
            <w:r w:rsidRPr="007A1CFA">
              <w:rPr>
                <w:rFonts w:hint="eastAsia"/>
                <w:color w:val="000000"/>
                <w:spacing w:val="4"/>
                <w:w w:val="15"/>
                <w:szCs w:val="20"/>
                <w:shd w:val="solid" w:color="000000" w:fill="000000"/>
                <w:fitText w:val="70" w:id="-893184768"/>
                <w14:textFill>
                  <w14:solidFill>
                    <w14:srgbClr w14:val="000000">
                      <w14:alpha w14:val="100000"/>
                    </w14:srgbClr>
                  </w14:solidFill>
                </w14:textFill>
              </w:rPr>
              <w:t xml:space="preserve">　</w:t>
            </w:r>
            <w:r w:rsidR="00346B01" w:rsidRPr="006A165E">
              <w:rPr>
                <w:szCs w:val="20"/>
                <w:vertAlign w:val="superscript"/>
              </w:rPr>
              <w:t>13</w:t>
            </w:r>
          </w:p>
        </w:tc>
        <w:tc>
          <w:tcPr>
            <w:tcW w:w="629" w:type="pct"/>
            <w:shd w:val="clear" w:color="auto" w:fill="auto"/>
            <w:vAlign w:val="center"/>
          </w:tcPr>
          <w:p w14:paraId="1146FE17" w14:textId="3D22A380" w:rsidR="000A46CC" w:rsidRPr="00C2419F" w:rsidRDefault="007A1CFA" w:rsidP="00EA693D">
            <w:pPr>
              <w:pStyle w:val="TableText0"/>
              <w:keepLines/>
              <w:jc w:val="center"/>
              <w:rPr>
                <w:szCs w:val="20"/>
                <w:highlight w:val="lightGray"/>
              </w:rPr>
            </w:pPr>
            <w:r w:rsidRPr="007A1CFA">
              <w:rPr>
                <w:rFonts w:hint="eastAsia"/>
                <w:color w:val="000000"/>
                <w:w w:val="15"/>
                <w:szCs w:val="20"/>
                <w:shd w:val="solid" w:color="000000" w:fill="000000"/>
                <w:fitText w:val="70" w:id="-893184767"/>
                <w14:textFill>
                  <w14:solidFill>
                    <w14:srgbClr w14:val="000000">
                      <w14:alpha w14:val="100000"/>
                    </w14:srgbClr>
                  </w14:solidFill>
                </w14:textFill>
              </w:rPr>
              <w:t xml:space="preserve">　</w:t>
            </w:r>
            <w:r w:rsidRPr="007A1CFA">
              <w:rPr>
                <w:color w:val="000000"/>
                <w:w w:val="15"/>
                <w:szCs w:val="20"/>
                <w:shd w:val="solid" w:color="000000" w:fill="000000"/>
                <w:fitText w:val="70" w:id="-893184767"/>
                <w14:textFill>
                  <w14:solidFill>
                    <w14:srgbClr w14:val="000000">
                      <w14:alpha w14:val="100000"/>
                    </w14:srgbClr>
                  </w14:solidFill>
                </w14:textFill>
              </w:rPr>
              <w:t>|</w:t>
            </w:r>
            <w:r w:rsidRPr="007A1CFA">
              <w:rPr>
                <w:rFonts w:hint="eastAsia"/>
                <w:color w:val="000000"/>
                <w:spacing w:val="4"/>
                <w:w w:val="15"/>
                <w:szCs w:val="20"/>
                <w:shd w:val="solid" w:color="000000" w:fill="000000"/>
                <w:fitText w:val="70" w:id="-893184767"/>
                <w14:textFill>
                  <w14:solidFill>
                    <w14:srgbClr w14:val="000000">
                      <w14:alpha w14:val="100000"/>
                    </w14:srgbClr>
                  </w14:solidFill>
                </w14:textFill>
              </w:rPr>
              <w:t xml:space="preserve">　</w:t>
            </w:r>
            <w:r w:rsidR="00346B01" w:rsidRPr="006A165E">
              <w:rPr>
                <w:szCs w:val="20"/>
                <w:vertAlign w:val="superscript"/>
              </w:rPr>
              <w:t>13</w:t>
            </w:r>
          </w:p>
        </w:tc>
        <w:tc>
          <w:tcPr>
            <w:tcW w:w="629" w:type="pct"/>
            <w:shd w:val="clear" w:color="auto" w:fill="auto"/>
            <w:vAlign w:val="center"/>
          </w:tcPr>
          <w:p w14:paraId="6B8E677C" w14:textId="6865299B" w:rsidR="000A46CC" w:rsidRPr="00C2419F" w:rsidRDefault="007A1CFA" w:rsidP="00EA693D">
            <w:pPr>
              <w:pStyle w:val="TableText0"/>
              <w:keepLines/>
              <w:jc w:val="center"/>
              <w:rPr>
                <w:szCs w:val="20"/>
                <w:highlight w:val="lightGray"/>
              </w:rPr>
            </w:pPr>
            <w:r w:rsidRPr="007A1CFA">
              <w:rPr>
                <w:rFonts w:hint="eastAsia"/>
                <w:color w:val="000000"/>
                <w:w w:val="15"/>
                <w:szCs w:val="20"/>
                <w:shd w:val="solid" w:color="000000" w:fill="000000"/>
                <w:fitText w:val="70" w:id="-893184766"/>
                <w14:textFill>
                  <w14:solidFill>
                    <w14:srgbClr w14:val="000000">
                      <w14:alpha w14:val="100000"/>
                    </w14:srgbClr>
                  </w14:solidFill>
                </w14:textFill>
              </w:rPr>
              <w:t xml:space="preserve">　</w:t>
            </w:r>
            <w:r w:rsidRPr="007A1CFA">
              <w:rPr>
                <w:color w:val="000000"/>
                <w:w w:val="15"/>
                <w:szCs w:val="20"/>
                <w:shd w:val="solid" w:color="000000" w:fill="000000"/>
                <w:fitText w:val="70" w:id="-893184766"/>
                <w14:textFill>
                  <w14:solidFill>
                    <w14:srgbClr w14:val="000000">
                      <w14:alpha w14:val="100000"/>
                    </w14:srgbClr>
                  </w14:solidFill>
                </w14:textFill>
              </w:rPr>
              <w:t>|</w:t>
            </w:r>
            <w:r w:rsidRPr="007A1CFA">
              <w:rPr>
                <w:rFonts w:hint="eastAsia"/>
                <w:color w:val="000000"/>
                <w:spacing w:val="4"/>
                <w:w w:val="15"/>
                <w:szCs w:val="20"/>
                <w:shd w:val="solid" w:color="000000" w:fill="000000"/>
                <w:fitText w:val="70" w:id="-893184766"/>
                <w14:textFill>
                  <w14:solidFill>
                    <w14:srgbClr w14:val="000000">
                      <w14:alpha w14:val="100000"/>
                    </w14:srgbClr>
                  </w14:solidFill>
                </w14:textFill>
              </w:rPr>
              <w:t xml:space="preserve">　</w:t>
            </w:r>
            <w:r w:rsidR="00346B01" w:rsidRPr="006A165E">
              <w:rPr>
                <w:szCs w:val="20"/>
                <w:vertAlign w:val="superscript"/>
              </w:rPr>
              <w:t>13</w:t>
            </w:r>
          </w:p>
        </w:tc>
        <w:tc>
          <w:tcPr>
            <w:tcW w:w="708" w:type="pct"/>
            <w:shd w:val="clear" w:color="auto" w:fill="auto"/>
            <w:vAlign w:val="center"/>
          </w:tcPr>
          <w:p w14:paraId="5124E38D" w14:textId="39591C52" w:rsidR="000A46CC" w:rsidRPr="00C2419F" w:rsidRDefault="007A1CFA" w:rsidP="00EA693D">
            <w:pPr>
              <w:pStyle w:val="TableText0"/>
              <w:keepLines/>
              <w:jc w:val="center"/>
              <w:rPr>
                <w:szCs w:val="20"/>
                <w:highlight w:val="lightGray"/>
              </w:rPr>
            </w:pPr>
            <w:r w:rsidRPr="007A1CFA">
              <w:rPr>
                <w:color w:val="000000"/>
                <w:szCs w:val="20"/>
                <w:shd w:val="solid" w:color="000000" w:fill="000000"/>
                <w14:textFill>
                  <w14:solidFill>
                    <w14:srgbClr w14:val="000000">
                      <w14:alpha w14:val="100000"/>
                    </w14:srgbClr>
                  </w14:solidFill>
                </w14:textFill>
              </w:rPr>
              <w:t>|</w:t>
            </w:r>
            <w:r w:rsidR="00346B01" w:rsidRPr="006A165E">
              <w:rPr>
                <w:szCs w:val="20"/>
                <w:vertAlign w:val="superscript"/>
              </w:rPr>
              <w:t>13</w:t>
            </w:r>
          </w:p>
        </w:tc>
        <w:tc>
          <w:tcPr>
            <w:tcW w:w="756" w:type="pct"/>
            <w:vAlign w:val="center"/>
          </w:tcPr>
          <w:p w14:paraId="0F3A7A75" w14:textId="65F4CC57" w:rsidR="000A46CC" w:rsidRPr="00C2419F" w:rsidRDefault="007A1CFA" w:rsidP="00EA693D">
            <w:pPr>
              <w:pStyle w:val="TableText0"/>
              <w:keepLines/>
              <w:jc w:val="center"/>
              <w:rPr>
                <w:szCs w:val="20"/>
                <w:highlight w:val="lightGray"/>
              </w:rPr>
            </w:pPr>
            <w:r w:rsidRPr="007A1CFA">
              <w:rPr>
                <w:color w:val="000000"/>
                <w:szCs w:val="20"/>
                <w:shd w:val="solid" w:color="000000" w:fill="000000"/>
                <w14:textFill>
                  <w14:solidFill>
                    <w14:srgbClr w14:val="000000">
                      <w14:alpha w14:val="100000"/>
                    </w14:srgbClr>
                  </w14:solidFill>
                </w14:textFill>
              </w:rPr>
              <w:t>|</w:t>
            </w:r>
            <w:r w:rsidR="00346B01" w:rsidRPr="006A165E">
              <w:rPr>
                <w:szCs w:val="20"/>
                <w:vertAlign w:val="superscript"/>
              </w:rPr>
              <w:t>13</w:t>
            </w:r>
          </w:p>
        </w:tc>
      </w:tr>
      <w:tr w:rsidR="000A46CC" w:rsidRPr="007E055C" w14:paraId="6660FCBF" w14:textId="77777777" w:rsidTr="001D246A">
        <w:tc>
          <w:tcPr>
            <w:tcW w:w="1020" w:type="pct"/>
            <w:shd w:val="clear" w:color="auto" w:fill="auto"/>
            <w:vAlign w:val="center"/>
          </w:tcPr>
          <w:p w14:paraId="19AC3F31" w14:textId="77777777" w:rsidR="000A46CC" w:rsidRPr="007E055C" w:rsidRDefault="000A46CC" w:rsidP="00EA693D">
            <w:pPr>
              <w:pStyle w:val="TableText0"/>
              <w:keepLines/>
              <w:rPr>
                <w:szCs w:val="20"/>
              </w:rPr>
            </w:pPr>
            <w:r w:rsidRPr="007E055C">
              <w:rPr>
                <w:szCs w:val="20"/>
              </w:rPr>
              <w:t>Net cost to Government</w:t>
            </w:r>
          </w:p>
        </w:tc>
        <w:tc>
          <w:tcPr>
            <w:tcW w:w="629" w:type="pct"/>
            <w:shd w:val="clear" w:color="auto" w:fill="auto"/>
            <w:vAlign w:val="center"/>
          </w:tcPr>
          <w:p w14:paraId="00010CA0" w14:textId="3AF7573B" w:rsidR="000A46CC" w:rsidRPr="00C2419F" w:rsidRDefault="007A1CFA" w:rsidP="00EA693D">
            <w:pPr>
              <w:pStyle w:val="TableText0"/>
              <w:keepLines/>
              <w:jc w:val="center"/>
              <w:rPr>
                <w:szCs w:val="20"/>
                <w:highlight w:val="lightGray"/>
              </w:rPr>
            </w:pPr>
            <w:r w:rsidRPr="007A1CFA">
              <w:rPr>
                <w:rFonts w:hint="eastAsia"/>
                <w:color w:val="000000"/>
                <w:w w:val="15"/>
                <w:szCs w:val="20"/>
                <w:shd w:val="solid" w:color="000000" w:fill="000000"/>
                <w:fitText w:val="70" w:id="-893184765"/>
                <w14:textFill>
                  <w14:solidFill>
                    <w14:srgbClr w14:val="000000">
                      <w14:alpha w14:val="100000"/>
                    </w14:srgbClr>
                  </w14:solidFill>
                </w14:textFill>
              </w:rPr>
              <w:t xml:space="preserve">　</w:t>
            </w:r>
            <w:r w:rsidRPr="007A1CFA">
              <w:rPr>
                <w:color w:val="000000"/>
                <w:w w:val="15"/>
                <w:szCs w:val="20"/>
                <w:shd w:val="solid" w:color="000000" w:fill="000000"/>
                <w:fitText w:val="70" w:id="-893184765"/>
                <w14:textFill>
                  <w14:solidFill>
                    <w14:srgbClr w14:val="000000">
                      <w14:alpha w14:val="100000"/>
                    </w14:srgbClr>
                  </w14:solidFill>
                </w14:textFill>
              </w:rPr>
              <w:t>|</w:t>
            </w:r>
            <w:r w:rsidRPr="007A1CFA">
              <w:rPr>
                <w:rFonts w:hint="eastAsia"/>
                <w:color w:val="000000"/>
                <w:spacing w:val="4"/>
                <w:w w:val="15"/>
                <w:szCs w:val="20"/>
                <w:shd w:val="solid" w:color="000000" w:fill="000000"/>
                <w:fitText w:val="70" w:id="-893184765"/>
                <w14:textFill>
                  <w14:solidFill>
                    <w14:srgbClr w14:val="000000">
                      <w14:alpha w14:val="100000"/>
                    </w14:srgbClr>
                  </w14:solidFill>
                </w14:textFill>
              </w:rPr>
              <w:t xml:space="preserve">　</w:t>
            </w:r>
            <w:r w:rsidR="006A165E" w:rsidRPr="006A165E">
              <w:rPr>
                <w:szCs w:val="20"/>
                <w:vertAlign w:val="superscript"/>
              </w:rPr>
              <w:t>13</w:t>
            </w:r>
          </w:p>
        </w:tc>
        <w:tc>
          <w:tcPr>
            <w:tcW w:w="629" w:type="pct"/>
            <w:shd w:val="clear" w:color="auto" w:fill="auto"/>
            <w:vAlign w:val="center"/>
          </w:tcPr>
          <w:p w14:paraId="434E1717" w14:textId="03B2FFE3" w:rsidR="000A46CC" w:rsidRPr="00C2419F" w:rsidRDefault="007A1CFA" w:rsidP="00EA693D">
            <w:pPr>
              <w:pStyle w:val="TableText0"/>
              <w:keepLines/>
              <w:jc w:val="center"/>
              <w:rPr>
                <w:szCs w:val="20"/>
                <w:highlight w:val="lightGray"/>
              </w:rPr>
            </w:pPr>
            <w:r w:rsidRPr="007A1CFA">
              <w:rPr>
                <w:rFonts w:hint="eastAsia"/>
                <w:color w:val="000000"/>
                <w:w w:val="15"/>
                <w:szCs w:val="20"/>
                <w:shd w:val="solid" w:color="000000" w:fill="000000"/>
                <w:fitText w:val="70" w:id="-893184764"/>
                <w14:textFill>
                  <w14:solidFill>
                    <w14:srgbClr w14:val="000000">
                      <w14:alpha w14:val="100000"/>
                    </w14:srgbClr>
                  </w14:solidFill>
                </w14:textFill>
              </w:rPr>
              <w:t xml:space="preserve">　</w:t>
            </w:r>
            <w:r w:rsidRPr="007A1CFA">
              <w:rPr>
                <w:color w:val="000000"/>
                <w:w w:val="15"/>
                <w:szCs w:val="20"/>
                <w:shd w:val="solid" w:color="000000" w:fill="000000"/>
                <w:fitText w:val="70" w:id="-893184764"/>
                <w14:textFill>
                  <w14:solidFill>
                    <w14:srgbClr w14:val="000000">
                      <w14:alpha w14:val="100000"/>
                    </w14:srgbClr>
                  </w14:solidFill>
                </w14:textFill>
              </w:rPr>
              <w:t>|</w:t>
            </w:r>
            <w:r w:rsidRPr="007A1CFA">
              <w:rPr>
                <w:rFonts w:hint="eastAsia"/>
                <w:color w:val="000000"/>
                <w:spacing w:val="4"/>
                <w:w w:val="15"/>
                <w:szCs w:val="20"/>
                <w:shd w:val="solid" w:color="000000" w:fill="000000"/>
                <w:fitText w:val="70" w:id="-893184764"/>
                <w14:textFill>
                  <w14:solidFill>
                    <w14:srgbClr w14:val="000000">
                      <w14:alpha w14:val="100000"/>
                    </w14:srgbClr>
                  </w14:solidFill>
                </w14:textFill>
              </w:rPr>
              <w:t xml:space="preserve">　</w:t>
            </w:r>
            <w:r w:rsidR="00346B01" w:rsidRPr="006A165E">
              <w:rPr>
                <w:szCs w:val="20"/>
                <w:vertAlign w:val="superscript"/>
              </w:rPr>
              <w:t>13</w:t>
            </w:r>
          </w:p>
        </w:tc>
        <w:tc>
          <w:tcPr>
            <w:tcW w:w="629" w:type="pct"/>
            <w:shd w:val="clear" w:color="auto" w:fill="auto"/>
            <w:vAlign w:val="center"/>
          </w:tcPr>
          <w:p w14:paraId="25D89358" w14:textId="3B52B924" w:rsidR="000A46CC" w:rsidRPr="00C2419F" w:rsidRDefault="007A1CFA" w:rsidP="00EA693D">
            <w:pPr>
              <w:pStyle w:val="TableText0"/>
              <w:keepLines/>
              <w:jc w:val="center"/>
              <w:rPr>
                <w:szCs w:val="20"/>
                <w:highlight w:val="lightGray"/>
              </w:rPr>
            </w:pPr>
            <w:r w:rsidRPr="007A1CFA">
              <w:rPr>
                <w:rFonts w:hint="eastAsia"/>
                <w:color w:val="000000"/>
                <w:w w:val="15"/>
                <w:szCs w:val="20"/>
                <w:shd w:val="solid" w:color="000000" w:fill="000000"/>
                <w:fitText w:val="70" w:id="-893184763"/>
                <w14:textFill>
                  <w14:solidFill>
                    <w14:srgbClr w14:val="000000">
                      <w14:alpha w14:val="100000"/>
                    </w14:srgbClr>
                  </w14:solidFill>
                </w14:textFill>
              </w:rPr>
              <w:t xml:space="preserve">　</w:t>
            </w:r>
            <w:r w:rsidRPr="007A1CFA">
              <w:rPr>
                <w:color w:val="000000"/>
                <w:w w:val="15"/>
                <w:szCs w:val="20"/>
                <w:shd w:val="solid" w:color="000000" w:fill="000000"/>
                <w:fitText w:val="70" w:id="-893184763"/>
                <w14:textFill>
                  <w14:solidFill>
                    <w14:srgbClr w14:val="000000">
                      <w14:alpha w14:val="100000"/>
                    </w14:srgbClr>
                  </w14:solidFill>
                </w14:textFill>
              </w:rPr>
              <w:t>|</w:t>
            </w:r>
            <w:r w:rsidRPr="007A1CFA">
              <w:rPr>
                <w:rFonts w:hint="eastAsia"/>
                <w:color w:val="000000"/>
                <w:spacing w:val="4"/>
                <w:w w:val="15"/>
                <w:szCs w:val="20"/>
                <w:shd w:val="solid" w:color="000000" w:fill="000000"/>
                <w:fitText w:val="70" w:id="-893184763"/>
                <w14:textFill>
                  <w14:solidFill>
                    <w14:srgbClr w14:val="000000">
                      <w14:alpha w14:val="100000"/>
                    </w14:srgbClr>
                  </w14:solidFill>
                </w14:textFill>
              </w:rPr>
              <w:t xml:space="preserve">　</w:t>
            </w:r>
            <w:r w:rsidR="00346B01" w:rsidRPr="006A165E">
              <w:rPr>
                <w:szCs w:val="20"/>
                <w:vertAlign w:val="superscript"/>
              </w:rPr>
              <w:t>13</w:t>
            </w:r>
          </w:p>
        </w:tc>
        <w:tc>
          <w:tcPr>
            <w:tcW w:w="629" w:type="pct"/>
            <w:shd w:val="clear" w:color="auto" w:fill="auto"/>
            <w:vAlign w:val="center"/>
          </w:tcPr>
          <w:p w14:paraId="00994AF9" w14:textId="70C7531C" w:rsidR="000A46CC" w:rsidRPr="00C2419F" w:rsidRDefault="007A1CFA" w:rsidP="00EA693D">
            <w:pPr>
              <w:pStyle w:val="TableText0"/>
              <w:keepLines/>
              <w:jc w:val="center"/>
              <w:rPr>
                <w:szCs w:val="20"/>
                <w:highlight w:val="lightGray"/>
              </w:rPr>
            </w:pPr>
            <w:r w:rsidRPr="007A1CFA">
              <w:rPr>
                <w:rFonts w:hint="eastAsia"/>
                <w:color w:val="000000"/>
                <w:w w:val="15"/>
                <w:szCs w:val="20"/>
                <w:shd w:val="solid" w:color="000000" w:fill="000000"/>
                <w:fitText w:val="70" w:id="-893184762"/>
                <w14:textFill>
                  <w14:solidFill>
                    <w14:srgbClr w14:val="000000">
                      <w14:alpha w14:val="100000"/>
                    </w14:srgbClr>
                  </w14:solidFill>
                </w14:textFill>
              </w:rPr>
              <w:t xml:space="preserve">　</w:t>
            </w:r>
            <w:r w:rsidRPr="007A1CFA">
              <w:rPr>
                <w:color w:val="000000"/>
                <w:w w:val="15"/>
                <w:szCs w:val="20"/>
                <w:shd w:val="solid" w:color="000000" w:fill="000000"/>
                <w:fitText w:val="70" w:id="-893184762"/>
                <w14:textFill>
                  <w14:solidFill>
                    <w14:srgbClr w14:val="000000">
                      <w14:alpha w14:val="100000"/>
                    </w14:srgbClr>
                  </w14:solidFill>
                </w14:textFill>
              </w:rPr>
              <w:t>|</w:t>
            </w:r>
            <w:r w:rsidRPr="007A1CFA">
              <w:rPr>
                <w:rFonts w:hint="eastAsia"/>
                <w:color w:val="000000"/>
                <w:spacing w:val="4"/>
                <w:w w:val="15"/>
                <w:szCs w:val="20"/>
                <w:shd w:val="solid" w:color="000000" w:fill="000000"/>
                <w:fitText w:val="70" w:id="-893184762"/>
                <w14:textFill>
                  <w14:solidFill>
                    <w14:srgbClr w14:val="000000">
                      <w14:alpha w14:val="100000"/>
                    </w14:srgbClr>
                  </w14:solidFill>
                </w14:textFill>
              </w:rPr>
              <w:t xml:space="preserve">　</w:t>
            </w:r>
            <w:r w:rsidR="00346B01" w:rsidRPr="006A165E">
              <w:rPr>
                <w:szCs w:val="20"/>
                <w:vertAlign w:val="superscript"/>
              </w:rPr>
              <w:t>13</w:t>
            </w:r>
          </w:p>
        </w:tc>
        <w:tc>
          <w:tcPr>
            <w:tcW w:w="708" w:type="pct"/>
            <w:shd w:val="clear" w:color="auto" w:fill="auto"/>
            <w:vAlign w:val="center"/>
          </w:tcPr>
          <w:p w14:paraId="13DDE82F" w14:textId="6B3379A8" w:rsidR="000A46CC" w:rsidRPr="00C2419F" w:rsidRDefault="007A1CFA" w:rsidP="00EA693D">
            <w:pPr>
              <w:pStyle w:val="TableText0"/>
              <w:keepLines/>
              <w:jc w:val="center"/>
              <w:rPr>
                <w:szCs w:val="20"/>
                <w:highlight w:val="lightGray"/>
              </w:rPr>
            </w:pPr>
            <w:r w:rsidRPr="007A1CFA">
              <w:rPr>
                <w:color w:val="000000"/>
                <w:szCs w:val="20"/>
                <w:shd w:val="solid" w:color="000000" w:fill="000000"/>
                <w14:textFill>
                  <w14:solidFill>
                    <w14:srgbClr w14:val="000000">
                      <w14:alpha w14:val="100000"/>
                    </w14:srgbClr>
                  </w14:solidFill>
                </w14:textFill>
              </w:rPr>
              <w:t>|</w:t>
            </w:r>
            <w:r w:rsidR="00346B01" w:rsidRPr="006A165E">
              <w:rPr>
                <w:szCs w:val="20"/>
                <w:vertAlign w:val="superscript"/>
              </w:rPr>
              <w:t>13</w:t>
            </w:r>
          </w:p>
        </w:tc>
        <w:tc>
          <w:tcPr>
            <w:tcW w:w="756" w:type="pct"/>
            <w:vAlign w:val="center"/>
          </w:tcPr>
          <w:p w14:paraId="43210F9E" w14:textId="0CC2027E" w:rsidR="000A46CC" w:rsidRPr="00C2419F" w:rsidRDefault="007A1CFA" w:rsidP="00EA693D">
            <w:pPr>
              <w:pStyle w:val="TableText0"/>
              <w:keepLines/>
              <w:jc w:val="center"/>
              <w:rPr>
                <w:szCs w:val="20"/>
                <w:highlight w:val="lightGray"/>
              </w:rPr>
            </w:pPr>
            <w:r w:rsidRPr="007A1CFA">
              <w:rPr>
                <w:color w:val="000000"/>
                <w:szCs w:val="20"/>
                <w:shd w:val="solid" w:color="000000" w:fill="000000"/>
                <w14:textFill>
                  <w14:solidFill>
                    <w14:srgbClr w14:val="000000">
                      <w14:alpha w14:val="100000"/>
                    </w14:srgbClr>
                  </w14:solidFill>
                </w14:textFill>
              </w:rPr>
              <w:t>|</w:t>
            </w:r>
            <w:r w:rsidR="00346B01" w:rsidRPr="006A165E">
              <w:rPr>
                <w:szCs w:val="20"/>
                <w:vertAlign w:val="superscript"/>
              </w:rPr>
              <w:t>13</w:t>
            </w:r>
          </w:p>
        </w:tc>
      </w:tr>
    </w:tbl>
    <w:p w14:paraId="31CD138A" w14:textId="26933CCA" w:rsidR="000A46CC" w:rsidRDefault="000A46CC" w:rsidP="00EA693D">
      <w:pPr>
        <w:pStyle w:val="FooterTableFigure"/>
        <w:keepNext/>
        <w:keepLines/>
        <w:jc w:val="both"/>
      </w:pPr>
      <w:r>
        <w:t xml:space="preserve">Source: Table 4.10, p149, Table 4-23, p134 </w:t>
      </w:r>
      <w:r w:rsidRPr="00D13A3E">
        <w:t xml:space="preserve">of the </w:t>
      </w:r>
      <w:r>
        <w:t xml:space="preserve">submission Section 4 Workbook.xlsx, spreadsheet ‘7. Net changes – MBS’; </w:t>
      </w:r>
    </w:p>
    <w:p w14:paraId="23735B0B" w14:textId="19E6734F" w:rsidR="000A46CC" w:rsidRDefault="00300606" w:rsidP="00EA693D">
      <w:pPr>
        <w:pStyle w:val="FooterTableFigure"/>
        <w:keepNext/>
        <w:keepLines/>
        <w:jc w:val="both"/>
      </w:pPr>
      <w:r>
        <w:t xml:space="preserve">MBS = Medicare Benefits Schedule; </w:t>
      </w:r>
      <w:r w:rsidR="000A46CC">
        <w:t>mg = milligram; PBS = Pharmaceutical Benefit Scheme; RPBS = Repatriation Pharmaceutical Benefit Scheme.</w:t>
      </w:r>
    </w:p>
    <w:p w14:paraId="40B74F99" w14:textId="77777777" w:rsidR="00E56306" w:rsidRPr="000976B0" w:rsidRDefault="00E56306" w:rsidP="00EA693D">
      <w:pPr>
        <w:pStyle w:val="FooterTableFigure"/>
        <w:keepNext/>
        <w:keepLines/>
        <w:jc w:val="both"/>
        <w:rPr>
          <w:i/>
          <w:iCs/>
        </w:rPr>
      </w:pPr>
      <w:r w:rsidRPr="000976B0">
        <w:rPr>
          <w:i/>
          <w:iCs/>
        </w:rPr>
        <w:t>The redacted values correspond to the following ranges</w:t>
      </w:r>
    </w:p>
    <w:p w14:paraId="3FEB5E5D" w14:textId="2BF4A396" w:rsidR="00C531A6" w:rsidRPr="000976B0" w:rsidRDefault="00C56D72" w:rsidP="00EA693D">
      <w:pPr>
        <w:pStyle w:val="FooterTableFigure"/>
        <w:keepNext/>
        <w:keepLines/>
        <w:jc w:val="both"/>
        <w:rPr>
          <w:i/>
          <w:iCs/>
        </w:rPr>
      </w:pPr>
      <w:r w:rsidRPr="00265C4A">
        <w:rPr>
          <w:i/>
          <w:iCs/>
          <w:vertAlign w:val="superscript"/>
        </w:rPr>
        <w:t>1</w:t>
      </w:r>
      <w:r w:rsidRPr="000976B0">
        <w:rPr>
          <w:i/>
          <w:iCs/>
        </w:rPr>
        <w:t xml:space="preserve"> </w:t>
      </w:r>
      <w:r w:rsidR="00C531A6" w:rsidRPr="000976B0">
        <w:rPr>
          <w:i/>
          <w:iCs/>
        </w:rPr>
        <w:t>20,000 to &lt; 30,000</w:t>
      </w:r>
    </w:p>
    <w:p w14:paraId="0513915A" w14:textId="13CA9981" w:rsidR="00C531A6" w:rsidRPr="000976B0" w:rsidRDefault="00C56D72" w:rsidP="00EA693D">
      <w:pPr>
        <w:pStyle w:val="FooterTableFigure"/>
        <w:keepNext/>
        <w:keepLines/>
        <w:jc w:val="both"/>
        <w:rPr>
          <w:i/>
          <w:iCs/>
        </w:rPr>
      </w:pPr>
      <w:r w:rsidRPr="00265C4A">
        <w:rPr>
          <w:i/>
          <w:iCs/>
          <w:vertAlign w:val="superscript"/>
        </w:rPr>
        <w:t>2</w:t>
      </w:r>
      <w:r w:rsidRPr="000976B0">
        <w:rPr>
          <w:i/>
          <w:iCs/>
        </w:rPr>
        <w:t xml:space="preserve"> </w:t>
      </w:r>
      <w:r w:rsidR="00E82AFB" w:rsidRPr="000976B0">
        <w:rPr>
          <w:i/>
          <w:iCs/>
        </w:rPr>
        <w:t>4</w:t>
      </w:r>
      <w:r w:rsidR="00C531A6" w:rsidRPr="000976B0">
        <w:rPr>
          <w:i/>
          <w:iCs/>
        </w:rPr>
        <w:t>0,000 to &lt; 50,000</w:t>
      </w:r>
    </w:p>
    <w:p w14:paraId="73127ECF" w14:textId="4EBF5F9A" w:rsidR="00C531A6" w:rsidRPr="000976B0" w:rsidRDefault="00E82AFB" w:rsidP="00EA693D">
      <w:pPr>
        <w:pStyle w:val="FooterTableFigure"/>
        <w:keepNext/>
        <w:keepLines/>
        <w:jc w:val="both"/>
        <w:rPr>
          <w:i/>
          <w:iCs/>
        </w:rPr>
      </w:pPr>
      <w:r w:rsidRPr="00265C4A">
        <w:rPr>
          <w:i/>
          <w:iCs/>
          <w:vertAlign w:val="superscript"/>
        </w:rPr>
        <w:t>3</w:t>
      </w:r>
      <w:r w:rsidRPr="000976B0">
        <w:rPr>
          <w:i/>
          <w:iCs/>
        </w:rPr>
        <w:t xml:space="preserve"> </w:t>
      </w:r>
      <w:r w:rsidR="00C531A6" w:rsidRPr="000976B0">
        <w:rPr>
          <w:i/>
          <w:iCs/>
        </w:rPr>
        <w:t>60,000 to &lt; 70,000</w:t>
      </w:r>
    </w:p>
    <w:p w14:paraId="140E9FEA" w14:textId="76626FD5" w:rsidR="00C531A6" w:rsidRPr="000976B0" w:rsidRDefault="00935F10" w:rsidP="00EA693D">
      <w:pPr>
        <w:pStyle w:val="FooterTableFigure"/>
        <w:keepNext/>
        <w:keepLines/>
        <w:jc w:val="both"/>
        <w:rPr>
          <w:i/>
          <w:iCs/>
        </w:rPr>
      </w:pPr>
      <w:r w:rsidRPr="00265C4A">
        <w:rPr>
          <w:i/>
          <w:iCs/>
          <w:vertAlign w:val="superscript"/>
        </w:rPr>
        <w:t>4</w:t>
      </w:r>
      <w:r w:rsidRPr="000976B0">
        <w:rPr>
          <w:i/>
          <w:iCs/>
        </w:rPr>
        <w:t xml:space="preserve"> </w:t>
      </w:r>
      <w:r w:rsidR="00C531A6" w:rsidRPr="000976B0">
        <w:rPr>
          <w:i/>
          <w:iCs/>
        </w:rPr>
        <w:t>80,000 to &lt; 90,000</w:t>
      </w:r>
    </w:p>
    <w:p w14:paraId="7277D9A7" w14:textId="2AF5B02E" w:rsidR="00E10368" w:rsidRPr="000976B0" w:rsidRDefault="00E10368" w:rsidP="00EA693D">
      <w:pPr>
        <w:pStyle w:val="FooterTableFigure"/>
        <w:keepNext/>
        <w:keepLines/>
        <w:jc w:val="both"/>
        <w:rPr>
          <w:i/>
          <w:iCs/>
        </w:rPr>
      </w:pPr>
      <w:r w:rsidRPr="00265C4A">
        <w:rPr>
          <w:i/>
          <w:iCs/>
          <w:vertAlign w:val="superscript"/>
        </w:rPr>
        <w:t>5</w:t>
      </w:r>
      <w:r w:rsidRPr="000976B0">
        <w:rPr>
          <w:i/>
          <w:iCs/>
        </w:rPr>
        <w:t xml:space="preserve"> 90,000 to &lt; 100,000</w:t>
      </w:r>
    </w:p>
    <w:p w14:paraId="06E41A99" w14:textId="1797DCD7" w:rsidR="00E10368" w:rsidRPr="000976B0" w:rsidRDefault="00E10368" w:rsidP="00EA693D">
      <w:pPr>
        <w:pStyle w:val="FooterTableFigure"/>
        <w:keepNext/>
        <w:keepLines/>
        <w:jc w:val="both"/>
        <w:rPr>
          <w:i/>
          <w:iCs/>
        </w:rPr>
      </w:pPr>
      <w:r w:rsidRPr="00265C4A">
        <w:rPr>
          <w:i/>
          <w:iCs/>
          <w:vertAlign w:val="superscript"/>
        </w:rPr>
        <w:t>6</w:t>
      </w:r>
      <w:r w:rsidRPr="000976B0">
        <w:rPr>
          <w:i/>
          <w:iCs/>
        </w:rPr>
        <w:t xml:space="preserve"> 100,000 to &lt; 200,000</w:t>
      </w:r>
    </w:p>
    <w:p w14:paraId="3A7D9BD0" w14:textId="7E55FF9B" w:rsidR="00990899" w:rsidRPr="000976B0" w:rsidRDefault="00990899" w:rsidP="00EA693D">
      <w:pPr>
        <w:pStyle w:val="FooterTableFigure"/>
        <w:keepNext/>
        <w:keepLines/>
        <w:jc w:val="both"/>
        <w:rPr>
          <w:i/>
          <w:iCs/>
        </w:rPr>
      </w:pPr>
      <w:r w:rsidRPr="00265C4A">
        <w:rPr>
          <w:i/>
          <w:iCs/>
          <w:vertAlign w:val="superscript"/>
        </w:rPr>
        <w:t>7</w:t>
      </w:r>
      <w:r w:rsidRPr="000976B0">
        <w:rPr>
          <w:i/>
          <w:iCs/>
        </w:rPr>
        <w:t xml:space="preserve"> $10 million to &lt; $20 million</w:t>
      </w:r>
    </w:p>
    <w:p w14:paraId="4C36EF82" w14:textId="4BE8A4DB" w:rsidR="00990899" w:rsidRPr="000976B0" w:rsidRDefault="001B64C6" w:rsidP="00EA693D">
      <w:pPr>
        <w:pStyle w:val="FooterTableFigure"/>
        <w:keepNext/>
        <w:keepLines/>
        <w:jc w:val="both"/>
        <w:rPr>
          <w:i/>
          <w:iCs/>
        </w:rPr>
      </w:pPr>
      <w:r w:rsidRPr="00265C4A">
        <w:rPr>
          <w:i/>
          <w:iCs/>
          <w:vertAlign w:val="superscript"/>
        </w:rPr>
        <w:t>8</w:t>
      </w:r>
      <w:r w:rsidRPr="000976B0">
        <w:rPr>
          <w:i/>
          <w:iCs/>
        </w:rPr>
        <w:t xml:space="preserve"> </w:t>
      </w:r>
      <w:r w:rsidR="00990899" w:rsidRPr="000976B0">
        <w:rPr>
          <w:i/>
          <w:iCs/>
        </w:rPr>
        <w:t>$30 million to &lt; $40 million</w:t>
      </w:r>
    </w:p>
    <w:p w14:paraId="728F30C1" w14:textId="55A2ADF1" w:rsidR="00990899" w:rsidRPr="000976B0" w:rsidRDefault="001B64C6" w:rsidP="00EA693D">
      <w:pPr>
        <w:pStyle w:val="FooterTableFigure"/>
        <w:keepNext/>
        <w:keepLines/>
        <w:jc w:val="both"/>
        <w:rPr>
          <w:i/>
          <w:iCs/>
        </w:rPr>
      </w:pPr>
      <w:r w:rsidRPr="00265C4A">
        <w:rPr>
          <w:i/>
          <w:iCs/>
          <w:vertAlign w:val="superscript"/>
        </w:rPr>
        <w:t>9</w:t>
      </w:r>
      <w:r w:rsidRPr="000976B0">
        <w:rPr>
          <w:i/>
          <w:iCs/>
        </w:rPr>
        <w:t xml:space="preserve"> </w:t>
      </w:r>
      <w:r w:rsidR="00990899" w:rsidRPr="000976B0">
        <w:rPr>
          <w:i/>
          <w:iCs/>
        </w:rPr>
        <w:t>$40 million to &lt; $50 million</w:t>
      </w:r>
    </w:p>
    <w:p w14:paraId="2A668AB1" w14:textId="3495676D" w:rsidR="00990899" w:rsidRPr="000976B0" w:rsidRDefault="0086343B" w:rsidP="00EA693D">
      <w:pPr>
        <w:pStyle w:val="FooterTableFigure"/>
        <w:keepNext/>
        <w:keepLines/>
        <w:jc w:val="both"/>
        <w:rPr>
          <w:i/>
          <w:iCs/>
        </w:rPr>
      </w:pPr>
      <w:r w:rsidRPr="00265C4A">
        <w:rPr>
          <w:i/>
          <w:iCs/>
          <w:vertAlign w:val="superscript"/>
        </w:rPr>
        <w:t>10</w:t>
      </w:r>
      <w:r w:rsidRPr="000976B0">
        <w:rPr>
          <w:i/>
          <w:iCs/>
        </w:rPr>
        <w:t xml:space="preserve"> </w:t>
      </w:r>
      <w:r w:rsidR="00990899" w:rsidRPr="000976B0">
        <w:rPr>
          <w:i/>
          <w:iCs/>
        </w:rPr>
        <w:t>$60 million to &lt; $70 million</w:t>
      </w:r>
    </w:p>
    <w:p w14:paraId="3AE36345" w14:textId="0271467D" w:rsidR="00990899" w:rsidRPr="000976B0" w:rsidRDefault="0086343B" w:rsidP="00EA693D">
      <w:pPr>
        <w:pStyle w:val="FooterTableFigure"/>
        <w:keepNext/>
        <w:keepLines/>
        <w:jc w:val="both"/>
        <w:rPr>
          <w:i/>
          <w:iCs/>
        </w:rPr>
      </w:pPr>
      <w:r w:rsidRPr="00265C4A">
        <w:rPr>
          <w:i/>
          <w:iCs/>
          <w:vertAlign w:val="superscript"/>
        </w:rPr>
        <w:t>11</w:t>
      </w:r>
      <w:r w:rsidRPr="000976B0">
        <w:rPr>
          <w:i/>
          <w:iCs/>
        </w:rPr>
        <w:t xml:space="preserve"> </w:t>
      </w:r>
      <w:r w:rsidR="00990899" w:rsidRPr="000976B0">
        <w:rPr>
          <w:i/>
          <w:iCs/>
        </w:rPr>
        <w:t>$70 million to &lt; $80 million</w:t>
      </w:r>
    </w:p>
    <w:p w14:paraId="7D371A59" w14:textId="1388AF44" w:rsidR="008832A0" w:rsidRPr="000976B0" w:rsidRDefault="008832A0" w:rsidP="00EA693D">
      <w:pPr>
        <w:pStyle w:val="FooterTableFigure"/>
        <w:keepNext/>
        <w:keepLines/>
        <w:jc w:val="both"/>
        <w:rPr>
          <w:i/>
          <w:iCs/>
        </w:rPr>
      </w:pPr>
      <w:r w:rsidRPr="00265C4A">
        <w:rPr>
          <w:i/>
          <w:iCs/>
          <w:vertAlign w:val="superscript"/>
        </w:rPr>
        <w:t>12</w:t>
      </w:r>
      <w:r w:rsidRPr="000976B0">
        <w:rPr>
          <w:i/>
          <w:iCs/>
        </w:rPr>
        <w:t xml:space="preserve"> net cost saving</w:t>
      </w:r>
    </w:p>
    <w:p w14:paraId="64E0D6F4" w14:textId="76F9EF85" w:rsidR="008832A0" w:rsidRPr="000976B0" w:rsidRDefault="008832A0" w:rsidP="00EA693D">
      <w:pPr>
        <w:pStyle w:val="FooterTableFigure"/>
        <w:keepNext/>
        <w:keepLines/>
        <w:jc w:val="both"/>
        <w:rPr>
          <w:i/>
          <w:iCs/>
        </w:rPr>
      </w:pPr>
      <w:r w:rsidRPr="00265C4A">
        <w:rPr>
          <w:i/>
          <w:iCs/>
          <w:vertAlign w:val="superscript"/>
        </w:rPr>
        <w:t>13</w:t>
      </w:r>
      <w:r w:rsidRPr="000976B0">
        <w:rPr>
          <w:i/>
          <w:iCs/>
        </w:rPr>
        <w:t xml:space="preserve"> $0 to &lt; $10 million</w:t>
      </w:r>
    </w:p>
    <w:p w14:paraId="1B787A88" w14:textId="6FED5699" w:rsidR="000A46CC" w:rsidRDefault="000A46CC" w:rsidP="001C2A71">
      <w:pPr>
        <w:pStyle w:val="3-BodyText"/>
        <w:ind w:left="709" w:hanging="709"/>
      </w:pPr>
      <w:r w:rsidRPr="00AC5A15">
        <w:t>The submission estimated a zero total net cost to the PBS/RPBS of listing faricimab. The estimated net cost of zero to the PBS/RPBS was dependent on realisation of 1:1 dose equivalence of aflibercept and faricimab in clinical practice</w:t>
      </w:r>
      <w:r w:rsidR="00495B42" w:rsidRPr="00AC5A15">
        <w:t xml:space="preserve"> and no occurrences of switching from other anti-VEGF therapies</w:t>
      </w:r>
      <w:r w:rsidR="004217FA">
        <w:t xml:space="preserve"> </w:t>
      </w:r>
      <w:r w:rsidR="004217FA" w:rsidRPr="001476FA">
        <w:t>with a lower injection frequency</w:t>
      </w:r>
      <w:r w:rsidR="007D6C7B" w:rsidRPr="001476FA">
        <w:t xml:space="preserve"> (i.e. longer time between administrations)</w:t>
      </w:r>
      <w:r w:rsidRPr="001476FA">
        <w:t xml:space="preserve">. </w:t>
      </w:r>
    </w:p>
    <w:p w14:paraId="1ADD8A81" w14:textId="05A08E84" w:rsidR="003F74B7" w:rsidRDefault="003F74B7" w:rsidP="001C2A71">
      <w:pPr>
        <w:pStyle w:val="3-BodyText"/>
        <w:ind w:left="709" w:hanging="709"/>
      </w:pPr>
      <w:r>
        <w:t>The PBAC noted it had previously recommended a risk sharing arrangement with expenditure caps for aflibercept for this indication (paragraph 6.36, aflibercept PSD, November 2015 PBAC meeting</w:t>
      </w:r>
      <w:r w:rsidR="00293B19">
        <w:t>)</w:t>
      </w:r>
      <w:r>
        <w:t xml:space="preserve">. </w:t>
      </w:r>
    </w:p>
    <w:p w14:paraId="25660AC9" w14:textId="2992A000" w:rsidR="00533F0F" w:rsidRPr="001476FA" w:rsidRDefault="00533F0F" w:rsidP="00533F0F">
      <w:pPr>
        <w:pStyle w:val="3-BodyText"/>
        <w:numPr>
          <w:ilvl w:val="0"/>
          <w:numId w:val="0"/>
        </w:numPr>
        <w:ind w:left="709"/>
      </w:pPr>
      <w:r w:rsidRPr="00C33D30">
        <w:rPr>
          <w:i/>
        </w:rPr>
        <w:t>For more detail on PBAC’s view, see section 7 PBAC outcome.</w:t>
      </w:r>
    </w:p>
    <w:p w14:paraId="7B9F4404" w14:textId="77777777" w:rsidR="00873784" w:rsidRPr="0090150D" w:rsidRDefault="00873784" w:rsidP="00873784">
      <w:pPr>
        <w:pStyle w:val="2-SectionHeading"/>
        <w:numPr>
          <w:ilvl w:val="0"/>
          <w:numId w:val="1"/>
        </w:numPr>
        <w:outlineLvl w:val="1"/>
      </w:pPr>
      <w:bookmarkStart w:id="61" w:name="_Hlk76381249"/>
      <w:bookmarkStart w:id="62" w:name="_Hlk76377955"/>
      <w:bookmarkEnd w:id="58"/>
      <w:bookmarkEnd w:id="59"/>
      <w:r w:rsidRPr="0090150D">
        <w:t>PBAC Outcome</w:t>
      </w:r>
    </w:p>
    <w:p w14:paraId="0AEAFE0F" w14:textId="240EFB72" w:rsidR="00600728" w:rsidRPr="00945E27" w:rsidRDefault="00600728" w:rsidP="00600728">
      <w:pPr>
        <w:widowControl w:val="0"/>
        <w:numPr>
          <w:ilvl w:val="1"/>
          <w:numId w:val="1"/>
        </w:numPr>
        <w:spacing w:after="120"/>
        <w:jc w:val="both"/>
        <w:rPr>
          <w:rFonts w:asciiTheme="minorHAnsi" w:hAnsiTheme="minorHAnsi" w:cs="Arial"/>
          <w:snapToGrid w:val="0"/>
          <w:lang w:val="en-GB"/>
        </w:rPr>
      </w:pPr>
      <w:r w:rsidRPr="00CE42B4">
        <w:rPr>
          <w:rFonts w:asciiTheme="minorHAnsi" w:hAnsiTheme="minorHAnsi" w:cs="Arial"/>
          <w:snapToGrid w:val="0"/>
          <w:lang w:val="en-GB"/>
        </w:rPr>
        <w:t xml:space="preserve">The PBAC recommended the listing of </w:t>
      </w:r>
      <w:r>
        <w:rPr>
          <w:rFonts w:asciiTheme="minorHAnsi" w:hAnsiTheme="minorHAnsi" w:cs="Arial"/>
          <w:snapToGrid w:val="0"/>
          <w:lang w:val="en-GB"/>
        </w:rPr>
        <w:t xml:space="preserve">faricimab </w:t>
      </w:r>
      <w:r w:rsidRPr="00945E27">
        <w:rPr>
          <w:rFonts w:asciiTheme="minorHAnsi" w:hAnsiTheme="minorHAnsi" w:cs="Arial"/>
          <w:snapToGrid w:val="0"/>
          <w:lang w:val="en-GB"/>
        </w:rPr>
        <w:t>for the treatment of macular oedema secondary to retinal vein occlusion (RVO)</w:t>
      </w:r>
      <w:r>
        <w:rPr>
          <w:rFonts w:asciiTheme="minorHAnsi" w:hAnsiTheme="minorHAnsi" w:cs="Arial"/>
          <w:snapToGrid w:val="0"/>
          <w:lang w:val="en-GB"/>
        </w:rPr>
        <w:t>.</w:t>
      </w:r>
      <w:r w:rsidRPr="00945E27">
        <w:rPr>
          <w:rFonts w:asciiTheme="minorHAnsi" w:hAnsiTheme="minorHAnsi"/>
          <w:bCs/>
          <w:lang w:val="en-GB"/>
        </w:rPr>
        <w:t xml:space="preserve"> </w:t>
      </w:r>
      <w:r>
        <w:rPr>
          <w:rFonts w:asciiTheme="minorHAnsi" w:hAnsiTheme="minorHAnsi"/>
          <w:bCs/>
          <w:lang w:val="en-GB"/>
        </w:rPr>
        <w:t xml:space="preserve">The PBAC’s recommendation was based on, among other matters, its assessment that the cost-effectiveness of faricimab would be acceptable </w:t>
      </w:r>
      <w:r w:rsidR="003F74B7">
        <w:rPr>
          <w:rFonts w:asciiTheme="minorHAnsi" w:hAnsiTheme="minorHAnsi"/>
          <w:bCs/>
          <w:lang w:val="en-GB"/>
        </w:rPr>
        <w:t xml:space="preserve">if it were cost-minimised to </w:t>
      </w:r>
      <w:r>
        <w:rPr>
          <w:rFonts w:asciiTheme="minorHAnsi" w:hAnsiTheme="minorHAnsi"/>
          <w:bCs/>
          <w:lang w:val="en-GB"/>
        </w:rPr>
        <w:t>the lowest cost alternative medicine currently PBS-listed for RVO.</w:t>
      </w:r>
    </w:p>
    <w:p w14:paraId="21732F59" w14:textId="1F5A3627" w:rsidR="00873784" w:rsidRPr="00E3074C" w:rsidRDefault="00600728" w:rsidP="00E3074C">
      <w:pPr>
        <w:pStyle w:val="3-BodyText"/>
        <w:rPr>
          <w:lang w:val="en-GB" w:eastAsia="en-GB"/>
        </w:rPr>
      </w:pPr>
      <w:r w:rsidRPr="00600728">
        <w:rPr>
          <w:lang w:val="en-GB" w:eastAsia="en-GB"/>
        </w:rPr>
        <w:t xml:space="preserve">The PBAC recommended the listing of </w:t>
      </w:r>
      <w:r>
        <w:rPr>
          <w:lang w:val="en-GB" w:eastAsia="en-GB"/>
        </w:rPr>
        <w:t>faricimab</w:t>
      </w:r>
      <w:r w:rsidRPr="00600728">
        <w:rPr>
          <w:lang w:val="en-GB" w:eastAsia="en-GB"/>
        </w:rPr>
        <w:t xml:space="preserve"> on a cost-minimisation basis with</w:t>
      </w:r>
      <w:r>
        <w:rPr>
          <w:lang w:val="en-GB" w:eastAsia="en-GB"/>
        </w:rPr>
        <w:t xml:space="preserve"> aflibercept</w:t>
      </w:r>
      <w:r w:rsidRPr="00600728">
        <w:rPr>
          <w:lang w:val="en-GB" w:eastAsia="en-GB"/>
        </w:rPr>
        <w:t xml:space="preserve">. </w:t>
      </w:r>
      <w:r w:rsidRPr="00600728">
        <w:rPr>
          <w:lang w:val="en-GB"/>
        </w:rPr>
        <w:t>The PBAC accepted the proposed dose equivalence of faricimab 6</w:t>
      </w:r>
      <w:r w:rsidR="00C1160D">
        <w:rPr>
          <w:lang w:val="en-GB"/>
        </w:rPr>
        <w:t> </w:t>
      </w:r>
      <w:r w:rsidRPr="00600728">
        <w:rPr>
          <w:lang w:val="en-GB"/>
        </w:rPr>
        <w:t>mg injection and aflibercept 2 mg injection, consistent with 1:1 dose relativity.</w:t>
      </w:r>
    </w:p>
    <w:p w14:paraId="5AEC2F50" w14:textId="48A46CDD" w:rsidR="00873784" w:rsidRPr="00CE42B4" w:rsidRDefault="00E3074C" w:rsidP="00873784">
      <w:pPr>
        <w:widowControl w:val="0"/>
        <w:numPr>
          <w:ilvl w:val="1"/>
          <w:numId w:val="1"/>
        </w:numPr>
        <w:spacing w:after="120"/>
        <w:jc w:val="both"/>
        <w:rPr>
          <w:rFonts w:asciiTheme="minorHAnsi" w:hAnsiTheme="minorHAnsi" w:cs="Arial"/>
          <w:snapToGrid w:val="0"/>
          <w:lang w:val="en-GB"/>
        </w:rPr>
      </w:pPr>
      <w:r>
        <w:rPr>
          <w:rFonts w:asciiTheme="minorHAnsi" w:hAnsiTheme="minorHAnsi" w:cs="Arial"/>
          <w:snapToGrid w:val="0"/>
          <w:lang w:val="en-GB"/>
        </w:rPr>
        <w:t xml:space="preserve">The PBAC noted that </w:t>
      </w:r>
      <w:r w:rsidR="0036184B">
        <w:rPr>
          <w:rFonts w:asciiTheme="minorHAnsi" w:hAnsiTheme="minorHAnsi" w:cs="Arial"/>
          <w:snapToGrid w:val="0"/>
          <w:lang w:val="en-GB"/>
        </w:rPr>
        <w:t xml:space="preserve">there is a residual unmet need for longer acting anti-VEGF therapies in eye diseases and acknowledged the consumer </w:t>
      </w:r>
      <w:r w:rsidR="002E4276">
        <w:rPr>
          <w:rFonts w:asciiTheme="minorHAnsi" w:hAnsiTheme="minorHAnsi" w:cs="Arial"/>
          <w:snapToGrid w:val="0"/>
          <w:lang w:val="en-GB"/>
        </w:rPr>
        <w:t xml:space="preserve">comments on this </w:t>
      </w:r>
      <w:r w:rsidR="0036184B">
        <w:rPr>
          <w:rFonts w:asciiTheme="minorHAnsi" w:hAnsiTheme="minorHAnsi" w:cs="Arial"/>
          <w:snapToGrid w:val="0"/>
          <w:lang w:val="en-GB"/>
        </w:rPr>
        <w:t xml:space="preserve">topic provided by the </w:t>
      </w:r>
      <w:r w:rsidR="0036184B" w:rsidRPr="00550FBB">
        <w:rPr>
          <w:rFonts w:asciiTheme="minorHAnsi" w:hAnsiTheme="minorHAnsi" w:cs="Arial"/>
          <w:bCs/>
          <w:snapToGrid w:val="0"/>
        </w:rPr>
        <w:t>Macular Disease Foundation Australia</w:t>
      </w:r>
      <w:r w:rsidR="0036184B">
        <w:rPr>
          <w:rFonts w:asciiTheme="minorHAnsi" w:hAnsiTheme="minorHAnsi" w:cs="Arial"/>
          <w:bCs/>
          <w:snapToGrid w:val="0"/>
        </w:rPr>
        <w:t>.</w:t>
      </w:r>
    </w:p>
    <w:p w14:paraId="7F20D880" w14:textId="3BE639CC" w:rsidR="00873784" w:rsidRPr="00A615AA" w:rsidRDefault="003C05DE" w:rsidP="00A615AA">
      <w:pPr>
        <w:widowControl w:val="0"/>
        <w:numPr>
          <w:ilvl w:val="1"/>
          <w:numId w:val="1"/>
        </w:numPr>
        <w:spacing w:after="120"/>
        <w:jc w:val="both"/>
        <w:rPr>
          <w:rFonts w:asciiTheme="minorHAnsi" w:hAnsiTheme="minorHAnsi" w:cs="Arial"/>
          <w:snapToGrid w:val="0"/>
          <w:lang w:val="en-GB"/>
        </w:rPr>
      </w:pPr>
      <w:r>
        <w:rPr>
          <w:rFonts w:asciiTheme="minorHAnsi" w:hAnsiTheme="minorHAnsi" w:cs="Arial"/>
          <w:snapToGrid w:val="0"/>
          <w:lang w:val="en-GB"/>
        </w:rPr>
        <w:t>The PBAC noted that the requested restriction</w:t>
      </w:r>
      <w:r w:rsidR="00350923">
        <w:rPr>
          <w:rFonts w:asciiTheme="minorHAnsi" w:hAnsiTheme="minorHAnsi" w:cs="Arial"/>
          <w:snapToGrid w:val="0"/>
          <w:lang w:val="en-GB"/>
        </w:rPr>
        <w:t xml:space="preserve"> wording</w:t>
      </w:r>
      <w:r>
        <w:rPr>
          <w:rFonts w:asciiTheme="minorHAnsi" w:hAnsiTheme="minorHAnsi" w:cs="Arial"/>
          <w:snapToGrid w:val="0"/>
          <w:lang w:val="en-GB"/>
        </w:rPr>
        <w:t>, maximum quantity</w:t>
      </w:r>
      <w:r w:rsidR="00A671D8">
        <w:rPr>
          <w:rFonts w:asciiTheme="minorHAnsi" w:hAnsiTheme="minorHAnsi" w:cs="Arial"/>
          <w:snapToGrid w:val="0"/>
          <w:lang w:val="en-GB"/>
        </w:rPr>
        <w:t xml:space="preserve">, </w:t>
      </w:r>
      <w:r>
        <w:rPr>
          <w:rFonts w:asciiTheme="minorHAnsi" w:hAnsiTheme="minorHAnsi" w:cs="Arial"/>
          <w:snapToGrid w:val="0"/>
          <w:lang w:val="en-GB"/>
        </w:rPr>
        <w:t>repeats</w:t>
      </w:r>
      <w:r w:rsidR="00A671D8">
        <w:rPr>
          <w:rFonts w:asciiTheme="minorHAnsi" w:hAnsiTheme="minorHAnsi" w:cs="Arial"/>
          <w:snapToGrid w:val="0"/>
          <w:lang w:val="en-GB"/>
        </w:rPr>
        <w:t xml:space="preserve"> and treating specialist</w:t>
      </w:r>
      <w:r w:rsidR="00E96D7A">
        <w:rPr>
          <w:rFonts w:asciiTheme="minorHAnsi" w:hAnsiTheme="minorHAnsi" w:cs="Arial"/>
          <w:snapToGrid w:val="0"/>
          <w:lang w:val="en-GB"/>
        </w:rPr>
        <w:t>s</w:t>
      </w:r>
      <w:r>
        <w:rPr>
          <w:rFonts w:asciiTheme="minorHAnsi" w:hAnsiTheme="minorHAnsi" w:cs="Arial"/>
          <w:snapToGrid w:val="0"/>
          <w:lang w:val="en-GB"/>
        </w:rPr>
        <w:t xml:space="preserve"> for faricimab in RVO are identical to aflibercept in branch RVO (BRVO) and central RVO</w:t>
      </w:r>
      <w:r w:rsidR="00A671D8">
        <w:rPr>
          <w:rFonts w:asciiTheme="minorHAnsi" w:hAnsiTheme="minorHAnsi" w:cs="Arial"/>
          <w:snapToGrid w:val="0"/>
          <w:lang w:val="en-GB"/>
        </w:rPr>
        <w:t xml:space="preserve"> (CRVO)</w:t>
      </w:r>
      <w:r>
        <w:rPr>
          <w:rFonts w:asciiTheme="minorHAnsi" w:hAnsiTheme="minorHAnsi" w:cs="Arial"/>
          <w:snapToGrid w:val="0"/>
          <w:lang w:val="en-GB"/>
        </w:rPr>
        <w:t>.</w:t>
      </w:r>
      <w:r w:rsidR="00A671D8">
        <w:rPr>
          <w:rFonts w:asciiTheme="minorHAnsi" w:hAnsiTheme="minorHAnsi" w:cs="Arial"/>
          <w:snapToGrid w:val="0"/>
          <w:lang w:val="en-GB"/>
        </w:rPr>
        <w:t xml:space="preserve"> </w:t>
      </w:r>
      <w:r w:rsidR="00350923">
        <w:rPr>
          <w:rFonts w:asciiTheme="minorHAnsi" w:hAnsiTheme="minorHAnsi" w:cs="Arial"/>
          <w:snapToGrid w:val="0"/>
          <w:lang w:val="en-GB"/>
        </w:rPr>
        <w:t>However, t</w:t>
      </w:r>
      <w:r w:rsidR="00A671D8">
        <w:rPr>
          <w:rFonts w:asciiTheme="minorHAnsi" w:hAnsiTheme="minorHAnsi" w:cs="Arial"/>
          <w:snapToGrid w:val="0"/>
          <w:lang w:val="en-GB"/>
        </w:rPr>
        <w:t xml:space="preserve">he PBAC </w:t>
      </w:r>
      <w:r w:rsidR="008F18B0">
        <w:rPr>
          <w:rFonts w:asciiTheme="minorHAnsi" w:hAnsiTheme="minorHAnsi" w:cs="Arial"/>
          <w:snapToGrid w:val="0"/>
          <w:lang w:val="en-GB"/>
        </w:rPr>
        <w:t>not</w:t>
      </w:r>
      <w:r w:rsidR="00A671D8">
        <w:rPr>
          <w:rFonts w:asciiTheme="minorHAnsi" w:hAnsiTheme="minorHAnsi" w:cs="Arial"/>
          <w:snapToGrid w:val="0"/>
          <w:lang w:val="en-GB"/>
        </w:rPr>
        <w:t xml:space="preserve">ed that the </w:t>
      </w:r>
      <w:r w:rsidR="00810F4D">
        <w:rPr>
          <w:rFonts w:asciiTheme="minorHAnsi" w:hAnsiTheme="minorHAnsi" w:cs="Arial"/>
          <w:snapToGrid w:val="0"/>
          <w:lang w:val="en-GB"/>
        </w:rPr>
        <w:t>requested</w:t>
      </w:r>
      <w:r w:rsidR="00A671D8">
        <w:rPr>
          <w:rFonts w:asciiTheme="minorHAnsi" w:hAnsiTheme="minorHAnsi" w:cs="Arial"/>
          <w:snapToGrid w:val="0"/>
          <w:lang w:val="en-GB"/>
        </w:rPr>
        <w:t xml:space="preserve"> initial</w:t>
      </w:r>
      <w:r>
        <w:rPr>
          <w:rFonts w:asciiTheme="minorHAnsi" w:hAnsiTheme="minorHAnsi" w:cs="Arial"/>
          <w:snapToGrid w:val="0"/>
          <w:lang w:val="en-GB"/>
        </w:rPr>
        <w:t xml:space="preserve"> </w:t>
      </w:r>
      <w:r w:rsidR="00810F4D" w:rsidRPr="00810F4D">
        <w:rPr>
          <w:rFonts w:asciiTheme="minorHAnsi" w:hAnsiTheme="minorHAnsi" w:cs="Arial"/>
          <w:snapToGrid w:val="0"/>
          <w:lang w:val="en-GB"/>
        </w:rPr>
        <w:t>telephone/online authority for faricimab</w:t>
      </w:r>
      <w:r w:rsidR="00810F4D">
        <w:rPr>
          <w:rFonts w:asciiTheme="minorHAnsi" w:hAnsiTheme="minorHAnsi" w:cs="Arial"/>
          <w:snapToGrid w:val="0"/>
          <w:lang w:val="en-GB"/>
        </w:rPr>
        <w:t xml:space="preserve"> was not </w:t>
      </w:r>
      <w:r w:rsidR="00350923">
        <w:rPr>
          <w:rFonts w:asciiTheme="minorHAnsi" w:hAnsiTheme="minorHAnsi" w:cs="Arial"/>
          <w:snapToGrid w:val="0"/>
          <w:lang w:val="en-GB"/>
        </w:rPr>
        <w:t>consistent</w:t>
      </w:r>
      <w:r w:rsidR="00810F4D">
        <w:rPr>
          <w:rFonts w:asciiTheme="minorHAnsi" w:hAnsiTheme="minorHAnsi" w:cs="Arial"/>
          <w:snapToGrid w:val="0"/>
          <w:lang w:val="en-GB"/>
        </w:rPr>
        <w:t xml:space="preserve"> with the aflibercept and ranibizumab PBS listings for initial treatment,</w:t>
      </w:r>
      <w:r w:rsidR="00350923">
        <w:rPr>
          <w:rFonts w:asciiTheme="minorHAnsi" w:hAnsiTheme="minorHAnsi" w:cs="Arial"/>
          <w:snapToGrid w:val="0"/>
          <w:lang w:val="en-GB"/>
        </w:rPr>
        <w:t xml:space="preserve"> which both require a written authority,</w:t>
      </w:r>
      <w:r w:rsidR="00810F4D">
        <w:rPr>
          <w:rFonts w:asciiTheme="minorHAnsi" w:hAnsiTheme="minorHAnsi" w:cs="Arial"/>
          <w:snapToGrid w:val="0"/>
          <w:lang w:val="en-GB"/>
        </w:rPr>
        <w:t xml:space="preserve"> and </w:t>
      </w:r>
      <w:r w:rsidR="008F18B0">
        <w:rPr>
          <w:rFonts w:asciiTheme="minorHAnsi" w:hAnsiTheme="minorHAnsi" w:cs="Arial"/>
          <w:snapToGrid w:val="0"/>
          <w:lang w:val="en-GB"/>
        </w:rPr>
        <w:t xml:space="preserve">considered </w:t>
      </w:r>
      <w:r w:rsidR="00810F4D">
        <w:rPr>
          <w:rFonts w:asciiTheme="minorHAnsi" w:hAnsiTheme="minorHAnsi" w:cs="Arial"/>
          <w:snapToGrid w:val="0"/>
          <w:lang w:val="en-GB"/>
        </w:rPr>
        <w:t>that a written authority would also be required for faricimab</w:t>
      </w:r>
      <w:r w:rsidR="00A671D8">
        <w:rPr>
          <w:rFonts w:asciiTheme="minorHAnsi" w:hAnsiTheme="minorHAnsi" w:cs="Arial"/>
          <w:snapToGrid w:val="0"/>
          <w:lang w:val="en-US"/>
        </w:rPr>
        <w:t>.</w:t>
      </w:r>
      <w:r w:rsidR="00350923">
        <w:rPr>
          <w:rFonts w:asciiTheme="minorHAnsi" w:hAnsiTheme="minorHAnsi" w:cs="Arial"/>
          <w:snapToGrid w:val="0"/>
          <w:lang w:val="en-US"/>
        </w:rPr>
        <w:t xml:space="preserve"> </w:t>
      </w:r>
      <w:r w:rsidR="00350923" w:rsidRPr="00350923">
        <w:rPr>
          <w:rFonts w:asciiTheme="minorHAnsi" w:hAnsiTheme="minorHAnsi" w:cstheme="minorHAnsi"/>
          <w:iCs/>
        </w:rPr>
        <w:t>The PBAC noted that this</w:t>
      </w:r>
      <w:r w:rsidR="00810F4D" w:rsidRPr="00350923">
        <w:rPr>
          <w:rFonts w:asciiTheme="minorHAnsi" w:hAnsiTheme="minorHAnsi" w:cstheme="minorHAnsi"/>
          <w:iCs/>
        </w:rPr>
        <w:t xml:space="preserve"> would align with the PBAC’s advice that the initial phase listings for aflibercept and ranibizumab in RVO should remain written authorities (November</w:t>
      </w:r>
      <w:r w:rsidR="00265C4A">
        <w:rPr>
          <w:rFonts w:asciiTheme="minorHAnsi" w:hAnsiTheme="minorHAnsi" w:cstheme="minorHAnsi"/>
          <w:iCs/>
        </w:rPr>
        <w:t> </w:t>
      </w:r>
      <w:r w:rsidR="00810F4D" w:rsidRPr="00350923">
        <w:rPr>
          <w:rFonts w:asciiTheme="minorHAnsi" w:hAnsiTheme="minorHAnsi" w:cstheme="minorHAnsi"/>
          <w:iCs/>
        </w:rPr>
        <w:t>2021 PBAC meeting</w:t>
      </w:r>
      <w:r w:rsidR="00CA14CD">
        <w:rPr>
          <w:rStyle w:val="FootnoteReference"/>
          <w:rFonts w:asciiTheme="minorHAnsi" w:hAnsiTheme="minorHAnsi" w:cstheme="minorHAnsi"/>
          <w:iCs/>
        </w:rPr>
        <w:footnoteReference w:id="7"/>
      </w:r>
      <w:r w:rsidR="00CA14CD">
        <w:rPr>
          <w:rFonts w:asciiTheme="minorHAnsi" w:hAnsiTheme="minorHAnsi" w:cstheme="minorHAnsi"/>
          <w:iCs/>
        </w:rPr>
        <w:t>)</w:t>
      </w:r>
      <w:r w:rsidR="00810F4D" w:rsidRPr="00350923">
        <w:rPr>
          <w:rFonts w:asciiTheme="minorHAnsi" w:hAnsiTheme="minorHAnsi" w:cstheme="minorHAnsi"/>
          <w:iCs/>
        </w:rPr>
        <w:t>.</w:t>
      </w:r>
      <w:r w:rsidR="00350923">
        <w:rPr>
          <w:rFonts w:asciiTheme="minorHAnsi" w:hAnsiTheme="minorHAnsi" w:cstheme="minorHAnsi"/>
          <w:iCs/>
        </w:rPr>
        <w:t xml:space="preserve"> </w:t>
      </w:r>
      <w:r w:rsidR="00275D43">
        <w:rPr>
          <w:rFonts w:asciiTheme="minorHAnsi" w:hAnsiTheme="minorHAnsi" w:cstheme="minorHAnsi"/>
          <w:iCs/>
        </w:rPr>
        <w:t xml:space="preserve">The PBAC </w:t>
      </w:r>
      <w:r w:rsidR="00FB760A">
        <w:rPr>
          <w:rFonts w:asciiTheme="minorHAnsi" w:hAnsiTheme="minorHAnsi" w:cstheme="minorHAnsi"/>
          <w:iCs/>
        </w:rPr>
        <w:t>considered</w:t>
      </w:r>
      <w:r w:rsidR="00275D43">
        <w:rPr>
          <w:rFonts w:asciiTheme="minorHAnsi" w:hAnsiTheme="minorHAnsi" w:cstheme="minorHAnsi"/>
          <w:iCs/>
        </w:rPr>
        <w:t xml:space="preserve"> that patients currently receiving non-PBS faricimab would be able to initiate faricimab via the proposed initial treatment listing, and the requested grandfathering restriction would not be necessary.</w:t>
      </w:r>
    </w:p>
    <w:p w14:paraId="4ADD2A31" w14:textId="2C5A3715" w:rsidR="00D77239" w:rsidRPr="00CE42B4" w:rsidRDefault="00D77239" w:rsidP="00873784">
      <w:pPr>
        <w:widowControl w:val="0"/>
        <w:numPr>
          <w:ilvl w:val="1"/>
          <w:numId w:val="1"/>
        </w:numPr>
        <w:spacing w:after="120"/>
        <w:jc w:val="both"/>
        <w:rPr>
          <w:rFonts w:asciiTheme="minorHAnsi" w:hAnsiTheme="minorHAnsi" w:cs="Arial"/>
          <w:snapToGrid w:val="0"/>
          <w:lang w:val="en-GB"/>
        </w:rPr>
      </w:pPr>
      <w:r w:rsidRPr="00D77239">
        <w:rPr>
          <w:rFonts w:asciiTheme="minorHAnsi" w:hAnsiTheme="minorHAnsi" w:cs="Arial"/>
          <w:snapToGrid w:val="0"/>
          <w:lang w:val="en-GB"/>
        </w:rPr>
        <w:t>Under the proposed restrictions, both treatment-experienced and treatment-naïve patients would be eligible for treatment with faricimab</w:t>
      </w:r>
      <w:r>
        <w:rPr>
          <w:rFonts w:asciiTheme="minorHAnsi" w:hAnsiTheme="minorHAnsi" w:cs="Arial"/>
          <w:snapToGrid w:val="0"/>
          <w:lang w:val="en-GB"/>
        </w:rPr>
        <w:t xml:space="preserve">. </w:t>
      </w:r>
      <w:r>
        <w:rPr>
          <w:rFonts w:asciiTheme="minorHAnsi" w:hAnsiTheme="minorHAnsi" w:cstheme="minorHAnsi"/>
          <w:iCs/>
        </w:rPr>
        <w:t xml:space="preserve">The PBAC considered it appropriate to allow patients to switch from PBS-listed aflibercept or ranibizumab to faricimab, </w:t>
      </w:r>
      <w:r w:rsidRPr="00D77239">
        <w:rPr>
          <w:rFonts w:asciiTheme="minorHAnsi" w:hAnsiTheme="minorHAnsi" w:cs="Arial"/>
          <w:snapToGrid w:val="0"/>
          <w:lang w:val="en-GB"/>
        </w:rPr>
        <w:t xml:space="preserve">particularly </w:t>
      </w:r>
      <w:r w:rsidR="00FB760A">
        <w:rPr>
          <w:rFonts w:asciiTheme="minorHAnsi" w:hAnsiTheme="minorHAnsi" w:cs="Arial"/>
          <w:snapToGrid w:val="0"/>
          <w:lang w:val="en-GB"/>
        </w:rPr>
        <w:t>those</w:t>
      </w:r>
      <w:r w:rsidRPr="00D77239">
        <w:rPr>
          <w:rFonts w:asciiTheme="minorHAnsi" w:hAnsiTheme="minorHAnsi" w:cs="Arial"/>
          <w:snapToGrid w:val="0"/>
          <w:lang w:val="en-GB"/>
        </w:rPr>
        <w:t xml:space="preserve"> who are currently having ongoing monthly injections and may benefit from a potentially longer-acting agent</w:t>
      </w:r>
      <w:r>
        <w:rPr>
          <w:rFonts w:asciiTheme="minorHAnsi" w:hAnsiTheme="minorHAnsi" w:cstheme="minorHAnsi"/>
          <w:iCs/>
        </w:rPr>
        <w:t>.</w:t>
      </w:r>
    </w:p>
    <w:p w14:paraId="405AA197" w14:textId="6FFC1B1D" w:rsidR="006568CD" w:rsidRPr="00244767" w:rsidRDefault="00E3074C" w:rsidP="00244767">
      <w:pPr>
        <w:widowControl w:val="0"/>
        <w:numPr>
          <w:ilvl w:val="1"/>
          <w:numId w:val="1"/>
        </w:numPr>
        <w:spacing w:after="120"/>
        <w:jc w:val="both"/>
        <w:rPr>
          <w:rFonts w:asciiTheme="minorHAnsi" w:hAnsiTheme="minorHAnsi" w:cs="Arial"/>
          <w:snapToGrid w:val="0"/>
          <w:lang w:val="en-GB"/>
        </w:rPr>
      </w:pPr>
      <w:r>
        <w:rPr>
          <w:rFonts w:asciiTheme="minorHAnsi" w:hAnsiTheme="minorHAnsi" w:cs="Arial"/>
          <w:snapToGrid w:val="0"/>
          <w:lang w:val="en-GB"/>
        </w:rPr>
        <w:t xml:space="preserve">The PBAC </w:t>
      </w:r>
      <w:r w:rsidR="0036184B">
        <w:rPr>
          <w:rFonts w:asciiTheme="minorHAnsi" w:hAnsiTheme="minorHAnsi" w:cs="Arial"/>
          <w:snapToGrid w:val="0"/>
          <w:lang w:val="en-GB"/>
        </w:rPr>
        <w:t>considered</w:t>
      </w:r>
      <w:r>
        <w:rPr>
          <w:rFonts w:asciiTheme="minorHAnsi" w:hAnsiTheme="minorHAnsi" w:cs="Arial"/>
          <w:snapToGrid w:val="0"/>
          <w:lang w:val="en-GB"/>
        </w:rPr>
        <w:t xml:space="preserve"> the </w:t>
      </w:r>
      <w:r w:rsidR="008E2281">
        <w:rPr>
          <w:rFonts w:asciiTheme="minorHAnsi" w:hAnsiTheme="minorHAnsi" w:cs="Arial"/>
          <w:snapToGrid w:val="0"/>
          <w:lang w:val="en-GB"/>
        </w:rPr>
        <w:t xml:space="preserve">proposed </w:t>
      </w:r>
      <w:r>
        <w:rPr>
          <w:rFonts w:asciiTheme="minorHAnsi" w:hAnsiTheme="minorHAnsi" w:cs="Arial"/>
          <w:snapToGrid w:val="0"/>
          <w:lang w:val="en-GB"/>
        </w:rPr>
        <w:t>clinical place</w:t>
      </w:r>
      <w:r w:rsidR="0036184B">
        <w:rPr>
          <w:rFonts w:asciiTheme="minorHAnsi" w:hAnsiTheme="minorHAnsi" w:cs="Arial"/>
          <w:snapToGrid w:val="0"/>
          <w:lang w:val="en-GB"/>
        </w:rPr>
        <w:t xml:space="preserve"> in therapy</w:t>
      </w:r>
      <w:r>
        <w:rPr>
          <w:rFonts w:asciiTheme="minorHAnsi" w:hAnsiTheme="minorHAnsi" w:cs="Arial"/>
          <w:snapToGrid w:val="0"/>
          <w:lang w:val="en-GB"/>
        </w:rPr>
        <w:t xml:space="preserve"> for </w:t>
      </w:r>
      <w:r w:rsidR="00A615AA">
        <w:rPr>
          <w:rFonts w:asciiTheme="minorHAnsi" w:hAnsiTheme="minorHAnsi" w:cs="Arial"/>
          <w:snapToGrid w:val="0"/>
          <w:lang w:val="en-GB"/>
        </w:rPr>
        <w:t>faricimab</w:t>
      </w:r>
      <w:r w:rsidR="0036184B">
        <w:rPr>
          <w:rFonts w:asciiTheme="minorHAnsi" w:hAnsiTheme="minorHAnsi" w:cs="Arial"/>
          <w:snapToGrid w:val="0"/>
          <w:lang w:val="en-GB"/>
        </w:rPr>
        <w:t xml:space="preserve"> </w:t>
      </w:r>
      <w:r>
        <w:rPr>
          <w:rFonts w:asciiTheme="minorHAnsi" w:hAnsiTheme="minorHAnsi" w:cs="Arial"/>
          <w:snapToGrid w:val="0"/>
          <w:lang w:val="en-GB"/>
        </w:rPr>
        <w:t xml:space="preserve">as an alternative treatment option </w:t>
      </w:r>
      <w:r w:rsidR="0036184B">
        <w:rPr>
          <w:rFonts w:asciiTheme="minorHAnsi" w:hAnsiTheme="minorHAnsi" w:cs="Arial"/>
          <w:snapToGrid w:val="0"/>
          <w:lang w:val="en-GB"/>
        </w:rPr>
        <w:t>to</w:t>
      </w:r>
      <w:r>
        <w:rPr>
          <w:rFonts w:asciiTheme="minorHAnsi" w:hAnsiTheme="minorHAnsi" w:cs="Arial"/>
          <w:snapToGrid w:val="0"/>
          <w:lang w:val="en-GB"/>
        </w:rPr>
        <w:t xml:space="preserve"> the currently listed anti-VEGF therapies for RVO</w:t>
      </w:r>
      <w:r w:rsidR="008E2281">
        <w:rPr>
          <w:rFonts w:asciiTheme="minorHAnsi" w:hAnsiTheme="minorHAnsi" w:cs="Arial"/>
          <w:snapToGrid w:val="0"/>
          <w:lang w:val="en-GB"/>
        </w:rPr>
        <w:t xml:space="preserve"> was reasonable</w:t>
      </w:r>
      <w:r>
        <w:rPr>
          <w:rFonts w:asciiTheme="minorHAnsi" w:hAnsiTheme="minorHAnsi" w:cs="Arial"/>
          <w:snapToGrid w:val="0"/>
          <w:lang w:val="en-GB"/>
        </w:rPr>
        <w:t xml:space="preserve">. </w:t>
      </w:r>
      <w:r w:rsidR="008E2281" w:rsidRPr="00AF1481">
        <w:rPr>
          <w:rFonts w:asciiTheme="minorHAnsi" w:hAnsiTheme="minorHAnsi"/>
          <w:snapToGrid w:val="0"/>
          <w:lang w:eastAsia="en-US"/>
        </w:rPr>
        <w:t>The PBAC considered the nominated comparator of aflibercept 2</w:t>
      </w:r>
      <w:r w:rsidR="00265C4A">
        <w:rPr>
          <w:rFonts w:asciiTheme="minorHAnsi" w:hAnsiTheme="minorHAnsi"/>
          <w:snapToGrid w:val="0"/>
          <w:lang w:eastAsia="en-US"/>
        </w:rPr>
        <w:t> </w:t>
      </w:r>
      <w:r w:rsidR="008E2281" w:rsidRPr="00AF1481">
        <w:rPr>
          <w:rFonts w:asciiTheme="minorHAnsi" w:hAnsiTheme="minorHAnsi"/>
          <w:snapToGrid w:val="0"/>
          <w:lang w:eastAsia="en-US"/>
        </w:rPr>
        <w:t>mg was appropriate and noted that ranibizumab w</w:t>
      </w:r>
      <w:r w:rsidR="008E2281">
        <w:rPr>
          <w:rFonts w:asciiTheme="minorHAnsi" w:hAnsiTheme="minorHAnsi"/>
          <w:snapToGrid w:val="0"/>
          <w:lang w:eastAsia="en-US"/>
        </w:rPr>
        <w:t>as</w:t>
      </w:r>
      <w:r w:rsidR="008E2281" w:rsidRPr="00AF1481">
        <w:rPr>
          <w:rFonts w:asciiTheme="minorHAnsi" w:hAnsiTheme="minorHAnsi"/>
          <w:snapToGrid w:val="0"/>
          <w:lang w:eastAsia="en-US"/>
        </w:rPr>
        <w:t xml:space="preserve"> </w:t>
      </w:r>
      <w:r w:rsidR="008E2281">
        <w:rPr>
          <w:rFonts w:asciiTheme="minorHAnsi" w:hAnsiTheme="minorHAnsi"/>
          <w:snapToGrid w:val="0"/>
          <w:lang w:eastAsia="en-US"/>
        </w:rPr>
        <w:t xml:space="preserve">also </w:t>
      </w:r>
      <w:r w:rsidR="008E2281" w:rsidRPr="00AF1481">
        <w:rPr>
          <w:rFonts w:asciiTheme="minorHAnsi" w:hAnsiTheme="minorHAnsi"/>
          <w:snapToGrid w:val="0"/>
          <w:lang w:eastAsia="en-US"/>
        </w:rPr>
        <w:t>a</w:t>
      </w:r>
      <w:r w:rsidR="008E2281">
        <w:rPr>
          <w:rFonts w:asciiTheme="minorHAnsi" w:hAnsiTheme="minorHAnsi"/>
          <w:snapToGrid w:val="0"/>
          <w:lang w:eastAsia="en-US"/>
        </w:rPr>
        <w:t>n</w:t>
      </w:r>
      <w:r w:rsidR="008E2281" w:rsidRPr="00AF1481">
        <w:rPr>
          <w:rFonts w:asciiTheme="minorHAnsi" w:hAnsiTheme="minorHAnsi"/>
          <w:snapToGrid w:val="0"/>
          <w:lang w:eastAsia="en-US"/>
        </w:rPr>
        <w:t xml:space="preserve"> alternative therap</w:t>
      </w:r>
      <w:r w:rsidR="008E2281">
        <w:rPr>
          <w:rFonts w:asciiTheme="minorHAnsi" w:hAnsiTheme="minorHAnsi"/>
          <w:snapToGrid w:val="0"/>
          <w:lang w:eastAsia="en-US"/>
        </w:rPr>
        <w:t>y</w:t>
      </w:r>
      <w:r w:rsidR="008E2281" w:rsidRPr="00AF1481">
        <w:rPr>
          <w:rFonts w:asciiTheme="minorHAnsi" w:hAnsiTheme="minorHAnsi"/>
          <w:snapToGrid w:val="0"/>
          <w:lang w:eastAsia="en-US"/>
        </w:rPr>
        <w:t xml:space="preserve"> as</w:t>
      </w:r>
      <w:r w:rsidR="008E2281">
        <w:rPr>
          <w:rFonts w:asciiTheme="minorHAnsi" w:hAnsiTheme="minorHAnsi"/>
          <w:snapToGrid w:val="0"/>
          <w:lang w:eastAsia="en-US"/>
        </w:rPr>
        <w:t xml:space="preserve"> it</w:t>
      </w:r>
      <w:r w:rsidR="008E2281" w:rsidRPr="00AF1481">
        <w:rPr>
          <w:rFonts w:asciiTheme="minorHAnsi" w:hAnsiTheme="minorHAnsi"/>
          <w:snapToGrid w:val="0"/>
          <w:lang w:eastAsia="en-US"/>
        </w:rPr>
        <w:t xml:space="preserve"> could be replaced in clinical practice.</w:t>
      </w:r>
    </w:p>
    <w:p w14:paraId="42F479E6" w14:textId="062F3110" w:rsidR="00D77239" w:rsidRPr="00244767" w:rsidRDefault="00752548" w:rsidP="00244767">
      <w:pPr>
        <w:pStyle w:val="3-BodyText"/>
        <w:rPr>
          <w:rFonts w:eastAsia="Calibri"/>
        </w:rPr>
      </w:pPr>
      <w:r w:rsidRPr="00E64653">
        <w:rPr>
          <w:iCs/>
        </w:rPr>
        <w:t>T</w:t>
      </w:r>
      <w:r w:rsidR="006568CD" w:rsidRPr="00E64653">
        <w:rPr>
          <w:iCs/>
        </w:rPr>
        <w:t>he</w:t>
      </w:r>
      <w:r w:rsidR="006568CD" w:rsidRPr="00E64653">
        <w:rPr>
          <w:szCs w:val="20"/>
        </w:rPr>
        <w:t xml:space="preserve"> PBAC considered that the claim of non-inferior effectiveness</w:t>
      </w:r>
      <w:r w:rsidR="00E64653" w:rsidRPr="00E64653">
        <w:rPr>
          <w:szCs w:val="20"/>
        </w:rPr>
        <w:t xml:space="preserve"> of faricimab</w:t>
      </w:r>
      <w:r w:rsidRPr="00E64653">
        <w:rPr>
          <w:szCs w:val="20"/>
        </w:rPr>
        <w:t xml:space="preserve"> compared to aflibercept</w:t>
      </w:r>
      <w:r w:rsidR="006568CD" w:rsidRPr="00E64653">
        <w:rPr>
          <w:szCs w:val="20"/>
        </w:rPr>
        <w:t xml:space="preserve"> was adequately demonstrated, with no </w:t>
      </w:r>
      <w:r w:rsidR="00C34998">
        <w:rPr>
          <w:szCs w:val="20"/>
        </w:rPr>
        <w:t>evident</w:t>
      </w:r>
      <w:r w:rsidR="006568CD" w:rsidRPr="00E64653">
        <w:rPr>
          <w:szCs w:val="20"/>
        </w:rPr>
        <w:t xml:space="preserve"> safety signal</w:t>
      </w:r>
      <w:r w:rsidRPr="00E64653">
        <w:rPr>
          <w:szCs w:val="20"/>
        </w:rPr>
        <w:t>.</w:t>
      </w:r>
      <w:r w:rsidR="00E64653" w:rsidRPr="00E64653">
        <w:rPr>
          <w:szCs w:val="20"/>
        </w:rPr>
        <w:t xml:space="preserve"> </w:t>
      </w:r>
      <w:r w:rsidR="00F70E06">
        <w:rPr>
          <w:szCs w:val="20"/>
        </w:rPr>
        <w:t>T</w:t>
      </w:r>
      <w:r w:rsidR="00E64653" w:rsidRPr="00E64653">
        <w:t xml:space="preserve">he PBAC noted </w:t>
      </w:r>
      <w:r w:rsidR="006568CD" w:rsidRPr="00E64653">
        <w:rPr>
          <w:szCs w:val="20"/>
        </w:rPr>
        <w:t>that the BALATON and COMINO trials</w:t>
      </w:r>
      <w:r w:rsidR="008E2281">
        <w:rPr>
          <w:szCs w:val="20"/>
        </w:rPr>
        <w:t xml:space="preserve"> only</w:t>
      </w:r>
      <w:r w:rsidR="006568CD" w:rsidRPr="00E64653">
        <w:rPr>
          <w:szCs w:val="20"/>
        </w:rPr>
        <w:t xml:space="preserve"> provided direct trial evidence for faricimab versus aflibercept up to 24 weeks </w:t>
      </w:r>
      <w:r w:rsidRPr="00E64653">
        <w:rPr>
          <w:szCs w:val="20"/>
        </w:rPr>
        <w:t xml:space="preserve">and the </w:t>
      </w:r>
      <w:r w:rsidRPr="00E64653">
        <w:t xml:space="preserve">BCVA gains achieved at Week 24 were maintained through Week 72 during the period where all patients received faricimab using a </w:t>
      </w:r>
      <w:r w:rsidR="00F70E06">
        <w:t>treat and extend (</w:t>
      </w:r>
      <w:r w:rsidRPr="00E64653">
        <w:t>T&amp;E</w:t>
      </w:r>
      <w:r w:rsidR="00F70E06">
        <w:t>)</w:t>
      </w:r>
      <w:r w:rsidRPr="00E64653">
        <w:t xml:space="preserve"> approach.</w:t>
      </w:r>
    </w:p>
    <w:p w14:paraId="1C3E57E7" w14:textId="204F1FF5" w:rsidR="0003048B" w:rsidRPr="00D21CAF" w:rsidRDefault="00E71294" w:rsidP="00D21CAF">
      <w:pPr>
        <w:widowControl w:val="0"/>
        <w:numPr>
          <w:ilvl w:val="1"/>
          <w:numId w:val="1"/>
        </w:numPr>
        <w:spacing w:after="120"/>
        <w:jc w:val="both"/>
        <w:rPr>
          <w:rFonts w:asciiTheme="minorHAnsi" w:hAnsiTheme="minorHAnsi" w:cs="Arial"/>
          <w:snapToGrid w:val="0"/>
          <w:lang w:val="en-GB"/>
        </w:rPr>
      </w:pPr>
      <w:r w:rsidRPr="00E71294">
        <w:rPr>
          <w:rFonts w:asciiTheme="minorHAnsi" w:hAnsiTheme="minorHAnsi" w:cs="Arial"/>
          <w:snapToGrid w:val="0"/>
          <w:lang w:val="en-GB"/>
        </w:rPr>
        <w:t>The PBAC noted the dosing relativity of 1:1 was based on 24</w:t>
      </w:r>
      <w:r>
        <w:rPr>
          <w:rFonts w:asciiTheme="minorHAnsi" w:hAnsiTheme="minorHAnsi" w:cs="Arial"/>
          <w:snapToGrid w:val="0"/>
          <w:lang w:val="en-GB"/>
        </w:rPr>
        <w:t>-</w:t>
      </w:r>
      <w:r w:rsidRPr="00E71294">
        <w:rPr>
          <w:rFonts w:asciiTheme="minorHAnsi" w:hAnsiTheme="minorHAnsi" w:cs="Arial"/>
          <w:snapToGrid w:val="0"/>
          <w:lang w:val="en-GB"/>
        </w:rPr>
        <w:t xml:space="preserve">week </w:t>
      </w:r>
      <w:r w:rsidR="00F70E06">
        <w:rPr>
          <w:rFonts w:asciiTheme="minorHAnsi" w:hAnsiTheme="minorHAnsi" w:cs="Arial"/>
          <w:snapToGrid w:val="0"/>
          <w:lang w:val="en-GB"/>
        </w:rPr>
        <w:t xml:space="preserve">randomised controlled trial </w:t>
      </w:r>
      <w:r>
        <w:rPr>
          <w:rFonts w:asciiTheme="minorHAnsi" w:hAnsiTheme="minorHAnsi" w:cs="Arial"/>
          <w:snapToGrid w:val="0"/>
          <w:lang w:val="en-GB"/>
        </w:rPr>
        <w:t xml:space="preserve">data </w:t>
      </w:r>
      <w:r w:rsidR="00F70E06">
        <w:rPr>
          <w:rFonts w:asciiTheme="minorHAnsi" w:hAnsiTheme="minorHAnsi" w:cs="Arial"/>
          <w:snapToGrid w:val="0"/>
          <w:lang w:val="en-GB"/>
        </w:rPr>
        <w:t xml:space="preserve">(from </w:t>
      </w:r>
      <w:r w:rsidR="00E42387">
        <w:rPr>
          <w:rFonts w:asciiTheme="minorHAnsi" w:hAnsiTheme="minorHAnsi" w:cs="Arial"/>
          <w:snapToGrid w:val="0"/>
          <w:lang w:val="en-GB"/>
        </w:rPr>
        <w:t>BALATON and COMINO</w:t>
      </w:r>
      <w:r w:rsidR="00F70E06">
        <w:rPr>
          <w:rFonts w:asciiTheme="minorHAnsi" w:hAnsiTheme="minorHAnsi" w:cs="Arial"/>
          <w:snapToGrid w:val="0"/>
          <w:lang w:val="en-GB"/>
        </w:rPr>
        <w:t>)</w:t>
      </w:r>
      <w:r w:rsidR="003B0E38">
        <w:rPr>
          <w:rFonts w:asciiTheme="minorHAnsi" w:hAnsiTheme="minorHAnsi" w:cs="Arial"/>
          <w:snapToGrid w:val="0"/>
          <w:lang w:val="en-GB"/>
        </w:rPr>
        <w:t>,</w:t>
      </w:r>
      <w:r>
        <w:rPr>
          <w:rFonts w:asciiTheme="minorHAnsi" w:hAnsiTheme="minorHAnsi" w:cs="Arial"/>
          <w:snapToGrid w:val="0"/>
          <w:lang w:val="en-GB"/>
        </w:rPr>
        <w:t xml:space="preserve"> </w:t>
      </w:r>
      <w:r w:rsidR="00E42387">
        <w:rPr>
          <w:rFonts w:asciiTheme="minorHAnsi" w:hAnsiTheme="minorHAnsi" w:cs="Arial"/>
          <w:snapToGrid w:val="0"/>
          <w:lang w:val="en-GB"/>
        </w:rPr>
        <w:t>which</w:t>
      </w:r>
      <w:r w:rsidRPr="00E71294">
        <w:rPr>
          <w:rFonts w:asciiTheme="minorHAnsi" w:hAnsiTheme="minorHAnsi" w:cs="Arial"/>
          <w:snapToGrid w:val="0"/>
          <w:lang w:val="en-GB"/>
        </w:rPr>
        <w:t xml:space="preserve"> does not reflect how either </w:t>
      </w:r>
      <w:r w:rsidR="00E42387">
        <w:rPr>
          <w:rFonts w:asciiTheme="minorHAnsi" w:hAnsiTheme="minorHAnsi" w:cs="Arial"/>
          <w:snapToGrid w:val="0"/>
          <w:lang w:val="en-GB"/>
        </w:rPr>
        <w:t>faricimab or aflibercept will be</w:t>
      </w:r>
      <w:r w:rsidRPr="00E71294">
        <w:rPr>
          <w:rFonts w:asciiTheme="minorHAnsi" w:hAnsiTheme="minorHAnsi" w:cs="Arial"/>
          <w:snapToGrid w:val="0"/>
          <w:lang w:val="en-GB"/>
        </w:rPr>
        <w:t xml:space="preserve"> used in clinical practi</w:t>
      </w:r>
      <w:r>
        <w:rPr>
          <w:rFonts w:asciiTheme="minorHAnsi" w:hAnsiTheme="minorHAnsi" w:cs="Arial"/>
          <w:snapToGrid w:val="0"/>
          <w:lang w:val="en-GB"/>
        </w:rPr>
        <w:t>c</w:t>
      </w:r>
      <w:r w:rsidRPr="00E71294">
        <w:rPr>
          <w:rFonts w:asciiTheme="minorHAnsi" w:hAnsiTheme="minorHAnsi" w:cs="Arial"/>
          <w:snapToGrid w:val="0"/>
          <w:lang w:val="en-GB"/>
        </w:rPr>
        <w:t>e (para</w:t>
      </w:r>
      <w:r w:rsidR="003B0E38">
        <w:rPr>
          <w:rFonts w:asciiTheme="minorHAnsi" w:hAnsiTheme="minorHAnsi" w:cs="Arial"/>
          <w:snapToGrid w:val="0"/>
          <w:lang w:val="en-GB"/>
        </w:rPr>
        <w:t>graph</w:t>
      </w:r>
      <w:r w:rsidRPr="00E71294">
        <w:rPr>
          <w:rFonts w:asciiTheme="minorHAnsi" w:hAnsiTheme="minorHAnsi" w:cs="Arial"/>
          <w:snapToGrid w:val="0"/>
          <w:lang w:val="en-GB"/>
        </w:rPr>
        <w:t xml:space="preserve"> 6.8)</w:t>
      </w:r>
      <w:r w:rsidR="003B0E38">
        <w:rPr>
          <w:rFonts w:asciiTheme="minorHAnsi" w:hAnsiTheme="minorHAnsi" w:cs="Arial"/>
          <w:snapToGrid w:val="0"/>
          <w:lang w:val="en-GB"/>
        </w:rPr>
        <w:t>,</w:t>
      </w:r>
      <w:r w:rsidRPr="00E71294">
        <w:rPr>
          <w:rFonts w:asciiTheme="minorHAnsi" w:hAnsiTheme="minorHAnsi" w:cs="Arial"/>
          <w:snapToGrid w:val="0"/>
          <w:lang w:val="en-GB"/>
        </w:rPr>
        <w:t xml:space="preserve"> and </w:t>
      </w:r>
      <w:r>
        <w:rPr>
          <w:rFonts w:asciiTheme="minorHAnsi" w:hAnsiTheme="minorHAnsi" w:cs="Arial"/>
          <w:snapToGrid w:val="0"/>
          <w:lang w:val="en-GB"/>
        </w:rPr>
        <w:t xml:space="preserve">that </w:t>
      </w:r>
      <w:r w:rsidRPr="00E71294">
        <w:rPr>
          <w:rFonts w:asciiTheme="minorHAnsi" w:hAnsiTheme="minorHAnsi" w:cs="Arial"/>
          <w:snapToGrid w:val="0"/>
          <w:lang w:val="en-GB"/>
        </w:rPr>
        <w:t xml:space="preserve">no comparative data </w:t>
      </w:r>
      <w:r w:rsidR="00F70E06">
        <w:rPr>
          <w:rFonts w:asciiTheme="minorHAnsi" w:hAnsiTheme="minorHAnsi" w:cs="Arial"/>
          <w:snapToGrid w:val="0"/>
          <w:lang w:val="en-GB"/>
        </w:rPr>
        <w:t xml:space="preserve">is </w:t>
      </w:r>
      <w:r w:rsidRPr="00E71294">
        <w:rPr>
          <w:rFonts w:asciiTheme="minorHAnsi" w:hAnsiTheme="minorHAnsi" w:cs="Arial"/>
          <w:snapToGrid w:val="0"/>
          <w:lang w:val="en-GB"/>
        </w:rPr>
        <w:t xml:space="preserve">available </w:t>
      </w:r>
      <w:r w:rsidR="003B0E38">
        <w:rPr>
          <w:rFonts w:asciiTheme="minorHAnsi" w:hAnsiTheme="minorHAnsi" w:cs="Arial"/>
          <w:snapToGrid w:val="0"/>
          <w:lang w:val="en-GB"/>
        </w:rPr>
        <w:t xml:space="preserve">to inform the dosing relativity based on a </w:t>
      </w:r>
      <w:r w:rsidR="00F70E06">
        <w:rPr>
          <w:rFonts w:asciiTheme="minorHAnsi" w:hAnsiTheme="minorHAnsi" w:cs="Arial"/>
          <w:snapToGrid w:val="0"/>
          <w:lang w:val="en-GB"/>
        </w:rPr>
        <w:t>T&amp;E</w:t>
      </w:r>
      <w:r w:rsidRPr="00E71294">
        <w:rPr>
          <w:rFonts w:asciiTheme="minorHAnsi" w:hAnsiTheme="minorHAnsi" w:cs="Arial"/>
          <w:snapToGrid w:val="0"/>
          <w:lang w:val="en-GB"/>
        </w:rPr>
        <w:t xml:space="preserve"> </w:t>
      </w:r>
      <w:r w:rsidR="003B0E38">
        <w:rPr>
          <w:rFonts w:asciiTheme="minorHAnsi" w:hAnsiTheme="minorHAnsi" w:cs="Arial"/>
          <w:snapToGrid w:val="0"/>
          <w:lang w:val="en-GB"/>
        </w:rPr>
        <w:t>approach</w:t>
      </w:r>
      <w:r w:rsidRPr="00E71294">
        <w:rPr>
          <w:rFonts w:asciiTheme="minorHAnsi" w:hAnsiTheme="minorHAnsi" w:cs="Arial"/>
          <w:snapToGrid w:val="0"/>
          <w:lang w:val="en-GB"/>
        </w:rPr>
        <w:t xml:space="preserve"> (para</w:t>
      </w:r>
      <w:r w:rsidR="003B0E38">
        <w:rPr>
          <w:rFonts w:asciiTheme="minorHAnsi" w:hAnsiTheme="minorHAnsi" w:cs="Arial"/>
          <w:snapToGrid w:val="0"/>
          <w:lang w:val="en-GB"/>
        </w:rPr>
        <w:t>graph</w:t>
      </w:r>
      <w:r w:rsidRPr="00E71294">
        <w:rPr>
          <w:rFonts w:asciiTheme="minorHAnsi" w:hAnsiTheme="minorHAnsi" w:cs="Arial"/>
          <w:snapToGrid w:val="0"/>
          <w:lang w:val="en-GB"/>
        </w:rPr>
        <w:t xml:space="preserve"> 6.15). The PBAC noted there were uncertainties regarding the appropriate dose relativity but considered that, on balance, 1:1 was likely to be conservative. </w:t>
      </w:r>
    </w:p>
    <w:p w14:paraId="11AAEEC8" w14:textId="0E8E1623" w:rsidR="00873784" w:rsidRPr="002E4276" w:rsidRDefault="0003048B" w:rsidP="002E4276">
      <w:pPr>
        <w:widowControl w:val="0"/>
        <w:numPr>
          <w:ilvl w:val="1"/>
          <w:numId w:val="1"/>
        </w:numPr>
        <w:spacing w:after="120"/>
        <w:jc w:val="both"/>
        <w:rPr>
          <w:rFonts w:asciiTheme="minorHAnsi" w:hAnsiTheme="minorHAnsi" w:cs="Arial"/>
          <w:snapToGrid w:val="0"/>
          <w:lang w:val="en-GB"/>
        </w:rPr>
      </w:pPr>
      <w:r w:rsidRPr="0003048B">
        <w:rPr>
          <w:rFonts w:asciiTheme="minorHAnsi" w:hAnsiTheme="minorHAnsi" w:cs="Arial"/>
          <w:snapToGrid w:val="0"/>
          <w:lang w:val="en-GB"/>
        </w:rPr>
        <w:t>The PBAC noted the submission did not provide any evidence that faricimab provides a significant improvement in efficacy or reduction of toxicity over the alternative</w:t>
      </w:r>
      <w:r>
        <w:rPr>
          <w:rFonts w:asciiTheme="minorHAnsi" w:hAnsiTheme="minorHAnsi" w:cs="Arial"/>
          <w:snapToGrid w:val="0"/>
          <w:lang w:val="en-GB"/>
        </w:rPr>
        <w:t xml:space="preserve"> anti-VEGF</w:t>
      </w:r>
      <w:r w:rsidRPr="0003048B">
        <w:rPr>
          <w:rFonts w:asciiTheme="minorHAnsi" w:hAnsiTheme="minorHAnsi" w:cs="Arial"/>
          <w:snapToGrid w:val="0"/>
          <w:lang w:val="en-GB"/>
        </w:rPr>
        <w:t xml:space="preserve"> therapies</w:t>
      </w:r>
      <w:r>
        <w:rPr>
          <w:rFonts w:asciiTheme="minorHAnsi" w:hAnsiTheme="minorHAnsi" w:cs="Arial"/>
          <w:snapToGrid w:val="0"/>
          <w:lang w:val="en-GB"/>
        </w:rPr>
        <w:t>, aflibercept and ranibizumab</w:t>
      </w:r>
      <w:r w:rsidRPr="0003048B">
        <w:rPr>
          <w:rFonts w:asciiTheme="minorHAnsi" w:hAnsiTheme="minorHAnsi" w:cs="Arial"/>
          <w:snapToGrid w:val="0"/>
          <w:lang w:val="en-GB"/>
        </w:rPr>
        <w:t>.</w:t>
      </w:r>
      <w:r>
        <w:rPr>
          <w:rFonts w:asciiTheme="minorHAnsi" w:hAnsiTheme="minorHAnsi" w:cs="Arial"/>
          <w:snapToGrid w:val="0"/>
          <w:lang w:val="en-GB"/>
        </w:rPr>
        <w:t xml:space="preserve"> </w:t>
      </w:r>
      <w:r w:rsidR="00600728" w:rsidRPr="00600728">
        <w:rPr>
          <w:rFonts w:asciiTheme="minorHAnsi" w:hAnsiTheme="minorHAnsi" w:cs="Arial"/>
          <w:snapToGrid w:val="0"/>
          <w:lang w:val="en-GB"/>
        </w:rPr>
        <w:t>The PBAC noted that it previously accepted non-inferiority between aflibercept (2 mg injection) and ranibizumab (0.5</w:t>
      </w:r>
      <w:r w:rsidR="00600728">
        <w:rPr>
          <w:rFonts w:asciiTheme="minorHAnsi" w:hAnsiTheme="minorHAnsi" w:cs="Arial"/>
          <w:snapToGrid w:val="0"/>
          <w:lang w:val="en-GB"/>
        </w:rPr>
        <w:t> </w:t>
      </w:r>
      <w:r w:rsidR="00600728" w:rsidRPr="00600728">
        <w:rPr>
          <w:rFonts w:asciiTheme="minorHAnsi" w:hAnsiTheme="minorHAnsi" w:cs="Arial"/>
          <w:snapToGrid w:val="0"/>
          <w:lang w:val="en-GB"/>
        </w:rPr>
        <w:t>mg injection)</w:t>
      </w:r>
      <w:r>
        <w:rPr>
          <w:rFonts w:asciiTheme="minorHAnsi" w:hAnsiTheme="minorHAnsi" w:cs="Arial"/>
          <w:snapToGrid w:val="0"/>
          <w:lang w:val="en-GB"/>
        </w:rPr>
        <w:t xml:space="preserve"> for RVO</w:t>
      </w:r>
      <w:r w:rsidR="00600728" w:rsidRPr="00600728">
        <w:rPr>
          <w:rFonts w:asciiTheme="minorHAnsi" w:hAnsiTheme="minorHAnsi" w:cs="Arial"/>
          <w:snapToGrid w:val="0"/>
          <w:lang w:val="en-GB"/>
        </w:rPr>
        <w:t xml:space="preserve"> </w:t>
      </w:r>
      <w:proofErr w:type="gramStart"/>
      <w:r w:rsidR="00600728" w:rsidRPr="00600728">
        <w:rPr>
          <w:rFonts w:asciiTheme="minorHAnsi" w:hAnsiTheme="minorHAnsi" w:cs="Arial"/>
          <w:snapToGrid w:val="0"/>
          <w:lang w:val="en-GB"/>
        </w:rPr>
        <w:t>on the basis of</w:t>
      </w:r>
      <w:proofErr w:type="gramEnd"/>
      <w:r w:rsidR="00600728" w:rsidRPr="00600728">
        <w:rPr>
          <w:rFonts w:asciiTheme="minorHAnsi" w:hAnsiTheme="minorHAnsi" w:cs="Arial"/>
          <w:snapToGrid w:val="0"/>
          <w:lang w:val="en-GB"/>
        </w:rPr>
        <w:t xml:space="preserve"> 1:1 dose relativity.</w:t>
      </w:r>
      <w:r>
        <w:rPr>
          <w:rFonts w:asciiTheme="minorHAnsi" w:hAnsiTheme="minorHAnsi" w:cs="Arial"/>
          <w:snapToGrid w:val="0"/>
          <w:lang w:val="en-GB"/>
        </w:rPr>
        <w:t xml:space="preserve"> The PBAC considered that</w:t>
      </w:r>
      <w:r w:rsidRPr="008E2281">
        <w:rPr>
          <w:rFonts w:asciiTheme="minorHAnsi" w:hAnsiTheme="minorHAnsi" w:cs="Arial"/>
          <w:snapToGrid w:val="0"/>
          <w:lang w:val="en-GB"/>
        </w:rPr>
        <w:t xml:space="preserve"> faricimab would be cost-effective </w:t>
      </w:r>
      <w:r w:rsidR="008E2281" w:rsidRPr="008E2281">
        <w:rPr>
          <w:rFonts w:asciiTheme="minorHAnsi" w:hAnsiTheme="minorHAnsi" w:cs="Arial"/>
          <w:snapToGrid w:val="0"/>
          <w:lang w:val="en-GB"/>
        </w:rPr>
        <w:t xml:space="preserve">if it were cost-minimised to the lowest cost </w:t>
      </w:r>
      <w:r w:rsidR="006F7825">
        <w:rPr>
          <w:rFonts w:asciiTheme="minorHAnsi" w:hAnsiTheme="minorHAnsi" w:cs="Arial"/>
          <w:snapToGrid w:val="0"/>
          <w:lang w:val="en-GB"/>
        </w:rPr>
        <w:t>alternative</w:t>
      </w:r>
      <w:r w:rsidR="008E2281" w:rsidRPr="008E2281">
        <w:rPr>
          <w:rFonts w:asciiTheme="minorHAnsi" w:hAnsiTheme="minorHAnsi" w:cs="Arial"/>
          <w:snapToGrid w:val="0"/>
          <w:lang w:val="en-GB"/>
        </w:rPr>
        <w:t xml:space="preserve"> anti-VEGF treatment for</w:t>
      </w:r>
      <w:r w:rsidR="006F7825">
        <w:rPr>
          <w:rFonts w:asciiTheme="minorHAnsi" w:hAnsiTheme="minorHAnsi" w:cs="Arial"/>
          <w:snapToGrid w:val="0"/>
          <w:lang w:val="en-GB"/>
        </w:rPr>
        <w:t xml:space="preserve"> RVO</w:t>
      </w:r>
      <w:r w:rsidR="008E2281" w:rsidRPr="008E2281">
        <w:rPr>
          <w:rFonts w:asciiTheme="minorHAnsi" w:hAnsiTheme="minorHAnsi" w:cs="Arial"/>
          <w:snapToGrid w:val="0"/>
          <w:lang w:val="en-GB"/>
        </w:rPr>
        <w:t>.</w:t>
      </w:r>
      <w:r w:rsidR="008E2281">
        <w:rPr>
          <w:rFonts w:asciiTheme="minorHAnsi" w:hAnsiTheme="minorHAnsi" w:cs="Arial"/>
          <w:snapToGrid w:val="0"/>
          <w:lang w:val="en-GB"/>
        </w:rPr>
        <w:t xml:space="preserve"> </w:t>
      </w:r>
    </w:p>
    <w:p w14:paraId="5BE23994" w14:textId="3763CF21" w:rsidR="002E0D30" w:rsidRPr="00CE42B4" w:rsidRDefault="002E0D30" w:rsidP="00873784">
      <w:pPr>
        <w:widowControl w:val="0"/>
        <w:numPr>
          <w:ilvl w:val="1"/>
          <w:numId w:val="1"/>
        </w:numPr>
        <w:spacing w:after="120"/>
        <w:jc w:val="both"/>
      </w:pPr>
      <w:r>
        <w:rPr>
          <w:rFonts w:asciiTheme="minorHAnsi" w:hAnsiTheme="minorHAnsi" w:cs="Arial"/>
          <w:snapToGrid w:val="0"/>
          <w:lang w:val="en-GB"/>
        </w:rPr>
        <w:t>The PBAC accepted the market share approach to estimate the cost neutral financial impact of listing faricimab on the PBS for RVO. The PBAC considered that it would be unlikely for faricimab to require more doses than aflibercept,</w:t>
      </w:r>
      <w:r w:rsidR="00CD3DCE">
        <w:rPr>
          <w:rFonts w:asciiTheme="minorHAnsi" w:hAnsiTheme="minorHAnsi" w:cs="Arial"/>
          <w:snapToGrid w:val="0"/>
          <w:lang w:val="en-GB"/>
        </w:rPr>
        <w:t xml:space="preserve"> and unlikely for </w:t>
      </w:r>
      <w:r w:rsidR="00F3641E">
        <w:rPr>
          <w:rFonts w:asciiTheme="minorHAnsi" w:hAnsiTheme="minorHAnsi" w:cs="Arial"/>
          <w:snapToGrid w:val="0"/>
          <w:lang w:val="en-GB"/>
        </w:rPr>
        <w:t xml:space="preserve">PBS listing to </w:t>
      </w:r>
      <w:r w:rsidR="00CD3DCE">
        <w:rPr>
          <w:rFonts w:asciiTheme="minorHAnsi" w:hAnsiTheme="minorHAnsi" w:cs="Arial"/>
          <w:snapToGrid w:val="0"/>
          <w:lang w:val="en-GB"/>
        </w:rPr>
        <w:t xml:space="preserve">increase market growth in </w:t>
      </w:r>
      <w:r w:rsidR="002E4276">
        <w:rPr>
          <w:rFonts w:asciiTheme="minorHAnsi" w:hAnsiTheme="minorHAnsi" w:cs="Arial"/>
          <w:snapToGrid w:val="0"/>
          <w:lang w:val="en-GB"/>
        </w:rPr>
        <w:t>RVO. The PBAC noted that the patients who may switch from aflibercept (or ranibizumab) to faricimab would likely be on frequent (monthly) dosing, and therefore would not incur a cost to government in terms of the additional monthly loading doses involved in switching.</w:t>
      </w:r>
    </w:p>
    <w:p w14:paraId="14F6ABB2" w14:textId="24162C28" w:rsidR="006568CD" w:rsidRPr="00920FB0" w:rsidRDefault="004950EA" w:rsidP="006568CD">
      <w:pPr>
        <w:pStyle w:val="3-BodyText"/>
        <w:rPr>
          <w:lang w:val="en-GB"/>
        </w:rPr>
      </w:pPr>
      <w:r w:rsidRPr="00920FB0">
        <w:rPr>
          <w:rFonts w:ascii="Calibri" w:hAnsi="Calibri" w:cs="Calibri"/>
        </w:rPr>
        <w:t xml:space="preserve">The PBAC recommended </w:t>
      </w:r>
      <w:r w:rsidR="00920FB0" w:rsidRPr="00920FB0">
        <w:rPr>
          <w:rFonts w:ascii="Calibri" w:hAnsi="Calibri" w:cs="Calibri"/>
        </w:rPr>
        <w:t xml:space="preserve">that </w:t>
      </w:r>
      <w:r w:rsidRPr="00920FB0">
        <w:rPr>
          <w:rFonts w:ascii="Calibri" w:hAnsi="Calibri" w:cs="Calibri"/>
        </w:rPr>
        <w:t xml:space="preserve">faricimab </w:t>
      </w:r>
      <w:r w:rsidR="00920FB0" w:rsidRPr="00920FB0">
        <w:rPr>
          <w:rFonts w:ascii="Calibri" w:hAnsi="Calibri" w:cs="Calibri"/>
        </w:rPr>
        <w:t>should be</w:t>
      </w:r>
      <w:r w:rsidRPr="00920FB0">
        <w:rPr>
          <w:rFonts w:ascii="Calibri" w:hAnsi="Calibri" w:cs="Calibri"/>
        </w:rPr>
        <w:t xml:space="preserve"> included</w:t>
      </w:r>
      <w:r w:rsidR="006568CD" w:rsidRPr="00920FB0">
        <w:rPr>
          <w:rFonts w:ascii="Calibri" w:hAnsi="Calibri" w:cs="Calibri"/>
        </w:rPr>
        <w:t xml:space="preserve"> under the existing </w:t>
      </w:r>
      <w:r w:rsidR="00920FB0" w:rsidRPr="00920FB0">
        <w:rPr>
          <w:rFonts w:ascii="Calibri" w:hAnsi="Calibri" w:cs="Calibri"/>
        </w:rPr>
        <w:t>risk sharing arrangement (RSA) for anti-VEGF medicines used to treat RVO</w:t>
      </w:r>
      <w:r w:rsidR="00AB65FF">
        <w:rPr>
          <w:rFonts w:ascii="Calibri" w:hAnsi="Calibri" w:cs="Calibri"/>
        </w:rPr>
        <w:t xml:space="preserve"> with no increase in expenditure caps</w:t>
      </w:r>
      <w:r w:rsidR="006568CD" w:rsidRPr="00920FB0">
        <w:rPr>
          <w:rFonts w:ascii="Calibri" w:hAnsi="Calibri" w:cs="Calibri"/>
        </w:rPr>
        <w:t>.</w:t>
      </w:r>
    </w:p>
    <w:p w14:paraId="63A1E235" w14:textId="77777777" w:rsidR="004950EA" w:rsidRPr="004950EA" w:rsidRDefault="004950EA" w:rsidP="004950EA">
      <w:pPr>
        <w:pStyle w:val="3-BodyText"/>
        <w:rPr>
          <w:b/>
          <w:bCs/>
          <w:lang w:val="en-GB"/>
        </w:rPr>
      </w:pPr>
      <w:bookmarkStart w:id="63" w:name="_Hlk111543254"/>
      <w:r w:rsidRPr="00D121C5">
        <w:rPr>
          <w:lang w:val="en-GB"/>
        </w:rPr>
        <w:t xml:space="preserve">The PBAC noted that its recommendation was on a cost-minimisation basis and advised that, because </w:t>
      </w:r>
      <w:r>
        <w:rPr>
          <w:lang w:val="en-GB"/>
        </w:rPr>
        <w:t>faricimab</w:t>
      </w:r>
      <w:r w:rsidRPr="00D121C5">
        <w:rPr>
          <w:lang w:val="en-GB"/>
        </w:rPr>
        <w:t xml:space="preserve"> is not expected to provide a substantial</w:t>
      </w:r>
      <w:r w:rsidRPr="00D121C5">
        <w:rPr>
          <w:bCs/>
          <w:lang w:val="en-GB"/>
        </w:rPr>
        <w:t xml:space="preserve"> and</w:t>
      </w:r>
      <w:r w:rsidRPr="00531A05">
        <w:rPr>
          <w:bCs/>
          <w:lang w:val="en-GB"/>
        </w:rPr>
        <w:t xml:space="preserve"> clinically relevant improvement in efficacy, or reduction of toxicity, over</w:t>
      </w:r>
      <w:r>
        <w:rPr>
          <w:bCs/>
          <w:lang w:val="en-GB"/>
        </w:rPr>
        <w:t xml:space="preserve"> aflibercept</w:t>
      </w:r>
      <w:r w:rsidRPr="00531A05">
        <w:rPr>
          <w:bCs/>
          <w:lang w:val="en-GB"/>
        </w:rPr>
        <w:t xml:space="preserve">, or not expected to address a high and urgent unmet clinical need given the presence of an alternative therapy, the criteria prescribed by the </w:t>
      </w:r>
      <w:r w:rsidRPr="007A5703">
        <w:rPr>
          <w:bCs/>
          <w:i/>
          <w:lang w:val="en-GB"/>
        </w:rPr>
        <w:t>National Health (Pharmaceuticals and Vaccines – Cost Recovery) Regulations 20</w:t>
      </w:r>
      <w:r>
        <w:rPr>
          <w:bCs/>
          <w:i/>
          <w:lang w:val="en-GB"/>
        </w:rPr>
        <w:t>22</w:t>
      </w:r>
      <w:r w:rsidRPr="00531A05">
        <w:rPr>
          <w:bCs/>
          <w:lang w:val="en-GB"/>
        </w:rPr>
        <w:t xml:space="preserve"> for Pricing Pathway A were not met.</w:t>
      </w:r>
    </w:p>
    <w:p w14:paraId="18C74D1B" w14:textId="77777777" w:rsidR="006568CD" w:rsidRPr="006568CD" w:rsidRDefault="006568CD" w:rsidP="006568CD">
      <w:pPr>
        <w:widowControl w:val="0"/>
        <w:numPr>
          <w:ilvl w:val="1"/>
          <w:numId w:val="1"/>
        </w:numPr>
        <w:spacing w:after="120"/>
        <w:jc w:val="both"/>
        <w:rPr>
          <w:rFonts w:asciiTheme="minorHAnsi" w:hAnsiTheme="minorHAnsi" w:cs="Arial"/>
          <w:bCs/>
          <w:snapToGrid w:val="0"/>
          <w:lang w:val="en-GB"/>
        </w:rPr>
      </w:pPr>
      <w:r w:rsidRPr="00525B39">
        <w:rPr>
          <w:rFonts w:asciiTheme="minorHAnsi" w:hAnsiTheme="minorHAnsi" w:cs="Arial"/>
          <w:bCs/>
          <w:snapToGrid w:val="0"/>
          <w:lang w:val="en-GB"/>
        </w:rPr>
        <w:t>The PBAC noted that this submission is not eligible for an Independent Review</w:t>
      </w:r>
      <w:r>
        <w:rPr>
          <w:rFonts w:asciiTheme="minorHAnsi" w:hAnsiTheme="minorHAnsi" w:cs="Arial"/>
          <w:bCs/>
          <w:snapToGrid w:val="0"/>
          <w:lang w:val="en-GB"/>
        </w:rPr>
        <w:t>, as it received a positive recommendation</w:t>
      </w:r>
      <w:r w:rsidRPr="00525B39">
        <w:rPr>
          <w:rFonts w:asciiTheme="minorHAnsi" w:hAnsiTheme="minorHAnsi" w:cs="Arial"/>
          <w:bCs/>
          <w:snapToGrid w:val="0"/>
          <w:lang w:val="en-GB"/>
        </w:rPr>
        <w:t>.</w:t>
      </w:r>
    </w:p>
    <w:p w14:paraId="08F4DB08" w14:textId="77777777" w:rsidR="0033574B" w:rsidRPr="00525B39" w:rsidRDefault="0033574B" w:rsidP="0033574B">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30A89461" w14:textId="77559E51" w:rsidR="0033574B" w:rsidRPr="00C1160D" w:rsidRDefault="0033574B" w:rsidP="00C1160D">
      <w:pPr>
        <w:jc w:val="both"/>
        <w:rPr>
          <w:rFonts w:asciiTheme="minorHAnsi" w:hAnsiTheme="minorHAnsi" w:cs="Arial"/>
          <w:bCs/>
          <w:snapToGrid w:val="0"/>
          <w:lang w:val="en-GB"/>
        </w:rPr>
      </w:pPr>
      <w:r w:rsidRPr="00525B39">
        <w:rPr>
          <w:rFonts w:asciiTheme="minorHAnsi" w:hAnsiTheme="minorHAnsi" w:cs="Arial"/>
          <w:bCs/>
          <w:snapToGrid w:val="0"/>
          <w:lang w:val="en-GB"/>
        </w:rPr>
        <w:t>Recommended</w:t>
      </w:r>
    </w:p>
    <w:bookmarkEnd w:id="61"/>
    <w:bookmarkEnd w:id="62"/>
    <w:bookmarkEnd w:id="63"/>
    <w:p w14:paraId="437AF1F1" w14:textId="77777777" w:rsidR="00275D43" w:rsidRPr="00F237A4" w:rsidRDefault="00275D43" w:rsidP="00275D43">
      <w:pPr>
        <w:pStyle w:val="2-SectionHeading"/>
        <w:rPr>
          <w:b w:val="0"/>
          <w:iCs/>
          <w:lang w:val="en-GB"/>
        </w:rPr>
      </w:pPr>
      <w:r w:rsidRPr="00525B39">
        <w:rPr>
          <w:lang w:val="en-GB"/>
        </w:rPr>
        <w:t>Recommended listing</w:t>
      </w:r>
    </w:p>
    <w:p w14:paraId="5EA08D88" w14:textId="6166C0D8" w:rsidR="00275D43" w:rsidRPr="00C25CE8" w:rsidRDefault="00275D43" w:rsidP="00275D43">
      <w:pPr>
        <w:pStyle w:val="3-BodyText"/>
        <w:rPr>
          <w:b/>
        </w:rPr>
      </w:pPr>
      <w:r w:rsidRPr="00E5581B">
        <w:t>A</w:t>
      </w:r>
      <w:r w:rsidR="003B0E38">
        <w:t xml:space="preserve">dd new </w:t>
      </w:r>
      <w:r w:rsidR="002359FE">
        <w:t>restriction</w:t>
      </w:r>
      <w:r w:rsidR="003B0E38">
        <w:t xml:space="preserve"> </w:t>
      </w:r>
      <w:r w:rsidRPr="00E5581B">
        <w:t>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1699"/>
        <w:gridCol w:w="992"/>
        <w:gridCol w:w="992"/>
        <w:gridCol w:w="995"/>
        <w:gridCol w:w="1647"/>
      </w:tblGrid>
      <w:tr w:rsidR="00C1160D" w:rsidRPr="003557C8" w14:paraId="6F9B20D1" w14:textId="77777777" w:rsidTr="00C1160D">
        <w:tc>
          <w:tcPr>
            <w:tcW w:w="1493" w:type="pct"/>
            <w:shd w:val="clear" w:color="auto" w:fill="auto"/>
          </w:tcPr>
          <w:p w14:paraId="54A1A6AE" w14:textId="77777777" w:rsidR="009A1C41" w:rsidRPr="00182B3E" w:rsidRDefault="009A1C41" w:rsidP="009A1C41">
            <w:pPr>
              <w:pStyle w:val="TableText0"/>
              <w:rPr>
                <w:b/>
                <w:bCs w:val="0"/>
              </w:rPr>
            </w:pPr>
            <w:r w:rsidRPr="00182B3E">
              <w:rPr>
                <w:b/>
                <w:bCs w:val="0"/>
              </w:rPr>
              <w:t>MEDICINAL PRODUCT</w:t>
            </w:r>
          </w:p>
          <w:p w14:paraId="588447DD" w14:textId="2D312F98" w:rsidR="009A1C41" w:rsidRPr="00182B3E" w:rsidRDefault="009A1C41" w:rsidP="009A1C41">
            <w:pPr>
              <w:pStyle w:val="TableText0"/>
            </w:pPr>
            <w:r w:rsidRPr="00182B3E">
              <w:rPr>
                <w:b/>
                <w:bCs w:val="0"/>
              </w:rPr>
              <w:t>Medicinal product pack</w:t>
            </w:r>
          </w:p>
        </w:tc>
        <w:tc>
          <w:tcPr>
            <w:tcW w:w="942" w:type="pct"/>
            <w:shd w:val="clear" w:color="auto" w:fill="auto"/>
          </w:tcPr>
          <w:p w14:paraId="65C5BD47" w14:textId="77777777" w:rsidR="009A1C41" w:rsidRPr="00182B3E" w:rsidRDefault="009A1C41" w:rsidP="00F10308">
            <w:pPr>
              <w:pStyle w:val="PbacTableHeading"/>
              <w:keepNext/>
              <w:keepLines/>
              <w:spacing w:after="0"/>
              <w:jc w:val="center"/>
            </w:pPr>
            <w:r w:rsidRPr="00182B3E">
              <w:t>PBS item code</w:t>
            </w:r>
          </w:p>
        </w:tc>
        <w:tc>
          <w:tcPr>
            <w:tcW w:w="550" w:type="pct"/>
            <w:shd w:val="clear" w:color="auto" w:fill="auto"/>
          </w:tcPr>
          <w:p w14:paraId="6DFB3E62" w14:textId="77777777" w:rsidR="009A1C41" w:rsidRPr="00182B3E" w:rsidRDefault="009A1C41" w:rsidP="00F10308">
            <w:pPr>
              <w:pStyle w:val="PbacTableHeading"/>
              <w:keepNext/>
              <w:keepLines/>
              <w:spacing w:after="0"/>
              <w:jc w:val="center"/>
            </w:pPr>
            <w:r w:rsidRPr="00182B3E">
              <w:t>Max. qty (packs)</w:t>
            </w:r>
          </w:p>
        </w:tc>
        <w:tc>
          <w:tcPr>
            <w:tcW w:w="550" w:type="pct"/>
            <w:shd w:val="clear" w:color="auto" w:fill="auto"/>
          </w:tcPr>
          <w:p w14:paraId="5A951D87" w14:textId="77777777" w:rsidR="009A1C41" w:rsidRPr="00182B3E" w:rsidRDefault="009A1C41" w:rsidP="00F10308">
            <w:pPr>
              <w:pStyle w:val="PbacTableHeading"/>
              <w:keepNext/>
              <w:keepLines/>
              <w:spacing w:after="0"/>
              <w:jc w:val="center"/>
            </w:pPr>
            <w:r w:rsidRPr="00182B3E">
              <w:t>Max. qty (units)</w:t>
            </w:r>
          </w:p>
        </w:tc>
        <w:tc>
          <w:tcPr>
            <w:tcW w:w="552" w:type="pct"/>
            <w:shd w:val="clear" w:color="auto" w:fill="auto"/>
          </w:tcPr>
          <w:p w14:paraId="259A9B7C" w14:textId="77777777" w:rsidR="009A1C41" w:rsidRPr="00182B3E" w:rsidRDefault="009A1C41" w:rsidP="00F10308">
            <w:pPr>
              <w:pStyle w:val="PbacTableHeading"/>
              <w:keepNext/>
              <w:keepLines/>
              <w:spacing w:after="0"/>
              <w:jc w:val="center"/>
            </w:pPr>
            <w:r w:rsidRPr="00182B3E">
              <w:t>№. of repeats</w:t>
            </w:r>
          </w:p>
        </w:tc>
        <w:tc>
          <w:tcPr>
            <w:tcW w:w="913" w:type="pct"/>
            <w:shd w:val="clear" w:color="auto" w:fill="auto"/>
          </w:tcPr>
          <w:p w14:paraId="374BBCEA" w14:textId="77777777" w:rsidR="009A1C41" w:rsidRPr="00182B3E" w:rsidRDefault="009A1C41" w:rsidP="00F10308">
            <w:pPr>
              <w:pStyle w:val="PbacTableHeading"/>
              <w:keepNext/>
              <w:keepLines/>
              <w:spacing w:after="0"/>
            </w:pPr>
            <w:r w:rsidRPr="00182B3E">
              <w:t>Proprietary name and manufacturer</w:t>
            </w:r>
          </w:p>
        </w:tc>
      </w:tr>
      <w:tr w:rsidR="00C1160D" w:rsidRPr="003557C8" w14:paraId="761F20DC" w14:textId="77777777" w:rsidTr="00C1160D">
        <w:tc>
          <w:tcPr>
            <w:tcW w:w="1493" w:type="pct"/>
          </w:tcPr>
          <w:p w14:paraId="2D46DA87" w14:textId="77777777" w:rsidR="009A1C41" w:rsidRPr="00182B3E" w:rsidRDefault="009A1C41" w:rsidP="00F10308">
            <w:pPr>
              <w:pStyle w:val="PBACTableText"/>
              <w:keepNext/>
              <w:keepLines/>
              <w:spacing w:before="0" w:after="0"/>
            </w:pPr>
            <w:r w:rsidRPr="00182B3E">
              <w:t>FARICIMAB</w:t>
            </w:r>
          </w:p>
          <w:p w14:paraId="123A3667" w14:textId="60A7A8AD" w:rsidR="009A1C41" w:rsidRPr="00182B3E" w:rsidRDefault="00B21673" w:rsidP="00F10308">
            <w:pPr>
              <w:pStyle w:val="PBACTableText"/>
              <w:keepNext/>
              <w:keepLines/>
              <w:spacing w:before="0" w:after="0"/>
            </w:pPr>
            <w:r w:rsidRPr="00182B3E">
              <w:t>faricimab 6 mg/0.05 mL intraocular injection, 0.05 mL vial</w:t>
            </w:r>
          </w:p>
        </w:tc>
        <w:tc>
          <w:tcPr>
            <w:tcW w:w="942" w:type="pct"/>
          </w:tcPr>
          <w:p w14:paraId="5E45BA39" w14:textId="77777777" w:rsidR="009A1C41" w:rsidRPr="00182B3E" w:rsidRDefault="009A1C41" w:rsidP="00F10308">
            <w:pPr>
              <w:pStyle w:val="PBACTableText"/>
              <w:keepNext/>
              <w:keepLines/>
              <w:spacing w:before="0" w:after="0"/>
              <w:jc w:val="center"/>
            </w:pPr>
            <w:r w:rsidRPr="00182B3E">
              <w:t xml:space="preserve">NEW (Initial treatment) </w:t>
            </w:r>
          </w:p>
          <w:p w14:paraId="34060E60" w14:textId="77777777" w:rsidR="009A1C41" w:rsidRPr="00182B3E" w:rsidRDefault="009A1C41" w:rsidP="00F10308">
            <w:pPr>
              <w:pStyle w:val="PBACTableText"/>
              <w:keepNext/>
              <w:keepLines/>
              <w:spacing w:before="0" w:after="0"/>
              <w:jc w:val="center"/>
            </w:pPr>
            <w:r w:rsidRPr="00182B3E">
              <w:t>NEW (Continuing treatment)</w:t>
            </w:r>
          </w:p>
        </w:tc>
        <w:tc>
          <w:tcPr>
            <w:tcW w:w="550" w:type="pct"/>
          </w:tcPr>
          <w:p w14:paraId="67624167" w14:textId="77777777" w:rsidR="009A1C41" w:rsidRPr="00182B3E" w:rsidRDefault="009A1C41" w:rsidP="00F10308">
            <w:pPr>
              <w:pStyle w:val="PBACTableText"/>
              <w:keepNext/>
              <w:keepLines/>
              <w:spacing w:before="0" w:after="0"/>
              <w:jc w:val="center"/>
            </w:pPr>
            <w:r w:rsidRPr="00182B3E">
              <w:t>1</w:t>
            </w:r>
          </w:p>
        </w:tc>
        <w:tc>
          <w:tcPr>
            <w:tcW w:w="550" w:type="pct"/>
          </w:tcPr>
          <w:p w14:paraId="3F740607" w14:textId="77777777" w:rsidR="009A1C41" w:rsidRPr="00182B3E" w:rsidRDefault="009A1C41" w:rsidP="00F10308">
            <w:pPr>
              <w:pStyle w:val="PBACTableText"/>
              <w:keepNext/>
              <w:keepLines/>
              <w:spacing w:before="0" w:after="0"/>
              <w:jc w:val="center"/>
            </w:pPr>
            <w:r w:rsidRPr="00182B3E">
              <w:t>1</w:t>
            </w:r>
          </w:p>
        </w:tc>
        <w:tc>
          <w:tcPr>
            <w:tcW w:w="552" w:type="pct"/>
          </w:tcPr>
          <w:p w14:paraId="61180CD0" w14:textId="77777777" w:rsidR="009A1C41" w:rsidRPr="00182B3E" w:rsidRDefault="009A1C41" w:rsidP="00F10308">
            <w:pPr>
              <w:pStyle w:val="PBACTableText"/>
              <w:keepNext/>
              <w:keepLines/>
              <w:spacing w:before="0" w:after="0"/>
              <w:jc w:val="center"/>
            </w:pPr>
            <w:r w:rsidRPr="00182B3E">
              <w:t>2</w:t>
            </w:r>
          </w:p>
        </w:tc>
        <w:tc>
          <w:tcPr>
            <w:tcW w:w="913" w:type="pct"/>
          </w:tcPr>
          <w:p w14:paraId="6BC45B49" w14:textId="77777777" w:rsidR="00182B3E" w:rsidRPr="00182B3E" w:rsidRDefault="009A1C41" w:rsidP="00F10308">
            <w:pPr>
              <w:pStyle w:val="PBACTableText"/>
              <w:keepNext/>
              <w:keepLines/>
              <w:spacing w:before="0" w:after="0"/>
            </w:pPr>
            <w:r w:rsidRPr="00182B3E">
              <w:t>Vabysmo</w:t>
            </w:r>
          </w:p>
          <w:p w14:paraId="72B07255" w14:textId="6ACD946F" w:rsidR="009A1C41" w:rsidRPr="00182B3E" w:rsidRDefault="009A1C41" w:rsidP="00F10308">
            <w:pPr>
              <w:pStyle w:val="PBACTableText"/>
              <w:keepNext/>
              <w:keepLines/>
              <w:spacing w:before="0" w:after="0"/>
            </w:pPr>
            <w:r w:rsidRPr="00182B3E">
              <w:t>Roche Products Pty Ltd</w:t>
            </w:r>
          </w:p>
        </w:tc>
      </w:tr>
    </w:tbl>
    <w:p w14:paraId="46A45511" w14:textId="77777777" w:rsidR="0002363C" w:rsidRPr="0002363C" w:rsidRDefault="0002363C" w:rsidP="00C1160D">
      <w:pPr>
        <w:pStyle w:val="Bodytextitalics"/>
        <w:spacing w:after="0"/>
        <w:rPr>
          <w:rFonts w:ascii="Arial Narrow" w:hAnsi="Arial Narrow"/>
          <w:b/>
          <w:i w:val="0"/>
          <w:sz w:val="20"/>
          <w:szCs w:val="20"/>
        </w:rPr>
      </w:pPr>
    </w:p>
    <w:p w14:paraId="64FB6883" w14:textId="77777777" w:rsidR="009A1C41" w:rsidRPr="003557C8" w:rsidRDefault="009A1C41" w:rsidP="00C1160D">
      <w:pPr>
        <w:pStyle w:val="Bodytextitalics"/>
        <w:keepNext/>
        <w:keepLines/>
        <w:spacing w:after="0"/>
        <w:rPr>
          <w:rFonts w:ascii="Arial Narrow" w:hAnsi="Arial Narrow"/>
          <w:b/>
          <w:i w:val="0"/>
          <w:sz w:val="20"/>
          <w:szCs w:val="20"/>
          <w:highlight w:val="lightGray"/>
        </w:rPr>
      </w:pPr>
      <w:r w:rsidRPr="00C31A79">
        <w:rPr>
          <w:rFonts w:ascii="Arial Narrow" w:hAnsi="Arial Narrow"/>
          <w:b/>
          <w:i w:val="0"/>
          <w:sz w:val="20"/>
          <w:szCs w:val="20"/>
        </w:rPr>
        <w:t>Initial treatment of RVO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8029"/>
      </w:tblGrid>
      <w:tr w:rsidR="009A1C41" w:rsidRPr="003557C8" w14:paraId="08512E6B" w14:textId="77777777" w:rsidTr="00C1160D">
        <w:trPr>
          <w:trHeight w:val="20"/>
        </w:trPr>
        <w:tc>
          <w:tcPr>
            <w:tcW w:w="548" w:type="pct"/>
            <w:tcBorders>
              <w:top w:val="single" w:sz="4" w:space="0" w:color="auto"/>
              <w:left w:val="single" w:sz="4" w:space="0" w:color="auto"/>
              <w:bottom w:val="single" w:sz="4" w:space="0" w:color="auto"/>
              <w:right w:val="single" w:sz="4" w:space="0" w:color="auto"/>
            </w:tcBorders>
          </w:tcPr>
          <w:p w14:paraId="1BE5460E" w14:textId="77777777" w:rsidR="009A1C41" w:rsidRPr="00C31A79" w:rsidRDefault="009A1C41" w:rsidP="00F10308">
            <w:pPr>
              <w:keepNext/>
              <w:keepLines/>
              <w:jc w:val="center"/>
              <w:rPr>
                <w:rFonts w:ascii="Arial Narrow" w:hAnsi="Arial Narrow"/>
                <w:b/>
                <w:sz w:val="20"/>
              </w:rPr>
            </w:pPr>
            <w:r w:rsidRPr="00C31A79">
              <w:rPr>
                <w:rFonts w:ascii="Arial Narrow" w:hAnsi="Arial Narrow"/>
                <w:b/>
                <w:sz w:val="20"/>
              </w:rPr>
              <w:t>Concept ID</w:t>
            </w:r>
          </w:p>
        </w:tc>
        <w:tc>
          <w:tcPr>
            <w:tcW w:w="4452" w:type="pct"/>
            <w:tcBorders>
              <w:top w:val="single" w:sz="4" w:space="0" w:color="auto"/>
              <w:left w:val="single" w:sz="4" w:space="0" w:color="auto"/>
              <w:bottom w:val="single" w:sz="4" w:space="0" w:color="auto"/>
              <w:right w:val="single" w:sz="4" w:space="0" w:color="auto"/>
            </w:tcBorders>
          </w:tcPr>
          <w:p w14:paraId="45BD401B" w14:textId="77777777" w:rsidR="009A1C41" w:rsidRPr="00C31A79" w:rsidRDefault="009A1C41" w:rsidP="00F10308">
            <w:pPr>
              <w:keepNext/>
              <w:keepLines/>
              <w:rPr>
                <w:rFonts w:ascii="Arial Narrow" w:hAnsi="Arial Narrow"/>
                <w:sz w:val="20"/>
              </w:rPr>
            </w:pPr>
            <w:r w:rsidRPr="00C31A79">
              <w:rPr>
                <w:rFonts w:ascii="Arial Narrow" w:hAnsi="Arial Narrow"/>
                <w:b/>
                <w:sz w:val="20"/>
              </w:rPr>
              <w:t xml:space="preserve">Category / Program:   </w:t>
            </w:r>
            <w:r w:rsidRPr="00C31A79">
              <w:rPr>
                <w:rFonts w:ascii="Arial Narrow" w:hAnsi="Arial Narrow"/>
                <w:sz w:val="20"/>
              </w:rPr>
              <w:t xml:space="preserve">GENERAL – General Schedule (Code GE) </w:t>
            </w:r>
          </w:p>
        </w:tc>
      </w:tr>
      <w:tr w:rsidR="009A1C41" w:rsidRPr="003557C8" w14:paraId="36DF4F91" w14:textId="77777777" w:rsidTr="00C1160D">
        <w:trPr>
          <w:trHeight w:val="20"/>
        </w:trPr>
        <w:tc>
          <w:tcPr>
            <w:tcW w:w="548" w:type="pct"/>
            <w:tcBorders>
              <w:top w:val="single" w:sz="4" w:space="0" w:color="auto"/>
              <w:left w:val="single" w:sz="4" w:space="0" w:color="auto"/>
              <w:bottom w:val="single" w:sz="4" w:space="0" w:color="auto"/>
              <w:right w:val="single" w:sz="4" w:space="0" w:color="auto"/>
            </w:tcBorders>
          </w:tcPr>
          <w:p w14:paraId="2D6E73D9" w14:textId="77777777" w:rsidR="009A1C41" w:rsidRPr="00C31A79" w:rsidRDefault="009A1C41" w:rsidP="00F10308">
            <w:pPr>
              <w:keepNext/>
              <w:keepLines/>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tcPr>
          <w:p w14:paraId="015F0F6C" w14:textId="77777777" w:rsidR="009A1C41" w:rsidRPr="00C31A79" w:rsidRDefault="009A1C41" w:rsidP="00F10308">
            <w:pPr>
              <w:keepNext/>
              <w:keepLines/>
              <w:rPr>
                <w:rFonts w:ascii="Arial Narrow" w:hAnsi="Arial Narrow"/>
                <w:b/>
                <w:sz w:val="20"/>
              </w:rPr>
            </w:pPr>
            <w:r w:rsidRPr="00C31A79">
              <w:rPr>
                <w:rFonts w:ascii="Arial Narrow" w:hAnsi="Arial Narrow"/>
                <w:b/>
                <w:sz w:val="20"/>
              </w:rPr>
              <w:t xml:space="preserve">Prescriber type:  </w:t>
            </w:r>
            <w:r w:rsidRPr="00C31A79">
              <w:rPr>
                <w:rFonts w:ascii="Arial Narrow" w:hAnsi="Arial Narrow"/>
                <w:sz w:val="20"/>
              </w:rPr>
              <w:fldChar w:fldCharType="begin" w:fldLock="1">
                <w:ffData>
                  <w:name w:val=""/>
                  <w:enabled/>
                  <w:calcOnExit w:val="0"/>
                  <w:checkBox>
                    <w:sizeAuto/>
                    <w:default w:val="1"/>
                  </w:checkBox>
                </w:ffData>
              </w:fldChar>
            </w:r>
            <w:r w:rsidRPr="00C31A79">
              <w:rPr>
                <w:rFonts w:ascii="Arial Narrow" w:hAnsi="Arial Narrow"/>
                <w:sz w:val="20"/>
              </w:rPr>
              <w:instrText xml:space="preserve"> FORMCHECKBOX </w:instrText>
            </w:r>
            <w:r w:rsidR="001910DB">
              <w:rPr>
                <w:rFonts w:ascii="Arial Narrow" w:hAnsi="Arial Narrow"/>
                <w:sz w:val="20"/>
              </w:rPr>
            </w:r>
            <w:r w:rsidR="001910DB">
              <w:rPr>
                <w:rFonts w:ascii="Arial Narrow" w:hAnsi="Arial Narrow"/>
                <w:sz w:val="20"/>
              </w:rPr>
              <w:fldChar w:fldCharType="separate"/>
            </w:r>
            <w:r w:rsidRPr="00C31A79">
              <w:rPr>
                <w:rFonts w:ascii="Arial Narrow" w:hAnsi="Arial Narrow"/>
                <w:sz w:val="20"/>
              </w:rPr>
              <w:fldChar w:fldCharType="end"/>
            </w:r>
            <w:r w:rsidRPr="00C31A79">
              <w:rPr>
                <w:rFonts w:ascii="Arial Narrow" w:hAnsi="Arial Narrow"/>
                <w:sz w:val="20"/>
              </w:rPr>
              <w:t>Medical Practitioners</w:t>
            </w:r>
          </w:p>
        </w:tc>
      </w:tr>
      <w:tr w:rsidR="009A1C41" w:rsidRPr="003557C8" w14:paraId="3275CF60" w14:textId="77777777" w:rsidTr="00C1160D">
        <w:trPr>
          <w:trHeight w:val="20"/>
        </w:trPr>
        <w:tc>
          <w:tcPr>
            <w:tcW w:w="548" w:type="pct"/>
            <w:tcBorders>
              <w:top w:val="single" w:sz="4" w:space="0" w:color="auto"/>
              <w:left w:val="single" w:sz="4" w:space="0" w:color="auto"/>
              <w:bottom w:val="single" w:sz="4" w:space="0" w:color="auto"/>
              <w:right w:val="single" w:sz="4" w:space="0" w:color="auto"/>
            </w:tcBorders>
          </w:tcPr>
          <w:p w14:paraId="2FFC4365" w14:textId="77777777" w:rsidR="009A1C41" w:rsidRPr="00C31A79" w:rsidRDefault="009A1C41" w:rsidP="00F10308">
            <w:pPr>
              <w:keepNext/>
              <w:keepLines/>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tcPr>
          <w:p w14:paraId="7BB25733" w14:textId="77777777" w:rsidR="009A1C41" w:rsidRPr="007022F4" w:rsidRDefault="009A1C41" w:rsidP="00F10308">
            <w:pPr>
              <w:keepNext/>
              <w:keepLines/>
              <w:rPr>
                <w:rFonts w:ascii="Arial Narrow" w:hAnsi="Arial Narrow"/>
                <w:b/>
                <w:sz w:val="20"/>
              </w:rPr>
            </w:pPr>
            <w:r w:rsidRPr="007022F4">
              <w:rPr>
                <w:rFonts w:ascii="Arial Narrow" w:hAnsi="Arial Narrow"/>
                <w:b/>
                <w:sz w:val="20"/>
              </w:rPr>
              <w:t>Restriction Level / Method:</w:t>
            </w:r>
          </w:p>
          <w:p w14:paraId="03C833BF" w14:textId="77777777" w:rsidR="009A1C41" w:rsidRPr="007022F4" w:rsidRDefault="009A1C41" w:rsidP="00F10308">
            <w:pPr>
              <w:keepNext/>
              <w:keepLines/>
              <w:rPr>
                <w:rFonts w:ascii="Arial Narrow" w:hAnsi="Arial Narrow"/>
                <w:sz w:val="20"/>
              </w:rPr>
            </w:pPr>
            <w:r w:rsidRPr="007022F4">
              <w:rPr>
                <w:rFonts w:ascii="Arial Narrow" w:hAnsi="Arial Narrow"/>
                <w:sz w:val="20"/>
              </w:rPr>
              <w:fldChar w:fldCharType="begin" w:fldLock="1">
                <w:ffData>
                  <w:name w:val="Check3"/>
                  <w:enabled/>
                  <w:calcOnExit w:val="0"/>
                  <w:checkBox>
                    <w:sizeAuto/>
                    <w:default w:val="1"/>
                  </w:checkBox>
                </w:ffData>
              </w:fldChar>
            </w:r>
            <w:r w:rsidRPr="007022F4">
              <w:rPr>
                <w:rFonts w:ascii="Arial Narrow" w:hAnsi="Arial Narrow"/>
                <w:sz w:val="20"/>
              </w:rPr>
              <w:instrText xml:space="preserve"> FORMCHECKBOX </w:instrText>
            </w:r>
            <w:r w:rsidR="001910DB">
              <w:rPr>
                <w:rFonts w:ascii="Arial Narrow" w:hAnsi="Arial Narrow"/>
                <w:sz w:val="20"/>
              </w:rPr>
            </w:r>
            <w:r w:rsidR="001910DB">
              <w:rPr>
                <w:rFonts w:ascii="Arial Narrow" w:hAnsi="Arial Narrow"/>
                <w:sz w:val="20"/>
              </w:rPr>
              <w:fldChar w:fldCharType="separate"/>
            </w:r>
            <w:r w:rsidRPr="007022F4">
              <w:rPr>
                <w:rFonts w:ascii="Arial Narrow" w:hAnsi="Arial Narrow"/>
                <w:sz w:val="20"/>
              </w:rPr>
              <w:fldChar w:fldCharType="end"/>
            </w:r>
            <w:r w:rsidRPr="007022F4">
              <w:rPr>
                <w:rFonts w:ascii="Arial Narrow" w:hAnsi="Arial Narrow"/>
                <w:sz w:val="20"/>
              </w:rPr>
              <w:t>Authority Required – In Writing/Online PBS Authorities Systems</w:t>
            </w:r>
          </w:p>
        </w:tc>
      </w:tr>
      <w:tr w:rsidR="009A1C41" w:rsidRPr="003557C8" w14:paraId="2804C598"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0495DBB4" w14:textId="77717AC3" w:rsidR="009A1C41" w:rsidRPr="007022F4"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vAlign w:val="center"/>
            <w:hideMark/>
          </w:tcPr>
          <w:p w14:paraId="041A489C" w14:textId="77777777" w:rsidR="009A1C41" w:rsidRPr="007022F4" w:rsidRDefault="009A1C41" w:rsidP="00F10308">
            <w:pPr>
              <w:rPr>
                <w:rFonts w:ascii="Arial Narrow" w:hAnsi="Arial Narrow"/>
                <w:iCs/>
                <w:sz w:val="20"/>
              </w:rPr>
            </w:pPr>
            <w:r w:rsidRPr="007022F4">
              <w:rPr>
                <w:rFonts w:ascii="Arial Narrow" w:hAnsi="Arial Narrow"/>
                <w:b/>
                <w:bCs/>
                <w:iCs/>
                <w:sz w:val="20"/>
              </w:rPr>
              <w:t>Indication:</w:t>
            </w:r>
            <w:r w:rsidRPr="007022F4">
              <w:rPr>
                <w:rFonts w:ascii="Arial Narrow" w:hAnsi="Arial Narrow"/>
                <w:iCs/>
                <w:sz w:val="20"/>
              </w:rPr>
              <w:t xml:space="preserve"> </w:t>
            </w:r>
          </w:p>
          <w:p w14:paraId="7F602F55" w14:textId="77777777" w:rsidR="009A1C41" w:rsidRPr="007022F4" w:rsidRDefault="009A1C41" w:rsidP="00F10308">
            <w:pPr>
              <w:rPr>
                <w:rFonts w:ascii="Arial Narrow" w:hAnsi="Arial Narrow"/>
                <w:sz w:val="20"/>
              </w:rPr>
            </w:pPr>
            <w:r w:rsidRPr="00C57F96">
              <w:rPr>
                <w:rFonts w:ascii="Arial Narrow" w:hAnsi="Arial Narrow"/>
                <w:sz w:val="20"/>
              </w:rPr>
              <w:t>Branch retinal vein occlusion with macular oedema</w:t>
            </w:r>
          </w:p>
        </w:tc>
      </w:tr>
      <w:tr w:rsidR="009A1C41" w:rsidRPr="003557C8" w14:paraId="7EAF4183"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5A1D197B" w14:textId="77777777" w:rsidR="009A1C41" w:rsidRPr="003557C8" w:rsidRDefault="009A1C41" w:rsidP="00F10308">
            <w:pPr>
              <w:jc w:val="center"/>
              <w:rPr>
                <w:rFonts w:ascii="Arial Narrow" w:hAnsi="Arial Narrow"/>
                <w:sz w:val="20"/>
                <w:highlight w:val="lightGray"/>
              </w:rPr>
            </w:pPr>
          </w:p>
        </w:tc>
        <w:tc>
          <w:tcPr>
            <w:tcW w:w="4452" w:type="pct"/>
            <w:tcBorders>
              <w:top w:val="single" w:sz="4" w:space="0" w:color="auto"/>
              <w:left w:val="single" w:sz="4" w:space="0" w:color="auto"/>
              <w:bottom w:val="single" w:sz="4" w:space="0" w:color="auto"/>
              <w:right w:val="single" w:sz="4" w:space="0" w:color="auto"/>
            </w:tcBorders>
            <w:vAlign w:val="center"/>
            <w:hideMark/>
          </w:tcPr>
          <w:p w14:paraId="2967658B" w14:textId="77777777" w:rsidR="009A1C41" w:rsidRPr="003557C8" w:rsidRDefault="009A1C41" w:rsidP="00F10308">
            <w:pPr>
              <w:rPr>
                <w:rFonts w:ascii="Arial Narrow" w:hAnsi="Arial Narrow"/>
                <w:sz w:val="20"/>
                <w:highlight w:val="lightGray"/>
              </w:rPr>
            </w:pPr>
            <w:r w:rsidRPr="00C57F96">
              <w:rPr>
                <w:rFonts w:ascii="Arial Narrow" w:hAnsi="Arial Narrow"/>
                <w:b/>
                <w:bCs/>
                <w:sz w:val="20"/>
              </w:rPr>
              <w:t>Treatment Phase:</w:t>
            </w:r>
            <w:r w:rsidRPr="00C57F96">
              <w:rPr>
                <w:rFonts w:ascii="Arial Narrow" w:hAnsi="Arial Narrow"/>
                <w:sz w:val="20"/>
              </w:rPr>
              <w:t xml:space="preserve"> Initial treatment</w:t>
            </w:r>
          </w:p>
        </w:tc>
      </w:tr>
      <w:tr w:rsidR="009A1C41" w:rsidRPr="003557C8" w14:paraId="4D529794"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24712B63" w14:textId="577F8F03" w:rsidR="009A1C41" w:rsidRPr="0036236E" w:rsidRDefault="009A1C41" w:rsidP="00F10308">
            <w:pPr>
              <w:jc w:val="center"/>
              <w:rPr>
                <w:rFonts w:ascii="Arial Narrow" w:hAnsi="Arial Narrow"/>
                <w:sz w:val="20"/>
                <w:highlight w:val="yellow"/>
              </w:rPr>
            </w:pPr>
          </w:p>
        </w:tc>
        <w:tc>
          <w:tcPr>
            <w:tcW w:w="4452" w:type="pct"/>
            <w:tcBorders>
              <w:top w:val="single" w:sz="4" w:space="0" w:color="auto"/>
              <w:left w:val="single" w:sz="4" w:space="0" w:color="auto"/>
              <w:bottom w:val="single" w:sz="4" w:space="0" w:color="auto"/>
              <w:right w:val="single" w:sz="4" w:space="0" w:color="auto"/>
            </w:tcBorders>
            <w:vAlign w:val="center"/>
          </w:tcPr>
          <w:p w14:paraId="249A44EA" w14:textId="77777777" w:rsidR="009A1C41" w:rsidRPr="00C57F96" w:rsidRDefault="009A1C41" w:rsidP="00F10308">
            <w:pPr>
              <w:rPr>
                <w:rFonts w:ascii="Arial Narrow" w:hAnsi="Arial Narrow"/>
                <w:b/>
                <w:bCs/>
                <w:sz w:val="20"/>
              </w:rPr>
            </w:pPr>
            <w:r w:rsidRPr="0042590D">
              <w:rPr>
                <w:rFonts w:ascii="Arial Narrow" w:hAnsi="Arial Narrow"/>
                <w:b/>
                <w:bCs/>
                <w:sz w:val="20"/>
              </w:rPr>
              <w:t>Treatment criteria:</w:t>
            </w:r>
          </w:p>
        </w:tc>
      </w:tr>
      <w:tr w:rsidR="009A1C41" w:rsidRPr="003557C8" w14:paraId="3DD47A2C"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748DE90C" w14:textId="539E4FD0" w:rsidR="009A1C41" w:rsidRPr="0036236E" w:rsidRDefault="009A1C41" w:rsidP="00F10308">
            <w:pPr>
              <w:jc w:val="center"/>
              <w:rPr>
                <w:rFonts w:ascii="Arial Narrow" w:hAnsi="Arial Narrow"/>
                <w:sz w:val="20"/>
                <w:highlight w:val="yellow"/>
              </w:rPr>
            </w:pPr>
          </w:p>
        </w:tc>
        <w:tc>
          <w:tcPr>
            <w:tcW w:w="4452" w:type="pct"/>
            <w:tcBorders>
              <w:top w:val="single" w:sz="4" w:space="0" w:color="auto"/>
              <w:left w:val="single" w:sz="4" w:space="0" w:color="auto"/>
              <w:bottom w:val="single" w:sz="4" w:space="0" w:color="auto"/>
              <w:right w:val="single" w:sz="4" w:space="0" w:color="auto"/>
            </w:tcBorders>
            <w:vAlign w:val="center"/>
          </w:tcPr>
          <w:p w14:paraId="03325ADD" w14:textId="77777777" w:rsidR="009A1C41" w:rsidRPr="00C57F96" w:rsidRDefault="009A1C41" w:rsidP="00F10308">
            <w:pPr>
              <w:rPr>
                <w:rFonts w:ascii="Arial Narrow" w:hAnsi="Arial Narrow"/>
                <w:b/>
                <w:bCs/>
                <w:sz w:val="20"/>
              </w:rPr>
            </w:pPr>
            <w:r w:rsidRPr="00C57F96">
              <w:rPr>
                <w:rFonts w:ascii="Arial Narrow" w:hAnsi="Arial Narrow"/>
                <w:sz w:val="20"/>
              </w:rPr>
              <w:t>Must be treated by an ophthalmologist or by an accredited ophthalmology registrar in consultation with an ophthalmologist</w:t>
            </w:r>
          </w:p>
        </w:tc>
      </w:tr>
      <w:tr w:rsidR="009A1C41" w:rsidRPr="003557C8" w14:paraId="2D4784C1"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1B5FB212" w14:textId="7B68C3B6" w:rsidR="009A1C41" w:rsidRPr="00C57F96"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vAlign w:val="center"/>
            <w:hideMark/>
          </w:tcPr>
          <w:p w14:paraId="413F1CFA" w14:textId="77777777" w:rsidR="009A1C41" w:rsidRPr="00C57F96" w:rsidRDefault="009A1C41" w:rsidP="00F10308">
            <w:pPr>
              <w:rPr>
                <w:rFonts w:ascii="Arial Narrow" w:hAnsi="Arial Narrow"/>
                <w:sz w:val="20"/>
              </w:rPr>
            </w:pPr>
            <w:r w:rsidRPr="00C57F96">
              <w:rPr>
                <w:rFonts w:ascii="Arial Narrow" w:hAnsi="Arial Narrow"/>
                <w:b/>
                <w:bCs/>
                <w:sz w:val="20"/>
              </w:rPr>
              <w:t>Clinical criteria:</w:t>
            </w:r>
          </w:p>
        </w:tc>
      </w:tr>
      <w:tr w:rsidR="009A1C41" w:rsidRPr="003557C8" w14:paraId="217388CD"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2BBCA31A" w14:textId="7D29258F" w:rsidR="009A1C41" w:rsidRPr="005376FC"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vAlign w:val="center"/>
          </w:tcPr>
          <w:p w14:paraId="7EC9DEC1" w14:textId="77777777" w:rsidR="009A1C41" w:rsidRPr="005376FC" w:rsidRDefault="009A1C41" w:rsidP="00F10308">
            <w:pPr>
              <w:rPr>
                <w:rFonts w:ascii="Arial Narrow" w:hAnsi="Arial Narrow"/>
                <w:sz w:val="20"/>
              </w:rPr>
            </w:pPr>
            <w:r w:rsidRPr="003C609F">
              <w:rPr>
                <w:rFonts w:ascii="Arial Narrow" w:hAnsi="Arial Narrow"/>
                <w:sz w:val="20"/>
              </w:rPr>
              <w:t>Patient must have visual impairment due to macular oedema secondary to branched retinal vein occlusion (BRVO)</w:t>
            </w:r>
          </w:p>
        </w:tc>
      </w:tr>
      <w:tr w:rsidR="009A1C41" w:rsidRPr="003557C8" w14:paraId="09A5956F"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6853EF85" w14:textId="77777777" w:rsidR="009A1C41" w:rsidRPr="003557C8" w:rsidRDefault="009A1C41" w:rsidP="00F10308">
            <w:pPr>
              <w:jc w:val="center"/>
              <w:rPr>
                <w:rFonts w:ascii="Arial Narrow" w:hAnsi="Arial Narrow"/>
                <w:strike/>
                <w:sz w:val="20"/>
                <w:highlight w:val="lightGray"/>
              </w:rPr>
            </w:pPr>
          </w:p>
        </w:tc>
        <w:tc>
          <w:tcPr>
            <w:tcW w:w="4452" w:type="pct"/>
            <w:tcBorders>
              <w:top w:val="single" w:sz="4" w:space="0" w:color="auto"/>
              <w:left w:val="single" w:sz="4" w:space="0" w:color="auto"/>
              <w:bottom w:val="single" w:sz="4" w:space="0" w:color="auto"/>
              <w:right w:val="single" w:sz="4" w:space="0" w:color="auto"/>
            </w:tcBorders>
            <w:vAlign w:val="center"/>
          </w:tcPr>
          <w:p w14:paraId="7718B35B" w14:textId="77777777" w:rsidR="009A1C41" w:rsidRPr="003C609F" w:rsidRDefault="009A1C41" w:rsidP="00F10308">
            <w:pPr>
              <w:rPr>
                <w:rFonts w:ascii="Arial Narrow" w:hAnsi="Arial Narrow"/>
                <w:b/>
                <w:bCs/>
                <w:sz w:val="20"/>
                <w:highlight w:val="lightGray"/>
              </w:rPr>
            </w:pPr>
            <w:r w:rsidRPr="003C609F">
              <w:rPr>
                <w:rFonts w:ascii="Arial Narrow" w:hAnsi="Arial Narrow"/>
                <w:b/>
                <w:bCs/>
                <w:sz w:val="20"/>
              </w:rPr>
              <w:t>AND</w:t>
            </w:r>
          </w:p>
        </w:tc>
      </w:tr>
      <w:tr w:rsidR="009A1C41" w:rsidRPr="003557C8" w14:paraId="460E386E"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3062820A" w14:textId="2E92D650" w:rsidR="009A1C41" w:rsidRPr="003557C8" w:rsidRDefault="009A1C41" w:rsidP="00F10308">
            <w:pPr>
              <w:jc w:val="center"/>
              <w:rPr>
                <w:rFonts w:ascii="Arial Narrow" w:hAnsi="Arial Narrow"/>
                <w:strike/>
                <w:sz w:val="20"/>
                <w:highlight w:val="lightGray"/>
              </w:rPr>
            </w:pPr>
          </w:p>
        </w:tc>
        <w:tc>
          <w:tcPr>
            <w:tcW w:w="4452" w:type="pct"/>
            <w:tcBorders>
              <w:top w:val="single" w:sz="4" w:space="0" w:color="auto"/>
              <w:left w:val="single" w:sz="4" w:space="0" w:color="auto"/>
              <w:bottom w:val="single" w:sz="4" w:space="0" w:color="auto"/>
              <w:right w:val="single" w:sz="4" w:space="0" w:color="auto"/>
            </w:tcBorders>
            <w:vAlign w:val="center"/>
          </w:tcPr>
          <w:p w14:paraId="4E2394BF" w14:textId="77777777" w:rsidR="009A1C41" w:rsidRPr="003C609F" w:rsidRDefault="009A1C41" w:rsidP="00F10308">
            <w:pPr>
              <w:rPr>
                <w:rFonts w:ascii="Arial Narrow" w:hAnsi="Arial Narrow"/>
                <w:b/>
                <w:bCs/>
                <w:sz w:val="20"/>
              </w:rPr>
            </w:pPr>
            <w:r w:rsidRPr="00C57F96">
              <w:rPr>
                <w:rFonts w:ascii="Arial Narrow" w:hAnsi="Arial Narrow"/>
                <w:b/>
                <w:bCs/>
                <w:sz w:val="20"/>
              </w:rPr>
              <w:t>Clinical criteria:</w:t>
            </w:r>
          </w:p>
        </w:tc>
      </w:tr>
      <w:tr w:rsidR="009A1C41" w:rsidRPr="003557C8" w14:paraId="3003B0C2"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2A97B405" w14:textId="33348FD6" w:rsidR="009A1C41" w:rsidRPr="00522D65" w:rsidRDefault="009A1C41" w:rsidP="00F10308">
            <w:pPr>
              <w:jc w:val="center"/>
              <w:rPr>
                <w:rFonts w:ascii="Arial Narrow" w:hAnsi="Arial Narrow"/>
                <w:sz w:val="20"/>
                <w:highlight w:val="lightGray"/>
              </w:rPr>
            </w:pPr>
          </w:p>
        </w:tc>
        <w:tc>
          <w:tcPr>
            <w:tcW w:w="4452" w:type="pct"/>
            <w:tcBorders>
              <w:top w:val="single" w:sz="4" w:space="0" w:color="auto"/>
              <w:left w:val="single" w:sz="4" w:space="0" w:color="auto"/>
              <w:bottom w:val="single" w:sz="4" w:space="0" w:color="auto"/>
              <w:right w:val="single" w:sz="4" w:space="0" w:color="auto"/>
            </w:tcBorders>
            <w:vAlign w:val="center"/>
          </w:tcPr>
          <w:p w14:paraId="18E1F86A" w14:textId="77777777" w:rsidR="009A1C41" w:rsidRPr="003C609F" w:rsidRDefault="009A1C41" w:rsidP="00F10308">
            <w:pPr>
              <w:rPr>
                <w:rFonts w:ascii="Arial Narrow" w:hAnsi="Arial Narrow"/>
                <w:sz w:val="20"/>
              </w:rPr>
            </w:pPr>
            <w:r w:rsidRPr="003C609F">
              <w:rPr>
                <w:rFonts w:ascii="Arial Narrow" w:hAnsi="Arial Narrow"/>
                <w:sz w:val="20"/>
              </w:rPr>
              <w:t>Patient must have documented visual impairment defined as a best corrected visual acuity score between 73 and 20 letters based on the early treatment diabetic retinopathy study chart administered at a distance of 4 metres (approximate Snellen equivalent 20/40 to 20/400), in the eye proposed for treatment</w:t>
            </w:r>
          </w:p>
        </w:tc>
      </w:tr>
      <w:tr w:rsidR="009A1C41" w:rsidRPr="003557C8" w14:paraId="56E81906"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18A0C970" w14:textId="77777777" w:rsidR="009A1C41" w:rsidRPr="003557C8" w:rsidRDefault="009A1C41" w:rsidP="00F10308">
            <w:pPr>
              <w:jc w:val="center"/>
              <w:rPr>
                <w:rFonts w:ascii="Arial Narrow" w:hAnsi="Arial Narrow"/>
                <w:strike/>
                <w:sz w:val="20"/>
                <w:highlight w:val="lightGray"/>
              </w:rPr>
            </w:pPr>
          </w:p>
        </w:tc>
        <w:tc>
          <w:tcPr>
            <w:tcW w:w="4452" w:type="pct"/>
            <w:tcBorders>
              <w:top w:val="single" w:sz="4" w:space="0" w:color="auto"/>
              <w:left w:val="single" w:sz="4" w:space="0" w:color="auto"/>
              <w:bottom w:val="single" w:sz="4" w:space="0" w:color="auto"/>
              <w:right w:val="single" w:sz="4" w:space="0" w:color="auto"/>
            </w:tcBorders>
            <w:vAlign w:val="center"/>
          </w:tcPr>
          <w:p w14:paraId="6B5C81AF" w14:textId="77777777" w:rsidR="009A1C41" w:rsidRPr="003C609F" w:rsidRDefault="009A1C41" w:rsidP="00F10308">
            <w:pPr>
              <w:rPr>
                <w:rFonts w:ascii="Arial Narrow" w:hAnsi="Arial Narrow"/>
                <w:b/>
                <w:bCs/>
                <w:sz w:val="20"/>
              </w:rPr>
            </w:pPr>
            <w:r w:rsidRPr="003C609F">
              <w:rPr>
                <w:rFonts w:ascii="Arial Narrow" w:hAnsi="Arial Narrow"/>
                <w:b/>
                <w:bCs/>
                <w:sz w:val="20"/>
              </w:rPr>
              <w:t>AND</w:t>
            </w:r>
          </w:p>
        </w:tc>
      </w:tr>
      <w:tr w:rsidR="009A1C41" w:rsidRPr="003557C8" w14:paraId="45BDF576"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2114DE2A" w14:textId="027EC4BC" w:rsidR="009A1C41" w:rsidRPr="00DC5C0D"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vAlign w:val="center"/>
            <w:hideMark/>
          </w:tcPr>
          <w:p w14:paraId="389BA2B6" w14:textId="77777777" w:rsidR="009A1C41" w:rsidRPr="0064410E" w:rsidRDefault="009A1C41" w:rsidP="00F10308">
            <w:pPr>
              <w:rPr>
                <w:rFonts w:ascii="Arial Narrow" w:hAnsi="Arial Narrow"/>
                <w:sz w:val="20"/>
              </w:rPr>
            </w:pPr>
            <w:r w:rsidRPr="0064410E">
              <w:rPr>
                <w:rFonts w:ascii="Arial Narrow" w:hAnsi="Arial Narrow"/>
                <w:b/>
                <w:bCs/>
                <w:sz w:val="20"/>
              </w:rPr>
              <w:t>Clinical criteria:</w:t>
            </w:r>
          </w:p>
        </w:tc>
      </w:tr>
      <w:tr w:rsidR="009A1C41" w:rsidRPr="003557C8" w14:paraId="5936B938"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237E8570" w14:textId="544E186B" w:rsidR="009A1C41" w:rsidRPr="00DC5C0D"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vAlign w:val="center"/>
            <w:hideMark/>
          </w:tcPr>
          <w:p w14:paraId="47D1DDCC" w14:textId="77777777" w:rsidR="009A1C41" w:rsidRPr="0064410E" w:rsidRDefault="009A1C41" w:rsidP="00F10308">
            <w:pPr>
              <w:rPr>
                <w:rFonts w:ascii="Arial Narrow" w:hAnsi="Arial Narrow"/>
                <w:sz w:val="20"/>
              </w:rPr>
            </w:pPr>
            <w:r w:rsidRPr="0064410E">
              <w:rPr>
                <w:rFonts w:ascii="Arial Narrow" w:hAnsi="Arial Narrow"/>
                <w:sz w:val="20"/>
              </w:rPr>
              <w:t>The condition must be diagnosed by optical coherence tomography; OR</w:t>
            </w:r>
          </w:p>
        </w:tc>
      </w:tr>
      <w:tr w:rsidR="009A1C41" w:rsidRPr="003557C8" w14:paraId="15E377E8"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236C7894" w14:textId="530B9C96" w:rsidR="009A1C41" w:rsidRPr="00DC5C0D"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vAlign w:val="center"/>
            <w:hideMark/>
          </w:tcPr>
          <w:p w14:paraId="135A9A70" w14:textId="77777777" w:rsidR="009A1C41" w:rsidRPr="0064410E" w:rsidRDefault="009A1C41" w:rsidP="00F10308">
            <w:pPr>
              <w:rPr>
                <w:rFonts w:ascii="Arial Narrow" w:hAnsi="Arial Narrow"/>
                <w:sz w:val="20"/>
              </w:rPr>
            </w:pPr>
            <w:r w:rsidRPr="0064410E">
              <w:rPr>
                <w:rFonts w:ascii="Arial Narrow" w:hAnsi="Arial Narrow"/>
                <w:sz w:val="20"/>
              </w:rPr>
              <w:t>The condition must be diagnosed by fluorescein angiography</w:t>
            </w:r>
          </w:p>
        </w:tc>
      </w:tr>
      <w:tr w:rsidR="009A1C41" w:rsidRPr="003557C8" w14:paraId="630DECC7"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527BC21E" w14:textId="77777777" w:rsidR="009A1C41" w:rsidRPr="00C728CA"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vAlign w:val="center"/>
          </w:tcPr>
          <w:p w14:paraId="70D2D3A2" w14:textId="77777777" w:rsidR="009A1C41" w:rsidRPr="00C728CA" w:rsidRDefault="009A1C41" w:rsidP="00F10308">
            <w:pPr>
              <w:rPr>
                <w:rFonts w:ascii="Arial Narrow" w:hAnsi="Arial Narrow"/>
                <w:sz w:val="20"/>
              </w:rPr>
            </w:pPr>
            <w:r w:rsidRPr="00C728CA">
              <w:rPr>
                <w:rFonts w:ascii="Arial Narrow" w:hAnsi="Arial Narrow"/>
                <w:b/>
                <w:bCs/>
                <w:sz w:val="20"/>
              </w:rPr>
              <w:t>AND</w:t>
            </w:r>
          </w:p>
        </w:tc>
      </w:tr>
      <w:tr w:rsidR="009A1C41" w:rsidRPr="003557C8" w14:paraId="29735236"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2841831C" w14:textId="7F82FD8E" w:rsidR="009A1C41" w:rsidRPr="00C728CA"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vAlign w:val="center"/>
            <w:hideMark/>
          </w:tcPr>
          <w:p w14:paraId="744F8377" w14:textId="77777777" w:rsidR="009A1C41" w:rsidRPr="00C728CA" w:rsidRDefault="009A1C41" w:rsidP="00F10308">
            <w:pPr>
              <w:rPr>
                <w:rFonts w:ascii="Arial Narrow" w:hAnsi="Arial Narrow"/>
                <w:sz w:val="20"/>
              </w:rPr>
            </w:pPr>
            <w:r w:rsidRPr="00C728CA">
              <w:rPr>
                <w:rFonts w:ascii="Arial Narrow" w:hAnsi="Arial Narrow"/>
                <w:b/>
                <w:bCs/>
                <w:sz w:val="20"/>
              </w:rPr>
              <w:t>Clinical criteria:</w:t>
            </w:r>
          </w:p>
        </w:tc>
      </w:tr>
      <w:tr w:rsidR="009A1C41" w:rsidRPr="003557C8" w14:paraId="5192D4B1"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48259D56" w14:textId="5F463356" w:rsidR="009A1C41" w:rsidRPr="00C728CA"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vAlign w:val="center"/>
            <w:hideMark/>
          </w:tcPr>
          <w:p w14:paraId="6611BD2A" w14:textId="77777777" w:rsidR="009A1C41" w:rsidRPr="00C728CA" w:rsidRDefault="009A1C41" w:rsidP="00F10308">
            <w:pPr>
              <w:rPr>
                <w:rFonts w:ascii="Arial Narrow" w:hAnsi="Arial Narrow"/>
                <w:sz w:val="20"/>
              </w:rPr>
            </w:pPr>
            <w:r w:rsidRPr="00C728CA">
              <w:rPr>
                <w:rFonts w:ascii="Arial Narrow" w:hAnsi="Arial Narrow"/>
                <w:sz w:val="20"/>
              </w:rPr>
              <w:t>The treatment must be the sole PBS-subsidised therapy for this condition</w:t>
            </w:r>
          </w:p>
        </w:tc>
      </w:tr>
      <w:tr w:rsidR="009A1C41" w:rsidRPr="003557C8" w14:paraId="4BE55BEE"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08F65B60" w14:textId="77777777" w:rsidR="009A1C41" w:rsidRPr="003557C8" w:rsidRDefault="009A1C41" w:rsidP="00F10308">
            <w:pPr>
              <w:jc w:val="center"/>
              <w:rPr>
                <w:rFonts w:ascii="Arial Narrow" w:hAnsi="Arial Narrow"/>
                <w:strike/>
                <w:sz w:val="20"/>
                <w:highlight w:val="lightGray"/>
              </w:rPr>
            </w:pPr>
          </w:p>
        </w:tc>
        <w:tc>
          <w:tcPr>
            <w:tcW w:w="4452" w:type="pct"/>
            <w:tcBorders>
              <w:top w:val="single" w:sz="4" w:space="0" w:color="auto"/>
              <w:left w:val="single" w:sz="4" w:space="0" w:color="auto"/>
              <w:bottom w:val="single" w:sz="4" w:space="0" w:color="auto"/>
              <w:right w:val="single" w:sz="4" w:space="0" w:color="auto"/>
            </w:tcBorders>
            <w:vAlign w:val="center"/>
            <w:hideMark/>
          </w:tcPr>
          <w:p w14:paraId="6E1C39E1" w14:textId="77777777" w:rsidR="009A1C41" w:rsidRPr="00C728CA" w:rsidRDefault="009A1C41" w:rsidP="00F10308">
            <w:pPr>
              <w:rPr>
                <w:rFonts w:ascii="Arial Narrow" w:hAnsi="Arial Narrow"/>
                <w:sz w:val="20"/>
                <w:highlight w:val="lightGray"/>
              </w:rPr>
            </w:pPr>
            <w:r w:rsidRPr="00C728CA">
              <w:rPr>
                <w:rFonts w:ascii="Arial Narrow" w:hAnsi="Arial Narrow"/>
                <w:b/>
                <w:bCs/>
                <w:sz w:val="20"/>
              </w:rPr>
              <w:t>AND</w:t>
            </w:r>
          </w:p>
        </w:tc>
      </w:tr>
      <w:tr w:rsidR="009A1C41" w:rsidRPr="003557C8" w14:paraId="38BC8648"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3904A895" w14:textId="232C42BC" w:rsidR="009A1C41" w:rsidRPr="000E3FDE" w:rsidRDefault="009A1C41" w:rsidP="00F10308">
            <w:pPr>
              <w:jc w:val="center"/>
              <w:rPr>
                <w:rFonts w:ascii="Arial Narrow" w:hAnsi="Arial Narrow"/>
                <w:iCs/>
                <w:sz w:val="20"/>
              </w:rPr>
            </w:pPr>
          </w:p>
        </w:tc>
        <w:tc>
          <w:tcPr>
            <w:tcW w:w="4452" w:type="pct"/>
            <w:tcBorders>
              <w:top w:val="single" w:sz="4" w:space="0" w:color="auto"/>
              <w:left w:val="single" w:sz="4" w:space="0" w:color="auto"/>
              <w:bottom w:val="single" w:sz="4" w:space="0" w:color="auto"/>
              <w:right w:val="single" w:sz="4" w:space="0" w:color="auto"/>
            </w:tcBorders>
            <w:vAlign w:val="center"/>
            <w:hideMark/>
          </w:tcPr>
          <w:p w14:paraId="02C41DEC" w14:textId="77777777" w:rsidR="009A1C41" w:rsidRPr="0042590D" w:rsidRDefault="009A1C41" w:rsidP="00F10308">
            <w:pPr>
              <w:rPr>
                <w:rFonts w:ascii="Arial Narrow" w:hAnsi="Arial Narrow"/>
                <w:i/>
                <w:sz w:val="20"/>
              </w:rPr>
            </w:pPr>
            <w:r w:rsidRPr="005376FC">
              <w:rPr>
                <w:rFonts w:ascii="Arial Narrow" w:hAnsi="Arial Narrow"/>
                <w:b/>
                <w:bCs/>
                <w:iCs/>
                <w:sz w:val="20"/>
              </w:rPr>
              <w:t>Prescribing Instructions:</w:t>
            </w:r>
            <w:r w:rsidRPr="0042590D">
              <w:rPr>
                <w:rFonts w:ascii="Arial Narrow" w:hAnsi="Arial Narrow"/>
                <w:i/>
                <w:sz w:val="20"/>
              </w:rPr>
              <w:t xml:space="preserve"> </w:t>
            </w:r>
            <w:r w:rsidRPr="000E3FDE">
              <w:rPr>
                <w:rFonts w:ascii="Arial Narrow" w:hAnsi="Arial Narrow"/>
                <w:iCs/>
                <w:sz w:val="20"/>
              </w:rPr>
              <w:t>Authority approval for initial treatment of each eye must be sought</w:t>
            </w:r>
          </w:p>
        </w:tc>
      </w:tr>
      <w:tr w:rsidR="009A1C41" w:rsidRPr="003557C8" w14:paraId="415F2BB7"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hidden/>
        </w:trPr>
        <w:tc>
          <w:tcPr>
            <w:tcW w:w="548" w:type="pct"/>
            <w:tcBorders>
              <w:top w:val="single" w:sz="4" w:space="0" w:color="auto"/>
              <w:left w:val="single" w:sz="4" w:space="0" w:color="auto"/>
              <w:bottom w:val="single" w:sz="4" w:space="0" w:color="auto"/>
              <w:right w:val="single" w:sz="4" w:space="0" w:color="auto"/>
            </w:tcBorders>
            <w:vAlign w:val="center"/>
          </w:tcPr>
          <w:p w14:paraId="26E38F5C" w14:textId="15911055" w:rsidR="009A1C41" w:rsidRPr="003557C8" w:rsidRDefault="009A1C41" w:rsidP="00F10308">
            <w:pPr>
              <w:jc w:val="center"/>
              <w:outlineLvl w:val="4"/>
              <w:rPr>
                <w:rFonts w:ascii="Arial Narrow" w:hAnsi="Arial Narrow"/>
                <w:vanish/>
                <w:sz w:val="20"/>
                <w:highlight w:val="lightGray"/>
              </w:rPr>
            </w:pPr>
          </w:p>
        </w:tc>
        <w:tc>
          <w:tcPr>
            <w:tcW w:w="4452" w:type="pct"/>
            <w:tcBorders>
              <w:top w:val="single" w:sz="4" w:space="0" w:color="auto"/>
              <w:left w:val="single" w:sz="4" w:space="0" w:color="auto"/>
              <w:bottom w:val="single" w:sz="4" w:space="0" w:color="auto"/>
              <w:right w:val="single" w:sz="4" w:space="0" w:color="auto"/>
            </w:tcBorders>
            <w:vAlign w:val="center"/>
            <w:hideMark/>
          </w:tcPr>
          <w:p w14:paraId="02FF9105" w14:textId="77777777" w:rsidR="009A1C41" w:rsidRPr="005376FC" w:rsidRDefault="009A1C41" w:rsidP="00F10308">
            <w:pPr>
              <w:rPr>
                <w:rFonts w:ascii="Arial Narrow" w:hAnsi="Arial Narrow"/>
                <w:iCs/>
                <w:sz w:val="20"/>
              </w:rPr>
            </w:pPr>
            <w:r w:rsidRPr="005376FC">
              <w:rPr>
                <w:rFonts w:ascii="Arial Narrow" w:hAnsi="Arial Narrow"/>
                <w:b/>
                <w:bCs/>
                <w:iCs/>
                <w:sz w:val="20"/>
              </w:rPr>
              <w:t>Prescribing Instructions:</w:t>
            </w:r>
          </w:p>
          <w:p w14:paraId="216B2311" w14:textId="77777777" w:rsidR="009A1C41" w:rsidRPr="0042590D" w:rsidRDefault="009A1C41" w:rsidP="00F10308">
            <w:pPr>
              <w:rPr>
                <w:rFonts w:ascii="Arial Narrow" w:hAnsi="Arial Narrow"/>
                <w:iCs/>
                <w:sz w:val="20"/>
              </w:rPr>
            </w:pPr>
            <w:r w:rsidRPr="0042590D">
              <w:rPr>
                <w:rFonts w:ascii="Arial Narrow" w:hAnsi="Arial Narrow"/>
                <w:iCs/>
                <w:sz w:val="20"/>
              </w:rPr>
              <w:t>The first authority application for each eye must be made via the Online PBS Authorities System (real time assessment) or in writing via HPOS form upload or mail and must include:</w:t>
            </w:r>
          </w:p>
          <w:p w14:paraId="262D0A23" w14:textId="77777777" w:rsidR="009A1C41" w:rsidRPr="0042590D" w:rsidRDefault="009A1C41" w:rsidP="00F10308">
            <w:pPr>
              <w:rPr>
                <w:rFonts w:ascii="Arial Narrow" w:hAnsi="Arial Narrow"/>
                <w:iCs/>
                <w:sz w:val="20"/>
              </w:rPr>
            </w:pPr>
            <w:r w:rsidRPr="007A0B37">
              <w:rPr>
                <w:rFonts w:ascii="Arial Narrow" w:hAnsi="Arial Narrow"/>
                <w:iCs/>
                <w:sz w:val="20"/>
              </w:rPr>
              <w:t xml:space="preserve">(1) </w:t>
            </w:r>
            <w:r w:rsidRPr="0042590D">
              <w:rPr>
                <w:rFonts w:ascii="Arial Narrow" w:hAnsi="Arial Narrow"/>
                <w:iCs/>
                <w:sz w:val="20"/>
              </w:rPr>
              <w:t>Details (date, unique identifying number/code or provider number) of the optical coherence tomography or fluorescein angiogram report.</w:t>
            </w:r>
          </w:p>
          <w:p w14:paraId="28EAABB8" w14:textId="77777777" w:rsidR="009A1C41" w:rsidRPr="0042590D" w:rsidRDefault="009A1C41" w:rsidP="00F10308">
            <w:pPr>
              <w:rPr>
                <w:rFonts w:ascii="Arial Narrow" w:hAnsi="Arial Narrow"/>
                <w:iCs/>
                <w:sz w:val="20"/>
              </w:rPr>
            </w:pPr>
            <w:r w:rsidRPr="0042590D">
              <w:rPr>
                <w:rFonts w:ascii="Arial Narrow" w:hAnsi="Arial Narrow"/>
                <w:iCs/>
                <w:sz w:val="20"/>
              </w:rPr>
              <w:t>If the application is submitted through HPOS form upload or mail, it must include:</w:t>
            </w:r>
          </w:p>
          <w:p w14:paraId="4DCA84DD" w14:textId="3178E4C1" w:rsidR="009A1C41" w:rsidRPr="0042590D" w:rsidRDefault="009A1C41" w:rsidP="00F10308">
            <w:pPr>
              <w:rPr>
                <w:rFonts w:ascii="Arial Narrow" w:hAnsi="Arial Narrow"/>
                <w:iCs/>
                <w:sz w:val="20"/>
              </w:rPr>
            </w:pPr>
            <w:r w:rsidRPr="0042590D">
              <w:rPr>
                <w:rFonts w:ascii="Arial Narrow" w:hAnsi="Arial Narrow"/>
                <w:iCs/>
                <w:sz w:val="20"/>
              </w:rPr>
              <w:t xml:space="preserve">(a) </w:t>
            </w:r>
            <w:r w:rsidR="00153D18" w:rsidRPr="00153D18">
              <w:rPr>
                <w:rFonts w:ascii="Arial Narrow" w:hAnsi="Arial Narrow"/>
                <w:iCs/>
                <w:sz w:val="20"/>
              </w:rPr>
              <w:t>details of the proposed prescription</w:t>
            </w:r>
            <w:r w:rsidRPr="0042590D">
              <w:rPr>
                <w:rFonts w:ascii="Arial Narrow" w:hAnsi="Arial Narrow"/>
                <w:iCs/>
                <w:sz w:val="20"/>
              </w:rPr>
              <w:t>; and</w:t>
            </w:r>
          </w:p>
          <w:p w14:paraId="6D57F603" w14:textId="77777777" w:rsidR="009A1C41" w:rsidRPr="0042590D" w:rsidRDefault="009A1C41" w:rsidP="00F10308">
            <w:pPr>
              <w:rPr>
                <w:rFonts w:ascii="Arial Narrow" w:hAnsi="Arial Narrow"/>
                <w:iCs/>
                <w:sz w:val="20"/>
              </w:rPr>
            </w:pPr>
            <w:r w:rsidRPr="0042590D">
              <w:rPr>
                <w:rFonts w:ascii="Arial Narrow" w:hAnsi="Arial Narrow"/>
                <w:iCs/>
                <w:sz w:val="20"/>
              </w:rPr>
              <w:t>(b) A completed authority application form relevant to the indication and treatment phase (the latest version is located on the website specified in the Administrative Advice).</w:t>
            </w:r>
          </w:p>
          <w:p w14:paraId="6285C839" w14:textId="77777777" w:rsidR="009A1C41" w:rsidRPr="003557C8" w:rsidRDefault="009A1C41" w:rsidP="00F10308">
            <w:pPr>
              <w:rPr>
                <w:rFonts w:ascii="Arial Narrow" w:hAnsi="Arial Narrow"/>
                <w:i/>
                <w:sz w:val="20"/>
                <w:highlight w:val="lightGray"/>
              </w:rPr>
            </w:pPr>
            <w:r w:rsidRPr="0042590D">
              <w:rPr>
                <w:rFonts w:ascii="Arial Narrow" w:hAnsi="Arial Narrow"/>
                <w:iCs/>
                <w:sz w:val="20"/>
              </w:rPr>
              <w:t>All reports must be documented in the patient's medical records.</w:t>
            </w:r>
          </w:p>
        </w:tc>
      </w:tr>
      <w:tr w:rsidR="009A1C41" w:rsidRPr="003557C8" w14:paraId="43193046"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right w:val="single" w:sz="4" w:space="0" w:color="auto"/>
            </w:tcBorders>
            <w:vAlign w:val="center"/>
          </w:tcPr>
          <w:p w14:paraId="572C8595" w14:textId="77777777" w:rsidR="009A1C41" w:rsidRPr="005376FC" w:rsidRDefault="009A1C41" w:rsidP="001F0728">
            <w:pPr>
              <w:jc w:val="center"/>
              <w:outlineLvl w:val="4"/>
              <w:rPr>
                <w:rFonts w:ascii="Arial Narrow" w:hAnsi="Arial Narrow"/>
                <w:sz w:val="20"/>
              </w:rPr>
            </w:pPr>
          </w:p>
        </w:tc>
        <w:tc>
          <w:tcPr>
            <w:tcW w:w="4452" w:type="pct"/>
            <w:tcBorders>
              <w:top w:val="single" w:sz="4" w:space="0" w:color="auto"/>
              <w:left w:val="single" w:sz="4" w:space="0" w:color="auto"/>
              <w:right w:val="single" w:sz="4" w:space="0" w:color="auto"/>
            </w:tcBorders>
            <w:vAlign w:val="center"/>
          </w:tcPr>
          <w:p w14:paraId="620D9273" w14:textId="77777777" w:rsidR="009A1C41" w:rsidRPr="005376FC" w:rsidRDefault="009A1C41" w:rsidP="00F10308">
            <w:pPr>
              <w:rPr>
                <w:rFonts w:ascii="Arial Narrow" w:hAnsi="Arial Narrow"/>
                <w:sz w:val="20"/>
              </w:rPr>
            </w:pPr>
            <w:r w:rsidRPr="005376FC">
              <w:rPr>
                <w:rFonts w:ascii="Arial Narrow" w:hAnsi="Arial Narrow"/>
                <w:b/>
                <w:bCs/>
                <w:sz w:val="20"/>
              </w:rPr>
              <w:t>Administrative Advice:</w:t>
            </w:r>
          </w:p>
          <w:p w14:paraId="6F490256" w14:textId="77777777" w:rsidR="0002363C" w:rsidRPr="0002363C" w:rsidRDefault="009A1C41" w:rsidP="00F10308">
            <w:pPr>
              <w:rPr>
                <w:rFonts w:ascii="Arial Narrow" w:hAnsi="Arial Narrow"/>
                <w:sz w:val="20"/>
              </w:rPr>
            </w:pPr>
            <w:r w:rsidRPr="005376FC">
              <w:rPr>
                <w:rFonts w:ascii="Arial Narrow" w:hAnsi="Arial Narrow"/>
                <w:sz w:val="20"/>
              </w:rPr>
              <w:t>Any queries concerning the arrangements to prescribe may be directed to the Services Australia on 1800 700 270 (hours of operation 8 a.m. to 5 p.m. Monday to Friday).</w:t>
            </w:r>
          </w:p>
          <w:p w14:paraId="0D71ADDB" w14:textId="77777777" w:rsidR="0002363C" w:rsidRPr="0002363C" w:rsidRDefault="0002363C" w:rsidP="00F10308">
            <w:pPr>
              <w:rPr>
                <w:rFonts w:ascii="Arial Narrow" w:hAnsi="Arial Narrow"/>
                <w:sz w:val="20"/>
              </w:rPr>
            </w:pPr>
            <w:r w:rsidRPr="0002363C">
              <w:rPr>
                <w:rFonts w:ascii="Arial Narrow" w:hAnsi="Arial Narrow"/>
                <w:sz w:val="20"/>
              </w:rPr>
              <w:t xml:space="preserve"> </w:t>
            </w:r>
          </w:p>
          <w:p w14:paraId="6B8BEB29" w14:textId="5EEB8C49" w:rsidR="009A1C41" w:rsidRPr="005376FC" w:rsidRDefault="009A1C41" w:rsidP="00F10308">
            <w:pPr>
              <w:rPr>
                <w:rFonts w:ascii="Arial Narrow" w:hAnsi="Arial Narrow"/>
                <w:sz w:val="20"/>
              </w:rPr>
            </w:pPr>
            <w:r w:rsidRPr="005376FC">
              <w:rPr>
                <w:rFonts w:ascii="Arial Narrow" w:hAnsi="Arial Narrow"/>
                <w:sz w:val="20"/>
              </w:rPr>
              <w:t xml:space="preserve">Prescribing information (including Authority Application forms and other relevant documentation as applicable) is available on the Services Australia website at </w:t>
            </w:r>
            <w:hyperlink r:id="rId15" w:history="1">
              <w:r w:rsidRPr="005376FC">
                <w:rPr>
                  <w:rStyle w:val="Hyperlink"/>
                  <w:rFonts w:ascii="Arial Narrow" w:hAnsi="Arial Narrow"/>
                  <w:sz w:val="20"/>
                </w:rPr>
                <w:t>servicesaustralia.gov.au</w:t>
              </w:r>
            </w:hyperlink>
          </w:p>
          <w:p w14:paraId="71C97B1A" w14:textId="77777777" w:rsidR="009A1C41" w:rsidRPr="005376FC" w:rsidRDefault="009A1C41" w:rsidP="00F10308">
            <w:pPr>
              <w:rPr>
                <w:rFonts w:ascii="Arial Narrow" w:hAnsi="Arial Narrow"/>
                <w:sz w:val="20"/>
              </w:rPr>
            </w:pPr>
          </w:p>
          <w:p w14:paraId="59849459" w14:textId="77777777" w:rsidR="009A1C41" w:rsidRPr="005376FC" w:rsidRDefault="009A1C41" w:rsidP="00F10308">
            <w:pPr>
              <w:rPr>
                <w:rFonts w:ascii="Arial Narrow" w:hAnsi="Arial Narrow"/>
                <w:color w:val="333333"/>
                <w:sz w:val="20"/>
                <w:lang w:eastAsia="en-AU"/>
              </w:rPr>
            </w:pPr>
            <w:r w:rsidRPr="005376FC">
              <w:rPr>
                <w:rFonts w:ascii="Arial Narrow" w:hAnsi="Arial Narrow"/>
                <w:color w:val="333333"/>
                <w:sz w:val="20"/>
                <w:lang w:eastAsia="en-AU"/>
              </w:rPr>
              <w:t xml:space="preserve">Applications for authorisation under this restriction should be made in real time using the Online PBS Authorities system (see </w:t>
            </w:r>
            <w:hyperlink r:id="rId16" w:history="1">
              <w:r w:rsidRPr="005376FC">
                <w:rPr>
                  <w:rStyle w:val="Hyperlink"/>
                  <w:rFonts w:ascii="Arial Narrow" w:hAnsi="Arial Narrow"/>
                  <w:sz w:val="20"/>
                  <w:lang w:eastAsia="en-AU"/>
                </w:rPr>
                <w:t>www.servicesaustralia.gov.au/hpos</w:t>
              </w:r>
            </w:hyperlink>
            <w:r w:rsidRPr="005376FC">
              <w:rPr>
                <w:rFonts w:ascii="Arial Narrow" w:hAnsi="Arial Narrow"/>
                <w:color w:val="333333"/>
                <w:sz w:val="20"/>
                <w:lang w:eastAsia="en-AU"/>
              </w:rPr>
              <w:t xml:space="preserve">) </w:t>
            </w:r>
          </w:p>
          <w:p w14:paraId="4E3BF691" w14:textId="77777777" w:rsidR="009A1C41" w:rsidRPr="005376FC" w:rsidRDefault="009A1C41" w:rsidP="00F10308">
            <w:pPr>
              <w:rPr>
                <w:rFonts w:ascii="Arial Narrow" w:hAnsi="Arial Narrow"/>
                <w:sz w:val="20"/>
              </w:rPr>
            </w:pPr>
          </w:p>
          <w:p w14:paraId="6D6F0984" w14:textId="77777777" w:rsidR="009A1C41" w:rsidRPr="005376FC" w:rsidRDefault="009A1C41" w:rsidP="00F10308">
            <w:pPr>
              <w:rPr>
                <w:rFonts w:ascii="Arial Narrow" w:hAnsi="Arial Narrow"/>
                <w:bCs/>
                <w:sz w:val="20"/>
              </w:rPr>
            </w:pPr>
            <w:r w:rsidRPr="005376FC">
              <w:rPr>
                <w:rFonts w:ascii="Arial Narrow" w:hAnsi="Arial Narrow"/>
                <w:sz w:val="20"/>
              </w:rPr>
              <w:t>Alternatively, applications for authority to prescribe should be submitted online using the form upload facility in Health Professional Online Services (HPOS)</w:t>
            </w:r>
            <w:r w:rsidRPr="005376FC">
              <w:rPr>
                <w:rFonts w:ascii="Arial Narrow" w:hAnsi="Arial Narrow"/>
                <w:bCs/>
                <w:sz w:val="20"/>
              </w:rPr>
              <w:t xml:space="preserve"> at www.servicesaustralia.gov.au/hpos </w:t>
            </w:r>
          </w:p>
          <w:p w14:paraId="57CCFBEC" w14:textId="77777777" w:rsidR="009A1C41" w:rsidRPr="005376FC" w:rsidRDefault="009A1C41" w:rsidP="00F10308">
            <w:pPr>
              <w:rPr>
                <w:rFonts w:ascii="Arial Narrow" w:hAnsi="Arial Narrow"/>
                <w:bCs/>
                <w:sz w:val="20"/>
              </w:rPr>
            </w:pPr>
          </w:p>
          <w:p w14:paraId="6DE96705" w14:textId="77777777" w:rsidR="009A1C41" w:rsidRPr="005376FC" w:rsidRDefault="009A1C41" w:rsidP="00F10308">
            <w:pPr>
              <w:rPr>
                <w:rFonts w:ascii="Arial Narrow" w:hAnsi="Arial Narrow"/>
                <w:sz w:val="20"/>
              </w:rPr>
            </w:pPr>
            <w:r w:rsidRPr="005376FC">
              <w:rPr>
                <w:rFonts w:ascii="Arial Narrow" w:hAnsi="Arial Narrow"/>
                <w:sz w:val="20"/>
              </w:rPr>
              <w:t>Or mailed to:</w:t>
            </w:r>
          </w:p>
          <w:p w14:paraId="2E22264D" w14:textId="77777777" w:rsidR="009A1C41" w:rsidRPr="005376FC" w:rsidRDefault="009A1C41" w:rsidP="00F10308">
            <w:pPr>
              <w:rPr>
                <w:rFonts w:ascii="Arial Narrow" w:hAnsi="Arial Narrow"/>
                <w:sz w:val="20"/>
              </w:rPr>
            </w:pPr>
            <w:r w:rsidRPr="005376FC">
              <w:rPr>
                <w:rFonts w:ascii="Arial Narrow" w:hAnsi="Arial Narrow"/>
                <w:sz w:val="20"/>
              </w:rPr>
              <w:t>Services Australia</w:t>
            </w:r>
          </w:p>
          <w:p w14:paraId="6F2418A2" w14:textId="77777777" w:rsidR="009A1C41" w:rsidRPr="005376FC" w:rsidRDefault="009A1C41" w:rsidP="00F10308">
            <w:pPr>
              <w:rPr>
                <w:rFonts w:ascii="Arial Narrow" w:hAnsi="Arial Narrow"/>
                <w:sz w:val="20"/>
              </w:rPr>
            </w:pPr>
            <w:r w:rsidRPr="005376FC">
              <w:rPr>
                <w:rFonts w:ascii="Arial Narrow" w:hAnsi="Arial Narrow"/>
                <w:sz w:val="20"/>
              </w:rPr>
              <w:t xml:space="preserve">Complex Drugs </w:t>
            </w:r>
          </w:p>
          <w:p w14:paraId="56D1F5B0" w14:textId="77777777" w:rsidR="009A1C41" w:rsidRPr="005376FC" w:rsidRDefault="009A1C41" w:rsidP="00F10308">
            <w:pPr>
              <w:rPr>
                <w:rFonts w:ascii="Arial Narrow" w:hAnsi="Arial Narrow"/>
                <w:sz w:val="20"/>
              </w:rPr>
            </w:pPr>
            <w:r w:rsidRPr="005376FC">
              <w:rPr>
                <w:rFonts w:ascii="Arial Narrow" w:hAnsi="Arial Narrow"/>
                <w:sz w:val="20"/>
              </w:rPr>
              <w:t xml:space="preserve">Reply Paid 9826 </w:t>
            </w:r>
          </w:p>
          <w:p w14:paraId="4FCB3E13" w14:textId="77777777" w:rsidR="009A1C41" w:rsidRPr="005376FC" w:rsidRDefault="009A1C41" w:rsidP="00F10308">
            <w:pPr>
              <w:rPr>
                <w:rFonts w:ascii="Arial Narrow" w:hAnsi="Arial Narrow"/>
                <w:b/>
                <w:bCs/>
                <w:strike/>
                <w:sz w:val="20"/>
              </w:rPr>
            </w:pPr>
            <w:r w:rsidRPr="005376FC">
              <w:rPr>
                <w:rFonts w:ascii="Arial Narrow" w:hAnsi="Arial Narrow"/>
                <w:sz w:val="20"/>
              </w:rPr>
              <w:t>HOBART TAS 7001</w:t>
            </w:r>
          </w:p>
        </w:tc>
      </w:tr>
      <w:tr w:rsidR="009A1C41" w:rsidRPr="003557C8" w14:paraId="6781031E"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85DD14F" w14:textId="61B21E2B" w:rsidR="009A1C41" w:rsidRPr="00E65F04"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shd w:val="clear" w:color="auto" w:fill="auto"/>
            <w:vAlign w:val="center"/>
          </w:tcPr>
          <w:p w14:paraId="0233A26A" w14:textId="77777777" w:rsidR="009A1C41" w:rsidRDefault="009A1C41" w:rsidP="00F10308">
            <w:pPr>
              <w:rPr>
                <w:rFonts w:ascii="Arial Narrow" w:hAnsi="Arial Narrow"/>
                <w:sz w:val="20"/>
              </w:rPr>
            </w:pPr>
            <w:r w:rsidRPr="00E65F04">
              <w:rPr>
                <w:rFonts w:ascii="Arial Narrow" w:hAnsi="Arial Narrow"/>
                <w:b/>
                <w:bCs/>
                <w:sz w:val="20"/>
              </w:rPr>
              <w:t>Administrative Advice:</w:t>
            </w:r>
            <w:r w:rsidRPr="00E65F04">
              <w:rPr>
                <w:rFonts w:ascii="Arial Narrow" w:hAnsi="Arial Narrow"/>
                <w:sz w:val="20"/>
              </w:rPr>
              <w:t xml:space="preserve"> </w:t>
            </w:r>
          </w:p>
          <w:p w14:paraId="11EA6067" w14:textId="77777777" w:rsidR="009A1C41" w:rsidRPr="00E65F04" w:rsidRDefault="009A1C41" w:rsidP="00F10308">
            <w:pPr>
              <w:rPr>
                <w:rFonts w:ascii="Arial Narrow" w:hAnsi="Arial Narrow"/>
                <w:b/>
                <w:bCs/>
                <w:sz w:val="20"/>
              </w:rPr>
            </w:pPr>
            <w:r w:rsidRPr="00E65F04">
              <w:rPr>
                <w:rFonts w:ascii="Arial Narrow" w:hAnsi="Arial Narrow"/>
                <w:sz w:val="20"/>
              </w:rPr>
              <w:t>Special Pricing Arrangements apply</w:t>
            </w:r>
          </w:p>
        </w:tc>
      </w:tr>
      <w:tr w:rsidR="009A1C41" w:rsidRPr="003557C8" w14:paraId="58588303"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B61937A" w14:textId="093C4B77" w:rsidR="009A1C41" w:rsidRPr="00E65F04"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shd w:val="clear" w:color="auto" w:fill="auto"/>
            <w:vAlign w:val="center"/>
          </w:tcPr>
          <w:p w14:paraId="496399A5" w14:textId="77777777" w:rsidR="009A1C41" w:rsidRPr="00E65F04" w:rsidRDefault="009A1C41" w:rsidP="00F10308">
            <w:pPr>
              <w:rPr>
                <w:rFonts w:ascii="Arial Narrow" w:hAnsi="Arial Narrow"/>
                <w:b/>
                <w:bCs/>
                <w:sz w:val="20"/>
              </w:rPr>
            </w:pPr>
            <w:r w:rsidRPr="00E65F04">
              <w:rPr>
                <w:rFonts w:ascii="Arial Narrow" w:hAnsi="Arial Narrow"/>
                <w:b/>
                <w:bCs/>
                <w:sz w:val="20"/>
              </w:rPr>
              <w:t>Administrative Advice:</w:t>
            </w:r>
          </w:p>
          <w:p w14:paraId="0D0A1F1E" w14:textId="77777777" w:rsidR="009A1C41" w:rsidRPr="00E65F04" w:rsidRDefault="009A1C41" w:rsidP="00F10308">
            <w:pPr>
              <w:rPr>
                <w:rFonts w:ascii="Arial Narrow" w:hAnsi="Arial Narrow"/>
                <w:bCs/>
                <w:sz w:val="20"/>
              </w:rPr>
            </w:pPr>
            <w:bookmarkStart w:id="64" w:name="_Hlk93501068"/>
            <w:r w:rsidRPr="00E65F04">
              <w:rPr>
                <w:rFonts w:ascii="Arial Narrow" w:hAnsi="Arial Narrow"/>
                <w:bCs/>
                <w:sz w:val="20"/>
              </w:rPr>
              <w:t>No increase in the maximum number of repeats may be authorised</w:t>
            </w:r>
            <w:bookmarkEnd w:id="64"/>
          </w:p>
        </w:tc>
      </w:tr>
      <w:tr w:rsidR="009A1C41" w:rsidRPr="003557C8" w14:paraId="6A1EDF3A"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6A6DE02" w14:textId="6927C0A9" w:rsidR="009A1C41" w:rsidRPr="00E65F04" w:rsidRDefault="009A1C41" w:rsidP="00F10308">
            <w:pPr>
              <w:jc w:val="center"/>
              <w:rPr>
                <w:rFonts w:ascii="Arial Narrow" w:hAnsi="Arial Narrow"/>
                <w:sz w:val="20"/>
                <w:highlight w:val="lightGray"/>
              </w:rPr>
            </w:pPr>
          </w:p>
        </w:tc>
        <w:tc>
          <w:tcPr>
            <w:tcW w:w="4452" w:type="pct"/>
            <w:tcBorders>
              <w:top w:val="single" w:sz="4" w:space="0" w:color="auto"/>
              <w:left w:val="single" w:sz="4" w:space="0" w:color="auto"/>
              <w:bottom w:val="single" w:sz="4" w:space="0" w:color="auto"/>
              <w:right w:val="single" w:sz="4" w:space="0" w:color="auto"/>
            </w:tcBorders>
            <w:shd w:val="clear" w:color="auto" w:fill="auto"/>
            <w:vAlign w:val="center"/>
          </w:tcPr>
          <w:p w14:paraId="5A9FDD59" w14:textId="77777777" w:rsidR="009A1C41" w:rsidRPr="00E65F04" w:rsidRDefault="009A1C41" w:rsidP="00F10308">
            <w:pPr>
              <w:rPr>
                <w:rFonts w:ascii="Arial Narrow" w:hAnsi="Arial Narrow"/>
                <w:bCs/>
                <w:sz w:val="20"/>
                <w:lang w:val="en-GB"/>
              </w:rPr>
            </w:pPr>
            <w:r w:rsidRPr="00E65F04">
              <w:rPr>
                <w:rFonts w:ascii="Arial Narrow" w:hAnsi="Arial Narrow"/>
                <w:b/>
                <w:bCs/>
                <w:sz w:val="20"/>
              </w:rPr>
              <w:t>Administrative Advice:</w:t>
            </w:r>
          </w:p>
          <w:p w14:paraId="41FB8B61" w14:textId="77777777" w:rsidR="009A1C41" w:rsidRPr="00E65F04" w:rsidRDefault="009A1C41" w:rsidP="00F10308">
            <w:pPr>
              <w:rPr>
                <w:rFonts w:ascii="Arial Narrow" w:hAnsi="Arial Narrow"/>
                <w:bCs/>
                <w:sz w:val="20"/>
                <w:highlight w:val="lightGray"/>
                <w:lang w:val="en-GB"/>
              </w:rPr>
            </w:pPr>
            <w:r w:rsidRPr="00E65F04">
              <w:rPr>
                <w:rFonts w:ascii="Arial Narrow" w:hAnsi="Arial Narrow"/>
                <w:bCs/>
                <w:sz w:val="20"/>
                <w:lang w:val="en-GB"/>
              </w:rPr>
              <w:t>No increase in the maximum quantity or number of units may be authorised for applications for treatment of one eye.</w:t>
            </w:r>
          </w:p>
        </w:tc>
      </w:tr>
      <w:tr w:rsidR="009A1C41" w:rsidRPr="003557C8" w14:paraId="6120F501"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D66AFDA" w14:textId="35170895" w:rsidR="009A1C41" w:rsidRPr="00E65F04"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shd w:val="clear" w:color="auto" w:fill="auto"/>
            <w:vAlign w:val="center"/>
          </w:tcPr>
          <w:p w14:paraId="27751ABC" w14:textId="77777777" w:rsidR="009A1C41" w:rsidRPr="00E65F04" w:rsidRDefault="009A1C41" w:rsidP="00F10308">
            <w:pPr>
              <w:rPr>
                <w:rFonts w:ascii="Arial Narrow" w:hAnsi="Arial Narrow"/>
                <w:b/>
                <w:sz w:val="20"/>
                <w:lang w:val="en-GB"/>
              </w:rPr>
            </w:pPr>
            <w:r w:rsidRPr="00E65F04">
              <w:rPr>
                <w:rFonts w:ascii="Arial Narrow" w:hAnsi="Arial Narrow"/>
                <w:b/>
                <w:sz w:val="20"/>
                <w:lang w:val="en-GB"/>
              </w:rPr>
              <w:t>Administrative Advice:</w:t>
            </w:r>
          </w:p>
          <w:p w14:paraId="528F5E49" w14:textId="77777777" w:rsidR="009A1C41" w:rsidRPr="005376FC" w:rsidRDefault="009A1C41" w:rsidP="00F10308">
            <w:pPr>
              <w:rPr>
                <w:rFonts w:ascii="Arial Narrow" w:hAnsi="Arial Narrow"/>
                <w:b/>
                <w:bCs/>
                <w:sz w:val="20"/>
              </w:rPr>
            </w:pPr>
            <w:r w:rsidRPr="005376FC">
              <w:rPr>
                <w:rFonts w:ascii="Arial Narrow" w:hAnsi="Arial Narrow"/>
                <w:sz w:val="20"/>
                <w:lang w:val="en-GB"/>
              </w:rPr>
              <w:t>Where both eyes are affected by the condition, a quantity of 2 units can be requested through the same authority application</w:t>
            </w:r>
          </w:p>
        </w:tc>
      </w:tr>
    </w:tbl>
    <w:p w14:paraId="48640313" w14:textId="77777777" w:rsidR="009A1C41" w:rsidRPr="003557C8" w:rsidRDefault="009A1C41" w:rsidP="00C1160D">
      <w:pPr>
        <w:pStyle w:val="Bodytextitalics"/>
        <w:keepNext/>
        <w:keepLines/>
        <w:spacing w:after="0"/>
        <w:rPr>
          <w:rFonts w:ascii="Arial Narrow" w:hAnsi="Arial Narrow"/>
          <w:b/>
          <w:i w:val="0"/>
          <w:sz w:val="20"/>
          <w:szCs w:val="20"/>
          <w:highlight w:val="lightGra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8029"/>
      </w:tblGrid>
      <w:tr w:rsidR="009A1C41" w:rsidRPr="003557C8" w14:paraId="2161B6B0" w14:textId="77777777" w:rsidTr="00C1160D">
        <w:trPr>
          <w:trHeight w:val="20"/>
        </w:trPr>
        <w:tc>
          <w:tcPr>
            <w:tcW w:w="548" w:type="pct"/>
            <w:tcBorders>
              <w:top w:val="single" w:sz="4" w:space="0" w:color="auto"/>
              <w:left w:val="single" w:sz="4" w:space="0" w:color="auto"/>
              <w:bottom w:val="single" w:sz="4" w:space="0" w:color="auto"/>
              <w:right w:val="single" w:sz="4" w:space="0" w:color="auto"/>
            </w:tcBorders>
          </w:tcPr>
          <w:p w14:paraId="3FD6D654" w14:textId="77777777" w:rsidR="009A1C41" w:rsidRPr="00C31A79" w:rsidRDefault="009A1C41" w:rsidP="00F10308">
            <w:pPr>
              <w:keepNext/>
              <w:keepLines/>
              <w:jc w:val="center"/>
              <w:rPr>
                <w:rFonts w:ascii="Arial Narrow" w:hAnsi="Arial Narrow"/>
                <w:b/>
                <w:sz w:val="20"/>
              </w:rPr>
            </w:pPr>
            <w:r w:rsidRPr="00C31A79">
              <w:rPr>
                <w:rFonts w:ascii="Arial Narrow" w:hAnsi="Arial Narrow"/>
                <w:b/>
                <w:sz w:val="20"/>
              </w:rPr>
              <w:t>Concept ID</w:t>
            </w:r>
          </w:p>
        </w:tc>
        <w:tc>
          <w:tcPr>
            <w:tcW w:w="4452" w:type="pct"/>
            <w:tcBorders>
              <w:top w:val="single" w:sz="4" w:space="0" w:color="auto"/>
              <w:left w:val="single" w:sz="4" w:space="0" w:color="auto"/>
              <w:bottom w:val="single" w:sz="4" w:space="0" w:color="auto"/>
              <w:right w:val="single" w:sz="4" w:space="0" w:color="auto"/>
            </w:tcBorders>
          </w:tcPr>
          <w:p w14:paraId="2FE939F8" w14:textId="77777777" w:rsidR="009A1C41" w:rsidRPr="00C31A79" w:rsidRDefault="009A1C41" w:rsidP="00F10308">
            <w:pPr>
              <w:keepNext/>
              <w:keepLines/>
              <w:rPr>
                <w:rFonts w:ascii="Arial Narrow" w:hAnsi="Arial Narrow"/>
                <w:sz w:val="20"/>
              </w:rPr>
            </w:pPr>
            <w:r w:rsidRPr="00C31A79">
              <w:rPr>
                <w:rFonts w:ascii="Arial Narrow" w:hAnsi="Arial Narrow"/>
                <w:b/>
                <w:sz w:val="20"/>
              </w:rPr>
              <w:t xml:space="preserve">Category / Program:   </w:t>
            </w:r>
            <w:r w:rsidRPr="00C31A79">
              <w:rPr>
                <w:rFonts w:ascii="Arial Narrow" w:hAnsi="Arial Narrow"/>
                <w:sz w:val="20"/>
              </w:rPr>
              <w:t xml:space="preserve">GENERAL – General Schedule (Code GE) </w:t>
            </w:r>
          </w:p>
        </w:tc>
      </w:tr>
      <w:tr w:rsidR="009A1C41" w:rsidRPr="003557C8" w14:paraId="139C2A30" w14:textId="77777777" w:rsidTr="00C1160D">
        <w:trPr>
          <w:trHeight w:val="20"/>
        </w:trPr>
        <w:tc>
          <w:tcPr>
            <w:tcW w:w="548" w:type="pct"/>
            <w:tcBorders>
              <w:top w:val="single" w:sz="4" w:space="0" w:color="auto"/>
              <w:left w:val="single" w:sz="4" w:space="0" w:color="auto"/>
              <w:bottom w:val="single" w:sz="4" w:space="0" w:color="auto"/>
              <w:right w:val="single" w:sz="4" w:space="0" w:color="auto"/>
            </w:tcBorders>
          </w:tcPr>
          <w:p w14:paraId="3CAA3E60" w14:textId="77777777" w:rsidR="009A1C41" w:rsidRPr="00C31A79" w:rsidRDefault="009A1C41" w:rsidP="00F10308">
            <w:pPr>
              <w:keepNext/>
              <w:keepLines/>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tcPr>
          <w:p w14:paraId="6A27CACE" w14:textId="77777777" w:rsidR="009A1C41" w:rsidRPr="00C31A79" w:rsidRDefault="009A1C41" w:rsidP="00F10308">
            <w:pPr>
              <w:keepNext/>
              <w:keepLines/>
              <w:rPr>
                <w:rFonts w:ascii="Arial Narrow" w:hAnsi="Arial Narrow"/>
                <w:b/>
                <w:sz w:val="20"/>
              </w:rPr>
            </w:pPr>
            <w:r w:rsidRPr="00C31A79">
              <w:rPr>
                <w:rFonts w:ascii="Arial Narrow" w:hAnsi="Arial Narrow"/>
                <w:b/>
                <w:sz w:val="20"/>
              </w:rPr>
              <w:t xml:space="preserve">Prescriber type:  </w:t>
            </w:r>
            <w:r w:rsidRPr="00C31A79">
              <w:rPr>
                <w:rFonts w:ascii="Arial Narrow" w:hAnsi="Arial Narrow"/>
                <w:sz w:val="20"/>
              </w:rPr>
              <w:fldChar w:fldCharType="begin" w:fldLock="1">
                <w:ffData>
                  <w:name w:val=""/>
                  <w:enabled/>
                  <w:calcOnExit w:val="0"/>
                  <w:checkBox>
                    <w:sizeAuto/>
                    <w:default w:val="1"/>
                  </w:checkBox>
                </w:ffData>
              </w:fldChar>
            </w:r>
            <w:r w:rsidRPr="00C31A79">
              <w:rPr>
                <w:rFonts w:ascii="Arial Narrow" w:hAnsi="Arial Narrow"/>
                <w:sz w:val="20"/>
              </w:rPr>
              <w:instrText xml:space="preserve"> FORMCHECKBOX </w:instrText>
            </w:r>
            <w:r w:rsidR="001910DB">
              <w:rPr>
                <w:rFonts w:ascii="Arial Narrow" w:hAnsi="Arial Narrow"/>
                <w:sz w:val="20"/>
              </w:rPr>
            </w:r>
            <w:r w:rsidR="001910DB">
              <w:rPr>
                <w:rFonts w:ascii="Arial Narrow" w:hAnsi="Arial Narrow"/>
                <w:sz w:val="20"/>
              </w:rPr>
              <w:fldChar w:fldCharType="separate"/>
            </w:r>
            <w:r w:rsidRPr="00C31A79">
              <w:rPr>
                <w:rFonts w:ascii="Arial Narrow" w:hAnsi="Arial Narrow"/>
                <w:sz w:val="20"/>
              </w:rPr>
              <w:fldChar w:fldCharType="end"/>
            </w:r>
            <w:r w:rsidRPr="00C31A79">
              <w:rPr>
                <w:rFonts w:ascii="Arial Narrow" w:hAnsi="Arial Narrow"/>
                <w:sz w:val="20"/>
              </w:rPr>
              <w:t>Medical Practitioners</w:t>
            </w:r>
          </w:p>
        </w:tc>
      </w:tr>
      <w:tr w:rsidR="009A1C41" w:rsidRPr="003557C8" w14:paraId="31AFD665" w14:textId="77777777" w:rsidTr="00C1160D">
        <w:trPr>
          <w:trHeight w:val="20"/>
        </w:trPr>
        <w:tc>
          <w:tcPr>
            <w:tcW w:w="548" w:type="pct"/>
            <w:tcBorders>
              <w:top w:val="single" w:sz="4" w:space="0" w:color="auto"/>
              <w:left w:val="single" w:sz="4" w:space="0" w:color="auto"/>
              <w:bottom w:val="single" w:sz="4" w:space="0" w:color="auto"/>
              <w:right w:val="single" w:sz="4" w:space="0" w:color="auto"/>
            </w:tcBorders>
          </w:tcPr>
          <w:p w14:paraId="690B35BF" w14:textId="77777777" w:rsidR="009A1C41" w:rsidRPr="00C31A79" w:rsidRDefault="009A1C41" w:rsidP="00F10308">
            <w:pPr>
              <w:keepNext/>
              <w:keepLines/>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tcPr>
          <w:p w14:paraId="6E19D712" w14:textId="77777777" w:rsidR="009A1C41" w:rsidRPr="007022F4" w:rsidRDefault="009A1C41" w:rsidP="00F10308">
            <w:pPr>
              <w:keepNext/>
              <w:keepLines/>
              <w:rPr>
                <w:rFonts w:ascii="Arial Narrow" w:hAnsi="Arial Narrow"/>
                <w:b/>
                <w:sz w:val="20"/>
              </w:rPr>
            </w:pPr>
            <w:r w:rsidRPr="007022F4">
              <w:rPr>
                <w:rFonts w:ascii="Arial Narrow" w:hAnsi="Arial Narrow"/>
                <w:b/>
                <w:sz w:val="20"/>
              </w:rPr>
              <w:t>Restriction Level / Method:</w:t>
            </w:r>
          </w:p>
          <w:p w14:paraId="705CC2F3" w14:textId="77777777" w:rsidR="009A1C41" w:rsidRPr="007022F4" w:rsidRDefault="009A1C41" w:rsidP="00F10308">
            <w:pPr>
              <w:keepNext/>
              <w:keepLines/>
              <w:rPr>
                <w:rFonts w:ascii="Arial Narrow" w:hAnsi="Arial Narrow"/>
                <w:sz w:val="20"/>
              </w:rPr>
            </w:pPr>
            <w:r w:rsidRPr="007022F4">
              <w:rPr>
                <w:rFonts w:ascii="Arial Narrow" w:hAnsi="Arial Narrow"/>
                <w:sz w:val="20"/>
              </w:rPr>
              <w:fldChar w:fldCharType="begin" w:fldLock="1">
                <w:ffData>
                  <w:name w:val="Check3"/>
                  <w:enabled/>
                  <w:calcOnExit w:val="0"/>
                  <w:checkBox>
                    <w:sizeAuto/>
                    <w:default w:val="1"/>
                  </w:checkBox>
                </w:ffData>
              </w:fldChar>
            </w:r>
            <w:r w:rsidRPr="007022F4">
              <w:rPr>
                <w:rFonts w:ascii="Arial Narrow" w:hAnsi="Arial Narrow"/>
                <w:sz w:val="20"/>
              </w:rPr>
              <w:instrText xml:space="preserve"> FORMCHECKBOX </w:instrText>
            </w:r>
            <w:r w:rsidR="001910DB">
              <w:rPr>
                <w:rFonts w:ascii="Arial Narrow" w:hAnsi="Arial Narrow"/>
                <w:sz w:val="20"/>
              </w:rPr>
            </w:r>
            <w:r w:rsidR="001910DB">
              <w:rPr>
                <w:rFonts w:ascii="Arial Narrow" w:hAnsi="Arial Narrow"/>
                <w:sz w:val="20"/>
              </w:rPr>
              <w:fldChar w:fldCharType="separate"/>
            </w:r>
            <w:r w:rsidRPr="007022F4">
              <w:rPr>
                <w:rFonts w:ascii="Arial Narrow" w:hAnsi="Arial Narrow"/>
                <w:sz w:val="20"/>
              </w:rPr>
              <w:fldChar w:fldCharType="end"/>
            </w:r>
            <w:r w:rsidRPr="007022F4">
              <w:rPr>
                <w:rFonts w:ascii="Arial Narrow" w:hAnsi="Arial Narrow"/>
                <w:sz w:val="20"/>
              </w:rPr>
              <w:t>Authority Required – In Writing/Online PBS Authorities Systems</w:t>
            </w:r>
          </w:p>
        </w:tc>
      </w:tr>
      <w:tr w:rsidR="009A1C41" w:rsidRPr="003557C8" w14:paraId="6FE97AF2"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41C0ACBE" w14:textId="4FB11944" w:rsidR="009A1C41" w:rsidRPr="003557C8" w:rsidRDefault="009A1C41" w:rsidP="00F10308">
            <w:pPr>
              <w:jc w:val="center"/>
              <w:rPr>
                <w:rFonts w:ascii="Arial Narrow" w:hAnsi="Arial Narrow"/>
                <w:sz w:val="20"/>
                <w:highlight w:val="lightGray"/>
              </w:rPr>
            </w:pPr>
          </w:p>
        </w:tc>
        <w:tc>
          <w:tcPr>
            <w:tcW w:w="4452" w:type="pct"/>
            <w:tcBorders>
              <w:top w:val="single" w:sz="4" w:space="0" w:color="auto"/>
              <w:left w:val="single" w:sz="4" w:space="0" w:color="auto"/>
              <w:bottom w:val="single" w:sz="4" w:space="0" w:color="auto"/>
              <w:right w:val="single" w:sz="4" w:space="0" w:color="auto"/>
            </w:tcBorders>
            <w:vAlign w:val="center"/>
            <w:hideMark/>
          </w:tcPr>
          <w:p w14:paraId="17AFDCE0" w14:textId="77777777" w:rsidR="009A1C41" w:rsidRPr="007022F4" w:rsidRDefault="009A1C41" w:rsidP="00F10308">
            <w:pPr>
              <w:rPr>
                <w:rFonts w:ascii="Arial Narrow" w:hAnsi="Arial Narrow"/>
                <w:iCs/>
                <w:sz w:val="20"/>
              </w:rPr>
            </w:pPr>
            <w:r w:rsidRPr="007022F4">
              <w:rPr>
                <w:rFonts w:ascii="Arial Narrow" w:hAnsi="Arial Narrow"/>
                <w:b/>
                <w:bCs/>
                <w:iCs/>
                <w:sz w:val="20"/>
              </w:rPr>
              <w:t>Indication:</w:t>
            </w:r>
            <w:r w:rsidRPr="007022F4">
              <w:rPr>
                <w:rFonts w:ascii="Arial Narrow" w:hAnsi="Arial Narrow"/>
                <w:iCs/>
                <w:sz w:val="20"/>
              </w:rPr>
              <w:t xml:space="preserve"> </w:t>
            </w:r>
          </w:p>
          <w:p w14:paraId="50B94DC6" w14:textId="77777777" w:rsidR="009A1C41" w:rsidRPr="00C57F96" w:rsidRDefault="009A1C41" w:rsidP="00F10308">
            <w:pPr>
              <w:rPr>
                <w:rFonts w:ascii="Arial Narrow" w:hAnsi="Arial Narrow"/>
                <w:i/>
                <w:sz w:val="20"/>
              </w:rPr>
            </w:pPr>
            <w:r w:rsidRPr="00C728CA">
              <w:rPr>
                <w:rFonts w:ascii="Arial Narrow" w:hAnsi="Arial Narrow"/>
                <w:sz w:val="20"/>
              </w:rPr>
              <w:t>Central retinal vein occlusion with macular oedema</w:t>
            </w:r>
          </w:p>
        </w:tc>
      </w:tr>
      <w:tr w:rsidR="009A1C41" w:rsidRPr="003557C8" w14:paraId="00F4830E"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6B1E83D5" w14:textId="77777777" w:rsidR="009A1C41" w:rsidRPr="003557C8" w:rsidRDefault="009A1C41" w:rsidP="00F10308">
            <w:pPr>
              <w:jc w:val="center"/>
              <w:rPr>
                <w:rFonts w:ascii="Arial Narrow" w:hAnsi="Arial Narrow"/>
                <w:sz w:val="20"/>
                <w:highlight w:val="lightGray"/>
              </w:rPr>
            </w:pPr>
          </w:p>
        </w:tc>
        <w:tc>
          <w:tcPr>
            <w:tcW w:w="4452" w:type="pct"/>
            <w:tcBorders>
              <w:top w:val="single" w:sz="4" w:space="0" w:color="auto"/>
              <w:left w:val="single" w:sz="4" w:space="0" w:color="auto"/>
              <w:bottom w:val="single" w:sz="4" w:space="0" w:color="auto"/>
              <w:right w:val="single" w:sz="4" w:space="0" w:color="auto"/>
            </w:tcBorders>
            <w:vAlign w:val="center"/>
            <w:hideMark/>
          </w:tcPr>
          <w:p w14:paraId="0CB46E34" w14:textId="77777777" w:rsidR="009A1C41" w:rsidRPr="003557C8" w:rsidRDefault="009A1C41" w:rsidP="00F10308">
            <w:pPr>
              <w:rPr>
                <w:rFonts w:ascii="Arial Narrow" w:hAnsi="Arial Narrow"/>
                <w:sz w:val="20"/>
                <w:highlight w:val="lightGray"/>
              </w:rPr>
            </w:pPr>
            <w:r w:rsidRPr="00C57F96">
              <w:rPr>
                <w:rFonts w:ascii="Arial Narrow" w:hAnsi="Arial Narrow"/>
                <w:b/>
                <w:bCs/>
                <w:sz w:val="20"/>
              </w:rPr>
              <w:t>Treatment Phase:</w:t>
            </w:r>
            <w:r w:rsidRPr="00C57F96">
              <w:rPr>
                <w:rFonts w:ascii="Arial Narrow" w:hAnsi="Arial Narrow"/>
                <w:sz w:val="20"/>
              </w:rPr>
              <w:t xml:space="preserve"> Initial treatment</w:t>
            </w:r>
          </w:p>
        </w:tc>
      </w:tr>
      <w:tr w:rsidR="009A1C41" w:rsidRPr="003557C8" w14:paraId="2DC464A5"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3F547279" w14:textId="58231713" w:rsidR="009A1C41" w:rsidRPr="0036236E" w:rsidRDefault="009A1C41" w:rsidP="00F10308">
            <w:pPr>
              <w:jc w:val="center"/>
              <w:rPr>
                <w:rFonts w:ascii="Arial Narrow" w:hAnsi="Arial Narrow"/>
                <w:sz w:val="20"/>
                <w:highlight w:val="yellow"/>
              </w:rPr>
            </w:pPr>
          </w:p>
        </w:tc>
        <w:tc>
          <w:tcPr>
            <w:tcW w:w="4452" w:type="pct"/>
            <w:tcBorders>
              <w:top w:val="single" w:sz="4" w:space="0" w:color="auto"/>
              <w:left w:val="single" w:sz="4" w:space="0" w:color="auto"/>
              <w:bottom w:val="single" w:sz="4" w:space="0" w:color="auto"/>
              <w:right w:val="single" w:sz="4" w:space="0" w:color="auto"/>
            </w:tcBorders>
            <w:vAlign w:val="center"/>
          </w:tcPr>
          <w:p w14:paraId="25B86340" w14:textId="77777777" w:rsidR="009A1C41" w:rsidRPr="00C57F96" w:rsidRDefault="009A1C41" w:rsidP="00F10308">
            <w:pPr>
              <w:rPr>
                <w:rFonts w:ascii="Arial Narrow" w:hAnsi="Arial Narrow"/>
                <w:b/>
                <w:bCs/>
                <w:sz w:val="20"/>
              </w:rPr>
            </w:pPr>
            <w:r w:rsidRPr="0042590D">
              <w:rPr>
                <w:rFonts w:ascii="Arial Narrow" w:hAnsi="Arial Narrow"/>
                <w:b/>
                <w:bCs/>
                <w:sz w:val="20"/>
              </w:rPr>
              <w:t>Treatment criteria:</w:t>
            </w:r>
          </w:p>
        </w:tc>
      </w:tr>
      <w:tr w:rsidR="009A1C41" w:rsidRPr="003557C8" w14:paraId="7393D2B8"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6255D1F9" w14:textId="553917C8" w:rsidR="009A1C41" w:rsidRPr="0036236E" w:rsidRDefault="009A1C41" w:rsidP="00F10308">
            <w:pPr>
              <w:jc w:val="center"/>
              <w:rPr>
                <w:rFonts w:ascii="Arial Narrow" w:hAnsi="Arial Narrow"/>
                <w:sz w:val="20"/>
                <w:highlight w:val="yellow"/>
              </w:rPr>
            </w:pPr>
          </w:p>
        </w:tc>
        <w:tc>
          <w:tcPr>
            <w:tcW w:w="4452" w:type="pct"/>
            <w:tcBorders>
              <w:top w:val="single" w:sz="4" w:space="0" w:color="auto"/>
              <w:left w:val="single" w:sz="4" w:space="0" w:color="auto"/>
              <w:bottom w:val="single" w:sz="4" w:space="0" w:color="auto"/>
              <w:right w:val="single" w:sz="4" w:space="0" w:color="auto"/>
            </w:tcBorders>
            <w:vAlign w:val="center"/>
          </w:tcPr>
          <w:p w14:paraId="11653AF7" w14:textId="77777777" w:rsidR="009A1C41" w:rsidRPr="00C57F96" w:rsidRDefault="009A1C41" w:rsidP="00F10308">
            <w:pPr>
              <w:rPr>
                <w:rFonts w:ascii="Arial Narrow" w:hAnsi="Arial Narrow"/>
                <w:b/>
                <w:bCs/>
                <w:sz w:val="20"/>
              </w:rPr>
            </w:pPr>
            <w:r w:rsidRPr="00C57F96">
              <w:rPr>
                <w:rFonts w:ascii="Arial Narrow" w:hAnsi="Arial Narrow"/>
                <w:sz w:val="20"/>
              </w:rPr>
              <w:t>Must be treated by an ophthalmologist or by an accredited ophthalmology registrar in consultation with an ophthalmologist</w:t>
            </w:r>
          </w:p>
        </w:tc>
      </w:tr>
      <w:tr w:rsidR="009A1C41" w:rsidRPr="003557C8" w14:paraId="02CF3B43"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0907D781" w14:textId="0A52325F" w:rsidR="009A1C41" w:rsidRPr="00C57F96"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vAlign w:val="center"/>
            <w:hideMark/>
          </w:tcPr>
          <w:p w14:paraId="0CE330AE" w14:textId="77777777" w:rsidR="009A1C41" w:rsidRPr="00C57F96" w:rsidRDefault="009A1C41" w:rsidP="00F10308">
            <w:pPr>
              <w:rPr>
                <w:rFonts w:ascii="Arial Narrow" w:hAnsi="Arial Narrow"/>
                <w:sz w:val="20"/>
              </w:rPr>
            </w:pPr>
            <w:r w:rsidRPr="00C57F96">
              <w:rPr>
                <w:rFonts w:ascii="Arial Narrow" w:hAnsi="Arial Narrow"/>
                <w:b/>
                <w:bCs/>
                <w:sz w:val="20"/>
              </w:rPr>
              <w:t>Clinical criteria:</w:t>
            </w:r>
          </w:p>
        </w:tc>
      </w:tr>
      <w:tr w:rsidR="009A1C41" w:rsidRPr="003557C8" w14:paraId="63320068"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632127B8" w14:textId="0E630A68" w:rsidR="009A1C41" w:rsidRPr="003557C8" w:rsidRDefault="009A1C41" w:rsidP="00F10308">
            <w:pPr>
              <w:jc w:val="center"/>
              <w:rPr>
                <w:rFonts w:ascii="Arial Narrow" w:hAnsi="Arial Narrow"/>
                <w:sz w:val="20"/>
                <w:highlight w:val="lightGray"/>
              </w:rPr>
            </w:pPr>
          </w:p>
        </w:tc>
        <w:tc>
          <w:tcPr>
            <w:tcW w:w="4452" w:type="pct"/>
            <w:tcBorders>
              <w:top w:val="single" w:sz="4" w:space="0" w:color="auto"/>
              <w:left w:val="single" w:sz="4" w:space="0" w:color="auto"/>
              <w:bottom w:val="single" w:sz="4" w:space="0" w:color="auto"/>
              <w:right w:val="single" w:sz="4" w:space="0" w:color="auto"/>
            </w:tcBorders>
            <w:vAlign w:val="center"/>
          </w:tcPr>
          <w:p w14:paraId="09FDA866" w14:textId="77777777" w:rsidR="009A1C41" w:rsidRPr="003557C8" w:rsidRDefault="009A1C41" w:rsidP="00F10308">
            <w:pPr>
              <w:rPr>
                <w:rFonts w:ascii="Arial Narrow" w:hAnsi="Arial Narrow"/>
                <w:sz w:val="20"/>
                <w:highlight w:val="lightGray"/>
              </w:rPr>
            </w:pPr>
            <w:r w:rsidRPr="00C728CA">
              <w:rPr>
                <w:rFonts w:ascii="Arial Narrow" w:hAnsi="Arial Narrow"/>
                <w:sz w:val="20"/>
              </w:rPr>
              <w:t>Patient must have visual impairment due to macular oedema secondary to central retinal vein occlusion (CRVO)</w:t>
            </w:r>
          </w:p>
        </w:tc>
      </w:tr>
      <w:tr w:rsidR="009A1C41" w:rsidRPr="003557C8" w14:paraId="4064571B"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10468E32" w14:textId="77777777" w:rsidR="009A1C41" w:rsidRPr="003557C8" w:rsidRDefault="009A1C41" w:rsidP="00F10308">
            <w:pPr>
              <w:jc w:val="center"/>
              <w:rPr>
                <w:rFonts w:ascii="Arial Narrow" w:hAnsi="Arial Narrow"/>
                <w:strike/>
                <w:sz w:val="20"/>
                <w:highlight w:val="lightGray"/>
              </w:rPr>
            </w:pPr>
          </w:p>
        </w:tc>
        <w:tc>
          <w:tcPr>
            <w:tcW w:w="4452" w:type="pct"/>
            <w:tcBorders>
              <w:top w:val="single" w:sz="4" w:space="0" w:color="auto"/>
              <w:left w:val="single" w:sz="4" w:space="0" w:color="auto"/>
              <w:bottom w:val="single" w:sz="4" w:space="0" w:color="auto"/>
              <w:right w:val="single" w:sz="4" w:space="0" w:color="auto"/>
            </w:tcBorders>
            <w:vAlign w:val="center"/>
          </w:tcPr>
          <w:p w14:paraId="7DC9C3AA" w14:textId="77777777" w:rsidR="009A1C41" w:rsidRPr="003C609F" w:rsidRDefault="009A1C41" w:rsidP="00F10308">
            <w:pPr>
              <w:rPr>
                <w:rFonts w:ascii="Arial Narrow" w:hAnsi="Arial Narrow"/>
                <w:b/>
                <w:bCs/>
                <w:sz w:val="20"/>
                <w:highlight w:val="lightGray"/>
              </w:rPr>
            </w:pPr>
            <w:r w:rsidRPr="003C609F">
              <w:rPr>
                <w:rFonts w:ascii="Arial Narrow" w:hAnsi="Arial Narrow"/>
                <w:b/>
                <w:bCs/>
                <w:sz w:val="20"/>
              </w:rPr>
              <w:t>AND</w:t>
            </w:r>
          </w:p>
        </w:tc>
      </w:tr>
      <w:tr w:rsidR="009A1C41" w:rsidRPr="003557C8" w14:paraId="36DD1AEC"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646E7482" w14:textId="0892EB7C" w:rsidR="009A1C41" w:rsidRPr="003557C8" w:rsidRDefault="009A1C41" w:rsidP="00F10308">
            <w:pPr>
              <w:jc w:val="center"/>
              <w:rPr>
                <w:rFonts w:ascii="Arial Narrow" w:hAnsi="Arial Narrow"/>
                <w:strike/>
                <w:sz w:val="20"/>
                <w:highlight w:val="lightGray"/>
              </w:rPr>
            </w:pPr>
          </w:p>
        </w:tc>
        <w:tc>
          <w:tcPr>
            <w:tcW w:w="4452" w:type="pct"/>
            <w:tcBorders>
              <w:top w:val="single" w:sz="4" w:space="0" w:color="auto"/>
              <w:left w:val="single" w:sz="4" w:space="0" w:color="auto"/>
              <w:bottom w:val="single" w:sz="4" w:space="0" w:color="auto"/>
              <w:right w:val="single" w:sz="4" w:space="0" w:color="auto"/>
            </w:tcBorders>
            <w:vAlign w:val="center"/>
          </w:tcPr>
          <w:p w14:paraId="7C7886ED" w14:textId="77777777" w:rsidR="009A1C41" w:rsidRPr="003C609F" w:rsidRDefault="009A1C41" w:rsidP="00F10308">
            <w:pPr>
              <w:rPr>
                <w:rFonts w:ascii="Arial Narrow" w:hAnsi="Arial Narrow"/>
                <w:b/>
                <w:bCs/>
                <w:sz w:val="20"/>
              </w:rPr>
            </w:pPr>
            <w:r w:rsidRPr="00C57F96">
              <w:rPr>
                <w:rFonts w:ascii="Arial Narrow" w:hAnsi="Arial Narrow"/>
                <w:b/>
                <w:bCs/>
                <w:sz w:val="20"/>
              </w:rPr>
              <w:t>Clinical criteria:</w:t>
            </w:r>
          </w:p>
        </w:tc>
      </w:tr>
      <w:tr w:rsidR="009A1C41" w:rsidRPr="003557C8" w14:paraId="328709BC"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5B5EAE11" w14:textId="0760B444" w:rsidR="009A1C41" w:rsidRPr="00522D65"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vAlign w:val="center"/>
          </w:tcPr>
          <w:p w14:paraId="5A48B650" w14:textId="77777777" w:rsidR="009A1C41" w:rsidRPr="003C609F" w:rsidRDefault="009A1C41" w:rsidP="00F10308">
            <w:pPr>
              <w:rPr>
                <w:rFonts w:ascii="Arial Narrow" w:hAnsi="Arial Narrow"/>
                <w:sz w:val="20"/>
              </w:rPr>
            </w:pPr>
            <w:r w:rsidRPr="002575FF">
              <w:rPr>
                <w:rFonts w:ascii="Arial Narrow" w:hAnsi="Arial Narrow"/>
                <w:sz w:val="20"/>
                <w:lang w:eastAsia="en-AU"/>
              </w:rPr>
              <w:t>Patient must have documented visual impairment defined as a best corrected visual acuity score between 73 and 2</w:t>
            </w:r>
            <w:r>
              <w:rPr>
                <w:rFonts w:ascii="Arial Narrow" w:hAnsi="Arial Narrow"/>
                <w:sz w:val="20"/>
                <w:lang w:eastAsia="en-AU"/>
              </w:rPr>
              <w:t>4</w:t>
            </w:r>
            <w:r w:rsidRPr="002575FF">
              <w:rPr>
                <w:rFonts w:ascii="Arial Narrow" w:hAnsi="Arial Narrow"/>
                <w:sz w:val="20"/>
                <w:lang w:eastAsia="en-AU"/>
              </w:rPr>
              <w:t xml:space="preserve"> letters based on the early treatment diabetic retinopathy study chart administered at a distance of 4 metres (approximate Snellen equivalent 20/40 to 20</w:t>
            </w:r>
            <w:r w:rsidRPr="005376FC">
              <w:rPr>
                <w:rFonts w:ascii="Arial Narrow" w:hAnsi="Arial Narrow"/>
                <w:sz w:val="20"/>
                <w:lang w:eastAsia="en-AU"/>
              </w:rPr>
              <w:t>/320</w:t>
            </w:r>
            <w:r w:rsidRPr="002575FF">
              <w:rPr>
                <w:rFonts w:ascii="Arial Narrow" w:hAnsi="Arial Narrow"/>
                <w:sz w:val="20"/>
                <w:lang w:eastAsia="en-AU"/>
              </w:rPr>
              <w:t>), in the eye proposed for treatment</w:t>
            </w:r>
          </w:p>
        </w:tc>
      </w:tr>
      <w:tr w:rsidR="009A1C41" w:rsidRPr="003557C8" w14:paraId="0568947C"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018D2FA4" w14:textId="77777777" w:rsidR="009A1C41" w:rsidRPr="003557C8" w:rsidRDefault="009A1C41" w:rsidP="00F10308">
            <w:pPr>
              <w:jc w:val="center"/>
              <w:rPr>
                <w:rFonts w:ascii="Arial Narrow" w:hAnsi="Arial Narrow"/>
                <w:strike/>
                <w:sz w:val="20"/>
                <w:highlight w:val="lightGray"/>
              </w:rPr>
            </w:pPr>
          </w:p>
        </w:tc>
        <w:tc>
          <w:tcPr>
            <w:tcW w:w="4452" w:type="pct"/>
            <w:tcBorders>
              <w:top w:val="single" w:sz="4" w:space="0" w:color="auto"/>
              <w:left w:val="single" w:sz="4" w:space="0" w:color="auto"/>
              <w:bottom w:val="single" w:sz="4" w:space="0" w:color="auto"/>
              <w:right w:val="single" w:sz="4" w:space="0" w:color="auto"/>
            </w:tcBorders>
            <w:vAlign w:val="center"/>
          </w:tcPr>
          <w:p w14:paraId="20695EDA" w14:textId="77777777" w:rsidR="009A1C41" w:rsidRPr="003C609F" w:rsidRDefault="009A1C41" w:rsidP="00F10308">
            <w:pPr>
              <w:rPr>
                <w:rFonts w:ascii="Arial Narrow" w:hAnsi="Arial Narrow"/>
                <w:b/>
                <w:bCs/>
                <w:sz w:val="20"/>
              </w:rPr>
            </w:pPr>
            <w:r w:rsidRPr="003C609F">
              <w:rPr>
                <w:rFonts w:ascii="Arial Narrow" w:hAnsi="Arial Narrow"/>
                <w:b/>
                <w:bCs/>
                <w:sz w:val="20"/>
              </w:rPr>
              <w:t>AND</w:t>
            </w:r>
          </w:p>
        </w:tc>
      </w:tr>
      <w:tr w:rsidR="009A1C41" w:rsidRPr="003557C8" w14:paraId="59C0CBF5"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18151C5F" w14:textId="23F03B5E" w:rsidR="009A1C41" w:rsidRPr="00DC5C0D"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vAlign w:val="center"/>
            <w:hideMark/>
          </w:tcPr>
          <w:p w14:paraId="7CEE36FF" w14:textId="77777777" w:rsidR="009A1C41" w:rsidRPr="0064410E" w:rsidRDefault="009A1C41" w:rsidP="00F10308">
            <w:pPr>
              <w:rPr>
                <w:rFonts w:ascii="Arial Narrow" w:hAnsi="Arial Narrow"/>
                <w:sz w:val="20"/>
              </w:rPr>
            </w:pPr>
            <w:r w:rsidRPr="0064410E">
              <w:rPr>
                <w:rFonts w:ascii="Arial Narrow" w:hAnsi="Arial Narrow"/>
                <w:b/>
                <w:bCs/>
                <w:sz w:val="20"/>
              </w:rPr>
              <w:t>Clinical criteria:</w:t>
            </w:r>
          </w:p>
        </w:tc>
      </w:tr>
      <w:tr w:rsidR="009A1C41" w:rsidRPr="003557C8" w14:paraId="1D04DA9C"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545D6D37" w14:textId="5222547F" w:rsidR="009A1C41" w:rsidRPr="00DC5C0D"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vAlign w:val="center"/>
            <w:hideMark/>
          </w:tcPr>
          <w:p w14:paraId="1F33B072" w14:textId="77777777" w:rsidR="009A1C41" w:rsidRPr="0064410E" w:rsidRDefault="009A1C41" w:rsidP="00F10308">
            <w:pPr>
              <w:rPr>
                <w:rFonts w:ascii="Arial Narrow" w:hAnsi="Arial Narrow"/>
                <w:sz w:val="20"/>
              </w:rPr>
            </w:pPr>
            <w:r w:rsidRPr="0064410E">
              <w:rPr>
                <w:rFonts w:ascii="Arial Narrow" w:hAnsi="Arial Narrow"/>
                <w:sz w:val="20"/>
              </w:rPr>
              <w:t>The condition must be diagnosed by optical coherence tomography; OR</w:t>
            </w:r>
          </w:p>
        </w:tc>
      </w:tr>
      <w:tr w:rsidR="009A1C41" w:rsidRPr="003557C8" w14:paraId="77C7F34C"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5E435A4D" w14:textId="0A1073B1" w:rsidR="009A1C41" w:rsidRPr="00DC5C0D"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vAlign w:val="center"/>
            <w:hideMark/>
          </w:tcPr>
          <w:p w14:paraId="58EC2EB0" w14:textId="77777777" w:rsidR="009A1C41" w:rsidRPr="0064410E" w:rsidRDefault="009A1C41" w:rsidP="00F10308">
            <w:pPr>
              <w:rPr>
                <w:rFonts w:ascii="Arial Narrow" w:hAnsi="Arial Narrow"/>
                <w:sz w:val="20"/>
              </w:rPr>
            </w:pPr>
            <w:r w:rsidRPr="0064410E">
              <w:rPr>
                <w:rFonts w:ascii="Arial Narrow" w:hAnsi="Arial Narrow"/>
                <w:sz w:val="20"/>
              </w:rPr>
              <w:t>The condition must be diagnosed by fluorescein angiography</w:t>
            </w:r>
          </w:p>
        </w:tc>
      </w:tr>
      <w:tr w:rsidR="009A1C41" w:rsidRPr="003557C8" w14:paraId="7072FBE3"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4CCD90E3" w14:textId="77777777" w:rsidR="009A1C41" w:rsidRPr="00C728CA"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vAlign w:val="center"/>
          </w:tcPr>
          <w:p w14:paraId="053C2C0F" w14:textId="77777777" w:rsidR="009A1C41" w:rsidRPr="00C728CA" w:rsidRDefault="009A1C41" w:rsidP="00F10308">
            <w:pPr>
              <w:rPr>
                <w:rFonts w:ascii="Arial Narrow" w:hAnsi="Arial Narrow"/>
                <w:sz w:val="20"/>
              </w:rPr>
            </w:pPr>
            <w:r w:rsidRPr="00C728CA">
              <w:rPr>
                <w:rFonts w:ascii="Arial Narrow" w:hAnsi="Arial Narrow"/>
                <w:b/>
                <w:bCs/>
                <w:sz w:val="20"/>
              </w:rPr>
              <w:t>AND</w:t>
            </w:r>
          </w:p>
        </w:tc>
      </w:tr>
      <w:tr w:rsidR="009A1C41" w:rsidRPr="003557C8" w14:paraId="1701212E"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06361566" w14:textId="343301D4" w:rsidR="009A1C41" w:rsidRPr="00C728CA"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vAlign w:val="center"/>
            <w:hideMark/>
          </w:tcPr>
          <w:p w14:paraId="63DFAD1D" w14:textId="77777777" w:rsidR="009A1C41" w:rsidRPr="00C728CA" w:rsidRDefault="009A1C41" w:rsidP="00F10308">
            <w:pPr>
              <w:rPr>
                <w:rFonts w:ascii="Arial Narrow" w:hAnsi="Arial Narrow"/>
                <w:sz w:val="20"/>
              </w:rPr>
            </w:pPr>
            <w:r w:rsidRPr="00C728CA">
              <w:rPr>
                <w:rFonts w:ascii="Arial Narrow" w:hAnsi="Arial Narrow"/>
                <w:b/>
                <w:bCs/>
                <w:sz w:val="20"/>
              </w:rPr>
              <w:t>Clinical criteria:</w:t>
            </w:r>
          </w:p>
        </w:tc>
      </w:tr>
      <w:tr w:rsidR="009A1C41" w:rsidRPr="003557C8" w14:paraId="39F49F7B"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2162ADEA" w14:textId="23D9E228" w:rsidR="009A1C41" w:rsidRPr="00C728CA"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vAlign w:val="center"/>
            <w:hideMark/>
          </w:tcPr>
          <w:p w14:paraId="61B6B96E" w14:textId="77777777" w:rsidR="009A1C41" w:rsidRPr="00C728CA" w:rsidRDefault="009A1C41" w:rsidP="00F10308">
            <w:pPr>
              <w:rPr>
                <w:rFonts w:ascii="Arial Narrow" w:hAnsi="Arial Narrow"/>
                <w:sz w:val="20"/>
              </w:rPr>
            </w:pPr>
            <w:r w:rsidRPr="00C728CA">
              <w:rPr>
                <w:rFonts w:ascii="Arial Narrow" w:hAnsi="Arial Narrow"/>
                <w:sz w:val="20"/>
              </w:rPr>
              <w:t>The treatment must be the sole PBS-subsidised therapy for this condition</w:t>
            </w:r>
          </w:p>
        </w:tc>
      </w:tr>
      <w:tr w:rsidR="009A1C41" w:rsidRPr="003557C8" w14:paraId="15A191A5"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78970873" w14:textId="77777777" w:rsidR="009A1C41" w:rsidRPr="003557C8" w:rsidRDefault="009A1C41" w:rsidP="00F10308">
            <w:pPr>
              <w:jc w:val="center"/>
              <w:rPr>
                <w:rFonts w:ascii="Arial Narrow" w:hAnsi="Arial Narrow"/>
                <w:strike/>
                <w:sz w:val="20"/>
                <w:highlight w:val="lightGray"/>
              </w:rPr>
            </w:pPr>
          </w:p>
        </w:tc>
        <w:tc>
          <w:tcPr>
            <w:tcW w:w="4452" w:type="pct"/>
            <w:tcBorders>
              <w:top w:val="single" w:sz="4" w:space="0" w:color="auto"/>
              <w:left w:val="single" w:sz="4" w:space="0" w:color="auto"/>
              <w:bottom w:val="single" w:sz="4" w:space="0" w:color="auto"/>
              <w:right w:val="single" w:sz="4" w:space="0" w:color="auto"/>
            </w:tcBorders>
            <w:vAlign w:val="center"/>
            <w:hideMark/>
          </w:tcPr>
          <w:p w14:paraId="552C0AA7" w14:textId="77777777" w:rsidR="009A1C41" w:rsidRPr="00C728CA" w:rsidRDefault="009A1C41" w:rsidP="00F10308">
            <w:pPr>
              <w:rPr>
                <w:rFonts w:ascii="Arial Narrow" w:hAnsi="Arial Narrow"/>
                <w:sz w:val="20"/>
                <w:highlight w:val="lightGray"/>
              </w:rPr>
            </w:pPr>
            <w:r w:rsidRPr="00C728CA">
              <w:rPr>
                <w:rFonts w:ascii="Arial Narrow" w:hAnsi="Arial Narrow"/>
                <w:b/>
                <w:bCs/>
                <w:sz w:val="20"/>
              </w:rPr>
              <w:t>AND</w:t>
            </w:r>
          </w:p>
        </w:tc>
      </w:tr>
      <w:tr w:rsidR="009A1C41" w:rsidRPr="003557C8" w14:paraId="33A7A12D"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tcPr>
          <w:p w14:paraId="725D2CC6" w14:textId="78C5DE96" w:rsidR="009A1C41" w:rsidRPr="000E3FDE" w:rsidRDefault="009A1C41" w:rsidP="00F10308">
            <w:pPr>
              <w:jc w:val="center"/>
              <w:rPr>
                <w:rFonts w:ascii="Arial Narrow" w:hAnsi="Arial Narrow"/>
                <w:iCs/>
                <w:sz w:val="20"/>
              </w:rPr>
            </w:pPr>
          </w:p>
        </w:tc>
        <w:tc>
          <w:tcPr>
            <w:tcW w:w="4452" w:type="pct"/>
            <w:tcBorders>
              <w:top w:val="single" w:sz="4" w:space="0" w:color="auto"/>
              <w:left w:val="single" w:sz="4" w:space="0" w:color="auto"/>
              <w:bottom w:val="single" w:sz="4" w:space="0" w:color="auto"/>
              <w:right w:val="single" w:sz="4" w:space="0" w:color="auto"/>
            </w:tcBorders>
            <w:vAlign w:val="center"/>
            <w:hideMark/>
          </w:tcPr>
          <w:p w14:paraId="7B8B8CDB" w14:textId="77777777" w:rsidR="009A1C41" w:rsidRPr="0042590D" w:rsidRDefault="009A1C41" w:rsidP="00F10308">
            <w:pPr>
              <w:rPr>
                <w:rFonts w:ascii="Arial Narrow" w:hAnsi="Arial Narrow"/>
                <w:i/>
                <w:sz w:val="20"/>
              </w:rPr>
            </w:pPr>
            <w:r w:rsidRPr="007022F4">
              <w:rPr>
                <w:rFonts w:ascii="Arial Narrow" w:hAnsi="Arial Narrow"/>
                <w:b/>
                <w:bCs/>
                <w:iCs/>
                <w:sz w:val="20"/>
              </w:rPr>
              <w:t>Prescribing Instructions:</w:t>
            </w:r>
            <w:r w:rsidRPr="0042590D">
              <w:rPr>
                <w:rFonts w:ascii="Arial Narrow" w:hAnsi="Arial Narrow"/>
                <w:i/>
                <w:sz w:val="20"/>
              </w:rPr>
              <w:t xml:space="preserve"> </w:t>
            </w:r>
            <w:r w:rsidRPr="000E3FDE">
              <w:rPr>
                <w:rFonts w:ascii="Arial Narrow" w:hAnsi="Arial Narrow"/>
                <w:iCs/>
                <w:sz w:val="20"/>
              </w:rPr>
              <w:t>Authority approval for initial treatment of each eye must be sought</w:t>
            </w:r>
          </w:p>
        </w:tc>
      </w:tr>
      <w:tr w:rsidR="009A1C41" w:rsidRPr="003557C8" w14:paraId="37E3ACAB"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vAlign w:val="center"/>
            <w:hideMark/>
          </w:tcPr>
          <w:p w14:paraId="450F5438" w14:textId="4473C97A" w:rsidR="009A1C41" w:rsidRPr="003557C8" w:rsidRDefault="009A1C41" w:rsidP="00F10308">
            <w:pPr>
              <w:jc w:val="center"/>
              <w:outlineLvl w:val="4"/>
              <w:rPr>
                <w:rFonts w:ascii="Arial Narrow" w:hAnsi="Arial Narrow"/>
                <w:vanish/>
                <w:sz w:val="20"/>
                <w:highlight w:val="lightGray"/>
              </w:rPr>
            </w:pPr>
            <w:r w:rsidRPr="00EA0FA6">
              <w:rPr>
                <w:rFonts w:ascii="Arial Narrow" w:hAnsi="Arial Narrow"/>
                <w:sz w:val="20"/>
              </w:rPr>
              <w:t xml:space="preserve"> </w:t>
            </w:r>
          </w:p>
        </w:tc>
        <w:tc>
          <w:tcPr>
            <w:tcW w:w="4452" w:type="pct"/>
            <w:tcBorders>
              <w:top w:val="single" w:sz="4" w:space="0" w:color="auto"/>
              <w:left w:val="single" w:sz="4" w:space="0" w:color="auto"/>
              <w:bottom w:val="single" w:sz="4" w:space="0" w:color="auto"/>
              <w:right w:val="single" w:sz="4" w:space="0" w:color="auto"/>
            </w:tcBorders>
            <w:vAlign w:val="center"/>
            <w:hideMark/>
          </w:tcPr>
          <w:p w14:paraId="781EC03B" w14:textId="77777777" w:rsidR="009A1C41" w:rsidRPr="007022F4" w:rsidRDefault="009A1C41" w:rsidP="00F10308">
            <w:pPr>
              <w:rPr>
                <w:rFonts w:ascii="Arial Narrow" w:hAnsi="Arial Narrow"/>
                <w:iCs/>
                <w:sz w:val="20"/>
              </w:rPr>
            </w:pPr>
            <w:r w:rsidRPr="007022F4">
              <w:rPr>
                <w:rFonts w:ascii="Arial Narrow" w:hAnsi="Arial Narrow"/>
                <w:b/>
                <w:bCs/>
                <w:iCs/>
                <w:sz w:val="20"/>
              </w:rPr>
              <w:t>Prescribing Instructions:</w:t>
            </w:r>
          </w:p>
          <w:p w14:paraId="4EC19A1C" w14:textId="77777777" w:rsidR="009A1C41" w:rsidRPr="0042590D" w:rsidRDefault="009A1C41" w:rsidP="00F10308">
            <w:pPr>
              <w:rPr>
                <w:rFonts w:ascii="Arial Narrow" w:hAnsi="Arial Narrow"/>
                <w:iCs/>
                <w:sz w:val="20"/>
              </w:rPr>
            </w:pPr>
            <w:r w:rsidRPr="0042590D">
              <w:rPr>
                <w:rFonts w:ascii="Arial Narrow" w:hAnsi="Arial Narrow"/>
                <w:iCs/>
                <w:sz w:val="20"/>
              </w:rPr>
              <w:t>The first authority application for each eye must be made via the Online PBS Authorities System (real time assessment) or in writing via HPOS form upload or mail and must include:</w:t>
            </w:r>
          </w:p>
          <w:p w14:paraId="7441F59E" w14:textId="77777777" w:rsidR="009A1C41" w:rsidRPr="0042590D" w:rsidRDefault="009A1C41" w:rsidP="00F10308">
            <w:pPr>
              <w:rPr>
                <w:rFonts w:ascii="Arial Narrow" w:hAnsi="Arial Narrow"/>
                <w:iCs/>
                <w:sz w:val="20"/>
              </w:rPr>
            </w:pPr>
            <w:r w:rsidRPr="007A0B37">
              <w:rPr>
                <w:rFonts w:ascii="Arial Narrow" w:hAnsi="Arial Narrow"/>
                <w:iCs/>
                <w:sz w:val="20"/>
              </w:rPr>
              <w:t xml:space="preserve">(1) </w:t>
            </w:r>
            <w:r w:rsidRPr="0042590D">
              <w:rPr>
                <w:rFonts w:ascii="Arial Narrow" w:hAnsi="Arial Narrow"/>
                <w:iCs/>
                <w:sz w:val="20"/>
              </w:rPr>
              <w:t>Details (date, unique identifying number/code or provider number) of the optical coherence tomography or fluorescein angiogram report.</w:t>
            </w:r>
          </w:p>
          <w:p w14:paraId="21789940" w14:textId="77777777" w:rsidR="009A1C41" w:rsidRPr="0042590D" w:rsidRDefault="009A1C41" w:rsidP="00F10308">
            <w:pPr>
              <w:rPr>
                <w:rFonts w:ascii="Arial Narrow" w:hAnsi="Arial Narrow"/>
                <w:iCs/>
                <w:sz w:val="20"/>
              </w:rPr>
            </w:pPr>
            <w:r w:rsidRPr="0042590D">
              <w:rPr>
                <w:rFonts w:ascii="Arial Narrow" w:hAnsi="Arial Narrow"/>
                <w:iCs/>
                <w:sz w:val="20"/>
              </w:rPr>
              <w:t>If the application is submitted through HPOS form upload or mail, it must include:</w:t>
            </w:r>
          </w:p>
          <w:p w14:paraId="2A9BE0A0" w14:textId="525D002E" w:rsidR="009A1C41" w:rsidRPr="0042590D" w:rsidRDefault="009A1C41" w:rsidP="00F10308">
            <w:pPr>
              <w:rPr>
                <w:rFonts w:ascii="Arial Narrow" w:hAnsi="Arial Narrow"/>
                <w:iCs/>
                <w:sz w:val="20"/>
              </w:rPr>
            </w:pPr>
            <w:r w:rsidRPr="0042590D">
              <w:rPr>
                <w:rFonts w:ascii="Arial Narrow" w:hAnsi="Arial Narrow"/>
                <w:iCs/>
                <w:sz w:val="20"/>
              </w:rPr>
              <w:t>(a)</w:t>
            </w:r>
            <w:r w:rsidR="00153D18">
              <w:rPr>
                <w:rFonts w:ascii="Arial Narrow" w:hAnsi="Arial Narrow"/>
                <w:iCs/>
                <w:sz w:val="20"/>
              </w:rPr>
              <w:t xml:space="preserve"> details of the proposed prescription</w:t>
            </w:r>
            <w:r w:rsidRPr="0042590D">
              <w:rPr>
                <w:rFonts w:ascii="Arial Narrow" w:hAnsi="Arial Narrow"/>
                <w:iCs/>
                <w:sz w:val="20"/>
              </w:rPr>
              <w:t>; and</w:t>
            </w:r>
          </w:p>
          <w:p w14:paraId="390532B1" w14:textId="77777777" w:rsidR="009A1C41" w:rsidRPr="0042590D" w:rsidRDefault="009A1C41" w:rsidP="00F10308">
            <w:pPr>
              <w:rPr>
                <w:rFonts w:ascii="Arial Narrow" w:hAnsi="Arial Narrow"/>
                <w:iCs/>
                <w:sz w:val="20"/>
              </w:rPr>
            </w:pPr>
            <w:r w:rsidRPr="0042590D">
              <w:rPr>
                <w:rFonts w:ascii="Arial Narrow" w:hAnsi="Arial Narrow"/>
                <w:iCs/>
                <w:sz w:val="20"/>
              </w:rPr>
              <w:t>(b) A completed authority application form relevant to the indication and treatment phase (the latest version is located on the website specified in the Administrative Advice).</w:t>
            </w:r>
          </w:p>
          <w:p w14:paraId="17767E9B" w14:textId="77777777" w:rsidR="009A1C41" w:rsidRPr="003557C8" w:rsidRDefault="009A1C41" w:rsidP="00F10308">
            <w:pPr>
              <w:rPr>
                <w:rFonts w:ascii="Arial Narrow" w:hAnsi="Arial Narrow"/>
                <w:i/>
                <w:sz w:val="20"/>
                <w:highlight w:val="lightGray"/>
              </w:rPr>
            </w:pPr>
            <w:r w:rsidRPr="0042590D">
              <w:rPr>
                <w:rFonts w:ascii="Arial Narrow" w:hAnsi="Arial Narrow"/>
                <w:iCs/>
                <w:sz w:val="20"/>
              </w:rPr>
              <w:t>All reports must be documented in the patient's medical records.</w:t>
            </w:r>
          </w:p>
        </w:tc>
      </w:tr>
      <w:tr w:rsidR="009A1C41" w:rsidRPr="003557C8" w14:paraId="40DEF11C"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right w:val="single" w:sz="4" w:space="0" w:color="auto"/>
            </w:tcBorders>
            <w:vAlign w:val="center"/>
          </w:tcPr>
          <w:p w14:paraId="30DF0DD9" w14:textId="77777777" w:rsidR="009A1C41" w:rsidRPr="00EA0FA6" w:rsidRDefault="009A1C41" w:rsidP="00265CC6">
            <w:pPr>
              <w:jc w:val="center"/>
              <w:outlineLvl w:val="4"/>
              <w:rPr>
                <w:rFonts w:ascii="Arial Narrow" w:hAnsi="Arial Narrow"/>
                <w:sz w:val="20"/>
              </w:rPr>
            </w:pPr>
          </w:p>
        </w:tc>
        <w:tc>
          <w:tcPr>
            <w:tcW w:w="4452" w:type="pct"/>
            <w:tcBorders>
              <w:top w:val="single" w:sz="4" w:space="0" w:color="auto"/>
              <w:left w:val="single" w:sz="4" w:space="0" w:color="auto"/>
              <w:right w:val="single" w:sz="4" w:space="0" w:color="auto"/>
            </w:tcBorders>
            <w:vAlign w:val="center"/>
          </w:tcPr>
          <w:p w14:paraId="78230217" w14:textId="77777777" w:rsidR="009A1C41" w:rsidRPr="007022F4" w:rsidRDefault="009A1C41" w:rsidP="00F10308">
            <w:pPr>
              <w:rPr>
                <w:rFonts w:ascii="Arial Narrow" w:hAnsi="Arial Narrow"/>
                <w:iCs/>
                <w:sz w:val="20"/>
              </w:rPr>
            </w:pPr>
            <w:r w:rsidRPr="007022F4">
              <w:rPr>
                <w:rFonts w:ascii="Arial Narrow" w:hAnsi="Arial Narrow"/>
                <w:b/>
                <w:bCs/>
                <w:iCs/>
                <w:sz w:val="20"/>
              </w:rPr>
              <w:t>Administrative Advice:</w:t>
            </w:r>
          </w:p>
          <w:p w14:paraId="4A07742D" w14:textId="77777777" w:rsidR="0002363C" w:rsidRPr="0002363C" w:rsidRDefault="009A1C41" w:rsidP="00F10308">
            <w:pPr>
              <w:rPr>
                <w:rFonts w:ascii="Arial Narrow" w:hAnsi="Arial Narrow"/>
                <w:iCs/>
                <w:sz w:val="20"/>
              </w:rPr>
            </w:pPr>
            <w:r w:rsidRPr="007022F4">
              <w:rPr>
                <w:rFonts w:ascii="Arial Narrow" w:hAnsi="Arial Narrow"/>
                <w:iCs/>
                <w:sz w:val="20"/>
              </w:rPr>
              <w:t>Any queries concerning the arrangements to prescribe may be directed to the Services Australia on 1800 700 270 (hours of operation 8 a.m. to 5 p.m. Monday to Friday).</w:t>
            </w:r>
          </w:p>
          <w:p w14:paraId="046044B6" w14:textId="77777777" w:rsidR="0002363C" w:rsidRPr="0002363C" w:rsidRDefault="0002363C" w:rsidP="00F10308">
            <w:pPr>
              <w:rPr>
                <w:rFonts w:ascii="Arial Narrow" w:hAnsi="Arial Narrow"/>
                <w:iCs/>
                <w:sz w:val="20"/>
              </w:rPr>
            </w:pPr>
            <w:r w:rsidRPr="0002363C">
              <w:rPr>
                <w:rFonts w:ascii="Arial Narrow" w:hAnsi="Arial Narrow"/>
                <w:iCs/>
                <w:sz w:val="20"/>
              </w:rPr>
              <w:t xml:space="preserve"> </w:t>
            </w:r>
          </w:p>
          <w:p w14:paraId="764A9760" w14:textId="1B00AFAD" w:rsidR="009A1C41" w:rsidRPr="007022F4" w:rsidRDefault="009A1C41" w:rsidP="00F10308">
            <w:pPr>
              <w:rPr>
                <w:rFonts w:ascii="Arial Narrow" w:hAnsi="Arial Narrow"/>
                <w:iCs/>
                <w:sz w:val="20"/>
              </w:rPr>
            </w:pPr>
            <w:r w:rsidRPr="007022F4">
              <w:rPr>
                <w:rFonts w:ascii="Arial Narrow" w:hAnsi="Arial Narrow"/>
                <w:iCs/>
                <w:sz w:val="20"/>
              </w:rPr>
              <w:t xml:space="preserve">Prescribing information (including Authority Application forms and other relevant documentation as applicable) is available on the Services Australia website at </w:t>
            </w:r>
            <w:hyperlink r:id="rId17" w:history="1">
              <w:r w:rsidRPr="007022F4">
                <w:rPr>
                  <w:rStyle w:val="Hyperlink"/>
                  <w:rFonts w:ascii="Arial Narrow" w:hAnsi="Arial Narrow"/>
                  <w:iCs/>
                  <w:sz w:val="20"/>
                </w:rPr>
                <w:t>servicesaustralia.gov.au</w:t>
              </w:r>
            </w:hyperlink>
          </w:p>
          <w:p w14:paraId="269E3F81" w14:textId="77777777" w:rsidR="009A1C41" w:rsidRPr="007022F4" w:rsidRDefault="009A1C41" w:rsidP="00F10308">
            <w:pPr>
              <w:rPr>
                <w:rFonts w:ascii="Arial Narrow" w:hAnsi="Arial Narrow"/>
                <w:iCs/>
                <w:sz w:val="20"/>
              </w:rPr>
            </w:pPr>
          </w:p>
          <w:p w14:paraId="1FF6F4A2" w14:textId="77777777" w:rsidR="009A1C41" w:rsidRPr="007022F4" w:rsidRDefault="009A1C41" w:rsidP="00F10308">
            <w:pPr>
              <w:rPr>
                <w:rFonts w:ascii="Arial Narrow" w:hAnsi="Arial Narrow"/>
                <w:iCs/>
                <w:color w:val="333333"/>
                <w:sz w:val="20"/>
                <w:lang w:eastAsia="en-AU"/>
              </w:rPr>
            </w:pPr>
            <w:r w:rsidRPr="007022F4">
              <w:rPr>
                <w:rFonts w:ascii="Arial Narrow" w:hAnsi="Arial Narrow"/>
                <w:iCs/>
                <w:color w:val="333333"/>
                <w:sz w:val="20"/>
                <w:lang w:eastAsia="en-AU"/>
              </w:rPr>
              <w:t xml:space="preserve">Applications for authorisation under this restriction should be made in real time using the Online PBS Authorities system (see </w:t>
            </w:r>
            <w:hyperlink r:id="rId18" w:history="1">
              <w:r w:rsidRPr="007022F4">
                <w:rPr>
                  <w:rStyle w:val="Hyperlink"/>
                  <w:rFonts w:ascii="Arial Narrow" w:hAnsi="Arial Narrow"/>
                  <w:iCs/>
                  <w:sz w:val="20"/>
                  <w:lang w:eastAsia="en-AU"/>
                </w:rPr>
                <w:t>www.servicesaustralia.gov.au/hpos</w:t>
              </w:r>
            </w:hyperlink>
            <w:r w:rsidRPr="007022F4">
              <w:rPr>
                <w:rFonts w:ascii="Arial Narrow" w:hAnsi="Arial Narrow"/>
                <w:iCs/>
                <w:color w:val="333333"/>
                <w:sz w:val="20"/>
                <w:lang w:eastAsia="en-AU"/>
              </w:rPr>
              <w:t xml:space="preserve">) </w:t>
            </w:r>
          </w:p>
          <w:p w14:paraId="6013AA3D" w14:textId="77777777" w:rsidR="009A1C41" w:rsidRPr="007022F4" w:rsidRDefault="009A1C41" w:rsidP="00F10308">
            <w:pPr>
              <w:rPr>
                <w:rFonts w:ascii="Arial Narrow" w:hAnsi="Arial Narrow"/>
                <w:iCs/>
                <w:sz w:val="20"/>
              </w:rPr>
            </w:pPr>
          </w:p>
          <w:p w14:paraId="6D76D99F" w14:textId="77777777" w:rsidR="009A1C41" w:rsidRPr="007022F4" w:rsidRDefault="009A1C41" w:rsidP="00F10308">
            <w:pPr>
              <w:rPr>
                <w:rFonts w:ascii="Arial Narrow" w:hAnsi="Arial Narrow"/>
                <w:bCs/>
                <w:iCs/>
                <w:sz w:val="20"/>
              </w:rPr>
            </w:pPr>
            <w:r w:rsidRPr="007022F4">
              <w:rPr>
                <w:rFonts w:ascii="Arial Narrow" w:hAnsi="Arial Narrow"/>
                <w:iCs/>
                <w:sz w:val="20"/>
              </w:rPr>
              <w:t>Alternatively, applications for authority to prescribe should be submitted online using the form upload facility in Health Professional Online Services (HPOS)</w:t>
            </w:r>
            <w:r w:rsidRPr="007022F4">
              <w:rPr>
                <w:rFonts w:ascii="Arial Narrow" w:hAnsi="Arial Narrow"/>
                <w:bCs/>
                <w:iCs/>
                <w:sz w:val="20"/>
              </w:rPr>
              <w:t xml:space="preserve"> at www.servicesaustralia.gov.au/hpos </w:t>
            </w:r>
          </w:p>
          <w:p w14:paraId="0387A572" w14:textId="77777777" w:rsidR="009A1C41" w:rsidRPr="007022F4" w:rsidRDefault="009A1C41" w:rsidP="00F10308">
            <w:pPr>
              <w:rPr>
                <w:rFonts w:ascii="Arial Narrow" w:hAnsi="Arial Narrow"/>
                <w:bCs/>
                <w:iCs/>
                <w:sz w:val="20"/>
              </w:rPr>
            </w:pPr>
          </w:p>
          <w:p w14:paraId="05E2C37C" w14:textId="77777777" w:rsidR="009A1C41" w:rsidRPr="007022F4" w:rsidRDefault="009A1C41" w:rsidP="00F10308">
            <w:pPr>
              <w:rPr>
                <w:rFonts w:ascii="Arial Narrow" w:hAnsi="Arial Narrow"/>
                <w:iCs/>
                <w:sz w:val="20"/>
              </w:rPr>
            </w:pPr>
            <w:r w:rsidRPr="007022F4">
              <w:rPr>
                <w:rFonts w:ascii="Arial Narrow" w:hAnsi="Arial Narrow"/>
                <w:iCs/>
                <w:sz w:val="20"/>
              </w:rPr>
              <w:t>Or mailed to:</w:t>
            </w:r>
          </w:p>
          <w:p w14:paraId="677220F2" w14:textId="77777777" w:rsidR="009A1C41" w:rsidRPr="007022F4" w:rsidRDefault="009A1C41" w:rsidP="00F10308">
            <w:pPr>
              <w:rPr>
                <w:rFonts w:ascii="Arial Narrow" w:hAnsi="Arial Narrow"/>
                <w:iCs/>
                <w:sz w:val="20"/>
              </w:rPr>
            </w:pPr>
            <w:r w:rsidRPr="007022F4">
              <w:rPr>
                <w:rFonts w:ascii="Arial Narrow" w:hAnsi="Arial Narrow"/>
                <w:iCs/>
                <w:sz w:val="20"/>
              </w:rPr>
              <w:t>Services Australia</w:t>
            </w:r>
          </w:p>
          <w:p w14:paraId="2066C6E6" w14:textId="77777777" w:rsidR="009A1C41" w:rsidRPr="007022F4" w:rsidRDefault="009A1C41" w:rsidP="00F10308">
            <w:pPr>
              <w:rPr>
                <w:rFonts w:ascii="Arial Narrow" w:hAnsi="Arial Narrow"/>
                <w:iCs/>
                <w:sz w:val="20"/>
              </w:rPr>
            </w:pPr>
            <w:r w:rsidRPr="007022F4">
              <w:rPr>
                <w:rFonts w:ascii="Arial Narrow" w:hAnsi="Arial Narrow"/>
                <w:iCs/>
                <w:sz w:val="20"/>
              </w:rPr>
              <w:t xml:space="preserve">Complex Drugs </w:t>
            </w:r>
          </w:p>
          <w:p w14:paraId="21E91702" w14:textId="77777777" w:rsidR="009A1C41" w:rsidRPr="007022F4" w:rsidRDefault="009A1C41" w:rsidP="00F10308">
            <w:pPr>
              <w:rPr>
                <w:rFonts w:ascii="Arial Narrow" w:hAnsi="Arial Narrow"/>
                <w:iCs/>
                <w:sz w:val="20"/>
              </w:rPr>
            </w:pPr>
            <w:r w:rsidRPr="007022F4">
              <w:rPr>
                <w:rFonts w:ascii="Arial Narrow" w:hAnsi="Arial Narrow"/>
                <w:iCs/>
                <w:sz w:val="20"/>
              </w:rPr>
              <w:t xml:space="preserve">Reply Paid 9826 </w:t>
            </w:r>
          </w:p>
          <w:p w14:paraId="06247D13" w14:textId="77777777" w:rsidR="009A1C41" w:rsidRPr="007022F4" w:rsidRDefault="009A1C41" w:rsidP="00F10308">
            <w:pPr>
              <w:rPr>
                <w:rFonts w:ascii="Arial Narrow" w:hAnsi="Arial Narrow"/>
                <w:b/>
                <w:bCs/>
                <w:i/>
                <w:strike/>
                <w:sz w:val="20"/>
              </w:rPr>
            </w:pPr>
            <w:r w:rsidRPr="007022F4">
              <w:rPr>
                <w:rFonts w:ascii="Arial Narrow" w:hAnsi="Arial Narrow"/>
                <w:iCs/>
                <w:sz w:val="20"/>
              </w:rPr>
              <w:t>HOBART TAS 7001</w:t>
            </w:r>
          </w:p>
        </w:tc>
      </w:tr>
      <w:tr w:rsidR="009A1C41" w:rsidRPr="003557C8" w14:paraId="45E4B5DB"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3D48348" w14:textId="4350BC0F" w:rsidR="009A1C41" w:rsidRPr="00E65F04"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shd w:val="clear" w:color="auto" w:fill="auto"/>
            <w:vAlign w:val="center"/>
          </w:tcPr>
          <w:p w14:paraId="4ABD3F44" w14:textId="77777777" w:rsidR="009A1C41" w:rsidRDefault="009A1C41" w:rsidP="00F10308">
            <w:pPr>
              <w:rPr>
                <w:rFonts w:ascii="Arial Narrow" w:hAnsi="Arial Narrow"/>
                <w:sz w:val="20"/>
              </w:rPr>
            </w:pPr>
            <w:r w:rsidRPr="00E65F04">
              <w:rPr>
                <w:rFonts w:ascii="Arial Narrow" w:hAnsi="Arial Narrow"/>
                <w:b/>
                <w:bCs/>
                <w:sz w:val="20"/>
              </w:rPr>
              <w:t>Administrative Advice:</w:t>
            </w:r>
            <w:r w:rsidRPr="00E65F04">
              <w:rPr>
                <w:rFonts w:ascii="Arial Narrow" w:hAnsi="Arial Narrow"/>
                <w:sz w:val="20"/>
              </w:rPr>
              <w:t xml:space="preserve"> </w:t>
            </w:r>
          </w:p>
          <w:p w14:paraId="5930F2F0" w14:textId="77777777" w:rsidR="009A1C41" w:rsidRPr="00E65F04" w:rsidRDefault="009A1C41" w:rsidP="00F10308">
            <w:pPr>
              <w:rPr>
                <w:rFonts w:ascii="Arial Narrow" w:hAnsi="Arial Narrow"/>
                <w:b/>
                <w:bCs/>
                <w:sz w:val="20"/>
              </w:rPr>
            </w:pPr>
            <w:r w:rsidRPr="00E65F04">
              <w:rPr>
                <w:rFonts w:ascii="Arial Narrow" w:hAnsi="Arial Narrow"/>
                <w:sz w:val="20"/>
              </w:rPr>
              <w:t>Special Pricing Arrangements apply</w:t>
            </w:r>
          </w:p>
        </w:tc>
      </w:tr>
      <w:tr w:rsidR="009A1C41" w:rsidRPr="003557C8" w14:paraId="7A56C3F3"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2217623" w14:textId="0B4B697D" w:rsidR="009A1C41" w:rsidRPr="00E65F04"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shd w:val="clear" w:color="auto" w:fill="auto"/>
            <w:vAlign w:val="center"/>
          </w:tcPr>
          <w:p w14:paraId="08BE05EB" w14:textId="77777777" w:rsidR="009A1C41" w:rsidRPr="00E65F04" w:rsidRDefault="009A1C41" w:rsidP="00F10308">
            <w:pPr>
              <w:rPr>
                <w:rFonts w:ascii="Arial Narrow" w:hAnsi="Arial Narrow"/>
                <w:b/>
                <w:bCs/>
                <w:sz w:val="20"/>
              </w:rPr>
            </w:pPr>
            <w:r w:rsidRPr="00E65F04">
              <w:rPr>
                <w:rFonts w:ascii="Arial Narrow" w:hAnsi="Arial Narrow"/>
                <w:b/>
                <w:bCs/>
                <w:sz w:val="20"/>
              </w:rPr>
              <w:t>Administrative Advice:</w:t>
            </w:r>
          </w:p>
          <w:p w14:paraId="7CF5BCBE" w14:textId="77777777" w:rsidR="009A1C41" w:rsidRPr="00E65F04" w:rsidRDefault="009A1C41" w:rsidP="00F10308">
            <w:pPr>
              <w:rPr>
                <w:rFonts w:ascii="Arial Narrow" w:hAnsi="Arial Narrow"/>
                <w:bCs/>
                <w:sz w:val="20"/>
              </w:rPr>
            </w:pPr>
            <w:r w:rsidRPr="00E65F04">
              <w:rPr>
                <w:rFonts w:ascii="Arial Narrow" w:hAnsi="Arial Narrow"/>
                <w:bCs/>
                <w:sz w:val="20"/>
              </w:rPr>
              <w:t>No increase in the maximum number of repeats may be authorised</w:t>
            </w:r>
          </w:p>
        </w:tc>
      </w:tr>
      <w:tr w:rsidR="009A1C41" w:rsidRPr="003557C8" w14:paraId="22F945F2"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DA83617" w14:textId="671A924F" w:rsidR="009A1C41" w:rsidRPr="00E65F04" w:rsidRDefault="009A1C41" w:rsidP="00F10308">
            <w:pPr>
              <w:jc w:val="center"/>
              <w:rPr>
                <w:rFonts w:ascii="Arial Narrow" w:hAnsi="Arial Narrow"/>
                <w:sz w:val="20"/>
                <w:highlight w:val="lightGray"/>
              </w:rPr>
            </w:pPr>
          </w:p>
        </w:tc>
        <w:tc>
          <w:tcPr>
            <w:tcW w:w="4452" w:type="pct"/>
            <w:tcBorders>
              <w:top w:val="single" w:sz="4" w:space="0" w:color="auto"/>
              <w:left w:val="single" w:sz="4" w:space="0" w:color="auto"/>
              <w:bottom w:val="single" w:sz="4" w:space="0" w:color="auto"/>
              <w:right w:val="single" w:sz="4" w:space="0" w:color="auto"/>
            </w:tcBorders>
            <w:shd w:val="clear" w:color="auto" w:fill="auto"/>
            <w:vAlign w:val="center"/>
          </w:tcPr>
          <w:p w14:paraId="692FF116" w14:textId="77777777" w:rsidR="009A1C41" w:rsidRPr="00E65F04" w:rsidRDefault="009A1C41" w:rsidP="00F10308">
            <w:pPr>
              <w:rPr>
                <w:rFonts w:ascii="Arial Narrow" w:hAnsi="Arial Narrow"/>
                <w:bCs/>
                <w:sz w:val="20"/>
                <w:lang w:val="en-GB"/>
              </w:rPr>
            </w:pPr>
            <w:r w:rsidRPr="00E65F04">
              <w:rPr>
                <w:rFonts w:ascii="Arial Narrow" w:hAnsi="Arial Narrow"/>
                <w:b/>
                <w:bCs/>
                <w:sz w:val="20"/>
              </w:rPr>
              <w:t>Administrative Advice:</w:t>
            </w:r>
          </w:p>
          <w:p w14:paraId="6F40C603" w14:textId="77777777" w:rsidR="009A1C41" w:rsidRPr="00E65F04" w:rsidRDefault="009A1C41" w:rsidP="00F10308">
            <w:pPr>
              <w:rPr>
                <w:rFonts w:ascii="Arial Narrow" w:hAnsi="Arial Narrow"/>
                <w:bCs/>
                <w:sz w:val="20"/>
                <w:highlight w:val="lightGray"/>
                <w:lang w:val="en-GB"/>
              </w:rPr>
            </w:pPr>
            <w:r w:rsidRPr="00E65F04">
              <w:rPr>
                <w:rFonts w:ascii="Arial Narrow" w:hAnsi="Arial Narrow"/>
                <w:bCs/>
                <w:sz w:val="20"/>
                <w:lang w:val="en-GB"/>
              </w:rPr>
              <w:t>No increase in the maximum quantity or number of units may be authorised for applications for treatment of one eye.</w:t>
            </w:r>
          </w:p>
        </w:tc>
      </w:tr>
      <w:tr w:rsidR="009A1C41" w:rsidRPr="003557C8" w14:paraId="6E3778A6" w14:textId="77777777" w:rsidTr="00C1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FFD1B45" w14:textId="016BDFDB" w:rsidR="009A1C41" w:rsidRPr="00E65F04" w:rsidRDefault="009A1C41" w:rsidP="00F10308">
            <w:pPr>
              <w:jc w:val="center"/>
              <w:rPr>
                <w:rFonts w:ascii="Arial Narrow" w:hAnsi="Arial Narrow"/>
                <w:sz w:val="20"/>
              </w:rPr>
            </w:pPr>
          </w:p>
        </w:tc>
        <w:tc>
          <w:tcPr>
            <w:tcW w:w="4452" w:type="pct"/>
            <w:tcBorders>
              <w:top w:val="single" w:sz="4" w:space="0" w:color="auto"/>
              <w:left w:val="single" w:sz="4" w:space="0" w:color="auto"/>
              <w:bottom w:val="single" w:sz="4" w:space="0" w:color="auto"/>
              <w:right w:val="single" w:sz="4" w:space="0" w:color="auto"/>
            </w:tcBorders>
            <w:shd w:val="clear" w:color="auto" w:fill="auto"/>
            <w:vAlign w:val="center"/>
          </w:tcPr>
          <w:p w14:paraId="3C0C1569" w14:textId="77777777" w:rsidR="009A1C41" w:rsidRPr="00E65F04" w:rsidRDefault="009A1C41" w:rsidP="00F10308">
            <w:pPr>
              <w:rPr>
                <w:rFonts w:ascii="Arial Narrow" w:hAnsi="Arial Narrow"/>
                <w:b/>
                <w:sz w:val="20"/>
                <w:lang w:val="en-GB"/>
              </w:rPr>
            </w:pPr>
            <w:r w:rsidRPr="00E65F04">
              <w:rPr>
                <w:rFonts w:ascii="Arial Narrow" w:hAnsi="Arial Narrow"/>
                <w:b/>
                <w:sz w:val="20"/>
                <w:lang w:val="en-GB"/>
              </w:rPr>
              <w:t>Administrative Advice:</w:t>
            </w:r>
          </w:p>
          <w:p w14:paraId="369E33D6" w14:textId="77777777" w:rsidR="009A1C41" w:rsidRPr="00E65F04" w:rsidRDefault="009A1C41" w:rsidP="00F10308">
            <w:pPr>
              <w:rPr>
                <w:rFonts w:ascii="Arial Narrow" w:hAnsi="Arial Narrow"/>
                <w:b/>
                <w:bCs/>
                <w:sz w:val="20"/>
              </w:rPr>
            </w:pPr>
            <w:r w:rsidRPr="00E65F04">
              <w:rPr>
                <w:rFonts w:ascii="Arial Narrow" w:hAnsi="Arial Narrow"/>
                <w:sz w:val="20"/>
                <w:lang w:val="en-GB"/>
              </w:rPr>
              <w:t xml:space="preserve">Where both eyes are affected by the condition, a quantity of 2 units can be requested </w:t>
            </w:r>
            <w:r w:rsidRPr="007022F4">
              <w:rPr>
                <w:rFonts w:ascii="Arial Narrow" w:hAnsi="Arial Narrow"/>
                <w:sz w:val="20"/>
                <w:lang w:val="en-GB"/>
              </w:rPr>
              <w:t xml:space="preserve">through </w:t>
            </w:r>
            <w:r w:rsidRPr="00E65F04">
              <w:rPr>
                <w:rFonts w:ascii="Arial Narrow" w:hAnsi="Arial Narrow"/>
                <w:sz w:val="20"/>
                <w:lang w:val="en-GB"/>
              </w:rPr>
              <w:t xml:space="preserve">the same authority </w:t>
            </w:r>
            <w:r w:rsidRPr="007022F4">
              <w:rPr>
                <w:rFonts w:ascii="Arial Narrow" w:hAnsi="Arial Narrow"/>
                <w:sz w:val="20"/>
                <w:lang w:val="en-GB"/>
              </w:rPr>
              <w:t>application</w:t>
            </w:r>
          </w:p>
        </w:tc>
      </w:tr>
    </w:tbl>
    <w:p w14:paraId="39D4D151" w14:textId="77777777" w:rsidR="00C1160D" w:rsidRDefault="00C1160D" w:rsidP="00C1160D">
      <w:pPr>
        <w:pStyle w:val="Bodytextitalics"/>
        <w:keepNext/>
        <w:keepLines/>
        <w:spacing w:after="0"/>
        <w:rPr>
          <w:rFonts w:ascii="Arial Narrow" w:hAnsi="Arial Narrow"/>
          <w:b/>
          <w:i w:val="0"/>
          <w:sz w:val="20"/>
          <w:szCs w:val="20"/>
        </w:rPr>
      </w:pPr>
    </w:p>
    <w:p w14:paraId="19680615" w14:textId="3B1F4632" w:rsidR="009A1C41" w:rsidRPr="00CF41A9" w:rsidRDefault="009A1C41" w:rsidP="00C1160D">
      <w:pPr>
        <w:pStyle w:val="Bodytextitalics"/>
        <w:keepNext/>
        <w:keepLines/>
        <w:spacing w:after="0"/>
        <w:rPr>
          <w:rFonts w:ascii="Arial Narrow" w:hAnsi="Arial Narrow"/>
          <w:b/>
          <w:i w:val="0"/>
          <w:sz w:val="20"/>
          <w:szCs w:val="20"/>
        </w:rPr>
      </w:pPr>
      <w:r w:rsidRPr="00CF41A9">
        <w:rPr>
          <w:rFonts w:ascii="Arial Narrow" w:hAnsi="Arial Narrow"/>
          <w:b/>
          <w:i w:val="0"/>
          <w:sz w:val="20"/>
          <w:szCs w:val="20"/>
        </w:rPr>
        <w:t>Continuing treatment of RVO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2"/>
        <w:gridCol w:w="8065"/>
      </w:tblGrid>
      <w:tr w:rsidR="009A1C41" w:rsidRPr="003557C8" w14:paraId="40C3F092" w14:textId="77777777" w:rsidTr="00C1160D">
        <w:trPr>
          <w:trHeight w:val="20"/>
        </w:trPr>
        <w:tc>
          <w:tcPr>
            <w:tcW w:w="528" w:type="pct"/>
            <w:tcBorders>
              <w:top w:val="single" w:sz="4" w:space="0" w:color="auto"/>
              <w:left w:val="single" w:sz="4" w:space="0" w:color="auto"/>
              <w:bottom w:val="single" w:sz="4" w:space="0" w:color="auto"/>
              <w:right w:val="single" w:sz="4" w:space="0" w:color="auto"/>
            </w:tcBorders>
          </w:tcPr>
          <w:p w14:paraId="46BE20CE" w14:textId="77777777" w:rsidR="009A1C41" w:rsidRPr="0042628F" w:rsidRDefault="009A1C41" w:rsidP="00F10308">
            <w:pPr>
              <w:keepNext/>
              <w:keepLines/>
              <w:jc w:val="center"/>
              <w:rPr>
                <w:rFonts w:ascii="Arial Narrow" w:hAnsi="Arial Narrow"/>
                <w:b/>
                <w:sz w:val="20"/>
              </w:rPr>
            </w:pPr>
            <w:r w:rsidRPr="0042628F">
              <w:rPr>
                <w:rFonts w:ascii="Arial Narrow" w:hAnsi="Arial Narrow"/>
                <w:b/>
                <w:sz w:val="20"/>
              </w:rPr>
              <w:t>Concept ID</w:t>
            </w:r>
          </w:p>
        </w:tc>
        <w:tc>
          <w:tcPr>
            <w:tcW w:w="4472" w:type="pct"/>
            <w:tcBorders>
              <w:top w:val="single" w:sz="4" w:space="0" w:color="auto"/>
              <w:left w:val="single" w:sz="4" w:space="0" w:color="auto"/>
              <w:bottom w:val="single" w:sz="4" w:space="0" w:color="auto"/>
              <w:right w:val="single" w:sz="4" w:space="0" w:color="auto"/>
            </w:tcBorders>
          </w:tcPr>
          <w:p w14:paraId="06FD5C20" w14:textId="77777777" w:rsidR="009A1C41" w:rsidRPr="0042628F" w:rsidRDefault="009A1C41" w:rsidP="00F10308">
            <w:pPr>
              <w:keepNext/>
              <w:keepLines/>
              <w:rPr>
                <w:rFonts w:ascii="Arial Narrow" w:hAnsi="Arial Narrow"/>
                <w:sz w:val="20"/>
              </w:rPr>
            </w:pPr>
            <w:r w:rsidRPr="0042628F">
              <w:rPr>
                <w:rFonts w:ascii="Arial Narrow" w:hAnsi="Arial Narrow"/>
                <w:b/>
                <w:sz w:val="20"/>
              </w:rPr>
              <w:t xml:space="preserve">Category / Program:   </w:t>
            </w:r>
            <w:r w:rsidRPr="0042628F">
              <w:rPr>
                <w:rFonts w:ascii="Arial Narrow" w:hAnsi="Arial Narrow"/>
                <w:sz w:val="20"/>
              </w:rPr>
              <w:t xml:space="preserve">GENERAL – General Schedule (Code GE) </w:t>
            </w:r>
          </w:p>
        </w:tc>
      </w:tr>
      <w:tr w:rsidR="009A1C41" w:rsidRPr="003557C8" w14:paraId="18DE01EA" w14:textId="77777777" w:rsidTr="00C1160D">
        <w:trPr>
          <w:trHeight w:val="20"/>
        </w:trPr>
        <w:tc>
          <w:tcPr>
            <w:tcW w:w="528" w:type="pct"/>
            <w:tcBorders>
              <w:top w:val="single" w:sz="4" w:space="0" w:color="auto"/>
              <w:left w:val="single" w:sz="4" w:space="0" w:color="auto"/>
              <w:bottom w:val="single" w:sz="4" w:space="0" w:color="auto"/>
              <w:right w:val="single" w:sz="4" w:space="0" w:color="auto"/>
            </w:tcBorders>
          </w:tcPr>
          <w:p w14:paraId="37F0ECAD" w14:textId="77777777" w:rsidR="009A1C41" w:rsidRPr="0042628F" w:rsidRDefault="009A1C41" w:rsidP="00F10308">
            <w:pPr>
              <w:keepNext/>
              <w:keepLines/>
              <w:jc w:val="center"/>
              <w:rPr>
                <w:rFonts w:ascii="Arial Narrow" w:hAnsi="Arial Narrow"/>
                <w:sz w:val="20"/>
              </w:rPr>
            </w:pPr>
          </w:p>
        </w:tc>
        <w:tc>
          <w:tcPr>
            <w:tcW w:w="4472" w:type="pct"/>
            <w:tcBorders>
              <w:top w:val="single" w:sz="4" w:space="0" w:color="auto"/>
              <w:left w:val="single" w:sz="4" w:space="0" w:color="auto"/>
              <w:bottom w:val="single" w:sz="4" w:space="0" w:color="auto"/>
              <w:right w:val="single" w:sz="4" w:space="0" w:color="auto"/>
            </w:tcBorders>
          </w:tcPr>
          <w:p w14:paraId="30B4884F" w14:textId="77777777" w:rsidR="009A1C41" w:rsidRPr="0042628F" w:rsidRDefault="009A1C41" w:rsidP="00F10308">
            <w:pPr>
              <w:keepNext/>
              <w:keepLines/>
              <w:rPr>
                <w:rFonts w:ascii="Arial Narrow" w:hAnsi="Arial Narrow"/>
                <w:b/>
                <w:sz w:val="20"/>
              </w:rPr>
            </w:pPr>
            <w:r w:rsidRPr="0042628F">
              <w:rPr>
                <w:rFonts w:ascii="Arial Narrow" w:hAnsi="Arial Narrow"/>
                <w:b/>
                <w:sz w:val="20"/>
              </w:rPr>
              <w:t xml:space="preserve">Prescriber type:   </w:t>
            </w:r>
            <w:r w:rsidRPr="0042628F">
              <w:rPr>
                <w:rFonts w:ascii="Arial Narrow" w:hAnsi="Arial Narrow"/>
                <w:sz w:val="20"/>
              </w:rPr>
              <w:fldChar w:fldCharType="begin" w:fldLock="1">
                <w:ffData>
                  <w:name w:val=""/>
                  <w:enabled/>
                  <w:calcOnExit w:val="0"/>
                  <w:checkBox>
                    <w:sizeAuto/>
                    <w:default w:val="1"/>
                  </w:checkBox>
                </w:ffData>
              </w:fldChar>
            </w:r>
            <w:r w:rsidRPr="0042628F">
              <w:rPr>
                <w:rFonts w:ascii="Arial Narrow" w:hAnsi="Arial Narrow"/>
                <w:sz w:val="20"/>
              </w:rPr>
              <w:instrText xml:space="preserve"> FORMCHECKBOX </w:instrText>
            </w:r>
            <w:r w:rsidR="001910DB">
              <w:rPr>
                <w:rFonts w:ascii="Arial Narrow" w:hAnsi="Arial Narrow"/>
                <w:sz w:val="20"/>
              </w:rPr>
            </w:r>
            <w:r w:rsidR="001910DB">
              <w:rPr>
                <w:rFonts w:ascii="Arial Narrow" w:hAnsi="Arial Narrow"/>
                <w:sz w:val="20"/>
              </w:rPr>
              <w:fldChar w:fldCharType="separate"/>
            </w:r>
            <w:r w:rsidRPr="0042628F">
              <w:rPr>
                <w:rFonts w:ascii="Arial Narrow" w:hAnsi="Arial Narrow"/>
                <w:sz w:val="20"/>
              </w:rPr>
              <w:fldChar w:fldCharType="end"/>
            </w:r>
            <w:r w:rsidRPr="0042628F">
              <w:rPr>
                <w:rFonts w:ascii="Arial Narrow" w:hAnsi="Arial Narrow"/>
                <w:sz w:val="20"/>
              </w:rPr>
              <w:t xml:space="preserve">Medical Practitioners   </w:t>
            </w:r>
          </w:p>
        </w:tc>
      </w:tr>
      <w:tr w:rsidR="009A1C41" w:rsidRPr="003557C8" w14:paraId="4C271704" w14:textId="77777777" w:rsidTr="00C1160D">
        <w:trPr>
          <w:trHeight w:val="20"/>
        </w:trPr>
        <w:tc>
          <w:tcPr>
            <w:tcW w:w="528" w:type="pct"/>
            <w:tcBorders>
              <w:top w:val="single" w:sz="4" w:space="0" w:color="auto"/>
              <w:left w:val="single" w:sz="4" w:space="0" w:color="auto"/>
              <w:bottom w:val="single" w:sz="4" w:space="0" w:color="auto"/>
              <w:right w:val="single" w:sz="4" w:space="0" w:color="auto"/>
            </w:tcBorders>
          </w:tcPr>
          <w:p w14:paraId="3E38C83F" w14:textId="77777777" w:rsidR="009A1C41" w:rsidRPr="0042628F" w:rsidRDefault="009A1C41" w:rsidP="00F10308">
            <w:pPr>
              <w:keepNext/>
              <w:keepLines/>
              <w:jc w:val="center"/>
              <w:rPr>
                <w:rFonts w:ascii="Arial Narrow" w:hAnsi="Arial Narrow"/>
                <w:sz w:val="20"/>
              </w:rPr>
            </w:pPr>
          </w:p>
        </w:tc>
        <w:tc>
          <w:tcPr>
            <w:tcW w:w="4472" w:type="pct"/>
            <w:tcBorders>
              <w:top w:val="single" w:sz="4" w:space="0" w:color="auto"/>
              <w:left w:val="single" w:sz="4" w:space="0" w:color="auto"/>
              <w:bottom w:val="single" w:sz="4" w:space="0" w:color="auto"/>
              <w:right w:val="single" w:sz="4" w:space="0" w:color="auto"/>
            </w:tcBorders>
          </w:tcPr>
          <w:p w14:paraId="2366E910" w14:textId="77777777" w:rsidR="009A1C41" w:rsidRPr="0042628F" w:rsidRDefault="009A1C41" w:rsidP="00F10308">
            <w:pPr>
              <w:keepNext/>
              <w:keepLines/>
              <w:rPr>
                <w:rFonts w:ascii="Arial Narrow" w:hAnsi="Arial Narrow"/>
                <w:b/>
                <w:sz w:val="20"/>
              </w:rPr>
            </w:pPr>
            <w:r w:rsidRPr="0042628F">
              <w:rPr>
                <w:rFonts w:ascii="Arial Narrow" w:hAnsi="Arial Narrow"/>
                <w:b/>
                <w:sz w:val="20"/>
              </w:rPr>
              <w:t>Restriction Level / Method:</w:t>
            </w:r>
          </w:p>
          <w:p w14:paraId="3E07CBED" w14:textId="77777777" w:rsidR="009A1C41" w:rsidRPr="0042628F" w:rsidRDefault="009A1C41" w:rsidP="00F10308">
            <w:pPr>
              <w:keepNext/>
              <w:keepLines/>
              <w:rPr>
                <w:rFonts w:ascii="Arial Narrow" w:hAnsi="Arial Narrow"/>
                <w:sz w:val="20"/>
              </w:rPr>
            </w:pPr>
            <w:r w:rsidRPr="0042628F">
              <w:rPr>
                <w:rFonts w:ascii="Arial Narrow" w:hAnsi="Arial Narrow"/>
                <w:sz w:val="20"/>
              </w:rPr>
              <w:fldChar w:fldCharType="begin" w:fldLock="1">
                <w:ffData>
                  <w:name w:val="Check3"/>
                  <w:enabled/>
                  <w:calcOnExit w:val="0"/>
                  <w:checkBox>
                    <w:sizeAuto/>
                    <w:default w:val="1"/>
                  </w:checkBox>
                </w:ffData>
              </w:fldChar>
            </w:r>
            <w:r w:rsidRPr="0042628F">
              <w:rPr>
                <w:rFonts w:ascii="Arial Narrow" w:hAnsi="Arial Narrow"/>
                <w:sz w:val="20"/>
              </w:rPr>
              <w:instrText xml:space="preserve"> FORMCHECKBOX </w:instrText>
            </w:r>
            <w:r w:rsidR="001910DB">
              <w:rPr>
                <w:rFonts w:ascii="Arial Narrow" w:hAnsi="Arial Narrow"/>
                <w:sz w:val="20"/>
              </w:rPr>
            </w:r>
            <w:r w:rsidR="001910DB">
              <w:rPr>
                <w:rFonts w:ascii="Arial Narrow" w:hAnsi="Arial Narrow"/>
                <w:sz w:val="20"/>
              </w:rPr>
              <w:fldChar w:fldCharType="separate"/>
            </w:r>
            <w:r w:rsidRPr="0042628F">
              <w:rPr>
                <w:rFonts w:ascii="Arial Narrow" w:hAnsi="Arial Narrow"/>
                <w:sz w:val="20"/>
              </w:rPr>
              <w:fldChar w:fldCharType="end"/>
            </w:r>
            <w:r w:rsidRPr="0042628F">
              <w:rPr>
                <w:rFonts w:ascii="Arial Narrow" w:hAnsi="Arial Narrow"/>
                <w:sz w:val="20"/>
              </w:rPr>
              <w:t>Authority Required – STREAMLINED</w:t>
            </w:r>
            <w:r>
              <w:rPr>
                <w:rFonts w:ascii="Arial Narrow" w:hAnsi="Arial Narrow"/>
                <w:sz w:val="20"/>
              </w:rPr>
              <w:t xml:space="preserve"> [new code]</w:t>
            </w:r>
          </w:p>
        </w:tc>
      </w:tr>
      <w:tr w:rsidR="009A1C41" w:rsidRPr="003557C8" w14:paraId="5A635995" w14:textId="77777777" w:rsidTr="00C1160D">
        <w:trPr>
          <w:trHeight w:val="20"/>
        </w:trPr>
        <w:tc>
          <w:tcPr>
            <w:tcW w:w="528" w:type="pct"/>
            <w:vAlign w:val="center"/>
          </w:tcPr>
          <w:p w14:paraId="403CC7F3" w14:textId="22779167" w:rsidR="009A1C41" w:rsidRPr="007022F4" w:rsidRDefault="009A1C41" w:rsidP="00F10308">
            <w:pPr>
              <w:jc w:val="center"/>
              <w:rPr>
                <w:rFonts w:ascii="Arial Narrow" w:hAnsi="Arial Narrow"/>
                <w:sz w:val="20"/>
              </w:rPr>
            </w:pPr>
          </w:p>
        </w:tc>
        <w:tc>
          <w:tcPr>
            <w:tcW w:w="4472" w:type="pct"/>
            <w:vAlign w:val="center"/>
            <w:hideMark/>
          </w:tcPr>
          <w:p w14:paraId="76CF8C44" w14:textId="77777777" w:rsidR="009A1C41" w:rsidRPr="007022F4" w:rsidRDefault="009A1C41" w:rsidP="00F10308">
            <w:pPr>
              <w:rPr>
                <w:rFonts w:ascii="Arial Narrow" w:hAnsi="Arial Narrow"/>
                <w:iCs/>
                <w:sz w:val="20"/>
              </w:rPr>
            </w:pPr>
            <w:r w:rsidRPr="007022F4">
              <w:rPr>
                <w:rFonts w:ascii="Arial Narrow" w:hAnsi="Arial Narrow"/>
                <w:b/>
                <w:bCs/>
                <w:iCs/>
                <w:sz w:val="20"/>
              </w:rPr>
              <w:t>Indication:</w:t>
            </w:r>
            <w:r w:rsidRPr="007022F4">
              <w:rPr>
                <w:rFonts w:ascii="Arial Narrow" w:hAnsi="Arial Narrow"/>
                <w:iCs/>
                <w:sz w:val="20"/>
              </w:rPr>
              <w:t xml:space="preserve"> </w:t>
            </w:r>
          </w:p>
          <w:p w14:paraId="1345087D" w14:textId="77777777" w:rsidR="009A1C41" w:rsidRPr="007022F4" w:rsidRDefault="009A1C41" w:rsidP="00F10308">
            <w:pPr>
              <w:rPr>
                <w:rFonts w:ascii="Arial Narrow" w:hAnsi="Arial Narrow"/>
                <w:sz w:val="20"/>
              </w:rPr>
            </w:pPr>
            <w:r w:rsidRPr="00C57F96">
              <w:rPr>
                <w:rFonts w:ascii="Arial Narrow" w:hAnsi="Arial Narrow"/>
                <w:sz w:val="20"/>
              </w:rPr>
              <w:t>Branch retinal vein occlusion with macular oedema</w:t>
            </w:r>
          </w:p>
        </w:tc>
      </w:tr>
      <w:tr w:rsidR="009A1C41" w:rsidRPr="003557C8" w14:paraId="6DD38D55" w14:textId="77777777" w:rsidTr="00C1160D">
        <w:trPr>
          <w:trHeight w:val="20"/>
        </w:trPr>
        <w:tc>
          <w:tcPr>
            <w:tcW w:w="528" w:type="pct"/>
            <w:vAlign w:val="center"/>
          </w:tcPr>
          <w:p w14:paraId="30708F7B" w14:textId="77777777" w:rsidR="009A1C41" w:rsidRPr="00CF41A9" w:rsidRDefault="009A1C41" w:rsidP="00F10308">
            <w:pPr>
              <w:jc w:val="center"/>
              <w:rPr>
                <w:rFonts w:ascii="Arial Narrow" w:hAnsi="Arial Narrow"/>
                <w:sz w:val="20"/>
              </w:rPr>
            </w:pPr>
          </w:p>
        </w:tc>
        <w:tc>
          <w:tcPr>
            <w:tcW w:w="4472" w:type="pct"/>
            <w:vAlign w:val="center"/>
            <w:hideMark/>
          </w:tcPr>
          <w:p w14:paraId="693D402A" w14:textId="77777777" w:rsidR="009A1C41" w:rsidRPr="00CF41A9" w:rsidRDefault="009A1C41" w:rsidP="00F10308">
            <w:pPr>
              <w:rPr>
                <w:rFonts w:ascii="Arial Narrow" w:hAnsi="Arial Narrow"/>
                <w:sz w:val="20"/>
              </w:rPr>
            </w:pPr>
            <w:r w:rsidRPr="00CF41A9">
              <w:rPr>
                <w:rFonts w:ascii="Arial Narrow" w:hAnsi="Arial Narrow"/>
                <w:b/>
                <w:bCs/>
                <w:sz w:val="20"/>
              </w:rPr>
              <w:t>Treatment Phase:</w:t>
            </w:r>
            <w:r w:rsidRPr="00CF41A9">
              <w:rPr>
                <w:rFonts w:ascii="Arial Narrow" w:hAnsi="Arial Narrow"/>
                <w:sz w:val="20"/>
              </w:rPr>
              <w:t xml:space="preserve"> Continuing treatment</w:t>
            </w:r>
          </w:p>
        </w:tc>
      </w:tr>
      <w:tr w:rsidR="009A1C41" w:rsidRPr="003557C8" w14:paraId="0CFBD9D9" w14:textId="77777777" w:rsidTr="00C1160D">
        <w:trPr>
          <w:trHeight w:val="20"/>
        </w:trPr>
        <w:tc>
          <w:tcPr>
            <w:tcW w:w="528" w:type="pct"/>
            <w:vAlign w:val="center"/>
          </w:tcPr>
          <w:p w14:paraId="67E1DC4E" w14:textId="6011E2C6" w:rsidR="009A1C41" w:rsidRPr="00CF41A9" w:rsidRDefault="009A1C41" w:rsidP="00F10308">
            <w:pPr>
              <w:jc w:val="center"/>
              <w:rPr>
                <w:rFonts w:ascii="Arial Narrow" w:hAnsi="Arial Narrow"/>
                <w:sz w:val="20"/>
              </w:rPr>
            </w:pPr>
          </w:p>
        </w:tc>
        <w:tc>
          <w:tcPr>
            <w:tcW w:w="4472" w:type="pct"/>
            <w:vAlign w:val="center"/>
          </w:tcPr>
          <w:p w14:paraId="5ECD81DD" w14:textId="77777777" w:rsidR="009A1C41" w:rsidRPr="00CF41A9" w:rsidRDefault="009A1C41" w:rsidP="00F10308">
            <w:pPr>
              <w:rPr>
                <w:rFonts w:ascii="Arial Narrow" w:hAnsi="Arial Narrow"/>
                <w:b/>
                <w:bCs/>
                <w:sz w:val="20"/>
              </w:rPr>
            </w:pPr>
            <w:r w:rsidRPr="00023724">
              <w:rPr>
                <w:rFonts w:ascii="Arial Narrow" w:hAnsi="Arial Narrow"/>
                <w:b/>
                <w:bCs/>
                <w:sz w:val="20"/>
              </w:rPr>
              <w:t>Treatment criteria:</w:t>
            </w:r>
          </w:p>
        </w:tc>
      </w:tr>
      <w:tr w:rsidR="009A1C41" w:rsidRPr="003557C8" w14:paraId="4EC12200" w14:textId="77777777" w:rsidTr="00C1160D">
        <w:trPr>
          <w:trHeight w:val="20"/>
        </w:trPr>
        <w:tc>
          <w:tcPr>
            <w:tcW w:w="528" w:type="pct"/>
            <w:vAlign w:val="center"/>
          </w:tcPr>
          <w:p w14:paraId="34E11626" w14:textId="2935C0C7" w:rsidR="009A1C41" w:rsidRPr="00CF41A9" w:rsidRDefault="009A1C41" w:rsidP="00F10308">
            <w:pPr>
              <w:jc w:val="center"/>
              <w:rPr>
                <w:rFonts w:ascii="Arial Narrow" w:hAnsi="Arial Narrow"/>
                <w:sz w:val="20"/>
              </w:rPr>
            </w:pPr>
          </w:p>
        </w:tc>
        <w:tc>
          <w:tcPr>
            <w:tcW w:w="4472" w:type="pct"/>
            <w:vAlign w:val="center"/>
          </w:tcPr>
          <w:p w14:paraId="3A1B921C" w14:textId="77777777" w:rsidR="009A1C41" w:rsidRPr="00CF41A9" w:rsidRDefault="009A1C41" w:rsidP="00F10308">
            <w:pPr>
              <w:rPr>
                <w:rFonts w:ascii="Arial Narrow" w:hAnsi="Arial Narrow"/>
                <w:b/>
                <w:bCs/>
                <w:sz w:val="20"/>
              </w:rPr>
            </w:pPr>
            <w:r w:rsidRPr="00023724">
              <w:rPr>
                <w:rFonts w:ascii="Arial Narrow" w:hAnsi="Arial Narrow"/>
                <w:sz w:val="20"/>
              </w:rPr>
              <w:t>Must be treated by an ophthalmologist or by an accredited ophthalmology registrar in consultation with an ophthalmologist</w:t>
            </w:r>
          </w:p>
        </w:tc>
      </w:tr>
      <w:tr w:rsidR="009A1C41" w:rsidRPr="009A2FEF" w14:paraId="1150221B" w14:textId="77777777" w:rsidTr="00C1160D">
        <w:trPr>
          <w:trHeight w:val="20"/>
        </w:trPr>
        <w:tc>
          <w:tcPr>
            <w:tcW w:w="528" w:type="pct"/>
            <w:vAlign w:val="center"/>
          </w:tcPr>
          <w:p w14:paraId="62422E11" w14:textId="0E31513C" w:rsidR="009A1C41" w:rsidRPr="00816F2A" w:rsidRDefault="009A1C41" w:rsidP="00F10308">
            <w:pPr>
              <w:jc w:val="center"/>
              <w:rPr>
                <w:rFonts w:ascii="Arial Narrow" w:hAnsi="Arial Narrow"/>
                <w:sz w:val="20"/>
              </w:rPr>
            </w:pPr>
          </w:p>
        </w:tc>
        <w:tc>
          <w:tcPr>
            <w:tcW w:w="4472" w:type="pct"/>
            <w:vAlign w:val="center"/>
            <w:hideMark/>
          </w:tcPr>
          <w:p w14:paraId="1FEE3ABD" w14:textId="77777777" w:rsidR="009A1C41" w:rsidRPr="00023724" w:rsidRDefault="009A1C41" w:rsidP="00F10308">
            <w:pPr>
              <w:rPr>
                <w:rFonts w:ascii="Arial Narrow" w:hAnsi="Arial Narrow"/>
                <w:sz w:val="20"/>
              </w:rPr>
            </w:pPr>
            <w:r w:rsidRPr="00023724">
              <w:rPr>
                <w:rFonts w:ascii="Arial Narrow" w:hAnsi="Arial Narrow"/>
                <w:b/>
                <w:bCs/>
                <w:sz w:val="20"/>
              </w:rPr>
              <w:t>Clinical criteria:</w:t>
            </w:r>
          </w:p>
        </w:tc>
      </w:tr>
      <w:tr w:rsidR="009A1C41" w:rsidRPr="003557C8" w14:paraId="7F17B740" w14:textId="77777777" w:rsidTr="00C1160D">
        <w:trPr>
          <w:trHeight w:val="20"/>
        </w:trPr>
        <w:tc>
          <w:tcPr>
            <w:tcW w:w="528" w:type="pct"/>
            <w:vAlign w:val="center"/>
          </w:tcPr>
          <w:p w14:paraId="4A391730" w14:textId="15063474" w:rsidR="009A1C41" w:rsidRPr="00816F2A" w:rsidRDefault="009A1C41" w:rsidP="00F10308">
            <w:pPr>
              <w:jc w:val="center"/>
              <w:rPr>
                <w:rFonts w:ascii="Arial Narrow" w:hAnsi="Arial Narrow"/>
                <w:sz w:val="20"/>
              </w:rPr>
            </w:pPr>
          </w:p>
        </w:tc>
        <w:tc>
          <w:tcPr>
            <w:tcW w:w="4472" w:type="pct"/>
            <w:vAlign w:val="center"/>
            <w:hideMark/>
          </w:tcPr>
          <w:p w14:paraId="0B3B5AD1" w14:textId="77777777" w:rsidR="009A1C41" w:rsidRPr="00023724" w:rsidRDefault="009A1C41" w:rsidP="00F10308">
            <w:pPr>
              <w:rPr>
                <w:rFonts w:ascii="Arial Narrow" w:hAnsi="Arial Narrow"/>
                <w:sz w:val="20"/>
              </w:rPr>
            </w:pPr>
            <w:r w:rsidRPr="00023724">
              <w:rPr>
                <w:rFonts w:ascii="Arial Narrow" w:hAnsi="Arial Narrow"/>
                <w:sz w:val="20"/>
              </w:rPr>
              <w:t>Patient must have previously received PBS-subsidised treatment with this drug for this condition for the same eye</w:t>
            </w:r>
          </w:p>
        </w:tc>
      </w:tr>
      <w:tr w:rsidR="009A1C41" w:rsidRPr="003557C8" w14:paraId="5038A835" w14:textId="77777777" w:rsidTr="00C1160D">
        <w:trPr>
          <w:trHeight w:val="20"/>
        </w:trPr>
        <w:tc>
          <w:tcPr>
            <w:tcW w:w="528" w:type="pct"/>
            <w:vAlign w:val="center"/>
          </w:tcPr>
          <w:p w14:paraId="4BDDFC59" w14:textId="77777777" w:rsidR="009A1C41" w:rsidRPr="003557C8" w:rsidRDefault="009A1C41" w:rsidP="00F10308">
            <w:pPr>
              <w:jc w:val="center"/>
              <w:rPr>
                <w:rFonts w:ascii="Arial Narrow" w:hAnsi="Arial Narrow"/>
                <w:sz w:val="20"/>
                <w:highlight w:val="lightGray"/>
              </w:rPr>
            </w:pPr>
          </w:p>
        </w:tc>
        <w:tc>
          <w:tcPr>
            <w:tcW w:w="4472" w:type="pct"/>
            <w:vAlign w:val="center"/>
          </w:tcPr>
          <w:p w14:paraId="1E26C3F7" w14:textId="77777777" w:rsidR="009A1C41" w:rsidRPr="00023724" w:rsidRDefault="009A1C41" w:rsidP="00F10308">
            <w:pPr>
              <w:rPr>
                <w:rFonts w:ascii="Arial Narrow" w:hAnsi="Arial Narrow"/>
                <w:b/>
                <w:bCs/>
                <w:sz w:val="20"/>
              </w:rPr>
            </w:pPr>
            <w:r w:rsidRPr="00023724">
              <w:rPr>
                <w:rFonts w:ascii="Arial Narrow" w:hAnsi="Arial Narrow"/>
                <w:b/>
                <w:bCs/>
                <w:sz w:val="20"/>
              </w:rPr>
              <w:t>AND</w:t>
            </w:r>
          </w:p>
        </w:tc>
      </w:tr>
      <w:tr w:rsidR="009A1C41" w:rsidRPr="003557C8" w14:paraId="408120FF" w14:textId="77777777" w:rsidTr="00C1160D">
        <w:trPr>
          <w:trHeight w:val="20"/>
        </w:trPr>
        <w:tc>
          <w:tcPr>
            <w:tcW w:w="528" w:type="pct"/>
            <w:vAlign w:val="center"/>
          </w:tcPr>
          <w:p w14:paraId="2899CC0D" w14:textId="2A170ED3" w:rsidR="009A1C41" w:rsidRPr="00023724" w:rsidRDefault="009A1C41" w:rsidP="00F10308">
            <w:pPr>
              <w:jc w:val="center"/>
              <w:rPr>
                <w:rFonts w:ascii="Arial Narrow" w:hAnsi="Arial Narrow"/>
                <w:sz w:val="20"/>
              </w:rPr>
            </w:pPr>
          </w:p>
        </w:tc>
        <w:tc>
          <w:tcPr>
            <w:tcW w:w="4472" w:type="pct"/>
            <w:vAlign w:val="center"/>
          </w:tcPr>
          <w:p w14:paraId="2F35DD8C" w14:textId="77777777" w:rsidR="009A1C41" w:rsidRPr="00023724" w:rsidRDefault="009A1C41" w:rsidP="00F10308">
            <w:pPr>
              <w:rPr>
                <w:rFonts w:ascii="Arial Narrow" w:hAnsi="Arial Narrow"/>
                <w:b/>
                <w:bCs/>
                <w:sz w:val="20"/>
              </w:rPr>
            </w:pPr>
            <w:r w:rsidRPr="00023724">
              <w:rPr>
                <w:rFonts w:ascii="Arial Narrow" w:hAnsi="Arial Narrow"/>
                <w:b/>
                <w:bCs/>
                <w:sz w:val="20"/>
              </w:rPr>
              <w:t>Clinical criteria:</w:t>
            </w:r>
          </w:p>
        </w:tc>
      </w:tr>
      <w:tr w:rsidR="009A1C41" w:rsidRPr="003557C8" w14:paraId="678D7104" w14:textId="77777777" w:rsidTr="00C1160D">
        <w:trPr>
          <w:trHeight w:val="20"/>
        </w:trPr>
        <w:tc>
          <w:tcPr>
            <w:tcW w:w="528" w:type="pct"/>
            <w:vAlign w:val="center"/>
          </w:tcPr>
          <w:p w14:paraId="34DBA803" w14:textId="51A06F78" w:rsidR="009A1C41" w:rsidRPr="00023724" w:rsidRDefault="009A1C41" w:rsidP="00F10308">
            <w:pPr>
              <w:jc w:val="center"/>
              <w:rPr>
                <w:rFonts w:ascii="Arial Narrow" w:hAnsi="Arial Narrow"/>
                <w:sz w:val="20"/>
              </w:rPr>
            </w:pPr>
          </w:p>
        </w:tc>
        <w:tc>
          <w:tcPr>
            <w:tcW w:w="4472" w:type="pct"/>
            <w:vAlign w:val="center"/>
          </w:tcPr>
          <w:p w14:paraId="69C9389B" w14:textId="77777777" w:rsidR="009A1C41" w:rsidRPr="00023724" w:rsidRDefault="009A1C41" w:rsidP="00F10308">
            <w:pPr>
              <w:rPr>
                <w:rFonts w:ascii="Arial Narrow" w:hAnsi="Arial Narrow"/>
                <w:b/>
                <w:bCs/>
                <w:sz w:val="20"/>
              </w:rPr>
            </w:pPr>
            <w:r w:rsidRPr="00023724">
              <w:rPr>
                <w:rFonts w:ascii="Arial Narrow" w:hAnsi="Arial Narrow"/>
                <w:sz w:val="20"/>
              </w:rPr>
              <w:t>The treatment must be the sole PBS-subsidised therapy for this condition</w:t>
            </w:r>
          </w:p>
        </w:tc>
      </w:tr>
      <w:tr w:rsidR="009A1C41" w:rsidRPr="003557C8" w14:paraId="67E392C7" w14:textId="77777777" w:rsidTr="00C1160D">
        <w:trPr>
          <w:trHeight w:val="20"/>
          <w:hidden/>
        </w:trPr>
        <w:tc>
          <w:tcPr>
            <w:tcW w:w="528" w:type="pct"/>
            <w:vAlign w:val="center"/>
          </w:tcPr>
          <w:p w14:paraId="38359712" w14:textId="12E13EFD" w:rsidR="009A1C41" w:rsidRPr="009A2FEF" w:rsidRDefault="009A1C41" w:rsidP="00F10308">
            <w:pPr>
              <w:jc w:val="center"/>
              <w:rPr>
                <w:rFonts w:ascii="Arial Narrow" w:hAnsi="Arial Narrow"/>
                <w:iCs/>
                <w:vanish/>
                <w:sz w:val="20"/>
                <w:highlight w:val="lightGray"/>
              </w:rPr>
            </w:pPr>
          </w:p>
        </w:tc>
        <w:tc>
          <w:tcPr>
            <w:tcW w:w="4472" w:type="pct"/>
            <w:vAlign w:val="center"/>
            <w:hideMark/>
          </w:tcPr>
          <w:p w14:paraId="7AF16799" w14:textId="77777777" w:rsidR="009A1C41" w:rsidRPr="00023724" w:rsidRDefault="009A1C41" w:rsidP="00F10308">
            <w:pPr>
              <w:rPr>
                <w:rFonts w:ascii="Arial Narrow" w:hAnsi="Arial Narrow"/>
                <w:iCs/>
                <w:sz w:val="20"/>
              </w:rPr>
            </w:pPr>
            <w:r w:rsidRPr="00023724">
              <w:rPr>
                <w:rFonts w:ascii="Arial Narrow" w:hAnsi="Arial Narrow"/>
                <w:b/>
                <w:bCs/>
                <w:iCs/>
                <w:sz w:val="20"/>
              </w:rPr>
              <w:t>Administrative Advice:</w:t>
            </w:r>
          </w:p>
          <w:p w14:paraId="1A206586" w14:textId="77777777" w:rsidR="009A1C41" w:rsidRPr="003557C8" w:rsidRDefault="009A1C41" w:rsidP="00F10308">
            <w:pPr>
              <w:rPr>
                <w:rFonts w:ascii="Arial Narrow" w:hAnsi="Arial Narrow"/>
                <w:i/>
                <w:sz w:val="20"/>
                <w:highlight w:val="lightGray"/>
              </w:rPr>
            </w:pPr>
            <w:r w:rsidRPr="00023724">
              <w:rPr>
                <w:rFonts w:ascii="Arial Narrow" w:hAnsi="Arial Narrow"/>
                <w:iCs/>
                <w:sz w:val="20"/>
              </w:rPr>
              <w:t>Any queries concerning the arrangements to prescribe may be directed to the Services Australia on 1800 700 270 (hours of operation 8 a.m. to 5 p.m. Monday to Friday).</w:t>
            </w:r>
          </w:p>
        </w:tc>
      </w:tr>
      <w:tr w:rsidR="009A1C41" w:rsidRPr="003557C8" w14:paraId="4AA9088D" w14:textId="77777777" w:rsidTr="00C1160D">
        <w:trPr>
          <w:trHeight w:val="20"/>
        </w:trPr>
        <w:tc>
          <w:tcPr>
            <w:tcW w:w="528" w:type="pct"/>
            <w:vAlign w:val="center"/>
          </w:tcPr>
          <w:p w14:paraId="2082D8FA" w14:textId="663A3511" w:rsidR="009A1C41" w:rsidRPr="00960BC1" w:rsidRDefault="009A1C41" w:rsidP="00F10308">
            <w:pPr>
              <w:jc w:val="center"/>
              <w:rPr>
                <w:rFonts w:ascii="Arial Narrow" w:hAnsi="Arial Narrow"/>
                <w:sz w:val="20"/>
              </w:rPr>
            </w:pPr>
          </w:p>
        </w:tc>
        <w:tc>
          <w:tcPr>
            <w:tcW w:w="4472" w:type="pct"/>
            <w:vAlign w:val="center"/>
          </w:tcPr>
          <w:p w14:paraId="56CAABE3" w14:textId="77777777" w:rsidR="009A1C41" w:rsidRDefault="009A1C41" w:rsidP="00F10308">
            <w:pPr>
              <w:rPr>
                <w:rFonts w:ascii="Arial Narrow" w:hAnsi="Arial Narrow"/>
                <w:sz w:val="20"/>
              </w:rPr>
            </w:pPr>
            <w:r w:rsidRPr="00960BC1">
              <w:rPr>
                <w:rFonts w:ascii="Arial Narrow" w:hAnsi="Arial Narrow"/>
                <w:b/>
                <w:bCs/>
                <w:sz w:val="20"/>
              </w:rPr>
              <w:t>Administrative Advice:</w:t>
            </w:r>
            <w:r w:rsidRPr="00960BC1">
              <w:rPr>
                <w:rFonts w:ascii="Arial Narrow" w:hAnsi="Arial Narrow"/>
                <w:sz w:val="20"/>
              </w:rPr>
              <w:t xml:space="preserve"> </w:t>
            </w:r>
          </w:p>
          <w:p w14:paraId="3830FEBA" w14:textId="77777777" w:rsidR="009A1C41" w:rsidRPr="00960BC1" w:rsidRDefault="009A1C41" w:rsidP="00F10308">
            <w:pPr>
              <w:rPr>
                <w:rFonts w:ascii="Arial Narrow" w:hAnsi="Arial Narrow"/>
                <w:b/>
                <w:bCs/>
                <w:sz w:val="20"/>
              </w:rPr>
            </w:pPr>
            <w:r w:rsidRPr="00960BC1">
              <w:rPr>
                <w:rFonts w:ascii="Arial Narrow" w:hAnsi="Arial Narrow"/>
                <w:sz w:val="20"/>
              </w:rPr>
              <w:t>Special Pricing Arrangements apply</w:t>
            </w:r>
          </w:p>
        </w:tc>
      </w:tr>
      <w:tr w:rsidR="009A1C41" w:rsidRPr="003557C8" w14:paraId="3556B570" w14:textId="77777777" w:rsidTr="00C1160D">
        <w:trPr>
          <w:trHeight w:val="20"/>
        </w:trPr>
        <w:tc>
          <w:tcPr>
            <w:tcW w:w="528" w:type="pct"/>
            <w:vAlign w:val="center"/>
          </w:tcPr>
          <w:p w14:paraId="51B9E10A" w14:textId="6212C01D" w:rsidR="009A1C41" w:rsidRPr="00960BC1" w:rsidRDefault="009A1C41" w:rsidP="00F10308">
            <w:pPr>
              <w:jc w:val="center"/>
              <w:rPr>
                <w:rFonts w:ascii="Arial Narrow" w:hAnsi="Arial Narrow"/>
                <w:sz w:val="20"/>
              </w:rPr>
            </w:pPr>
          </w:p>
        </w:tc>
        <w:tc>
          <w:tcPr>
            <w:tcW w:w="4472" w:type="pct"/>
            <w:vAlign w:val="center"/>
            <w:hideMark/>
          </w:tcPr>
          <w:p w14:paraId="62FB11F9" w14:textId="77777777" w:rsidR="009A1C41" w:rsidRDefault="009A1C41" w:rsidP="00F10308">
            <w:pPr>
              <w:rPr>
                <w:rFonts w:ascii="Arial Narrow" w:hAnsi="Arial Narrow"/>
                <w:sz w:val="20"/>
              </w:rPr>
            </w:pPr>
            <w:r w:rsidRPr="00960BC1">
              <w:rPr>
                <w:rFonts w:ascii="Arial Narrow" w:hAnsi="Arial Narrow"/>
                <w:b/>
                <w:bCs/>
                <w:sz w:val="20"/>
              </w:rPr>
              <w:t>Administrative Advice:</w:t>
            </w:r>
            <w:r w:rsidRPr="00960BC1">
              <w:rPr>
                <w:rFonts w:ascii="Arial Narrow" w:hAnsi="Arial Narrow"/>
                <w:sz w:val="20"/>
              </w:rPr>
              <w:t xml:space="preserve"> </w:t>
            </w:r>
          </w:p>
          <w:p w14:paraId="54ED7963" w14:textId="77777777" w:rsidR="009A1C41" w:rsidRPr="00960BC1" w:rsidRDefault="009A1C41" w:rsidP="00F10308">
            <w:pPr>
              <w:rPr>
                <w:rFonts w:ascii="Arial Narrow" w:hAnsi="Arial Narrow"/>
                <w:sz w:val="20"/>
              </w:rPr>
            </w:pPr>
            <w:r w:rsidRPr="00960BC1">
              <w:rPr>
                <w:rFonts w:ascii="Arial Narrow" w:hAnsi="Arial Narrow"/>
                <w:sz w:val="20"/>
              </w:rPr>
              <w:t>No increase in the maximum number of repeats may be authorised</w:t>
            </w:r>
          </w:p>
        </w:tc>
      </w:tr>
      <w:tr w:rsidR="009A1C41" w:rsidRPr="003557C8" w14:paraId="189A80CC" w14:textId="77777777" w:rsidTr="00C1160D">
        <w:trPr>
          <w:trHeight w:val="20"/>
        </w:trPr>
        <w:tc>
          <w:tcPr>
            <w:tcW w:w="528" w:type="pct"/>
            <w:vAlign w:val="center"/>
          </w:tcPr>
          <w:p w14:paraId="5A7B67CC" w14:textId="04610ACE" w:rsidR="009A1C41" w:rsidRPr="00960BC1" w:rsidRDefault="009A1C41" w:rsidP="00F10308">
            <w:pPr>
              <w:jc w:val="center"/>
              <w:rPr>
                <w:rFonts w:ascii="Arial Narrow" w:hAnsi="Arial Narrow"/>
                <w:sz w:val="20"/>
              </w:rPr>
            </w:pPr>
          </w:p>
        </w:tc>
        <w:tc>
          <w:tcPr>
            <w:tcW w:w="4472" w:type="pct"/>
            <w:vAlign w:val="center"/>
          </w:tcPr>
          <w:p w14:paraId="4B49DC58" w14:textId="77777777" w:rsidR="009A1C41" w:rsidRPr="00960BC1" w:rsidRDefault="009A1C41" w:rsidP="00F10308">
            <w:pPr>
              <w:rPr>
                <w:rFonts w:ascii="Arial Narrow" w:hAnsi="Arial Narrow"/>
                <w:b/>
                <w:bCs/>
                <w:sz w:val="20"/>
              </w:rPr>
            </w:pPr>
            <w:r w:rsidRPr="00960BC1">
              <w:rPr>
                <w:rFonts w:ascii="Arial Narrow" w:hAnsi="Arial Narrow"/>
                <w:b/>
                <w:bCs/>
                <w:sz w:val="20"/>
              </w:rPr>
              <w:t>Administrative Advice:</w:t>
            </w:r>
          </w:p>
          <w:p w14:paraId="6B96F0A3" w14:textId="77777777" w:rsidR="009A1C41" w:rsidRPr="00960BC1" w:rsidRDefault="009A1C41" w:rsidP="00F10308">
            <w:pPr>
              <w:rPr>
                <w:rFonts w:ascii="Arial Narrow" w:hAnsi="Arial Narrow"/>
                <w:b/>
                <w:bCs/>
                <w:sz w:val="20"/>
              </w:rPr>
            </w:pPr>
            <w:r w:rsidRPr="00960BC1">
              <w:rPr>
                <w:rFonts w:ascii="Arial Narrow" w:hAnsi="Arial Narrow"/>
                <w:bCs/>
                <w:sz w:val="20"/>
              </w:rPr>
              <w:t>No increase in the maximum quantity or number of units may be authorised for applications for treatment of one eye</w:t>
            </w:r>
          </w:p>
        </w:tc>
      </w:tr>
      <w:tr w:rsidR="009A1C41" w:rsidRPr="003557C8" w14:paraId="760FD14C" w14:textId="77777777" w:rsidTr="00C1160D">
        <w:trPr>
          <w:trHeight w:val="20"/>
        </w:trPr>
        <w:tc>
          <w:tcPr>
            <w:tcW w:w="528" w:type="pct"/>
            <w:vAlign w:val="center"/>
          </w:tcPr>
          <w:p w14:paraId="7A4BD504" w14:textId="19E83464" w:rsidR="009A1C41" w:rsidRPr="00960BC1" w:rsidRDefault="009A1C41" w:rsidP="00F10308">
            <w:pPr>
              <w:jc w:val="center"/>
              <w:rPr>
                <w:rFonts w:ascii="Arial Narrow" w:hAnsi="Arial Narrow"/>
                <w:sz w:val="20"/>
              </w:rPr>
            </w:pPr>
          </w:p>
        </w:tc>
        <w:tc>
          <w:tcPr>
            <w:tcW w:w="4472" w:type="pct"/>
            <w:vAlign w:val="center"/>
          </w:tcPr>
          <w:p w14:paraId="4A380286" w14:textId="77777777" w:rsidR="009A1C41" w:rsidRPr="00960BC1" w:rsidRDefault="009A1C41" w:rsidP="00F10308">
            <w:pPr>
              <w:rPr>
                <w:rFonts w:ascii="Arial Narrow" w:hAnsi="Arial Narrow"/>
                <w:b/>
                <w:sz w:val="20"/>
                <w:lang w:val="en-GB"/>
              </w:rPr>
            </w:pPr>
            <w:r w:rsidRPr="00960BC1">
              <w:rPr>
                <w:rFonts w:ascii="Arial Narrow" w:hAnsi="Arial Narrow"/>
                <w:b/>
                <w:sz w:val="20"/>
                <w:lang w:val="en-GB"/>
              </w:rPr>
              <w:t>Administrative Advice:</w:t>
            </w:r>
          </w:p>
          <w:p w14:paraId="61C5A31F" w14:textId="590213BE" w:rsidR="009A1C41" w:rsidRPr="00960BC1" w:rsidRDefault="009A1C41" w:rsidP="00F10308">
            <w:pPr>
              <w:rPr>
                <w:rFonts w:ascii="Arial Narrow" w:hAnsi="Arial Narrow"/>
                <w:b/>
                <w:bCs/>
                <w:sz w:val="20"/>
              </w:rPr>
            </w:pPr>
            <w:r w:rsidRPr="00960BC1">
              <w:rPr>
                <w:rFonts w:ascii="Arial Narrow" w:hAnsi="Arial Narrow"/>
                <w:sz w:val="20"/>
                <w:lang w:val="en-GB"/>
              </w:rPr>
              <w:t xml:space="preserve">Where both eyes are affected by the condition, a quantity of 2 units can be requested </w:t>
            </w:r>
            <w:r w:rsidRPr="00824DD1">
              <w:rPr>
                <w:rFonts w:ascii="Arial Narrow" w:hAnsi="Arial Narrow"/>
                <w:sz w:val="20"/>
                <w:lang w:val="en-GB"/>
              </w:rPr>
              <w:t>through</w:t>
            </w:r>
            <w:r>
              <w:rPr>
                <w:rFonts w:ascii="Arial Narrow" w:hAnsi="Arial Narrow"/>
                <w:i/>
                <w:iCs/>
                <w:sz w:val="20"/>
                <w:lang w:val="en-GB"/>
              </w:rPr>
              <w:t xml:space="preserve"> </w:t>
            </w:r>
            <w:r w:rsidRPr="00960BC1">
              <w:rPr>
                <w:rFonts w:ascii="Arial Narrow" w:hAnsi="Arial Narrow"/>
                <w:sz w:val="20"/>
                <w:lang w:val="en-GB"/>
              </w:rPr>
              <w:t>the same authority</w:t>
            </w:r>
            <w:r>
              <w:rPr>
                <w:rFonts w:ascii="Arial Narrow" w:hAnsi="Arial Narrow"/>
                <w:i/>
                <w:iCs/>
                <w:sz w:val="20"/>
                <w:lang w:val="en-GB"/>
              </w:rPr>
              <w:t xml:space="preserve"> </w:t>
            </w:r>
            <w:r w:rsidRPr="007022F4">
              <w:rPr>
                <w:rFonts w:ascii="Arial Narrow" w:hAnsi="Arial Narrow"/>
                <w:sz w:val="20"/>
                <w:lang w:val="en-GB"/>
              </w:rPr>
              <w:t>application</w:t>
            </w:r>
            <w:r w:rsidRPr="00960BC1">
              <w:rPr>
                <w:rFonts w:ascii="Arial Narrow" w:hAnsi="Arial Narrow"/>
                <w:sz w:val="20"/>
                <w:lang w:val="en-GB"/>
              </w:rPr>
              <w:t xml:space="preserve"> </w:t>
            </w:r>
          </w:p>
        </w:tc>
      </w:tr>
    </w:tbl>
    <w:p w14:paraId="5ED9DFAC" w14:textId="77777777" w:rsidR="009A1C41" w:rsidRDefault="009A1C41" w:rsidP="00C1160D">
      <w:pPr>
        <w:pStyle w:val="PBACcaption"/>
        <w:rPr>
          <w:rFonts w:ascii="Arial Narrow" w:hAnsi="Arial Narrow" w:cstheme="minorHAnsi"/>
          <w:b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2"/>
        <w:gridCol w:w="8065"/>
      </w:tblGrid>
      <w:tr w:rsidR="009A1C41" w:rsidRPr="003557C8" w14:paraId="3F9BD251" w14:textId="77777777" w:rsidTr="00F10308">
        <w:tc>
          <w:tcPr>
            <w:tcW w:w="528" w:type="pct"/>
            <w:tcBorders>
              <w:top w:val="single" w:sz="4" w:space="0" w:color="auto"/>
              <w:left w:val="single" w:sz="4" w:space="0" w:color="auto"/>
              <w:bottom w:val="single" w:sz="4" w:space="0" w:color="auto"/>
              <w:right w:val="single" w:sz="4" w:space="0" w:color="auto"/>
            </w:tcBorders>
          </w:tcPr>
          <w:p w14:paraId="6766B395" w14:textId="77777777" w:rsidR="009A1C41" w:rsidRPr="0042628F" w:rsidRDefault="009A1C41" w:rsidP="00F10308">
            <w:pPr>
              <w:keepNext/>
              <w:keepLines/>
              <w:jc w:val="center"/>
              <w:rPr>
                <w:rFonts w:ascii="Arial Narrow" w:hAnsi="Arial Narrow"/>
                <w:b/>
                <w:sz w:val="20"/>
              </w:rPr>
            </w:pPr>
            <w:r w:rsidRPr="0042628F">
              <w:rPr>
                <w:rFonts w:ascii="Arial Narrow" w:hAnsi="Arial Narrow"/>
                <w:b/>
                <w:sz w:val="20"/>
              </w:rPr>
              <w:t>Concept ID</w:t>
            </w:r>
          </w:p>
        </w:tc>
        <w:tc>
          <w:tcPr>
            <w:tcW w:w="4472" w:type="pct"/>
            <w:tcBorders>
              <w:top w:val="single" w:sz="4" w:space="0" w:color="auto"/>
              <w:left w:val="single" w:sz="4" w:space="0" w:color="auto"/>
              <w:bottom w:val="single" w:sz="4" w:space="0" w:color="auto"/>
              <w:right w:val="single" w:sz="4" w:space="0" w:color="auto"/>
            </w:tcBorders>
          </w:tcPr>
          <w:p w14:paraId="6A043CC2" w14:textId="77777777" w:rsidR="009A1C41" w:rsidRPr="0042628F" w:rsidRDefault="009A1C41" w:rsidP="00F10308">
            <w:pPr>
              <w:keepNext/>
              <w:keepLines/>
              <w:rPr>
                <w:rFonts w:ascii="Arial Narrow" w:hAnsi="Arial Narrow"/>
                <w:sz w:val="20"/>
              </w:rPr>
            </w:pPr>
            <w:r w:rsidRPr="0042628F">
              <w:rPr>
                <w:rFonts w:ascii="Arial Narrow" w:hAnsi="Arial Narrow"/>
                <w:b/>
                <w:sz w:val="20"/>
              </w:rPr>
              <w:t xml:space="preserve">Category / Program:   </w:t>
            </w:r>
            <w:r w:rsidRPr="0042628F">
              <w:rPr>
                <w:rFonts w:ascii="Arial Narrow" w:hAnsi="Arial Narrow"/>
                <w:sz w:val="20"/>
              </w:rPr>
              <w:t xml:space="preserve">GENERAL – General Schedule (Code GE) </w:t>
            </w:r>
          </w:p>
        </w:tc>
      </w:tr>
      <w:tr w:rsidR="009A1C41" w:rsidRPr="003557C8" w14:paraId="6B6AD38A" w14:textId="77777777" w:rsidTr="00F10308">
        <w:trPr>
          <w:trHeight w:val="240"/>
        </w:trPr>
        <w:tc>
          <w:tcPr>
            <w:tcW w:w="528" w:type="pct"/>
            <w:tcBorders>
              <w:top w:val="single" w:sz="4" w:space="0" w:color="auto"/>
              <w:left w:val="single" w:sz="4" w:space="0" w:color="auto"/>
              <w:bottom w:val="single" w:sz="4" w:space="0" w:color="auto"/>
              <w:right w:val="single" w:sz="4" w:space="0" w:color="auto"/>
            </w:tcBorders>
          </w:tcPr>
          <w:p w14:paraId="57E04038" w14:textId="77777777" w:rsidR="009A1C41" w:rsidRPr="0042628F" w:rsidRDefault="009A1C41" w:rsidP="00F10308">
            <w:pPr>
              <w:keepNext/>
              <w:keepLines/>
              <w:jc w:val="center"/>
              <w:rPr>
                <w:rFonts w:ascii="Arial Narrow" w:hAnsi="Arial Narrow"/>
                <w:sz w:val="20"/>
              </w:rPr>
            </w:pPr>
          </w:p>
        </w:tc>
        <w:tc>
          <w:tcPr>
            <w:tcW w:w="4472" w:type="pct"/>
            <w:tcBorders>
              <w:top w:val="single" w:sz="4" w:space="0" w:color="auto"/>
              <w:left w:val="single" w:sz="4" w:space="0" w:color="auto"/>
              <w:bottom w:val="single" w:sz="4" w:space="0" w:color="auto"/>
              <w:right w:val="single" w:sz="4" w:space="0" w:color="auto"/>
            </w:tcBorders>
          </w:tcPr>
          <w:p w14:paraId="510C9988" w14:textId="77777777" w:rsidR="009A1C41" w:rsidRPr="0042628F" w:rsidRDefault="009A1C41" w:rsidP="00F10308">
            <w:pPr>
              <w:keepNext/>
              <w:keepLines/>
              <w:rPr>
                <w:rFonts w:ascii="Arial Narrow" w:hAnsi="Arial Narrow"/>
                <w:b/>
                <w:sz w:val="20"/>
              </w:rPr>
            </w:pPr>
            <w:r w:rsidRPr="0042628F">
              <w:rPr>
                <w:rFonts w:ascii="Arial Narrow" w:hAnsi="Arial Narrow"/>
                <w:b/>
                <w:sz w:val="20"/>
              </w:rPr>
              <w:t xml:space="preserve">Prescriber type:   </w:t>
            </w:r>
            <w:r w:rsidRPr="0042628F">
              <w:rPr>
                <w:rFonts w:ascii="Arial Narrow" w:hAnsi="Arial Narrow"/>
                <w:sz w:val="20"/>
              </w:rPr>
              <w:fldChar w:fldCharType="begin" w:fldLock="1">
                <w:ffData>
                  <w:name w:val=""/>
                  <w:enabled/>
                  <w:calcOnExit w:val="0"/>
                  <w:checkBox>
                    <w:sizeAuto/>
                    <w:default w:val="1"/>
                  </w:checkBox>
                </w:ffData>
              </w:fldChar>
            </w:r>
            <w:r w:rsidRPr="0042628F">
              <w:rPr>
                <w:rFonts w:ascii="Arial Narrow" w:hAnsi="Arial Narrow"/>
                <w:sz w:val="20"/>
              </w:rPr>
              <w:instrText xml:space="preserve"> FORMCHECKBOX </w:instrText>
            </w:r>
            <w:r w:rsidR="001910DB">
              <w:rPr>
                <w:rFonts w:ascii="Arial Narrow" w:hAnsi="Arial Narrow"/>
                <w:sz w:val="20"/>
              </w:rPr>
            </w:r>
            <w:r w:rsidR="001910DB">
              <w:rPr>
                <w:rFonts w:ascii="Arial Narrow" w:hAnsi="Arial Narrow"/>
                <w:sz w:val="20"/>
              </w:rPr>
              <w:fldChar w:fldCharType="separate"/>
            </w:r>
            <w:r w:rsidRPr="0042628F">
              <w:rPr>
                <w:rFonts w:ascii="Arial Narrow" w:hAnsi="Arial Narrow"/>
                <w:sz w:val="20"/>
              </w:rPr>
              <w:fldChar w:fldCharType="end"/>
            </w:r>
            <w:r w:rsidRPr="0042628F">
              <w:rPr>
                <w:rFonts w:ascii="Arial Narrow" w:hAnsi="Arial Narrow"/>
                <w:sz w:val="20"/>
              </w:rPr>
              <w:t xml:space="preserve">Medical Practitioners   </w:t>
            </w:r>
          </w:p>
        </w:tc>
      </w:tr>
      <w:tr w:rsidR="009A1C41" w:rsidRPr="003557C8" w14:paraId="30718D82" w14:textId="77777777" w:rsidTr="00F10308">
        <w:trPr>
          <w:trHeight w:val="454"/>
        </w:trPr>
        <w:tc>
          <w:tcPr>
            <w:tcW w:w="528" w:type="pct"/>
            <w:tcBorders>
              <w:top w:val="single" w:sz="4" w:space="0" w:color="auto"/>
              <w:left w:val="single" w:sz="4" w:space="0" w:color="auto"/>
              <w:bottom w:val="single" w:sz="4" w:space="0" w:color="auto"/>
              <w:right w:val="single" w:sz="4" w:space="0" w:color="auto"/>
            </w:tcBorders>
          </w:tcPr>
          <w:p w14:paraId="7C424CDD" w14:textId="77777777" w:rsidR="009A1C41" w:rsidRPr="0042628F" w:rsidRDefault="009A1C41" w:rsidP="00F10308">
            <w:pPr>
              <w:keepNext/>
              <w:keepLines/>
              <w:jc w:val="center"/>
              <w:rPr>
                <w:rFonts w:ascii="Arial Narrow" w:hAnsi="Arial Narrow"/>
                <w:i/>
                <w:sz w:val="20"/>
              </w:rPr>
            </w:pPr>
          </w:p>
          <w:p w14:paraId="168BC4AE" w14:textId="77777777" w:rsidR="009A1C41" w:rsidRPr="0042628F" w:rsidRDefault="009A1C41" w:rsidP="00F10308">
            <w:pPr>
              <w:keepNext/>
              <w:keepLines/>
              <w:jc w:val="center"/>
              <w:rPr>
                <w:rFonts w:ascii="Arial Narrow" w:hAnsi="Arial Narrow"/>
                <w:sz w:val="20"/>
              </w:rPr>
            </w:pPr>
          </w:p>
        </w:tc>
        <w:tc>
          <w:tcPr>
            <w:tcW w:w="4472" w:type="pct"/>
            <w:tcBorders>
              <w:top w:val="single" w:sz="4" w:space="0" w:color="auto"/>
              <w:left w:val="single" w:sz="4" w:space="0" w:color="auto"/>
              <w:bottom w:val="single" w:sz="4" w:space="0" w:color="auto"/>
              <w:right w:val="single" w:sz="4" w:space="0" w:color="auto"/>
            </w:tcBorders>
          </w:tcPr>
          <w:p w14:paraId="0B050D92" w14:textId="77777777" w:rsidR="009A1C41" w:rsidRPr="0042628F" w:rsidRDefault="009A1C41" w:rsidP="00F10308">
            <w:pPr>
              <w:keepNext/>
              <w:keepLines/>
              <w:rPr>
                <w:rFonts w:ascii="Arial Narrow" w:hAnsi="Arial Narrow"/>
                <w:b/>
                <w:sz w:val="20"/>
              </w:rPr>
            </w:pPr>
            <w:r w:rsidRPr="0042628F">
              <w:rPr>
                <w:rFonts w:ascii="Arial Narrow" w:hAnsi="Arial Narrow"/>
                <w:b/>
                <w:sz w:val="20"/>
              </w:rPr>
              <w:t>Restriction Level / Method:</w:t>
            </w:r>
          </w:p>
          <w:p w14:paraId="5BE66305" w14:textId="77777777" w:rsidR="009A1C41" w:rsidRPr="0042628F" w:rsidRDefault="009A1C41" w:rsidP="00F10308">
            <w:pPr>
              <w:keepNext/>
              <w:keepLines/>
              <w:rPr>
                <w:rFonts w:ascii="Arial Narrow" w:hAnsi="Arial Narrow"/>
                <w:sz w:val="20"/>
              </w:rPr>
            </w:pPr>
            <w:r w:rsidRPr="0042628F">
              <w:rPr>
                <w:rFonts w:ascii="Arial Narrow" w:hAnsi="Arial Narrow"/>
                <w:sz w:val="20"/>
              </w:rPr>
              <w:fldChar w:fldCharType="begin" w:fldLock="1">
                <w:ffData>
                  <w:name w:val="Check3"/>
                  <w:enabled/>
                  <w:calcOnExit w:val="0"/>
                  <w:checkBox>
                    <w:sizeAuto/>
                    <w:default w:val="1"/>
                  </w:checkBox>
                </w:ffData>
              </w:fldChar>
            </w:r>
            <w:r w:rsidRPr="0042628F">
              <w:rPr>
                <w:rFonts w:ascii="Arial Narrow" w:hAnsi="Arial Narrow"/>
                <w:sz w:val="20"/>
              </w:rPr>
              <w:instrText xml:space="preserve"> FORMCHECKBOX </w:instrText>
            </w:r>
            <w:r w:rsidR="001910DB">
              <w:rPr>
                <w:rFonts w:ascii="Arial Narrow" w:hAnsi="Arial Narrow"/>
                <w:sz w:val="20"/>
              </w:rPr>
            </w:r>
            <w:r w:rsidR="001910DB">
              <w:rPr>
                <w:rFonts w:ascii="Arial Narrow" w:hAnsi="Arial Narrow"/>
                <w:sz w:val="20"/>
              </w:rPr>
              <w:fldChar w:fldCharType="separate"/>
            </w:r>
            <w:r w:rsidRPr="0042628F">
              <w:rPr>
                <w:rFonts w:ascii="Arial Narrow" w:hAnsi="Arial Narrow"/>
                <w:sz w:val="20"/>
              </w:rPr>
              <w:fldChar w:fldCharType="end"/>
            </w:r>
            <w:r w:rsidRPr="0042628F">
              <w:rPr>
                <w:rFonts w:ascii="Arial Narrow" w:hAnsi="Arial Narrow"/>
                <w:sz w:val="20"/>
              </w:rPr>
              <w:t>Authority Required – STREAMLINED</w:t>
            </w:r>
            <w:r>
              <w:rPr>
                <w:rFonts w:ascii="Arial Narrow" w:hAnsi="Arial Narrow"/>
                <w:sz w:val="20"/>
              </w:rPr>
              <w:t xml:space="preserve"> [new code]</w:t>
            </w:r>
          </w:p>
        </w:tc>
      </w:tr>
      <w:tr w:rsidR="009A1C41" w:rsidRPr="003557C8" w14:paraId="70DBAA5B" w14:textId="77777777" w:rsidTr="001F0728">
        <w:tc>
          <w:tcPr>
            <w:tcW w:w="528" w:type="pct"/>
            <w:vAlign w:val="center"/>
          </w:tcPr>
          <w:p w14:paraId="0F4E9423" w14:textId="7C2E929A" w:rsidR="009A1C41" w:rsidRPr="003557C8" w:rsidRDefault="009A1C41" w:rsidP="00F10308">
            <w:pPr>
              <w:jc w:val="center"/>
              <w:rPr>
                <w:rFonts w:ascii="Arial Narrow" w:hAnsi="Arial Narrow"/>
                <w:i/>
                <w:sz w:val="20"/>
                <w:highlight w:val="lightGray"/>
              </w:rPr>
            </w:pPr>
          </w:p>
        </w:tc>
        <w:tc>
          <w:tcPr>
            <w:tcW w:w="4472" w:type="pct"/>
            <w:vAlign w:val="center"/>
            <w:hideMark/>
          </w:tcPr>
          <w:p w14:paraId="5495C95F" w14:textId="77777777" w:rsidR="009A1C41" w:rsidRPr="007022F4" w:rsidRDefault="009A1C41" w:rsidP="00F10308">
            <w:pPr>
              <w:rPr>
                <w:rFonts w:ascii="Arial Narrow" w:hAnsi="Arial Narrow"/>
                <w:iCs/>
                <w:sz w:val="20"/>
              </w:rPr>
            </w:pPr>
            <w:r w:rsidRPr="007022F4">
              <w:rPr>
                <w:rFonts w:ascii="Arial Narrow" w:hAnsi="Arial Narrow"/>
                <w:b/>
                <w:bCs/>
                <w:iCs/>
                <w:sz w:val="20"/>
              </w:rPr>
              <w:t>Indication:</w:t>
            </w:r>
            <w:r w:rsidRPr="007022F4">
              <w:rPr>
                <w:rFonts w:ascii="Arial Narrow" w:hAnsi="Arial Narrow"/>
                <w:iCs/>
                <w:sz w:val="20"/>
              </w:rPr>
              <w:t xml:space="preserve"> </w:t>
            </w:r>
          </w:p>
          <w:p w14:paraId="115B265E" w14:textId="77777777" w:rsidR="009A1C41" w:rsidRPr="003557C8" w:rsidRDefault="009A1C41" w:rsidP="00F10308">
            <w:pPr>
              <w:rPr>
                <w:rFonts w:ascii="Arial Narrow" w:hAnsi="Arial Narrow"/>
                <w:i/>
                <w:sz w:val="20"/>
                <w:highlight w:val="lightGray"/>
              </w:rPr>
            </w:pPr>
            <w:r w:rsidRPr="00C728CA">
              <w:rPr>
                <w:rFonts w:ascii="Arial Narrow" w:hAnsi="Arial Narrow"/>
                <w:sz w:val="20"/>
              </w:rPr>
              <w:t>Central retinal vein occlusion with macular oedema</w:t>
            </w:r>
          </w:p>
        </w:tc>
      </w:tr>
      <w:tr w:rsidR="009A1C41" w:rsidRPr="003557C8" w14:paraId="4A52846B" w14:textId="77777777" w:rsidTr="001F0728">
        <w:tc>
          <w:tcPr>
            <w:tcW w:w="528" w:type="pct"/>
            <w:vAlign w:val="center"/>
          </w:tcPr>
          <w:p w14:paraId="36234677" w14:textId="77777777" w:rsidR="009A1C41" w:rsidRPr="00CF41A9" w:rsidRDefault="009A1C41" w:rsidP="00F10308">
            <w:pPr>
              <w:jc w:val="center"/>
              <w:rPr>
                <w:rFonts w:ascii="Arial Narrow" w:hAnsi="Arial Narrow"/>
                <w:sz w:val="20"/>
              </w:rPr>
            </w:pPr>
          </w:p>
        </w:tc>
        <w:tc>
          <w:tcPr>
            <w:tcW w:w="4472" w:type="pct"/>
            <w:vAlign w:val="center"/>
            <w:hideMark/>
          </w:tcPr>
          <w:p w14:paraId="0253222B" w14:textId="77777777" w:rsidR="009A1C41" w:rsidRPr="00CF41A9" w:rsidRDefault="009A1C41" w:rsidP="00F10308">
            <w:pPr>
              <w:rPr>
                <w:rFonts w:ascii="Arial Narrow" w:hAnsi="Arial Narrow"/>
                <w:sz w:val="20"/>
              </w:rPr>
            </w:pPr>
            <w:r w:rsidRPr="00CF41A9">
              <w:rPr>
                <w:rFonts w:ascii="Arial Narrow" w:hAnsi="Arial Narrow"/>
                <w:b/>
                <w:bCs/>
                <w:sz w:val="20"/>
              </w:rPr>
              <w:t>Treatment Phase:</w:t>
            </w:r>
            <w:r w:rsidRPr="00CF41A9">
              <w:rPr>
                <w:rFonts w:ascii="Arial Narrow" w:hAnsi="Arial Narrow"/>
                <w:sz w:val="20"/>
              </w:rPr>
              <w:t xml:space="preserve"> Continuing treatment</w:t>
            </w:r>
          </w:p>
        </w:tc>
      </w:tr>
      <w:tr w:rsidR="009A1C41" w:rsidRPr="003557C8" w14:paraId="184CF5C9" w14:textId="77777777" w:rsidTr="00F10308">
        <w:tc>
          <w:tcPr>
            <w:tcW w:w="528" w:type="pct"/>
            <w:vAlign w:val="center"/>
          </w:tcPr>
          <w:p w14:paraId="5AAECA93" w14:textId="21BB1994" w:rsidR="009A1C41" w:rsidRPr="00CF41A9" w:rsidRDefault="009A1C41" w:rsidP="00F10308">
            <w:pPr>
              <w:jc w:val="center"/>
              <w:rPr>
                <w:rFonts w:ascii="Arial Narrow" w:hAnsi="Arial Narrow"/>
                <w:sz w:val="20"/>
              </w:rPr>
            </w:pPr>
          </w:p>
        </w:tc>
        <w:tc>
          <w:tcPr>
            <w:tcW w:w="4472" w:type="pct"/>
            <w:vAlign w:val="center"/>
          </w:tcPr>
          <w:p w14:paraId="7E9E41BD" w14:textId="77777777" w:rsidR="009A1C41" w:rsidRPr="00CF41A9" w:rsidRDefault="009A1C41" w:rsidP="00F10308">
            <w:pPr>
              <w:rPr>
                <w:rFonts w:ascii="Arial Narrow" w:hAnsi="Arial Narrow"/>
                <w:b/>
                <w:bCs/>
                <w:sz w:val="20"/>
              </w:rPr>
            </w:pPr>
            <w:r w:rsidRPr="00023724">
              <w:rPr>
                <w:rFonts w:ascii="Arial Narrow" w:hAnsi="Arial Narrow"/>
                <w:b/>
                <w:bCs/>
                <w:sz w:val="20"/>
              </w:rPr>
              <w:t>Treatment criteria:</w:t>
            </w:r>
          </w:p>
        </w:tc>
      </w:tr>
      <w:tr w:rsidR="009A1C41" w:rsidRPr="003557C8" w14:paraId="5B5326B7" w14:textId="77777777" w:rsidTr="00F10308">
        <w:tc>
          <w:tcPr>
            <w:tcW w:w="528" w:type="pct"/>
            <w:vAlign w:val="center"/>
          </w:tcPr>
          <w:p w14:paraId="5B7DD8E4" w14:textId="21D11184" w:rsidR="009A1C41" w:rsidRPr="00CF41A9" w:rsidRDefault="009A1C41" w:rsidP="00F10308">
            <w:pPr>
              <w:jc w:val="center"/>
              <w:rPr>
                <w:rFonts w:ascii="Arial Narrow" w:hAnsi="Arial Narrow"/>
                <w:sz w:val="20"/>
              </w:rPr>
            </w:pPr>
          </w:p>
        </w:tc>
        <w:tc>
          <w:tcPr>
            <w:tcW w:w="4472" w:type="pct"/>
            <w:vAlign w:val="center"/>
          </w:tcPr>
          <w:p w14:paraId="05F67780" w14:textId="77777777" w:rsidR="009A1C41" w:rsidRPr="00CF41A9" w:rsidRDefault="009A1C41" w:rsidP="00F10308">
            <w:pPr>
              <w:rPr>
                <w:rFonts w:ascii="Arial Narrow" w:hAnsi="Arial Narrow"/>
                <w:b/>
                <w:bCs/>
                <w:sz w:val="20"/>
              </w:rPr>
            </w:pPr>
            <w:r w:rsidRPr="00023724">
              <w:rPr>
                <w:rFonts w:ascii="Arial Narrow" w:hAnsi="Arial Narrow"/>
                <w:sz w:val="20"/>
              </w:rPr>
              <w:t>Must be treated by an ophthalmologist or by an accredited ophthalmology registrar in consultation with an ophthalmologist</w:t>
            </w:r>
          </w:p>
        </w:tc>
      </w:tr>
      <w:tr w:rsidR="009A1C41" w:rsidRPr="009A2FEF" w14:paraId="543ED6D7" w14:textId="77777777" w:rsidTr="001F0728">
        <w:tc>
          <w:tcPr>
            <w:tcW w:w="528" w:type="pct"/>
            <w:vAlign w:val="center"/>
          </w:tcPr>
          <w:p w14:paraId="200123AF" w14:textId="6C99CB1E" w:rsidR="009A1C41" w:rsidRPr="00816F2A" w:rsidRDefault="009A1C41" w:rsidP="00F10308">
            <w:pPr>
              <w:jc w:val="center"/>
              <w:rPr>
                <w:rFonts w:ascii="Arial Narrow" w:hAnsi="Arial Narrow"/>
                <w:sz w:val="20"/>
              </w:rPr>
            </w:pPr>
          </w:p>
        </w:tc>
        <w:tc>
          <w:tcPr>
            <w:tcW w:w="4472" w:type="pct"/>
            <w:vAlign w:val="center"/>
            <w:hideMark/>
          </w:tcPr>
          <w:p w14:paraId="66C2A4F2" w14:textId="77777777" w:rsidR="009A1C41" w:rsidRPr="00023724" w:rsidRDefault="009A1C41" w:rsidP="00F10308">
            <w:pPr>
              <w:rPr>
                <w:rFonts w:ascii="Arial Narrow" w:hAnsi="Arial Narrow"/>
                <w:sz w:val="20"/>
              </w:rPr>
            </w:pPr>
            <w:r w:rsidRPr="00023724">
              <w:rPr>
                <w:rFonts w:ascii="Arial Narrow" w:hAnsi="Arial Narrow"/>
                <w:b/>
                <w:bCs/>
                <w:sz w:val="20"/>
              </w:rPr>
              <w:t>Clinical criteria:</w:t>
            </w:r>
          </w:p>
        </w:tc>
      </w:tr>
      <w:tr w:rsidR="009A1C41" w:rsidRPr="003557C8" w14:paraId="64E790BD" w14:textId="77777777" w:rsidTr="001F0728">
        <w:tc>
          <w:tcPr>
            <w:tcW w:w="528" w:type="pct"/>
            <w:vAlign w:val="center"/>
          </w:tcPr>
          <w:p w14:paraId="09C4EAC6" w14:textId="631239C1" w:rsidR="009A1C41" w:rsidRPr="00816F2A" w:rsidRDefault="009A1C41" w:rsidP="00F10308">
            <w:pPr>
              <w:jc w:val="center"/>
              <w:rPr>
                <w:rFonts w:ascii="Arial Narrow" w:hAnsi="Arial Narrow"/>
                <w:sz w:val="20"/>
              </w:rPr>
            </w:pPr>
          </w:p>
        </w:tc>
        <w:tc>
          <w:tcPr>
            <w:tcW w:w="4472" w:type="pct"/>
            <w:vAlign w:val="center"/>
            <w:hideMark/>
          </w:tcPr>
          <w:p w14:paraId="626F5A49" w14:textId="77777777" w:rsidR="009A1C41" w:rsidRPr="00023724" w:rsidRDefault="009A1C41" w:rsidP="00F10308">
            <w:pPr>
              <w:rPr>
                <w:rFonts w:ascii="Arial Narrow" w:hAnsi="Arial Narrow"/>
                <w:sz w:val="20"/>
              </w:rPr>
            </w:pPr>
            <w:r w:rsidRPr="00023724">
              <w:rPr>
                <w:rFonts w:ascii="Arial Narrow" w:hAnsi="Arial Narrow"/>
                <w:sz w:val="20"/>
              </w:rPr>
              <w:t>Patient must have previously received PBS-subsidised treatment with this drug for this condition for the same eye</w:t>
            </w:r>
          </w:p>
        </w:tc>
      </w:tr>
      <w:tr w:rsidR="009A1C41" w:rsidRPr="003557C8" w14:paraId="78C3C08C" w14:textId="77777777" w:rsidTr="00F10308">
        <w:tc>
          <w:tcPr>
            <w:tcW w:w="528" w:type="pct"/>
            <w:vAlign w:val="center"/>
          </w:tcPr>
          <w:p w14:paraId="22A883EB" w14:textId="77777777" w:rsidR="009A1C41" w:rsidRPr="003557C8" w:rsidRDefault="009A1C41" w:rsidP="00F10308">
            <w:pPr>
              <w:jc w:val="center"/>
              <w:rPr>
                <w:rFonts w:ascii="Arial Narrow" w:hAnsi="Arial Narrow"/>
                <w:sz w:val="20"/>
                <w:highlight w:val="lightGray"/>
              </w:rPr>
            </w:pPr>
          </w:p>
        </w:tc>
        <w:tc>
          <w:tcPr>
            <w:tcW w:w="4472" w:type="pct"/>
            <w:vAlign w:val="center"/>
          </w:tcPr>
          <w:p w14:paraId="35D99F5F" w14:textId="77777777" w:rsidR="009A1C41" w:rsidRPr="00023724" w:rsidRDefault="009A1C41" w:rsidP="00F10308">
            <w:pPr>
              <w:rPr>
                <w:rFonts w:ascii="Arial Narrow" w:hAnsi="Arial Narrow"/>
                <w:b/>
                <w:bCs/>
                <w:sz w:val="20"/>
              </w:rPr>
            </w:pPr>
            <w:r w:rsidRPr="00023724">
              <w:rPr>
                <w:rFonts w:ascii="Arial Narrow" w:hAnsi="Arial Narrow"/>
                <w:b/>
                <w:bCs/>
                <w:sz w:val="20"/>
              </w:rPr>
              <w:t>AND</w:t>
            </w:r>
          </w:p>
        </w:tc>
      </w:tr>
      <w:tr w:rsidR="009A1C41" w:rsidRPr="003557C8" w14:paraId="4D53F71D" w14:textId="77777777" w:rsidTr="00F10308">
        <w:tc>
          <w:tcPr>
            <w:tcW w:w="528" w:type="pct"/>
            <w:vAlign w:val="center"/>
          </w:tcPr>
          <w:p w14:paraId="08BEAE2D" w14:textId="4D3E84B1" w:rsidR="009A1C41" w:rsidRPr="00023724" w:rsidRDefault="009A1C41" w:rsidP="00F10308">
            <w:pPr>
              <w:jc w:val="center"/>
              <w:rPr>
                <w:rFonts w:ascii="Arial Narrow" w:hAnsi="Arial Narrow"/>
                <w:sz w:val="20"/>
              </w:rPr>
            </w:pPr>
          </w:p>
        </w:tc>
        <w:tc>
          <w:tcPr>
            <w:tcW w:w="4472" w:type="pct"/>
            <w:vAlign w:val="center"/>
          </w:tcPr>
          <w:p w14:paraId="162CBCCE" w14:textId="77777777" w:rsidR="009A1C41" w:rsidRPr="00023724" w:rsidRDefault="009A1C41" w:rsidP="00F10308">
            <w:pPr>
              <w:rPr>
                <w:rFonts w:ascii="Arial Narrow" w:hAnsi="Arial Narrow"/>
                <w:b/>
                <w:bCs/>
                <w:sz w:val="20"/>
              </w:rPr>
            </w:pPr>
            <w:r w:rsidRPr="00023724">
              <w:rPr>
                <w:rFonts w:ascii="Arial Narrow" w:hAnsi="Arial Narrow"/>
                <w:b/>
                <w:bCs/>
                <w:sz w:val="20"/>
              </w:rPr>
              <w:t>Clinical criteria:</w:t>
            </w:r>
          </w:p>
        </w:tc>
      </w:tr>
      <w:tr w:rsidR="009A1C41" w:rsidRPr="003557C8" w14:paraId="1E1AC648" w14:textId="77777777" w:rsidTr="00F10308">
        <w:tc>
          <w:tcPr>
            <w:tcW w:w="528" w:type="pct"/>
            <w:vAlign w:val="center"/>
          </w:tcPr>
          <w:p w14:paraId="293BE9EE" w14:textId="7275637F" w:rsidR="009A1C41" w:rsidRPr="00023724" w:rsidRDefault="009A1C41" w:rsidP="00F10308">
            <w:pPr>
              <w:jc w:val="center"/>
              <w:rPr>
                <w:rFonts w:ascii="Arial Narrow" w:hAnsi="Arial Narrow"/>
                <w:sz w:val="20"/>
              </w:rPr>
            </w:pPr>
          </w:p>
        </w:tc>
        <w:tc>
          <w:tcPr>
            <w:tcW w:w="4472" w:type="pct"/>
            <w:vAlign w:val="center"/>
          </w:tcPr>
          <w:p w14:paraId="7A8A137E" w14:textId="77777777" w:rsidR="009A1C41" w:rsidRPr="00023724" w:rsidRDefault="009A1C41" w:rsidP="00F10308">
            <w:pPr>
              <w:rPr>
                <w:rFonts w:ascii="Arial Narrow" w:hAnsi="Arial Narrow"/>
                <w:b/>
                <w:bCs/>
                <w:sz w:val="20"/>
              </w:rPr>
            </w:pPr>
            <w:r w:rsidRPr="00023724">
              <w:rPr>
                <w:rFonts w:ascii="Arial Narrow" w:hAnsi="Arial Narrow"/>
                <w:sz w:val="20"/>
              </w:rPr>
              <w:t>The treatment must be the sole PBS-subsidised therapy for this condition</w:t>
            </w:r>
          </w:p>
        </w:tc>
      </w:tr>
      <w:tr w:rsidR="009A1C41" w:rsidRPr="003557C8" w14:paraId="1BFCFFB9" w14:textId="77777777" w:rsidTr="001F0728">
        <w:trPr>
          <w:hidden/>
        </w:trPr>
        <w:tc>
          <w:tcPr>
            <w:tcW w:w="528" w:type="pct"/>
            <w:vAlign w:val="center"/>
          </w:tcPr>
          <w:p w14:paraId="0435753A" w14:textId="1C77003E" w:rsidR="009A1C41" w:rsidRPr="009A2FEF" w:rsidRDefault="009A1C41" w:rsidP="00F10308">
            <w:pPr>
              <w:jc w:val="center"/>
              <w:rPr>
                <w:rFonts w:ascii="Arial Narrow" w:hAnsi="Arial Narrow"/>
                <w:iCs/>
                <w:vanish/>
                <w:sz w:val="20"/>
                <w:highlight w:val="lightGray"/>
              </w:rPr>
            </w:pPr>
          </w:p>
        </w:tc>
        <w:tc>
          <w:tcPr>
            <w:tcW w:w="4472" w:type="pct"/>
            <w:vAlign w:val="center"/>
            <w:hideMark/>
          </w:tcPr>
          <w:p w14:paraId="11DEE6F9" w14:textId="77777777" w:rsidR="009A1C41" w:rsidRPr="00023724" w:rsidRDefault="009A1C41" w:rsidP="00F10308">
            <w:pPr>
              <w:rPr>
                <w:rFonts w:ascii="Arial Narrow" w:hAnsi="Arial Narrow"/>
                <w:iCs/>
                <w:sz w:val="20"/>
              </w:rPr>
            </w:pPr>
            <w:r w:rsidRPr="00023724">
              <w:rPr>
                <w:rFonts w:ascii="Arial Narrow" w:hAnsi="Arial Narrow"/>
                <w:b/>
                <w:bCs/>
                <w:iCs/>
                <w:sz w:val="20"/>
              </w:rPr>
              <w:t>Administrative Advice:</w:t>
            </w:r>
          </w:p>
          <w:p w14:paraId="2F4F9B13" w14:textId="77777777" w:rsidR="009A1C41" w:rsidRPr="003557C8" w:rsidRDefault="009A1C41" w:rsidP="00F10308">
            <w:pPr>
              <w:rPr>
                <w:rFonts w:ascii="Arial Narrow" w:hAnsi="Arial Narrow"/>
                <w:i/>
                <w:sz w:val="20"/>
                <w:highlight w:val="lightGray"/>
              </w:rPr>
            </w:pPr>
            <w:r w:rsidRPr="00023724">
              <w:rPr>
                <w:rFonts w:ascii="Arial Narrow" w:hAnsi="Arial Narrow"/>
                <w:iCs/>
                <w:sz w:val="20"/>
              </w:rPr>
              <w:t>Any queries concerning the arrangements to prescribe may be directed to the Services Australia on 1800 700 270 (hours of operation 8 a.m. to 5 p.m. Monday to Friday).</w:t>
            </w:r>
          </w:p>
        </w:tc>
      </w:tr>
      <w:tr w:rsidR="009A1C41" w:rsidRPr="003557C8" w14:paraId="795F75ED" w14:textId="77777777" w:rsidTr="00F10308">
        <w:tc>
          <w:tcPr>
            <w:tcW w:w="528" w:type="pct"/>
            <w:vAlign w:val="center"/>
          </w:tcPr>
          <w:p w14:paraId="53EB0B30" w14:textId="1C50FCCE" w:rsidR="009A1C41" w:rsidRPr="00960BC1" w:rsidRDefault="009A1C41" w:rsidP="00F10308">
            <w:pPr>
              <w:jc w:val="center"/>
              <w:rPr>
                <w:rFonts w:ascii="Arial Narrow" w:hAnsi="Arial Narrow"/>
                <w:sz w:val="20"/>
              </w:rPr>
            </w:pPr>
          </w:p>
        </w:tc>
        <w:tc>
          <w:tcPr>
            <w:tcW w:w="4472" w:type="pct"/>
            <w:vAlign w:val="center"/>
          </w:tcPr>
          <w:p w14:paraId="7B190601" w14:textId="77777777" w:rsidR="009A1C41" w:rsidRDefault="009A1C41" w:rsidP="00F10308">
            <w:pPr>
              <w:rPr>
                <w:rFonts w:ascii="Arial Narrow" w:hAnsi="Arial Narrow"/>
                <w:sz w:val="20"/>
              </w:rPr>
            </w:pPr>
            <w:r w:rsidRPr="00960BC1">
              <w:rPr>
                <w:rFonts w:ascii="Arial Narrow" w:hAnsi="Arial Narrow"/>
                <w:b/>
                <w:bCs/>
                <w:sz w:val="20"/>
              </w:rPr>
              <w:t>Administrative Advice:</w:t>
            </w:r>
            <w:r w:rsidRPr="00960BC1">
              <w:rPr>
                <w:rFonts w:ascii="Arial Narrow" w:hAnsi="Arial Narrow"/>
                <w:sz w:val="20"/>
              </w:rPr>
              <w:t xml:space="preserve"> </w:t>
            </w:r>
          </w:p>
          <w:p w14:paraId="0A083ED7" w14:textId="77777777" w:rsidR="009A1C41" w:rsidRPr="00960BC1" w:rsidRDefault="009A1C41" w:rsidP="00F10308">
            <w:pPr>
              <w:rPr>
                <w:rFonts w:ascii="Arial Narrow" w:hAnsi="Arial Narrow"/>
                <w:b/>
                <w:bCs/>
                <w:sz w:val="20"/>
              </w:rPr>
            </w:pPr>
            <w:r w:rsidRPr="00960BC1">
              <w:rPr>
                <w:rFonts w:ascii="Arial Narrow" w:hAnsi="Arial Narrow"/>
                <w:sz w:val="20"/>
              </w:rPr>
              <w:t>Special Pricing Arrangements apply</w:t>
            </w:r>
          </w:p>
        </w:tc>
      </w:tr>
      <w:tr w:rsidR="009A1C41" w:rsidRPr="003557C8" w14:paraId="1383C7BF" w14:textId="77777777" w:rsidTr="001F0728">
        <w:tc>
          <w:tcPr>
            <w:tcW w:w="528" w:type="pct"/>
            <w:vAlign w:val="center"/>
          </w:tcPr>
          <w:p w14:paraId="5E3BEB4C" w14:textId="69FF19BD" w:rsidR="009A1C41" w:rsidRPr="00960BC1" w:rsidRDefault="009A1C41" w:rsidP="00F10308">
            <w:pPr>
              <w:jc w:val="center"/>
              <w:rPr>
                <w:rFonts w:ascii="Arial Narrow" w:hAnsi="Arial Narrow"/>
                <w:sz w:val="20"/>
              </w:rPr>
            </w:pPr>
          </w:p>
        </w:tc>
        <w:tc>
          <w:tcPr>
            <w:tcW w:w="4472" w:type="pct"/>
            <w:vAlign w:val="center"/>
            <w:hideMark/>
          </w:tcPr>
          <w:p w14:paraId="3BBEB985" w14:textId="77777777" w:rsidR="009A1C41" w:rsidRDefault="009A1C41" w:rsidP="00F10308">
            <w:pPr>
              <w:rPr>
                <w:rFonts w:ascii="Arial Narrow" w:hAnsi="Arial Narrow"/>
                <w:sz w:val="20"/>
              </w:rPr>
            </w:pPr>
            <w:r w:rsidRPr="00960BC1">
              <w:rPr>
                <w:rFonts w:ascii="Arial Narrow" w:hAnsi="Arial Narrow"/>
                <w:b/>
                <w:bCs/>
                <w:sz w:val="20"/>
              </w:rPr>
              <w:t>Administrative Advice:</w:t>
            </w:r>
            <w:r w:rsidRPr="00960BC1">
              <w:rPr>
                <w:rFonts w:ascii="Arial Narrow" w:hAnsi="Arial Narrow"/>
                <w:sz w:val="20"/>
              </w:rPr>
              <w:t xml:space="preserve"> </w:t>
            </w:r>
          </w:p>
          <w:p w14:paraId="1EE00746" w14:textId="77777777" w:rsidR="009A1C41" w:rsidRPr="00960BC1" w:rsidRDefault="009A1C41" w:rsidP="00F10308">
            <w:pPr>
              <w:rPr>
                <w:rFonts w:ascii="Arial Narrow" w:hAnsi="Arial Narrow"/>
                <w:sz w:val="20"/>
              </w:rPr>
            </w:pPr>
            <w:r w:rsidRPr="00960BC1">
              <w:rPr>
                <w:rFonts w:ascii="Arial Narrow" w:hAnsi="Arial Narrow"/>
                <w:sz w:val="20"/>
              </w:rPr>
              <w:t>No increase in the maximum number of repeats may be authorised</w:t>
            </w:r>
          </w:p>
        </w:tc>
      </w:tr>
      <w:tr w:rsidR="009A1C41" w:rsidRPr="003557C8" w14:paraId="57BFFB67" w14:textId="77777777" w:rsidTr="00F10308">
        <w:tc>
          <w:tcPr>
            <w:tcW w:w="528" w:type="pct"/>
            <w:vAlign w:val="center"/>
          </w:tcPr>
          <w:p w14:paraId="4192B085" w14:textId="7A8B5C9F" w:rsidR="009A1C41" w:rsidRPr="00960BC1" w:rsidRDefault="009A1C41" w:rsidP="00F10308">
            <w:pPr>
              <w:jc w:val="center"/>
              <w:rPr>
                <w:rFonts w:ascii="Arial Narrow" w:hAnsi="Arial Narrow"/>
                <w:sz w:val="20"/>
              </w:rPr>
            </w:pPr>
          </w:p>
        </w:tc>
        <w:tc>
          <w:tcPr>
            <w:tcW w:w="4472" w:type="pct"/>
            <w:vAlign w:val="center"/>
          </w:tcPr>
          <w:p w14:paraId="338AB8C2" w14:textId="77777777" w:rsidR="009A1C41" w:rsidRPr="00960BC1" w:rsidRDefault="009A1C41" w:rsidP="00F10308">
            <w:pPr>
              <w:rPr>
                <w:rFonts w:ascii="Arial Narrow" w:hAnsi="Arial Narrow"/>
                <w:b/>
                <w:bCs/>
                <w:sz w:val="20"/>
              </w:rPr>
            </w:pPr>
            <w:r w:rsidRPr="00960BC1">
              <w:rPr>
                <w:rFonts w:ascii="Arial Narrow" w:hAnsi="Arial Narrow"/>
                <w:b/>
                <w:bCs/>
                <w:sz w:val="20"/>
              </w:rPr>
              <w:t>Administrative Advice:</w:t>
            </w:r>
          </w:p>
          <w:p w14:paraId="6BDEA72B" w14:textId="77777777" w:rsidR="009A1C41" w:rsidRPr="00960BC1" w:rsidRDefault="009A1C41" w:rsidP="00F10308">
            <w:pPr>
              <w:rPr>
                <w:rFonts w:ascii="Arial Narrow" w:hAnsi="Arial Narrow"/>
                <w:b/>
                <w:bCs/>
                <w:sz w:val="20"/>
              </w:rPr>
            </w:pPr>
            <w:r w:rsidRPr="00960BC1">
              <w:rPr>
                <w:rFonts w:ascii="Arial Narrow" w:hAnsi="Arial Narrow"/>
                <w:bCs/>
                <w:sz w:val="20"/>
              </w:rPr>
              <w:t>No increase in the maximum quantity or number of units may be authorised for applications for treatment of one eye</w:t>
            </w:r>
          </w:p>
        </w:tc>
      </w:tr>
      <w:tr w:rsidR="009A1C41" w:rsidRPr="003557C8" w14:paraId="52B9D597" w14:textId="77777777" w:rsidTr="00F10308">
        <w:tc>
          <w:tcPr>
            <w:tcW w:w="528" w:type="pct"/>
            <w:vAlign w:val="center"/>
          </w:tcPr>
          <w:p w14:paraId="7B1C9613" w14:textId="4F6D2E5B" w:rsidR="009A1C41" w:rsidRPr="00960BC1" w:rsidRDefault="009A1C41" w:rsidP="00F10308">
            <w:pPr>
              <w:jc w:val="center"/>
              <w:rPr>
                <w:rFonts w:ascii="Arial Narrow" w:hAnsi="Arial Narrow"/>
                <w:sz w:val="20"/>
              </w:rPr>
            </w:pPr>
          </w:p>
        </w:tc>
        <w:tc>
          <w:tcPr>
            <w:tcW w:w="4472" w:type="pct"/>
            <w:vAlign w:val="center"/>
          </w:tcPr>
          <w:p w14:paraId="12B65A2E" w14:textId="77777777" w:rsidR="009A1C41" w:rsidRPr="00960BC1" w:rsidRDefault="009A1C41" w:rsidP="00F10308">
            <w:pPr>
              <w:rPr>
                <w:rFonts w:ascii="Arial Narrow" w:hAnsi="Arial Narrow"/>
                <w:b/>
                <w:sz w:val="20"/>
                <w:lang w:val="en-GB"/>
              </w:rPr>
            </w:pPr>
            <w:r w:rsidRPr="00960BC1">
              <w:rPr>
                <w:rFonts w:ascii="Arial Narrow" w:hAnsi="Arial Narrow"/>
                <w:b/>
                <w:sz w:val="20"/>
                <w:lang w:val="en-GB"/>
              </w:rPr>
              <w:t>Administrative Advice:</w:t>
            </w:r>
          </w:p>
          <w:p w14:paraId="78AE532D" w14:textId="77777777" w:rsidR="009A1C41" w:rsidRPr="00960BC1" w:rsidRDefault="009A1C41" w:rsidP="00F10308">
            <w:pPr>
              <w:rPr>
                <w:rFonts w:ascii="Arial Narrow" w:hAnsi="Arial Narrow"/>
                <w:b/>
                <w:bCs/>
                <w:sz w:val="20"/>
              </w:rPr>
            </w:pPr>
            <w:r w:rsidRPr="00960BC1">
              <w:rPr>
                <w:rFonts w:ascii="Arial Narrow" w:hAnsi="Arial Narrow"/>
                <w:sz w:val="20"/>
                <w:lang w:val="en-GB"/>
              </w:rPr>
              <w:t xml:space="preserve">Where both eyes are affected by the condition, a quantity of 2 units can be requested </w:t>
            </w:r>
            <w:r w:rsidRPr="007022F4">
              <w:rPr>
                <w:rFonts w:ascii="Arial Narrow" w:hAnsi="Arial Narrow"/>
                <w:sz w:val="20"/>
                <w:lang w:val="en-GB"/>
              </w:rPr>
              <w:t xml:space="preserve">through </w:t>
            </w:r>
            <w:r w:rsidRPr="00960BC1">
              <w:rPr>
                <w:rFonts w:ascii="Arial Narrow" w:hAnsi="Arial Narrow"/>
                <w:sz w:val="20"/>
                <w:lang w:val="en-GB"/>
              </w:rPr>
              <w:t>the same authority</w:t>
            </w:r>
            <w:r>
              <w:rPr>
                <w:rFonts w:ascii="Arial Narrow" w:hAnsi="Arial Narrow"/>
                <w:i/>
                <w:iCs/>
                <w:sz w:val="20"/>
                <w:lang w:val="en-GB"/>
              </w:rPr>
              <w:t xml:space="preserve"> </w:t>
            </w:r>
            <w:r w:rsidRPr="007022F4">
              <w:rPr>
                <w:rFonts w:ascii="Arial Narrow" w:hAnsi="Arial Narrow"/>
                <w:sz w:val="20"/>
                <w:lang w:val="en-GB"/>
              </w:rPr>
              <w:t>application</w:t>
            </w:r>
            <w:r w:rsidRPr="00960BC1">
              <w:rPr>
                <w:rFonts w:ascii="Arial Narrow" w:hAnsi="Arial Narrow"/>
                <w:sz w:val="20"/>
                <w:lang w:val="en-GB"/>
              </w:rPr>
              <w:t xml:space="preserve"> </w:t>
            </w:r>
          </w:p>
        </w:tc>
      </w:tr>
    </w:tbl>
    <w:p w14:paraId="5FBB0136" w14:textId="77777777" w:rsidR="000A46CC" w:rsidRPr="00873784" w:rsidRDefault="000A46CC" w:rsidP="00C1160D">
      <w:pPr>
        <w:pStyle w:val="3-BodyText"/>
        <w:numPr>
          <w:ilvl w:val="0"/>
          <w:numId w:val="0"/>
        </w:numPr>
        <w:spacing w:after="0"/>
        <w:ind w:left="720" w:hanging="720"/>
      </w:pPr>
    </w:p>
    <w:p w14:paraId="6FA14C8A" w14:textId="26918DFC" w:rsidR="007C43CD" w:rsidRPr="00C1160D" w:rsidRDefault="001A301A" w:rsidP="00C1160D">
      <w:pPr>
        <w:tabs>
          <w:tab w:val="left" w:pos="5501"/>
        </w:tabs>
        <w:jc w:val="both"/>
        <w:rPr>
          <w:rFonts w:ascii="Calibri" w:hAnsi="Calibri" w:cs="Arial"/>
          <w:b/>
          <w:sz w:val="4"/>
          <w:szCs w:val="4"/>
          <w:lang w:eastAsia="en-AU"/>
        </w:rPr>
      </w:pPr>
      <w:r w:rsidRPr="001A301A">
        <w:rPr>
          <w:rFonts w:asciiTheme="minorHAnsi" w:hAnsiTheme="minorHAnsi" w:cs="Arial"/>
          <w:b/>
          <w:i/>
          <w:szCs w:val="22"/>
          <w:lang w:eastAsia="en-AU"/>
        </w:rPr>
        <w:t>This restriction may be subject to further review. Should there be any changes made to the restriction the sponsor will be informed</w:t>
      </w:r>
      <w:r w:rsidRPr="001A301A">
        <w:rPr>
          <w:rFonts w:asciiTheme="minorHAnsi" w:hAnsiTheme="minorHAnsi" w:cs="Arial"/>
          <w:b/>
          <w:szCs w:val="22"/>
          <w:lang w:eastAsia="en-AU"/>
        </w:rPr>
        <w:t>.</w:t>
      </w:r>
    </w:p>
    <w:p w14:paraId="1A0249F7" w14:textId="77777777" w:rsidR="007C43CD" w:rsidRPr="007C43CD" w:rsidRDefault="007C43CD" w:rsidP="007C43CD">
      <w:pPr>
        <w:keepNext/>
        <w:numPr>
          <w:ilvl w:val="0"/>
          <w:numId w:val="1"/>
        </w:numPr>
        <w:spacing w:before="240" w:after="120"/>
        <w:jc w:val="both"/>
        <w:outlineLvl w:val="0"/>
        <w:rPr>
          <w:rFonts w:asciiTheme="minorHAnsi" w:hAnsiTheme="minorHAnsi" w:cs="Arial"/>
          <w:b/>
          <w:snapToGrid w:val="0"/>
          <w:sz w:val="32"/>
          <w:szCs w:val="32"/>
          <w:lang w:eastAsia="en-AU"/>
        </w:rPr>
      </w:pPr>
      <w:r w:rsidRPr="007C43CD">
        <w:rPr>
          <w:rFonts w:asciiTheme="minorHAnsi" w:hAnsiTheme="minorHAnsi" w:cs="Arial"/>
          <w:b/>
          <w:snapToGrid w:val="0"/>
          <w:sz w:val="32"/>
          <w:szCs w:val="32"/>
          <w:lang w:eastAsia="en-AU"/>
        </w:rPr>
        <w:t>Context for Decision</w:t>
      </w:r>
    </w:p>
    <w:p w14:paraId="64DC37B5" w14:textId="77777777" w:rsidR="007C43CD" w:rsidRPr="007C43CD" w:rsidRDefault="007C43CD" w:rsidP="007C43CD">
      <w:pPr>
        <w:spacing w:after="120"/>
        <w:ind w:left="720"/>
        <w:jc w:val="both"/>
        <w:rPr>
          <w:rFonts w:asciiTheme="minorHAnsi" w:hAnsiTheme="minorHAnsi" w:cs="Arial"/>
          <w:bCs/>
          <w:lang w:val="en-GB" w:eastAsia="en-AU"/>
        </w:rPr>
      </w:pPr>
      <w:r w:rsidRPr="007C43CD">
        <w:rPr>
          <w:rFonts w:asciiTheme="minorHAnsi" w:hAnsiTheme="minorHAnsi" w:cs="Arial"/>
          <w:bCs/>
          <w:lang w:val="en-GB" w:eastAsia="en-AU"/>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F5216AF" w14:textId="77777777" w:rsidR="007C43CD" w:rsidRPr="007C43CD" w:rsidRDefault="007C43CD" w:rsidP="007C43CD">
      <w:pPr>
        <w:keepNext/>
        <w:numPr>
          <w:ilvl w:val="0"/>
          <w:numId w:val="1"/>
        </w:numPr>
        <w:spacing w:before="240" w:after="120"/>
        <w:jc w:val="both"/>
        <w:outlineLvl w:val="0"/>
        <w:rPr>
          <w:rFonts w:asciiTheme="minorHAnsi" w:hAnsiTheme="minorHAnsi" w:cs="Arial"/>
          <w:b/>
          <w:snapToGrid w:val="0"/>
          <w:sz w:val="32"/>
          <w:szCs w:val="32"/>
          <w:lang w:eastAsia="en-AU"/>
        </w:rPr>
      </w:pPr>
      <w:r w:rsidRPr="007C43CD">
        <w:rPr>
          <w:rFonts w:asciiTheme="minorHAnsi" w:hAnsiTheme="minorHAnsi" w:cs="Arial"/>
          <w:b/>
          <w:snapToGrid w:val="0"/>
          <w:sz w:val="32"/>
          <w:szCs w:val="32"/>
          <w:lang w:eastAsia="en-AU"/>
        </w:rPr>
        <w:t>Sponsor’s Comment</w:t>
      </w:r>
    </w:p>
    <w:p w14:paraId="3350048C" w14:textId="77777777" w:rsidR="007C43CD" w:rsidRPr="007C43CD" w:rsidRDefault="007C43CD" w:rsidP="007C43CD">
      <w:pPr>
        <w:spacing w:after="120" w:line="276" w:lineRule="auto"/>
        <w:ind w:left="720"/>
        <w:jc w:val="both"/>
        <w:rPr>
          <w:rFonts w:asciiTheme="minorHAnsi" w:eastAsiaTheme="minorHAnsi" w:hAnsiTheme="minorHAnsi" w:cs="Arial"/>
          <w:bCs/>
          <w:szCs w:val="22"/>
          <w:lang w:eastAsia="en-US"/>
        </w:rPr>
      </w:pPr>
      <w:r w:rsidRPr="007C43CD">
        <w:rPr>
          <w:rFonts w:asciiTheme="minorHAnsi" w:eastAsiaTheme="minorHAnsi" w:hAnsiTheme="minorHAnsi" w:cs="Arial"/>
          <w:bCs/>
          <w:szCs w:val="22"/>
          <w:lang w:eastAsia="en-US"/>
        </w:rPr>
        <w:t>The sponsor had no comment.</w:t>
      </w:r>
    </w:p>
    <w:p w14:paraId="00F04A2E" w14:textId="2280EF31" w:rsidR="00F85F80" w:rsidRDefault="00F85F80" w:rsidP="001476FA">
      <w:pPr>
        <w:pStyle w:val="3-BodyText"/>
        <w:numPr>
          <w:ilvl w:val="0"/>
          <w:numId w:val="0"/>
        </w:numPr>
        <w:rPr>
          <w:rFonts w:eastAsia="Calibri"/>
        </w:rPr>
      </w:pPr>
    </w:p>
    <w:sectPr w:rsidR="00F85F80" w:rsidSect="0010751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96E12" w14:textId="77777777" w:rsidR="003A43C0" w:rsidRDefault="003A43C0" w:rsidP="00124A51">
      <w:r>
        <w:separator/>
      </w:r>
    </w:p>
    <w:p w14:paraId="74A05951" w14:textId="77777777" w:rsidR="003A43C0" w:rsidRDefault="003A43C0"/>
  </w:endnote>
  <w:endnote w:type="continuationSeparator" w:id="0">
    <w:p w14:paraId="04C0DC1B" w14:textId="77777777" w:rsidR="003A43C0" w:rsidRDefault="003A43C0" w:rsidP="00124A51">
      <w:r>
        <w:continuationSeparator/>
      </w:r>
    </w:p>
    <w:p w14:paraId="75C8A01E" w14:textId="77777777" w:rsidR="003A43C0" w:rsidRDefault="003A43C0"/>
  </w:endnote>
  <w:endnote w:type="continuationNotice" w:id="1">
    <w:p w14:paraId="00534C90" w14:textId="77777777" w:rsidR="003A43C0" w:rsidRDefault="003A4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abon">
    <w:altName w:val="Times New Roman"/>
    <w:charset w:val="00"/>
    <w:family w:val="roman"/>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67911" w14:textId="77777777" w:rsidR="0084135C" w:rsidRDefault="00841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ED28C" w14:textId="77777777" w:rsidR="00F10308" w:rsidRDefault="00F10308">
    <w:pPr>
      <w:pStyle w:val="Footer"/>
      <w:jc w:val="center"/>
    </w:pPr>
  </w:p>
  <w:sdt>
    <w:sdtPr>
      <w:id w:val="-124931750"/>
      <w:docPartObj>
        <w:docPartGallery w:val="Page Numbers (Bottom of Page)"/>
        <w:docPartUnique/>
      </w:docPartObj>
    </w:sdtPr>
    <w:sdtEndPr>
      <w:rPr>
        <w:noProof/>
      </w:rPr>
    </w:sdtEndPr>
    <w:sdtContent>
      <w:p w14:paraId="4E3E908B" w14:textId="712F1FBD" w:rsidR="00F10308" w:rsidRDefault="00F10308" w:rsidP="000A245E">
        <w:pPr>
          <w:pStyle w:val="Footer"/>
          <w:jc w:val="center"/>
        </w:pPr>
        <w:r w:rsidRPr="006A51C3">
          <w:rPr>
            <w:b/>
            <w:bCs/>
          </w:rPr>
          <w:fldChar w:fldCharType="begin"/>
        </w:r>
        <w:r w:rsidRPr="006A51C3">
          <w:rPr>
            <w:b/>
            <w:bCs/>
          </w:rPr>
          <w:instrText xml:space="preserve"> PAGE   \* MERGEFORMAT </w:instrText>
        </w:r>
        <w:r w:rsidRPr="006A51C3">
          <w:rPr>
            <w:b/>
            <w:bCs/>
          </w:rPr>
          <w:fldChar w:fldCharType="separate"/>
        </w:r>
        <w:r w:rsidR="007E786E">
          <w:rPr>
            <w:b/>
            <w:bCs/>
            <w:noProof/>
          </w:rPr>
          <w:t>13</w:t>
        </w:r>
        <w:r w:rsidRPr="006A51C3">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076F5" w14:textId="77777777" w:rsidR="0084135C" w:rsidRDefault="00841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C2B52" w14:textId="77777777" w:rsidR="003A43C0" w:rsidRDefault="003A43C0" w:rsidP="00124A51">
      <w:r>
        <w:separator/>
      </w:r>
    </w:p>
    <w:p w14:paraId="7256D8A7" w14:textId="77777777" w:rsidR="003A43C0" w:rsidRDefault="003A43C0"/>
  </w:footnote>
  <w:footnote w:type="continuationSeparator" w:id="0">
    <w:p w14:paraId="29A3B616" w14:textId="77777777" w:rsidR="003A43C0" w:rsidRDefault="003A43C0" w:rsidP="00124A51">
      <w:r>
        <w:continuationSeparator/>
      </w:r>
    </w:p>
    <w:p w14:paraId="088D361F" w14:textId="77777777" w:rsidR="003A43C0" w:rsidRDefault="003A43C0"/>
  </w:footnote>
  <w:footnote w:type="continuationNotice" w:id="1">
    <w:p w14:paraId="48685E1F" w14:textId="77777777" w:rsidR="003A43C0" w:rsidRDefault="003A43C0"/>
  </w:footnote>
  <w:footnote w:id="2">
    <w:p w14:paraId="5D6AF0EB" w14:textId="77777777" w:rsidR="00F10308" w:rsidRPr="00892234" w:rsidRDefault="00F10308" w:rsidP="002C27F3">
      <w:pPr>
        <w:pStyle w:val="FootnoteText"/>
      </w:pPr>
      <w:r>
        <w:rPr>
          <w:rStyle w:val="FootnoteReference"/>
        </w:rPr>
        <w:footnoteRef/>
      </w:r>
      <w:r>
        <w:t xml:space="preserve"> </w:t>
      </w:r>
      <w:r w:rsidRPr="00651861">
        <w:t>Keel S, Xie J, Foreman J, van Wijngaarden P, Taylor HR, Dirani M. Prevalence of retinal vein occlusion in the Australian National Eye Health Survey. Clin Exp Ophthalmol. 2018 Apr;46(3):260-265. doi: 10.1111/ceo.13031. Epub 2017 Aug 25. PMID: 28752913.</w:t>
      </w:r>
    </w:p>
  </w:footnote>
  <w:footnote w:id="3">
    <w:p w14:paraId="2CF528CC" w14:textId="7DE11980" w:rsidR="00F10308" w:rsidRPr="00E15990" w:rsidRDefault="00F10308">
      <w:pPr>
        <w:pStyle w:val="FootnoteText"/>
      </w:pPr>
      <w:r w:rsidRPr="00E15990">
        <w:rPr>
          <w:rStyle w:val="FootnoteReference"/>
        </w:rPr>
        <w:footnoteRef/>
      </w:r>
      <w:r w:rsidRPr="00E15990">
        <w:t xml:space="preserve"> Para</w:t>
      </w:r>
      <w:r>
        <w:t>graph</w:t>
      </w:r>
      <w:r w:rsidRPr="00E15990">
        <w:t xml:space="preserve"> 6.23, aflibercept BRVO PSD, Nov 2015; para</w:t>
      </w:r>
      <w:r>
        <w:t>graph</w:t>
      </w:r>
      <w:r w:rsidRPr="00E15990">
        <w:t xml:space="preserve"> 6.21, aflibercept CRVO PSD, Nov 2014 PBAC meetings.</w:t>
      </w:r>
    </w:p>
  </w:footnote>
  <w:footnote w:id="4">
    <w:p w14:paraId="3BD52844" w14:textId="6B78D3C1" w:rsidR="00F10308" w:rsidRPr="00107514" w:rsidRDefault="00F10308">
      <w:pPr>
        <w:pStyle w:val="FootnoteText"/>
      </w:pPr>
      <w:r w:rsidRPr="00107514">
        <w:rPr>
          <w:rStyle w:val="FootnoteReference"/>
        </w:rPr>
        <w:footnoteRef/>
      </w:r>
      <w:r w:rsidRPr="00107514">
        <w:t xml:space="preserve"> Para</w:t>
      </w:r>
      <w:r>
        <w:t>graph</w:t>
      </w:r>
      <w:r w:rsidRPr="00107514">
        <w:t xml:space="preserve"> 6.46, faricimab DMO PSD, May 2022; para</w:t>
      </w:r>
      <w:r>
        <w:t>graph</w:t>
      </w:r>
      <w:r w:rsidRPr="00107514">
        <w:t xml:space="preserve"> 6.36, faricimab nAMD PSD, May 2022 PBAC meetings.</w:t>
      </w:r>
    </w:p>
  </w:footnote>
  <w:footnote w:id="5">
    <w:p w14:paraId="1765C0C3" w14:textId="143613A9" w:rsidR="00F10308" w:rsidRPr="00204F04" w:rsidRDefault="00F10308" w:rsidP="000B40B0">
      <w:pPr>
        <w:pStyle w:val="FootnoteText"/>
        <w:jc w:val="both"/>
      </w:pPr>
      <w:r w:rsidRPr="00204F04">
        <w:rPr>
          <w:rStyle w:val="FootnoteReference"/>
        </w:rPr>
        <w:footnoteRef/>
      </w:r>
      <w:r w:rsidRPr="00204F04">
        <w:t xml:space="preserve"> </w:t>
      </w:r>
      <w:r w:rsidRPr="00204F04">
        <w:rPr>
          <w:bCs/>
        </w:rPr>
        <w:t>P</w:t>
      </w:r>
      <w:r w:rsidRPr="00204F04">
        <w:t xml:space="preserve">aragraph 6.35, faricimab nAMD PSD, May 2022 PBAC meeting. </w:t>
      </w:r>
    </w:p>
  </w:footnote>
  <w:footnote w:id="6">
    <w:p w14:paraId="6CC82C8E" w14:textId="7A72766C" w:rsidR="00F10308" w:rsidRPr="00B30660" w:rsidRDefault="00F10308" w:rsidP="000B40B0">
      <w:pPr>
        <w:pStyle w:val="FootnoteText"/>
        <w:jc w:val="both"/>
      </w:pPr>
      <w:r w:rsidRPr="00204F04">
        <w:rPr>
          <w:rStyle w:val="FootnoteReference"/>
        </w:rPr>
        <w:footnoteRef/>
      </w:r>
      <w:r w:rsidRPr="00204F04">
        <w:t xml:space="preserve"> </w:t>
      </w:r>
      <w:r w:rsidRPr="00204F04">
        <w:rPr>
          <w:bCs/>
        </w:rPr>
        <w:t>P</w:t>
      </w:r>
      <w:r w:rsidRPr="00204F04">
        <w:t xml:space="preserve">aragraph 6.45, faricimab DMO PSD, May 2022 PBAC meeting. </w:t>
      </w:r>
    </w:p>
  </w:footnote>
  <w:footnote w:id="7">
    <w:p w14:paraId="5BC914A3" w14:textId="1FFD39E5" w:rsidR="00F10308" w:rsidRDefault="00F10308">
      <w:pPr>
        <w:pStyle w:val="FootnoteText"/>
      </w:pPr>
      <w:r>
        <w:rPr>
          <w:rStyle w:val="FootnoteReference"/>
        </w:rPr>
        <w:footnoteRef/>
      </w:r>
      <w:r>
        <w:t xml:space="preserve"> </w:t>
      </w:r>
      <w:hyperlink r:id="rId1" w:history="1">
        <w:r w:rsidRPr="00026D86">
          <w:rPr>
            <w:rStyle w:val="Hyperlink"/>
          </w:rPr>
          <w:t>https://www.pbs.gov.au/industry/listing/elements/pbac-meetings/pbac-outcomes/2021-11/pbac-web-outcomes-11-2021-v2.pdf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9B7EF" w14:textId="77777777" w:rsidR="0084135C" w:rsidRDefault="00841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76012" w14:textId="011D5076" w:rsidR="00F10308" w:rsidRPr="00195452" w:rsidRDefault="00F10308" w:rsidP="00D822E2">
    <w:pPr>
      <w:pStyle w:val="Header"/>
      <w:rPr>
        <w:rFonts w:asciiTheme="minorHAnsi" w:hAnsiTheme="minorHAnsi"/>
        <w:i/>
        <w:color w:val="808080"/>
      </w:rPr>
    </w:pPr>
    <w:r w:rsidRPr="00BD3263">
      <w:rPr>
        <w:rFonts w:asciiTheme="minorHAnsi" w:hAnsiTheme="minorHAnsi" w:cs="Arial"/>
        <w:i/>
        <w:color w:val="808080"/>
      </w:rPr>
      <w:t xml:space="preserve">Public Summary Document </w:t>
    </w:r>
    <w:r>
      <w:rPr>
        <w:rFonts w:asciiTheme="minorHAnsi" w:hAnsiTheme="minorHAnsi"/>
        <w:i/>
        <w:color w:val="808080"/>
      </w:rPr>
      <w:t xml:space="preserve">– July 2024 </w:t>
    </w:r>
    <w:r w:rsidRPr="00195452">
      <w:rPr>
        <w:rFonts w:asciiTheme="minorHAnsi" w:hAnsiTheme="minorHAnsi"/>
        <w:i/>
        <w:color w:val="808080"/>
      </w:rPr>
      <w:t>PBAC Meeting</w:t>
    </w:r>
  </w:p>
  <w:p w14:paraId="63CF1AB8" w14:textId="77777777" w:rsidR="00F10308" w:rsidRPr="008C7ECB" w:rsidRDefault="00F10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2ED32" w14:textId="77777777" w:rsidR="0084135C" w:rsidRDefault="00841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486E4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D11627"/>
    <w:multiLevelType w:val="hybridMultilevel"/>
    <w:tmpl w:val="02A4C6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6D000B"/>
    <w:multiLevelType w:val="hybridMultilevel"/>
    <w:tmpl w:val="916095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3B3FC6"/>
    <w:multiLevelType w:val="hybridMultilevel"/>
    <w:tmpl w:val="5FB87AAE"/>
    <w:lvl w:ilvl="0" w:tplc="EC8C657C">
      <w:start w:val="1"/>
      <w:numFmt w:val="bullet"/>
      <w:pStyle w:val="BulletList"/>
      <w:lvlText w:val=""/>
      <w:lvlJc w:val="left"/>
      <w:pPr>
        <w:tabs>
          <w:tab w:val="num" w:pos="720"/>
        </w:tabs>
        <w:ind w:left="720" w:hanging="360"/>
      </w:pPr>
      <w:rPr>
        <w:rFonts w:ascii="Symbol" w:hAnsi="Symbol" w:hint="default"/>
      </w:rPr>
    </w:lvl>
    <w:lvl w:ilvl="1" w:tplc="5950AD9E">
      <w:numFmt w:val="bullet"/>
      <w:lvlText w:val="–"/>
      <w:lvlJc w:val="left"/>
      <w:pPr>
        <w:ind w:left="1800" w:hanging="360"/>
      </w:pPr>
      <w:rPr>
        <w:rFonts w:ascii="Arial" w:eastAsia="MS UI Gothic" w:hAnsi="Arial" w:hint="default"/>
        <w:color w:val="auto"/>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B6274A"/>
    <w:multiLevelType w:val="hybridMultilevel"/>
    <w:tmpl w:val="F0C42790"/>
    <w:lvl w:ilvl="0" w:tplc="80C6B230">
      <w:start w:val="1"/>
      <w:numFmt w:val="decimal"/>
      <w:lvlText w:val="%1."/>
      <w:lvlJc w:val="left"/>
      <w:pPr>
        <w:ind w:left="720" w:hanging="360"/>
      </w:pPr>
      <w:rPr>
        <w:rFonts w:hint="default"/>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72629B"/>
    <w:multiLevelType w:val="hybridMultilevel"/>
    <w:tmpl w:val="916095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BE66A8"/>
    <w:multiLevelType w:val="hybridMultilevel"/>
    <w:tmpl w:val="10C8380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D67A6"/>
    <w:multiLevelType w:val="hybridMultilevel"/>
    <w:tmpl w:val="5EF0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2BF0928"/>
    <w:multiLevelType w:val="hybridMultilevel"/>
    <w:tmpl w:val="DDE89744"/>
    <w:lvl w:ilvl="0" w:tplc="8B06E47C">
      <w:start w:val="1"/>
      <w:numFmt w:val="bullet"/>
      <w:lvlText w:val=""/>
      <w:lvlJc w:val="left"/>
      <w:pPr>
        <w:ind w:left="720" w:hanging="360"/>
      </w:pPr>
      <w:rPr>
        <w:rFonts w:ascii="Symbol" w:hAnsi="Symbol"/>
      </w:rPr>
    </w:lvl>
    <w:lvl w:ilvl="1" w:tplc="0D76D224">
      <w:start w:val="1"/>
      <w:numFmt w:val="bullet"/>
      <w:lvlText w:val=""/>
      <w:lvlJc w:val="left"/>
      <w:pPr>
        <w:ind w:left="720" w:hanging="360"/>
      </w:pPr>
      <w:rPr>
        <w:rFonts w:ascii="Symbol" w:hAnsi="Symbol"/>
      </w:rPr>
    </w:lvl>
    <w:lvl w:ilvl="2" w:tplc="62A6177C">
      <w:start w:val="1"/>
      <w:numFmt w:val="bullet"/>
      <w:lvlText w:val=""/>
      <w:lvlJc w:val="left"/>
      <w:pPr>
        <w:ind w:left="720" w:hanging="360"/>
      </w:pPr>
      <w:rPr>
        <w:rFonts w:ascii="Symbol" w:hAnsi="Symbol"/>
      </w:rPr>
    </w:lvl>
    <w:lvl w:ilvl="3" w:tplc="344831F2">
      <w:start w:val="1"/>
      <w:numFmt w:val="bullet"/>
      <w:lvlText w:val=""/>
      <w:lvlJc w:val="left"/>
      <w:pPr>
        <w:ind w:left="720" w:hanging="360"/>
      </w:pPr>
      <w:rPr>
        <w:rFonts w:ascii="Symbol" w:hAnsi="Symbol"/>
      </w:rPr>
    </w:lvl>
    <w:lvl w:ilvl="4" w:tplc="7A00F4EA">
      <w:start w:val="1"/>
      <w:numFmt w:val="bullet"/>
      <w:lvlText w:val=""/>
      <w:lvlJc w:val="left"/>
      <w:pPr>
        <w:ind w:left="720" w:hanging="360"/>
      </w:pPr>
      <w:rPr>
        <w:rFonts w:ascii="Symbol" w:hAnsi="Symbol"/>
      </w:rPr>
    </w:lvl>
    <w:lvl w:ilvl="5" w:tplc="46C0AE04">
      <w:start w:val="1"/>
      <w:numFmt w:val="bullet"/>
      <w:lvlText w:val=""/>
      <w:lvlJc w:val="left"/>
      <w:pPr>
        <w:ind w:left="720" w:hanging="360"/>
      </w:pPr>
      <w:rPr>
        <w:rFonts w:ascii="Symbol" w:hAnsi="Symbol"/>
      </w:rPr>
    </w:lvl>
    <w:lvl w:ilvl="6" w:tplc="4164F288">
      <w:start w:val="1"/>
      <w:numFmt w:val="bullet"/>
      <w:lvlText w:val=""/>
      <w:lvlJc w:val="left"/>
      <w:pPr>
        <w:ind w:left="720" w:hanging="360"/>
      </w:pPr>
      <w:rPr>
        <w:rFonts w:ascii="Symbol" w:hAnsi="Symbol"/>
      </w:rPr>
    </w:lvl>
    <w:lvl w:ilvl="7" w:tplc="F86A93A6">
      <w:start w:val="1"/>
      <w:numFmt w:val="bullet"/>
      <w:lvlText w:val=""/>
      <w:lvlJc w:val="left"/>
      <w:pPr>
        <w:ind w:left="720" w:hanging="360"/>
      </w:pPr>
      <w:rPr>
        <w:rFonts w:ascii="Symbol" w:hAnsi="Symbol"/>
      </w:rPr>
    </w:lvl>
    <w:lvl w:ilvl="8" w:tplc="AC4A1E96">
      <w:start w:val="1"/>
      <w:numFmt w:val="bullet"/>
      <w:lvlText w:val=""/>
      <w:lvlJc w:val="left"/>
      <w:pPr>
        <w:ind w:left="720" w:hanging="360"/>
      </w:pPr>
      <w:rPr>
        <w:rFonts w:ascii="Symbol" w:hAnsi="Symbol"/>
      </w:rPr>
    </w:lvl>
  </w:abstractNum>
  <w:abstractNum w:abstractNumId="19"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69813E41"/>
    <w:multiLevelType w:val="hybridMultilevel"/>
    <w:tmpl w:val="3B72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00470"/>
    <w:multiLevelType w:val="hybridMultilevel"/>
    <w:tmpl w:val="916095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EC272B"/>
    <w:multiLevelType w:val="hybridMultilevel"/>
    <w:tmpl w:val="9CFE3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3E5E28"/>
    <w:multiLevelType w:val="hybridMultilevel"/>
    <w:tmpl w:val="CCDA4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62216230">
    <w:abstractNumId w:val="23"/>
  </w:num>
  <w:num w:numId="2" w16cid:durableId="180708247">
    <w:abstractNumId w:val="13"/>
  </w:num>
  <w:num w:numId="3" w16cid:durableId="268971480">
    <w:abstractNumId w:val="14"/>
  </w:num>
  <w:num w:numId="4" w16cid:durableId="602568299">
    <w:abstractNumId w:val="0"/>
  </w:num>
  <w:num w:numId="5" w16cid:durableId="1976327051">
    <w:abstractNumId w:val="23"/>
  </w:num>
  <w:num w:numId="6" w16cid:durableId="27605735">
    <w:abstractNumId w:val="15"/>
  </w:num>
  <w:num w:numId="7" w16cid:durableId="456417354">
    <w:abstractNumId w:val="19"/>
  </w:num>
  <w:num w:numId="8" w16cid:durableId="577785392">
    <w:abstractNumId w:val="25"/>
  </w:num>
  <w:num w:numId="9" w16cid:durableId="1098405089">
    <w:abstractNumId w:val="6"/>
  </w:num>
  <w:num w:numId="10" w16cid:durableId="761419530">
    <w:abstractNumId w:val="20"/>
  </w:num>
  <w:num w:numId="11" w16cid:durableId="1326670607">
    <w:abstractNumId w:val="4"/>
  </w:num>
  <w:num w:numId="12" w16cid:durableId="269356666">
    <w:abstractNumId w:val="11"/>
  </w:num>
  <w:num w:numId="13" w16cid:durableId="1948273075">
    <w:abstractNumId w:val="21"/>
  </w:num>
  <w:num w:numId="14" w16cid:durableId="1123621810">
    <w:abstractNumId w:val="5"/>
  </w:num>
  <w:num w:numId="15" w16cid:durableId="1981958177">
    <w:abstractNumId w:val="8"/>
  </w:num>
  <w:num w:numId="16" w16cid:durableId="791553220">
    <w:abstractNumId w:val="24"/>
  </w:num>
  <w:num w:numId="17" w16cid:durableId="197550491">
    <w:abstractNumId w:val="12"/>
  </w:num>
  <w:num w:numId="18" w16cid:durableId="18047122">
    <w:abstractNumId w:val="2"/>
  </w:num>
  <w:num w:numId="19" w16cid:durableId="663581918">
    <w:abstractNumId w:val="16"/>
  </w:num>
  <w:num w:numId="20" w16cid:durableId="137186162">
    <w:abstractNumId w:val="3"/>
  </w:num>
  <w:num w:numId="21" w16cid:durableId="1273246958">
    <w:abstractNumId w:val="1"/>
  </w:num>
  <w:num w:numId="22" w16cid:durableId="1337152163">
    <w:abstractNumId w:val="9"/>
  </w:num>
  <w:num w:numId="23" w16cid:durableId="1126119741">
    <w:abstractNumId w:val="10"/>
  </w:num>
  <w:num w:numId="24" w16cid:durableId="72629846">
    <w:abstractNumId w:val="7"/>
  </w:num>
  <w:num w:numId="25" w16cid:durableId="67850804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0022631">
    <w:abstractNumId w:val="22"/>
  </w:num>
  <w:num w:numId="27" w16cid:durableId="214588770">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D72"/>
    <w:rsid w:val="0000110B"/>
    <w:rsid w:val="000027DE"/>
    <w:rsid w:val="00003390"/>
    <w:rsid w:val="00003499"/>
    <w:rsid w:val="000039B7"/>
    <w:rsid w:val="0000477E"/>
    <w:rsid w:val="000049A2"/>
    <w:rsid w:val="0000528C"/>
    <w:rsid w:val="0000541E"/>
    <w:rsid w:val="000056B9"/>
    <w:rsid w:val="00005837"/>
    <w:rsid w:val="0000639A"/>
    <w:rsid w:val="00006478"/>
    <w:rsid w:val="00006CF7"/>
    <w:rsid w:val="00007F58"/>
    <w:rsid w:val="00010CB2"/>
    <w:rsid w:val="00010EAA"/>
    <w:rsid w:val="000131A6"/>
    <w:rsid w:val="00013247"/>
    <w:rsid w:val="0001354A"/>
    <w:rsid w:val="000146AE"/>
    <w:rsid w:val="00014ACD"/>
    <w:rsid w:val="00015886"/>
    <w:rsid w:val="0001620A"/>
    <w:rsid w:val="00016239"/>
    <w:rsid w:val="000162EF"/>
    <w:rsid w:val="00016A54"/>
    <w:rsid w:val="00016DB0"/>
    <w:rsid w:val="00017D6E"/>
    <w:rsid w:val="000207C9"/>
    <w:rsid w:val="00021DBE"/>
    <w:rsid w:val="00021ED6"/>
    <w:rsid w:val="0002225F"/>
    <w:rsid w:val="0002342B"/>
    <w:rsid w:val="0002363C"/>
    <w:rsid w:val="0002372F"/>
    <w:rsid w:val="00023763"/>
    <w:rsid w:val="00024CC8"/>
    <w:rsid w:val="00024EA1"/>
    <w:rsid w:val="00024EB5"/>
    <w:rsid w:val="00025FF5"/>
    <w:rsid w:val="00026299"/>
    <w:rsid w:val="000268BB"/>
    <w:rsid w:val="0002714D"/>
    <w:rsid w:val="000271D4"/>
    <w:rsid w:val="000274B8"/>
    <w:rsid w:val="00027C8D"/>
    <w:rsid w:val="0003048B"/>
    <w:rsid w:val="00030CCB"/>
    <w:rsid w:val="00030FB7"/>
    <w:rsid w:val="000311AF"/>
    <w:rsid w:val="00032D85"/>
    <w:rsid w:val="0003343A"/>
    <w:rsid w:val="00033553"/>
    <w:rsid w:val="00033863"/>
    <w:rsid w:val="00033F8A"/>
    <w:rsid w:val="000353CE"/>
    <w:rsid w:val="000355F6"/>
    <w:rsid w:val="000357AF"/>
    <w:rsid w:val="00035DC0"/>
    <w:rsid w:val="00036536"/>
    <w:rsid w:val="00036829"/>
    <w:rsid w:val="00036C92"/>
    <w:rsid w:val="00037114"/>
    <w:rsid w:val="00037217"/>
    <w:rsid w:val="000377B7"/>
    <w:rsid w:val="00037A39"/>
    <w:rsid w:val="0004010F"/>
    <w:rsid w:val="00040162"/>
    <w:rsid w:val="000404D0"/>
    <w:rsid w:val="0004054C"/>
    <w:rsid w:val="000406F1"/>
    <w:rsid w:val="00040895"/>
    <w:rsid w:val="00040D2D"/>
    <w:rsid w:val="000410A0"/>
    <w:rsid w:val="0004118D"/>
    <w:rsid w:val="000411A1"/>
    <w:rsid w:val="0004159D"/>
    <w:rsid w:val="00042983"/>
    <w:rsid w:val="00042E09"/>
    <w:rsid w:val="000431C5"/>
    <w:rsid w:val="000434AB"/>
    <w:rsid w:val="000435EE"/>
    <w:rsid w:val="00043C37"/>
    <w:rsid w:val="00043DA5"/>
    <w:rsid w:val="00044EB4"/>
    <w:rsid w:val="00045017"/>
    <w:rsid w:val="00045922"/>
    <w:rsid w:val="00045A2B"/>
    <w:rsid w:val="00045ABE"/>
    <w:rsid w:val="00046847"/>
    <w:rsid w:val="0004698F"/>
    <w:rsid w:val="000469C7"/>
    <w:rsid w:val="00046D64"/>
    <w:rsid w:val="00046E17"/>
    <w:rsid w:val="00046E4A"/>
    <w:rsid w:val="00047473"/>
    <w:rsid w:val="0004763D"/>
    <w:rsid w:val="000508C2"/>
    <w:rsid w:val="00050C0F"/>
    <w:rsid w:val="0005205F"/>
    <w:rsid w:val="0005222D"/>
    <w:rsid w:val="00052932"/>
    <w:rsid w:val="00052A71"/>
    <w:rsid w:val="00052E1B"/>
    <w:rsid w:val="000532F5"/>
    <w:rsid w:val="000539D0"/>
    <w:rsid w:val="00054336"/>
    <w:rsid w:val="000545A6"/>
    <w:rsid w:val="00054621"/>
    <w:rsid w:val="000546D7"/>
    <w:rsid w:val="00054A8D"/>
    <w:rsid w:val="00054ABA"/>
    <w:rsid w:val="00054D90"/>
    <w:rsid w:val="00054DC9"/>
    <w:rsid w:val="0005557B"/>
    <w:rsid w:val="00055E52"/>
    <w:rsid w:val="00056ECF"/>
    <w:rsid w:val="00056F46"/>
    <w:rsid w:val="0005727C"/>
    <w:rsid w:val="000572C3"/>
    <w:rsid w:val="00057853"/>
    <w:rsid w:val="00057BB0"/>
    <w:rsid w:val="000604DF"/>
    <w:rsid w:val="0006064B"/>
    <w:rsid w:val="00060BD5"/>
    <w:rsid w:val="000612B2"/>
    <w:rsid w:val="000653B5"/>
    <w:rsid w:val="000654F1"/>
    <w:rsid w:val="000655E9"/>
    <w:rsid w:val="00065B4F"/>
    <w:rsid w:val="00065CBD"/>
    <w:rsid w:val="00066168"/>
    <w:rsid w:val="00066360"/>
    <w:rsid w:val="00066AF8"/>
    <w:rsid w:val="00066B33"/>
    <w:rsid w:val="00067793"/>
    <w:rsid w:val="00067BE1"/>
    <w:rsid w:val="000702BB"/>
    <w:rsid w:val="0007044A"/>
    <w:rsid w:val="00071248"/>
    <w:rsid w:val="000715A4"/>
    <w:rsid w:val="000720B9"/>
    <w:rsid w:val="000722AF"/>
    <w:rsid w:val="000728F3"/>
    <w:rsid w:val="00072FA0"/>
    <w:rsid w:val="0007301F"/>
    <w:rsid w:val="000737F7"/>
    <w:rsid w:val="000741B4"/>
    <w:rsid w:val="00074CA5"/>
    <w:rsid w:val="00074F81"/>
    <w:rsid w:val="0007530F"/>
    <w:rsid w:val="00075B4C"/>
    <w:rsid w:val="0007647C"/>
    <w:rsid w:val="0007672F"/>
    <w:rsid w:val="0007698E"/>
    <w:rsid w:val="00076B54"/>
    <w:rsid w:val="000774F0"/>
    <w:rsid w:val="00077930"/>
    <w:rsid w:val="00077B8D"/>
    <w:rsid w:val="00077FD9"/>
    <w:rsid w:val="00080041"/>
    <w:rsid w:val="000808C3"/>
    <w:rsid w:val="00080909"/>
    <w:rsid w:val="000812CA"/>
    <w:rsid w:val="0008192A"/>
    <w:rsid w:val="00081E63"/>
    <w:rsid w:val="0008258D"/>
    <w:rsid w:val="000830EE"/>
    <w:rsid w:val="0008378C"/>
    <w:rsid w:val="00083E99"/>
    <w:rsid w:val="00083EEF"/>
    <w:rsid w:val="000843BC"/>
    <w:rsid w:val="00084FA8"/>
    <w:rsid w:val="00085109"/>
    <w:rsid w:val="000856C5"/>
    <w:rsid w:val="00085C31"/>
    <w:rsid w:val="00086434"/>
    <w:rsid w:val="0008728F"/>
    <w:rsid w:val="00087724"/>
    <w:rsid w:val="000878C6"/>
    <w:rsid w:val="00087CED"/>
    <w:rsid w:val="00087F09"/>
    <w:rsid w:val="00087F49"/>
    <w:rsid w:val="000902D9"/>
    <w:rsid w:val="000908A3"/>
    <w:rsid w:val="00090C7E"/>
    <w:rsid w:val="00090FE0"/>
    <w:rsid w:val="000911AC"/>
    <w:rsid w:val="000918B1"/>
    <w:rsid w:val="00091E21"/>
    <w:rsid w:val="000924CA"/>
    <w:rsid w:val="00092600"/>
    <w:rsid w:val="0009262B"/>
    <w:rsid w:val="00092740"/>
    <w:rsid w:val="00092F1F"/>
    <w:rsid w:val="00093310"/>
    <w:rsid w:val="0009445C"/>
    <w:rsid w:val="000945DF"/>
    <w:rsid w:val="00095098"/>
    <w:rsid w:val="00095200"/>
    <w:rsid w:val="00095698"/>
    <w:rsid w:val="00095FE5"/>
    <w:rsid w:val="00096284"/>
    <w:rsid w:val="00096DF3"/>
    <w:rsid w:val="000976B0"/>
    <w:rsid w:val="00097D1B"/>
    <w:rsid w:val="000A02C9"/>
    <w:rsid w:val="000A03A2"/>
    <w:rsid w:val="000A16FA"/>
    <w:rsid w:val="000A1BC0"/>
    <w:rsid w:val="000A245E"/>
    <w:rsid w:val="000A26F8"/>
    <w:rsid w:val="000A29BE"/>
    <w:rsid w:val="000A2F9E"/>
    <w:rsid w:val="000A3E47"/>
    <w:rsid w:val="000A46CC"/>
    <w:rsid w:val="000A4D83"/>
    <w:rsid w:val="000A4FC5"/>
    <w:rsid w:val="000A522B"/>
    <w:rsid w:val="000A5343"/>
    <w:rsid w:val="000A6039"/>
    <w:rsid w:val="000A7453"/>
    <w:rsid w:val="000A78B7"/>
    <w:rsid w:val="000A7D08"/>
    <w:rsid w:val="000B0121"/>
    <w:rsid w:val="000B05A7"/>
    <w:rsid w:val="000B0670"/>
    <w:rsid w:val="000B0E75"/>
    <w:rsid w:val="000B14F8"/>
    <w:rsid w:val="000B2531"/>
    <w:rsid w:val="000B2DCB"/>
    <w:rsid w:val="000B2FC8"/>
    <w:rsid w:val="000B3146"/>
    <w:rsid w:val="000B40B0"/>
    <w:rsid w:val="000B41A9"/>
    <w:rsid w:val="000B4465"/>
    <w:rsid w:val="000B49DF"/>
    <w:rsid w:val="000B5CE0"/>
    <w:rsid w:val="000B5EBD"/>
    <w:rsid w:val="000B6852"/>
    <w:rsid w:val="000B6CAC"/>
    <w:rsid w:val="000B73BD"/>
    <w:rsid w:val="000B7612"/>
    <w:rsid w:val="000B78AE"/>
    <w:rsid w:val="000B7E41"/>
    <w:rsid w:val="000C24A2"/>
    <w:rsid w:val="000C29F4"/>
    <w:rsid w:val="000C3DF9"/>
    <w:rsid w:val="000C3F4B"/>
    <w:rsid w:val="000C4C03"/>
    <w:rsid w:val="000C4CF2"/>
    <w:rsid w:val="000C5215"/>
    <w:rsid w:val="000C5DDD"/>
    <w:rsid w:val="000C5FB5"/>
    <w:rsid w:val="000C6713"/>
    <w:rsid w:val="000C6B4F"/>
    <w:rsid w:val="000C7E41"/>
    <w:rsid w:val="000D0AA1"/>
    <w:rsid w:val="000D1512"/>
    <w:rsid w:val="000D1911"/>
    <w:rsid w:val="000D1BFC"/>
    <w:rsid w:val="000D1D5D"/>
    <w:rsid w:val="000D281A"/>
    <w:rsid w:val="000D2848"/>
    <w:rsid w:val="000D326A"/>
    <w:rsid w:val="000D4E1A"/>
    <w:rsid w:val="000D4E2A"/>
    <w:rsid w:val="000D51FB"/>
    <w:rsid w:val="000D5BA5"/>
    <w:rsid w:val="000D66FD"/>
    <w:rsid w:val="000D750F"/>
    <w:rsid w:val="000E0503"/>
    <w:rsid w:val="000E0640"/>
    <w:rsid w:val="000E091C"/>
    <w:rsid w:val="000E0B49"/>
    <w:rsid w:val="000E135D"/>
    <w:rsid w:val="000E18F2"/>
    <w:rsid w:val="000E2C6F"/>
    <w:rsid w:val="000E2F08"/>
    <w:rsid w:val="000E3227"/>
    <w:rsid w:val="000E38D9"/>
    <w:rsid w:val="000E42A2"/>
    <w:rsid w:val="000E45F9"/>
    <w:rsid w:val="000E5084"/>
    <w:rsid w:val="000E5991"/>
    <w:rsid w:val="000E59A9"/>
    <w:rsid w:val="000E5C4C"/>
    <w:rsid w:val="000E7371"/>
    <w:rsid w:val="000F00BA"/>
    <w:rsid w:val="000F06E4"/>
    <w:rsid w:val="000F1557"/>
    <w:rsid w:val="000F316A"/>
    <w:rsid w:val="000F3C74"/>
    <w:rsid w:val="000F46CE"/>
    <w:rsid w:val="000F4767"/>
    <w:rsid w:val="000F4AD8"/>
    <w:rsid w:val="000F4BB8"/>
    <w:rsid w:val="000F4E87"/>
    <w:rsid w:val="000F4FA9"/>
    <w:rsid w:val="000F53FB"/>
    <w:rsid w:val="000F542D"/>
    <w:rsid w:val="000F55D6"/>
    <w:rsid w:val="000F577A"/>
    <w:rsid w:val="000F67B7"/>
    <w:rsid w:val="000F6E42"/>
    <w:rsid w:val="000F7127"/>
    <w:rsid w:val="000F76BA"/>
    <w:rsid w:val="000F7B54"/>
    <w:rsid w:val="001000B3"/>
    <w:rsid w:val="00100F8A"/>
    <w:rsid w:val="001013A3"/>
    <w:rsid w:val="00103C1B"/>
    <w:rsid w:val="00103EC5"/>
    <w:rsid w:val="0010452E"/>
    <w:rsid w:val="0010456F"/>
    <w:rsid w:val="00105772"/>
    <w:rsid w:val="00105AE2"/>
    <w:rsid w:val="00105E3D"/>
    <w:rsid w:val="001060C6"/>
    <w:rsid w:val="00106A35"/>
    <w:rsid w:val="00106B80"/>
    <w:rsid w:val="001070BA"/>
    <w:rsid w:val="00107514"/>
    <w:rsid w:val="00107898"/>
    <w:rsid w:val="0011032E"/>
    <w:rsid w:val="0011129D"/>
    <w:rsid w:val="0011173E"/>
    <w:rsid w:val="001121F9"/>
    <w:rsid w:val="001123FD"/>
    <w:rsid w:val="0011348B"/>
    <w:rsid w:val="00113EF1"/>
    <w:rsid w:val="001147B9"/>
    <w:rsid w:val="00114FF1"/>
    <w:rsid w:val="00115982"/>
    <w:rsid w:val="00115A6D"/>
    <w:rsid w:val="00116268"/>
    <w:rsid w:val="00116C53"/>
    <w:rsid w:val="0011720C"/>
    <w:rsid w:val="0011752C"/>
    <w:rsid w:val="001179BA"/>
    <w:rsid w:val="0012031E"/>
    <w:rsid w:val="00120390"/>
    <w:rsid w:val="001204CD"/>
    <w:rsid w:val="001207CF"/>
    <w:rsid w:val="001216AF"/>
    <w:rsid w:val="00121799"/>
    <w:rsid w:val="001222FC"/>
    <w:rsid w:val="001231BB"/>
    <w:rsid w:val="001237E6"/>
    <w:rsid w:val="00123902"/>
    <w:rsid w:val="00123D79"/>
    <w:rsid w:val="001240A9"/>
    <w:rsid w:val="00124440"/>
    <w:rsid w:val="00124A51"/>
    <w:rsid w:val="00124B4F"/>
    <w:rsid w:val="0012524B"/>
    <w:rsid w:val="001258A0"/>
    <w:rsid w:val="00125B04"/>
    <w:rsid w:val="00126621"/>
    <w:rsid w:val="00126B1D"/>
    <w:rsid w:val="001301E9"/>
    <w:rsid w:val="001312C2"/>
    <w:rsid w:val="00131C0E"/>
    <w:rsid w:val="00131D82"/>
    <w:rsid w:val="00132B0C"/>
    <w:rsid w:val="00132B22"/>
    <w:rsid w:val="00133D36"/>
    <w:rsid w:val="001345D4"/>
    <w:rsid w:val="00135E66"/>
    <w:rsid w:val="0013606D"/>
    <w:rsid w:val="001370B3"/>
    <w:rsid w:val="0013710B"/>
    <w:rsid w:val="00137436"/>
    <w:rsid w:val="00137645"/>
    <w:rsid w:val="00137BB0"/>
    <w:rsid w:val="0014015A"/>
    <w:rsid w:val="00140E99"/>
    <w:rsid w:val="00140F8D"/>
    <w:rsid w:val="00141BDA"/>
    <w:rsid w:val="001426DE"/>
    <w:rsid w:val="001429D8"/>
    <w:rsid w:val="00142D70"/>
    <w:rsid w:val="0014347D"/>
    <w:rsid w:val="00143A53"/>
    <w:rsid w:val="00143C0D"/>
    <w:rsid w:val="00143F67"/>
    <w:rsid w:val="00145234"/>
    <w:rsid w:val="001453E5"/>
    <w:rsid w:val="00145540"/>
    <w:rsid w:val="001456B0"/>
    <w:rsid w:val="0014605B"/>
    <w:rsid w:val="00146414"/>
    <w:rsid w:val="00146720"/>
    <w:rsid w:val="001473D5"/>
    <w:rsid w:val="00147682"/>
    <w:rsid w:val="001476FA"/>
    <w:rsid w:val="00147842"/>
    <w:rsid w:val="00147E17"/>
    <w:rsid w:val="00150119"/>
    <w:rsid w:val="00150677"/>
    <w:rsid w:val="00151349"/>
    <w:rsid w:val="00152C6F"/>
    <w:rsid w:val="00153930"/>
    <w:rsid w:val="00153D18"/>
    <w:rsid w:val="00154504"/>
    <w:rsid w:val="001547AB"/>
    <w:rsid w:val="00154961"/>
    <w:rsid w:val="00154C16"/>
    <w:rsid w:val="00154F5C"/>
    <w:rsid w:val="0015542C"/>
    <w:rsid w:val="00155980"/>
    <w:rsid w:val="00155C4F"/>
    <w:rsid w:val="00156F8F"/>
    <w:rsid w:val="00157130"/>
    <w:rsid w:val="00157135"/>
    <w:rsid w:val="001576B1"/>
    <w:rsid w:val="0015784B"/>
    <w:rsid w:val="00157C01"/>
    <w:rsid w:val="0016047B"/>
    <w:rsid w:val="00160A4C"/>
    <w:rsid w:val="00160F1E"/>
    <w:rsid w:val="00160F68"/>
    <w:rsid w:val="00162078"/>
    <w:rsid w:val="001626C1"/>
    <w:rsid w:val="00162913"/>
    <w:rsid w:val="00163EFF"/>
    <w:rsid w:val="00163F66"/>
    <w:rsid w:val="0016478E"/>
    <w:rsid w:val="00164952"/>
    <w:rsid w:val="00165C6F"/>
    <w:rsid w:val="00165EC4"/>
    <w:rsid w:val="001661FB"/>
    <w:rsid w:val="0016664B"/>
    <w:rsid w:val="00167183"/>
    <w:rsid w:val="001671A0"/>
    <w:rsid w:val="0016767F"/>
    <w:rsid w:val="00167B4A"/>
    <w:rsid w:val="00167C4F"/>
    <w:rsid w:val="00170057"/>
    <w:rsid w:val="00170640"/>
    <w:rsid w:val="00170DEF"/>
    <w:rsid w:val="00170FC6"/>
    <w:rsid w:val="00171735"/>
    <w:rsid w:val="0017193D"/>
    <w:rsid w:val="00171D3B"/>
    <w:rsid w:val="001721FE"/>
    <w:rsid w:val="001724EC"/>
    <w:rsid w:val="001727DE"/>
    <w:rsid w:val="00173565"/>
    <w:rsid w:val="00173736"/>
    <w:rsid w:val="00173B07"/>
    <w:rsid w:val="001747B3"/>
    <w:rsid w:val="001751FA"/>
    <w:rsid w:val="00175820"/>
    <w:rsid w:val="00175F00"/>
    <w:rsid w:val="00175F4B"/>
    <w:rsid w:val="00176645"/>
    <w:rsid w:val="00176833"/>
    <w:rsid w:val="00176BFA"/>
    <w:rsid w:val="001806DD"/>
    <w:rsid w:val="0018161C"/>
    <w:rsid w:val="00181C10"/>
    <w:rsid w:val="00181D9C"/>
    <w:rsid w:val="00182B3E"/>
    <w:rsid w:val="00183783"/>
    <w:rsid w:val="001837FF"/>
    <w:rsid w:val="001838B0"/>
    <w:rsid w:val="0018457F"/>
    <w:rsid w:val="00184B0E"/>
    <w:rsid w:val="001853A2"/>
    <w:rsid w:val="001863DB"/>
    <w:rsid w:val="0018677F"/>
    <w:rsid w:val="00186F4B"/>
    <w:rsid w:val="00187356"/>
    <w:rsid w:val="0018752F"/>
    <w:rsid w:val="00187E34"/>
    <w:rsid w:val="00187FC4"/>
    <w:rsid w:val="0019037A"/>
    <w:rsid w:val="00190FFD"/>
    <w:rsid w:val="001910DB"/>
    <w:rsid w:val="00191E66"/>
    <w:rsid w:val="00193838"/>
    <w:rsid w:val="00194224"/>
    <w:rsid w:val="00194AD8"/>
    <w:rsid w:val="00194E6C"/>
    <w:rsid w:val="001950F6"/>
    <w:rsid w:val="00195184"/>
    <w:rsid w:val="001951CD"/>
    <w:rsid w:val="00195222"/>
    <w:rsid w:val="001952D3"/>
    <w:rsid w:val="00195452"/>
    <w:rsid w:val="00195A7A"/>
    <w:rsid w:val="00196A89"/>
    <w:rsid w:val="00196EC6"/>
    <w:rsid w:val="001975D8"/>
    <w:rsid w:val="00197AA9"/>
    <w:rsid w:val="001A09AF"/>
    <w:rsid w:val="001A178E"/>
    <w:rsid w:val="001A2388"/>
    <w:rsid w:val="001A2638"/>
    <w:rsid w:val="001A286F"/>
    <w:rsid w:val="001A301A"/>
    <w:rsid w:val="001A366E"/>
    <w:rsid w:val="001A3952"/>
    <w:rsid w:val="001A3D4E"/>
    <w:rsid w:val="001A43FA"/>
    <w:rsid w:val="001A47C5"/>
    <w:rsid w:val="001A5047"/>
    <w:rsid w:val="001A58BB"/>
    <w:rsid w:val="001A59FB"/>
    <w:rsid w:val="001A5E9E"/>
    <w:rsid w:val="001A6233"/>
    <w:rsid w:val="001A6354"/>
    <w:rsid w:val="001A6366"/>
    <w:rsid w:val="001A70FD"/>
    <w:rsid w:val="001A7308"/>
    <w:rsid w:val="001A739D"/>
    <w:rsid w:val="001A7AE8"/>
    <w:rsid w:val="001B203E"/>
    <w:rsid w:val="001B204E"/>
    <w:rsid w:val="001B2372"/>
    <w:rsid w:val="001B3443"/>
    <w:rsid w:val="001B360E"/>
    <w:rsid w:val="001B4D20"/>
    <w:rsid w:val="001B531A"/>
    <w:rsid w:val="001B64C6"/>
    <w:rsid w:val="001B6BE3"/>
    <w:rsid w:val="001B6FA1"/>
    <w:rsid w:val="001B7588"/>
    <w:rsid w:val="001B76E2"/>
    <w:rsid w:val="001B7CE6"/>
    <w:rsid w:val="001B7F84"/>
    <w:rsid w:val="001C0877"/>
    <w:rsid w:val="001C0A7C"/>
    <w:rsid w:val="001C1126"/>
    <w:rsid w:val="001C2A71"/>
    <w:rsid w:val="001C2A9B"/>
    <w:rsid w:val="001C3DD6"/>
    <w:rsid w:val="001C41A0"/>
    <w:rsid w:val="001C4299"/>
    <w:rsid w:val="001C460F"/>
    <w:rsid w:val="001C4649"/>
    <w:rsid w:val="001C4874"/>
    <w:rsid w:val="001C52E1"/>
    <w:rsid w:val="001C5F94"/>
    <w:rsid w:val="001C6C8E"/>
    <w:rsid w:val="001C6E66"/>
    <w:rsid w:val="001D0BFB"/>
    <w:rsid w:val="001D0E7F"/>
    <w:rsid w:val="001D1100"/>
    <w:rsid w:val="001D1391"/>
    <w:rsid w:val="001D1403"/>
    <w:rsid w:val="001D1F01"/>
    <w:rsid w:val="001D246A"/>
    <w:rsid w:val="001D25D7"/>
    <w:rsid w:val="001D2F73"/>
    <w:rsid w:val="001D4878"/>
    <w:rsid w:val="001D4E8C"/>
    <w:rsid w:val="001D50B2"/>
    <w:rsid w:val="001D55AD"/>
    <w:rsid w:val="001D6153"/>
    <w:rsid w:val="001D71F4"/>
    <w:rsid w:val="001D7578"/>
    <w:rsid w:val="001D7645"/>
    <w:rsid w:val="001D7832"/>
    <w:rsid w:val="001E087F"/>
    <w:rsid w:val="001E1E62"/>
    <w:rsid w:val="001E1E86"/>
    <w:rsid w:val="001E238E"/>
    <w:rsid w:val="001E2483"/>
    <w:rsid w:val="001E2A81"/>
    <w:rsid w:val="001E2B1E"/>
    <w:rsid w:val="001E2CFF"/>
    <w:rsid w:val="001E2F24"/>
    <w:rsid w:val="001E30D4"/>
    <w:rsid w:val="001E34DF"/>
    <w:rsid w:val="001E45BF"/>
    <w:rsid w:val="001E52EB"/>
    <w:rsid w:val="001E577F"/>
    <w:rsid w:val="001E57F4"/>
    <w:rsid w:val="001E61D2"/>
    <w:rsid w:val="001E64B1"/>
    <w:rsid w:val="001E740C"/>
    <w:rsid w:val="001E75A5"/>
    <w:rsid w:val="001E788A"/>
    <w:rsid w:val="001E7B74"/>
    <w:rsid w:val="001E7BFF"/>
    <w:rsid w:val="001F02BC"/>
    <w:rsid w:val="001F0728"/>
    <w:rsid w:val="001F09FF"/>
    <w:rsid w:val="001F1235"/>
    <w:rsid w:val="001F1BAE"/>
    <w:rsid w:val="001F1CB3"/>
    <w:rsid w:val="001F3587"/>
    <w:rsid w:val="001F38B5"/>
    <w:rsid w:val="001F3B93"/>
    <w:rsid w:val="001F3D12"/>
    <w:rsid w:val="001F4081"/>
    <w:rsid w:val="001F5242"/>
    <w:rsid w:val="001F5B3A"/>
    <w:rsid w:val="001F5CD3"/>
    <w:rsid w:val="001F60B7"/>
    <w:rsid w:val="001F6CC0"/>
    <w:rsid w:val="001F7361"/>
    <w:rsid w:val="00200983"/>
    <w:rsid w:val="002009BF"/>
    <w:rsid w:val="002011B0"/>
    <w:rsid w:val="0020242C"/>
    <w:rsid w:val="0020253F"/>
    <w:rsid w:val="002028AC"/>
    <w:rsid w:val="00203181"/>
    <w:rsid w:val="00203783"/>
    <w:rsid w:val="0020385F"/>
    <w:rsid w:val="00204F04"/>
    <w:rsid w:val="002068A0"/>
    <w:rsid w:val="00207021"/>
    <w:rsid w:val="0020712E"/>
    <w:rsid w:val="0020732F"/>
    <w:rsid w:val="00207D00"/>
    <w:rsid w:val="002105C1"/>
    <w:rsid w:val="002116FD"/>
    <w:rsid w:val="00211BAD"/>
    <w:rsid w:val="00212DA0"/>
    <w:rsid w:val="00212E66"/>
    <w:rsid w:val="00213203"/>
    <w:rsid w:val="00213D98"/>
    <w:rsid w:val="00213EF5"/>
    <w:rsid w:val="00213FCC"/>
    <w:rsid w:val="00214925"/>
    <w:rsid w:val="00214C79"/>
    <w:rsid w:val="002151BF"/>
    <w:rsid w:val="00215414"/>
    <w:rsid w:val="00215819"/>
    <w:rsid w:val="002158FD"/>
    <w:rsid w:val="00216121"/>
    <w:rsid w:val="0021627A"/>
    <w:rsid w:val="0021671B"/>
    <w:rsid w:val="00216BF5"/>
    <w:rsid w:val="002200E0"/>
    <w:rsid w:val="00220623"/>
    <w:rsid w:val="00220BC2"/>
    <w:rsid w:val="00220E5E"/>
    <w:rsid w:val="0022116A"/>
    <w:rsid w:val="002215D4"/>
    <w:rsid w:val="00221A1A"/>
    <w:rsid w:val="00222271"/>
    <w:rsid w:val="00223227"/>
    <w:rsid w:val="0022366F"/>
    <w:rsid w:val="00223B49"/>
    <w:rsid w:val="00223D5A"/>
    <w:rsid w:val="00224234"/>
    <w:rsid w:val="00224DD4"/>
    <w:rsid w:val="00224FDD"/>
    <w:rsid w:val="00225820"/>
    <w:rsid w:val="00225E8D"/>
    <w:rsid w:val="002263A1"/>
    <w:rsid w:val="0022675B"/>
    <w:rsid w:val="002278A0"/>
    <w:rsid w:val="00227999"/>
    <w:rsid w:val="002309CC"/>
    <w:rsid w:val="00231673"/>
    <w:rsid w:val="002319F1"/>
    <w:rsid w:val="00231BA9"/>
    <w:rsid w:val="00231E54"/>
    <w:rsid w:val="0023209F"/>
    <w:rsid w:val="00232227"/>
    <w:rsid w:val="00232AE1"/>
    <w:rsid w:val="00232DBA"/>
    <w:rsid w:val="0023346F"/>
    <w:rsid w:val="002335E4"/>
    <w:rsid w:val="002338ED"/>
    <w:rsid w:val="00233C01"/>
    <w:rsid w:val="0023413C"/>
    <w:rsid w:val="00234524"/>
    <w:rsid w:val="002345C8"/>
    <w:rsid w:val="002346F0"/>
    <w:rsid w:val="00234C5B"/>
    <w:rsid w:val="0023585B"/>
    <w:rsid w:val="002359FE"/>
    <w:rsid w:val="00235D8E"/>
    <w:rsid w:val="0023601F"/>
    <w:rsid w:val="0023629D"/>
    <w:rsid w:val="002371C6"/>
    <w:rsid w:val="00237255"/>
    <w:rsid w:val="00242403"/>
    <w:rsid w:val="002424AF"/>
    <w:rsid w:val="00242A7A"/>
    <w:rsid w:val="00242E3F"/>
    <w:rsid w:val="002439DC"/>
    <w:rsid w:val="00244105"/>
    <w:rsid w:val="002441D2"/>
    <w:rsid w:val="00244767"/>
    <w:rsid w:val="00244DC8"/>
    <w:rsid w:val="002458BA"/>
    <w:rsid w:val="00245CE9"/>
    <w:rsid w:val="0024607A"/>
    <w:rsid w:val="0024636C"/>
    <w:rsid w:val="002467D8"/>
    <w:rsid w:val="002469E5"/>
    <w:rsid w:val="00246B3E"/>
    <w:rsid w:val="00246B82"/>
    <w:rsid w:val="002471ED"/>
    <w:rsid w:val="00247204"/>
    <w:rsid w:val="00247260"/>
    <w:rsid w:val="00247310"/>
    <w:rsid w:val="00247925"/>
    <w:rsid w:val="00247A1B"/>
    <w:rsid w:val="00250015"/>
    <w:rsid w:val="00250166"/>
    <w:rsid w:val="00250687"/>
    <w:rsid w:val="00251006"/>
    <w:rsid w:val="002522D1"/>
    <w:rsid w:val="002524D5"/>
    <w:rsid w:val="002534CD"/>
    <w:rsid w:val="0025350A"/>
    <w:rsid w:val="00253775"/>
    <w:rsid w:val="00253B1D"/>
    <w:rsid w:val="0025425D"/>
    <w:rsid w:val="00254BA2"/>
    <w:rsid w:val="00254DCF"/>
    <w:rsid w:val="002551A2"/>
    <w:rsid w:val="0025534B"/>
    <w:rsid w:val="00255372"/>
    <w:rsid w:val="00255BB7"/>
    <w:rsid w:val="00255F3B"/>
    <w:rsid w:val="0025676F"/>
    <w:rsid w:val="00257541"/>
    <w:rsid w:val="00257A39"/>
    <w:rsid w:val="00257AC4"/>
    <w:rsid w:val="00257BBE"/>
    <w:rsid w:val="0026096B"/>
    <w:rsid w:val="0026191E"/>
    <w:rsid w:val="00261EEF"/>
    <w:rsid w:val="002625FE"/>
    <w:rsid w:val="00262A1A"/>
    <w:rsid w:val="00262A87"/>
    <w:rsid w:val="002633DD"/>
    <w:rsid w:val="00263B43"/>
    <w:rsid w:val="00264D26"/>
    <w:rsid w:val="00265C4A"/>
    <w:rsid w:val="00265CC6"/>
    <w:rsid w:val="00265EFE"/>
    <w:rsid w:val="00265FD6"/>
    <w:rsid w:val="00266E82"/>
    <w:rsid w:val="002672C6"/>
    <w:rsid w:val="00267642"/>
    <w:rsid w:val="00267AEA"/>
    <w:rsid w:val="002700E6"/>
    <w:rsid w:val="00271099"/>
    <w:rsid w:val="00271FE5"/>
    <w:rsid w:val="0027294B"/>
    <w:rsid w:val="00273EB4"/>
    <w:rsid w:val="00274682"/>
    <w:rsid w:val="0027475D"/>
    <w:rsid w:val="00275158"/>
    <w:rsid w:val="00275305"/>
    <w:rsid w:val="002753C2"/>
    <w:rsid w:val="00275C5A"/>
    <w:rsid w:val="00275D43"/>
    <w:rsid w:val="0027694E"/>
    <w:rsid w:val="002806F5"/>
    <w:rsid w:val="00280DE9"/>
    <w:rsid w:val="00281014"/>
    <w:rsid w:val="00283068"/>
    <w:rsid w:val="002852B2"/>
    <w:rsid w:val="00285BCE"/>
    <w:rsid w:val="00285F29"/>
    <w:rsid w:val="0028665D"/>
    <w:rsid w:val="0028751D"/>
    <w:rsid w:val="0029067D"/>
    <w:rsid w:val="00290E48"/>
    <w:rsid w:val="002919BC"/>
    <w:rsid w:val="00292167"/>
    <w:rsid w:val="002921A6"/>
    <w:rsid w:val="002923F6"/>
    <w:rsid w:val="00292645"/>
    <w:rsid w:val="00292A68"/>
    <w:rsid w:val="002930B4"/>
    <w:rsid w:val="00293B19"/>
    <w:rsid w:val="00294440"/>
    <w:rsid w:val="002961E2"/>
    <w:rsid w:val="00297E09"/>
    <w:rsid w:val="002A07A8"/>
    <w:rsid w:val="002A14AB"/>
    <w:rsid w:val="002A1CB0"/>
    <w:rsid w:val="002A209D"/>
    <w:rsid w:val="002A2A80"/>
    <w:rsid w:val="002A2ADE"/>
    <w:rsid w:val="002A2E7D"/>
    <w:rsid w:val="002A2F50"/>
    <w:rsid w:val="002A2FB0"/>
    <w:rsid w:val="002A31E6"/>
    <w:rsid w:val="002A368A"/>
    <w:rsid w:val="002A3738"/>
    <w:rsid w:val="002A4B52"/>
    <w:rsid w:val="002A5442"/>
    <w:rsid w:val="002A5795"/>
    <w:rsid w:val="002A5F32"/>
    <w:rsid w:val="002A7485"/>
    <w:rsid w:val="002A7623"/>
    <w:rsid w:val="002A7824"/>
    <w:rsid w:val="002A7943"/>
    <w:rsid w:val="002B0267"/>
    <w:rsid w:val="002B05A1"/>
    <w:rsid w:val="002B092F"/>
    <w:rsid w:val="002B09A4"/>
    <w:rsid w:val="002B1517"/>
    <w:rsid w:val="002B1C1F"/>
    <w:rsid w:val="002B28F3"/>
    <w:rsid w:val="002B359F"/>
    <w:rsid w:val="002B3754"/>
    <w:rsid w:val="002B3A80"/>
    <w:rsid w:val="002B432F"/>
    <w:rsid w:val="002B4944"/>
    <w:rsid w:val="002B5034"/>
    <w:rsid w:val="002B6046"/>
    <w:rsid w:val="002B60D3"/>
    <w:rsid w:val="002B6132"/>
    <w:rsid w:val="002B62B3"/>
    <w:rsid w:val="002B6754"/>
    <w:rsid w:val="002B6CCE"/>
    <w:rsid w:val="002C0617"/>
    <w:rsid w:val="002C09B2"/>
    <w:rsid w:val="002C15C2"/>
    <w:rsid w:val="002C2115"/>
    <w:rsid w:val="002C2510"/>
    <w:rsid w:val="002C26E3"/>
    <w:rsid w:val="002C2775"/>
    <w:rsid w:val="002C27C1"/>
    <w:rsid w:val="002C27F3"/>
    <w:rsid w:val="002C2B7A"/>
    <w:rsid w:val="002C2FAC"/>
    <w:rsid w:val="002C3655"/>
    <w:rsid w:val="002C36E3"/>
    <w:rsid w:val="002C3AC6"/>
    <w:rsid w:val="002C3D40"/>
    <w:rsid w:val="002C3F09"/>
    <w:rsid w:val="002C465A"/>
    <w:rsid w:val="002C5099"/>
    <w:rsid w:val="002C5889"/>
    <w:rsid w:val="002C695D"/>
    <w:rsid w:val="002C715A"/>
    <w:rsid w:val="002C71CE"/>
    <w:rsid w:val="002C7CAD"/>
    <w:rsid w:val="002D08F8"/>
    <w:rsid w:val="002D1552"/>
    <w:rsid w:val="002D1994"/>
    <w:rsid w:val="002D2141"/>
    <w:rsid w:val="002D2A0B"/>
    <w:rsid w:val="002D3C11"/>
    <w:rsid w:val="002D4A6B"/>
    <w:rsid w:val="002D5141"/>
    <w:rsid w:val="002D577C"/>
    <w:rsid w:val="002D5E00"/>
    <w:rsid w:val="002D67B5"/>
    <w:rsid w:val="002D6F09"/>
    <w:rsid w:val="002D72E8"/>
    <w:rsid w:val="002D747B"/>
    <w:rsid w:val="002D7832"/>
    <w:rsid w:val="002E0D30"/>
    <w:rsid w:val="002E1071"/>
    <w:rsid w:val="002E15B9"/>
    <w:rsid w:val="002E2158"/>
    <w:rsid w:val="002E37C7"/>
    <w:rsid w:val="002E4276"/>
    <w:rsid w:val="002E46FB"/>
    <w:rsid w:val="002E4EBF"/>
    <w:rsid w:val="002E4F02"/>
    <w:rsid w:val="002E58C5"/>
    <w:rsid w:val="002E5AA4"/>
    <w:rsid w:val="002E5FF9"/>
    <w:rsid w:val="002E63DF"/>
    <w:rsid w:val="002E7011"/>
    <w:rsid w:val="002E7722"/>
    <w:rsid w:val="002E777A"/>
    <w:rsid w:val="002F07BA"/>
    <w:rsid w:val="002F09E6"/>
    <w:rsid w:val="002F0DA9"/>
    <w:rsid w:val="002F1014"/>
    <w:rsid w:val="002F1E3B"/>
    <w:rsid w:val="002F349A"/>
    <w:rsid w:val="002F4086"/>
    <w:rsid w:val="002F44B9"/>
    <w:rsid w:val="002F4E16"/>
    <w:rsid w:val="002F5061"/>
    <w:rsid w:val="002F5561"/>
    <w:rsid w:val="002F643C"/>
    <w:rsid w:val="002F71C0"/>
    <w:rsid w:val="002F74F1"/>
    <w:rsid w:val="002F7C27"/>
    <w:rsid w:val="002F7F4E"/>
    <w:rsid w:val="00300606"/>
    <w:rsid w:val="00301017"/>
    <w:rsid w:val="0030155F"/>
    <w:rsid w:val="00301F97"/>
    <w:rsid w:val="0030320A"/>
    <w:rsid w:val="00303B6E"/>
    <w:rsid w:val="0030587B"/>
    <w:rsid w:val="003065ED"/>
    <w:rsid w:val="00306A2F"/>
    <w:rsid w:val="00306D98"/>
    <w:rsid w:val="0030786C"/>
    <w:rsid w:val="003100F9"/>
    <w:rsid w:val="0031031A"/>
    <w:rsid w:val="00310981"/>
    <w:rsid w:val="00310FB0"/>
    <w:rsid w:val="00311D9B"/>
    <w:rsid w:val="00311DC7"/>
    <w:rsid w:val="00311E63"/>
    <w:rsid w:val="003124C9"/>
    <w:rsid w:val="003124D9"/>
    <w:rsid w:val="00312594"/>
    <w:rsid w:val="00312B1E"/>
    <w:rsid w:val="00313A6A"/>
    <w:rsid w:val="00313E25"/>
    <w:rsid w:val="00313F94"/>
    <w:rsid w:val="00315498"/>
    <w:rsid w:val="003158DE"/>
    <w:rsid w:val="00315DB7"/>
    <w:rsid w:val="003162EB"/>
    <w:rsid w:val="00316393"/>
    <w:rsid w:val="00316474"/>
    <w:rsid w:val="00316D82"/>
    <w:rsid w:val="00317159"/>
    <w:rsid w:val="003172DF"/>
    <w:rsid w:val="003179BC"/>
    <w:rsid w:val="00320D3C"/>
    <w:rsid w:val="00321203"/>
    <w:rsid w:val="0032177C"/>
    <w:rsid w:val="00321EA9"/>
    <w:rsid w:val="00322107"/>
    <w:rsid w:val="00322355"/>
    <w:rsid w:val="00322846"/>
    <w:rsid w:val="00323ABB"/>
    <w:rsid w:val="00323D47"/>
    <w:rsid w:val="00324230"/>
    <w:rsid w:val="00324AAC"/>
    <w:rsid w:val="00324BA4"/>
    <w:rsid w:val="00324C5C"/>
    <w:rsid w:val="00325283"/>
    <w:rsid w:val="003259C6"/>
    <w:rsid w:val="00326DA7"/>
    <w:rsid w:val="003270E4"/>
    <w:rsid w:val="00330019"/>
    <w:rsid w:val="00330DAA"/>
    <w:rsid w:val="00330F0F"/>
    <w:rsid w:val="00330F46"/>
    <w:rsid w:val="00330F5C"/>
    <w:rsid w:val="003320EF"/>
    <w:rsid w:val="0033259C"/>
    <w:rsid w:val="0033345A"/>
    <w:rsid w:val="0033471D"/>
    <w:rsid w:val="0033574B"/>
    <w:rsid w:val="00335F24"/>
    <w:rsid w:val="00336267"/>
    <w:rsid w:val="003366C9"/>
    <w:rsid w:val="00336F85"/>
    <w:rsid w:val="0033716A"/>
    <w:rsid w:val="003371B0"/>
    <w:rsid w:val="0033727A"/>
    <w:rsid w:val="00337682"/>
    <w:rsid w:val="003376C8"/>
    <w:rsid w:val="00337D51"/>
    <w:rsid w:val="00340DF1"/>
    <w:rsid w:val="003411B1"/>
    <w:rsid w:val="00341311"/>
    <w:rsid w:val="0034246C"/>
    <w:rsid w:val="00343104"/>
    <w:rsid w:val="00343278"/>
    <w:rsid w:val="00343E21"/>
    <w:rsid w:val="00343F62"/>
    <w:rsid w:val="0034411B"/>
    <w:rsid w:val="003458E6"/>
    <w:rsid w:val="00345DDE"/>
    <w:rsid w:val="0034644E"/>
    <w:rsid w:val="00346B01"/>
    <w:rsid w:val="0034748A"/>
    <w:rsid w:val="00347650"/>
    <w:rsid w:val="00347703"/>
    <w:rsid w:val="003479D5"/>
    <w:rsid w:val="00350923"/>
    <w:rsid w:val="003513A2"/>
    <w:rsid w:val="003517F9"/>
    <w:rsid w:val="00351BA9"/>
    <w:rsid w:val="00351D92"/>
    <w:rsid w:val="003522D3"/>
    <w:rsid w:val="00352A3F"/>
    <w:rsid w:val="0035404E"/>
    <w:rsid w:val="00354F64"/>
    <w:rsid w:val="00355384"/>
    <w:rsid w:val="0035620E"/>
    <w:rsid w:val="003575BE"/>
    <w:rsid w:val="003600BB"/>
    <w:rsid w:val="00360344"/>
    <w:rsid w:val="00360345"/>
    <w:rsid w:val="003612D9"/>
    <w:rsid w:val="0036184B"/>
    <w:rsid w:val="00361A05"/>
    <w:rsid w:val="003624C4"/>
    <w:rsid w:val="00363A4C"/>
    <w:rsid w:val="00363B00"/>
    <w:rsid w:val="0036418E"/>
    <w:rsid w:val="003654AC"/>
    <w:rsid w:val="00366372"/>
    <w:rsid w:val="0036664B"/>
    <w:rsid w:val="00366F9E"/>
    <w:rsid w:val="00367167"/>
    <w:rsid w:val="00367D5C"/>
    <w:rsid w:val="00367DB8"/>
    <w:rsid w:val="00367FDC"/>
    <w:rsid w:val="00370A4D"/>
    <w:rsid w:val="00370D70"/>
    <w:rsid w:val="003710CF"/>
    <w:rsid w:val="003713C5"/>
    <w:rsid w:val="00371A3F"/>
    <w:rsid w:val="003728CF"/>
    <w:rsid w:val="0037358A"/>
    <w:rsid w:val="00374AB7"/>
    <w:rsid w:val="003750F6"/>
    <w:rsid w:val="003759EC"/>
    <w:rsid w:val="00375FBD"/>
    <w:rsid w:val="003760FC"/>
    <w:rsid w:val="0037725A"/>
    <w:rsid w:val="00377621"/>
    <w:rsid w:val="00380122"/>
    <w:rsid w:val="003807F0"/>
    <w:rsid w:val="0038146D"/>
    <w:rsid w:val="003816AF"/>
    <w:rsid w:val="003818F8"/>
    <w:rsid w:val="00381BB1"/>
    <w:rsid w:val="00382915"/>
    <w:rsid w:val="00383438"/>
    <w:rsid w:val="0038365C"/>
    <w:rsid w:val="0038369B"/>
    <w:rsid w:val="003839E8"/>
    <w:rsid w:val="00383B78"/>
    <w:rsid w:val="00383B93"/>
    <w:rsid w:val="00384C2E"/>
    <w:rsid w:val="00384DE4"/>
    <w:rsid w:val="00385A9D"/>
    <w:rsid w:val="00386740"/>
    <w:rsid w:val="00386E51"/>
    <w:rsid w:val="00387121"/>
    <w:rsid w:val="00387AA7"/>
    <w:rsid w:val="003902B1"/>
    <w:rsid w:val="00390E74"/>
    <w:rsid w:val="0039179C"/>
    <w:rsid w:val="00391CB7"/>
    <w:rsid w:val="00393D25"/>
    <w:rsid w:val="00394343"/>
    <w:rsid w:val="00395B0E"/>
    <w:rsid w:val="0039682B"/>
    <w:rsid w:val="00396896"/>
    <w:rsid w:val="00396FD0"/>
    <w:rsid w:val="003977C8"/>
    <w:rsid w:val="00397CD8"/>
    <w:rsid w:val="003A05AC"/>
    <w:rsid w:val="003A12CA"/>
    <w:rsid w:val="003A1A7A"/>
    <w:rsid w:val="003A1A9F"/>
    <w:rsid w:val="003A1B3A"/>
    <w:rsid w:val="003A21F6"/>
    <w:rsid w:val="003A2392"/>
    <w:rsid w:val="003A2831"/>
    <w:rsid w:val="003A2B62"/>
    <w:rsid w:val="003A377B"/>
    <w:rsid w:val="003A3CB6"/>
    <w:rsid w:val="003A3ED1"/>
    <w:rsid w:val="003A43C0"/>
    <w:rsid w:val="003A44DB"/>
    <w:rsid w:val="003A4699"/>
    <w:rsid w:val="003A46A9"/>
    <w:rsid w:val="003A4C14"/>
    <w:rsid w:val="003A58B3"/>
    <w:rsid w:val="003A5AFA"/>
    <w:rsid w:val="003A76A1"/>
    <w:rsid w:val="003A77DA"/>
    <w:rsid w:val="003A7991"/>
    <w:rsid w:val="003B04F4"/>
    <w:rsid w:val="003B0E38"/>
    <w:rsid w:val="003B16B4"/>
    <w:rsid w:val="003B1D3B"/>
    <w:rsid w:val="003B20A6"/>
    <w:rsid w:val="003B20E6"/>
    <w:rsid w:val="003B2124"/>
    <w:rsid w:val="003B3569"/>
    <w:rsid w:val="003B3971"/>
    <w:rsid w:val="003B3AD2"/>
    <w:rsid w:val="003B5454"/>
    <w:rsid w:val="003B55D1"/>
    <w:rsid w:val="003B5B61"/>
    <w:rsid w:val="003B647D"/>
    <w:rsid w:val="003B6D5E"/>
    <w:rsid w:val="003B6FDA"/>
    <w:rsid w:val="003B7E75"/>
    <w:rsid w:val="003C00FA"/>
    <w:rsid w:val="003C05DE"/>
    <w:rsid w:val="003C0E2C"/>
    <w:rsid w:val="003C0E75"/>
    <w:rsid w:val="003C1654"/>
    <w:rsid w:val="003C1E72"/>
    <w:rsid w:val="003C28F1"/>
    <w:rsid w:val="003C2D43"/>
    <w:rsid w:val="003C324E"/>
    <w:rsid w:val="003C3A70"/>
    <w:rsid w:val="003C5542"/>
    <w:rsid w:val="003C70A5"/>
    <w:rsid w:val="003C7C15"/>
    <w:rsid w:val="003C7D19"/>
    <w:rsid w:val="003C7D2F"/>
    <w:rsid w:val="003D0004"/>
    <w:rsid w:val="003D06E7"/>
    <w:rsid w:val="003D0C5A"/>
    <w:rsid w:val="003D1337"/>
    <w:rsid w:val="003D1828"/>
    <w:rsid w:val="003D1DE4"/>
    <w:rsid w:val="003D1E9A"/>
    <w:rsid w:val="003D1F74"/>
    <w:rsid w:val="003D2422"/>
    <w:rsid w:val="003D3294"/>
    <w:rsid w:val="003D347F"/>
    <w:rsid w:val="003D39A1"/>
    <w:rsid w:val="003D3FBF"/>
    <w:rsid w:val="003D4181"/>
    <w:rsid w:val="003D4A30"/>
    <w:rsid w:val="003D4E24"/>
    <w:rsid w:val="003D5781"/>
    <w:rsid w:val="003D5906"/>
    <w:rsid w:val="003D7452"/>
    <w:rsid w:val="003D79BB"/>
    <w:rsid w:val="003D7C98"/>
    <w:rsid w:val="003D7D9D"/>
    <w:rsid w:val="003E0543"/>
    <w:rsid w:val="003E1882"/>
    <w:rsid w:val="003E1CD0"/>
    <w:rsid w:val="003E1EF1"/>
    <w:rsid w:val="003E20AC"/>
    <w:rsid w:val="003E2686"/>
    <w:rsid w:val="003E27FF"/>
    <w:rsid w:val="003E30CF"/>
    <w:rsid w:val="003E3495"/>
    <w:rsid w:val="003E3D2B"/>
    <w:rsid w:val="003E5173"/>
    <w:rsid w:val="003E5603"/>
    <w:rsid w:val="003E5E46"/>
    <w:rsid w:val="003E749E"/>
    <w:rsid w:val="003F06F9"/>
    <w:rsid w:val="003F2F5C"/>
    <w:rsid w:val="003F34A2"/>
    <w:rsid w:val="003F3DD9"/>
    <w:rsid w:val="003F4156"/>
    <w:rsid w:val="003F5ADF"/>
    <w:rsid w:val="003F5ED2"/>
    <w:rsid w:val="003F66FE"/>
    <w:rsid w:val="003F7048"/>
    <w:rsid w:val="003F7216"/>
    <w:rsid w:val="003F74B7"/>
    <w:rsid w:val="003F7C76"/>
    <w:rsid w:val="003F7E88"/>
    <w:rsid w:val="00400B29"/>
    <w:rsid w:val="00400C9A"/>
    <w:rsid w:val="00401CF7"/>
    <w:rsid w:val="00402812"/>
    <w:rsid w:val="0040324F"/>
    <w:rsid w:val="004036A5"/>
    <w:rsid w:val="00403D5D"/>
    <w:rsid w:val="00404E6D"/>
    <w:rsid w:val="0040504B"/>
    <w:rsid w:val="004059F4"/>
    <w:rsid w:val="004063B2"/>
    <w:rsid w:val="00407FE5"/>
    <w:rsid w:val="004101B0"/>
    <w:rsid w:val="00410326"/>
    <w:rsid w:val="00410708"/>
    <w:rsid w:val="00410EC7"/>
    <w:rsid w:val="0041143C"/>
    <w:rsid w:val="00411923"/>
    <w:rsid w:val="0041194A"/>
    <w:rsid w:val="00411B39"/>
    <w:rsid w:val="004127A7"/>
    <w:rsid w:val="00412DC8"/>
    <w:rsid w:val="00413A1E"/>
    <w:rsid w:val="00414476"/>
    <w:rsid w:val="004145AE"/>
    <w:rsid w:val="00414924"/>
    <w:rsid w:val="00414C2E"/>
    <w:rsid w:val="004151CF"/>
    <w:rsid w:val="00415A81"/>
    <w:rsid w:val="00416364"/>
    <w:rsid w:val="00416A0B"/>
    <w:rsid w:val="004173B2"/>
    <w:rsid w:val="00417F25"/>
    <w:rsid w:val="00420115"/>
    <w:rsid w:val="0042047F"/>
    <w:rsid w:val="00420AA6"/>
    <w:rsid w:val="00420B9F"/>
    <w:rsid w:val="0042161A"/>
    <w:rsid w:val="004217FA"/>
    <w:rsid w:val="004218D1"/>
    <w:rsid w:val="0042192C"/>
    <w:rsid w:val="00422260"/>
    <w:rsid w:val="0042238F"/>
    <w:rsid w:val="0042270F"/>
    <w:rsid w:val="00422907"/>
    <w:rsid w:val="0042323C"/>
    <w:rsid w:val="0042345C"/>
    <w:rsid w:val="00423F23"/>
    <w:rsid w:val="0042403D"/>
    <w:rsid w:val="0042413F"/>
    <w:rsid w:val="00424AD7"/>
    <w:rsid w:val="00424B18"/>
    <w:rsid w:val="00426EBE"/>
    <w:rsid w:val="00426EFF"/>
    <w:rsid w:val="0042734E"/>
    <w:rsid w:val="00427623"/>
    <w:rsid w:val="0042788C"/>
    <w:rsid w:val="00427985"/>
    <w:rsid w:val="00427FC8"/>
    <w:rsid w:val="0043183E"/>
    <w:rsid w:val="004319F8"/>
    <w:rsid w:val="00431E55"/>
    <w:rsid w:val="004321F6"/>
    <w:rsid w:val="00432763"/>
    <w:rsid w:val="00432828"/>
    <w:rsid w:val="00432C0D"/>
    <w:rsid w:val="00433044"/>
    <w:rsid w:val="0043355F"/>
    <w:rsid w:val="00434088"/>
    <w:rsid w:val="004348AD"/>
    <w:rsid w:val="00434F89"/>
    <w:rsid w:val="00436F90"/>
    <w:rsid w:val="004375B9"/>
    <w:rsid w:val="00437FE0"/>
    <w:rsid w:val="00441B03"/>
    <w:rsid w:val="004428D0"/>
    <w:rsid w:val="004428FF"/>
    <w:rsid w:val="0044409B"/>
    <w:rsid w:val="00444185"/>
    <w:rsid w:val="004443A7"/>
    <w:rsid w:val="0044442C"/>
    <w:rsid w:val="00444652"/>
    <w:rsid w:val="00445398"/>
    <w:rsid w:val="00445941"/>
    <w:rsid w:val="004459D5"/>
    <w:rsid w:val="004464EB"/>
    <w:rsid w:val="00446587"/>
    <w:rsid w:val="00446671"/>
    <w:rsid w:val="0044734D"/>
    <w:rsid w:val="0044749F"/>
    <w:rsid w:val="00447D26"/>
    <w:rsid w:val="00447DFC"/>
    <w:rsid w:val="0045029E"/>
    <w:rsid w:val="00450548"/>
    <w:rsid w:val="0045174A"/>
    <w:rsid w:val="00451E90"/>
    <w:rsid w:val="004527AF"/>
    <w:rsid w:val="00452ED4"/>
    <w:rsid w:val="0045366B"/>
    <w:rsid w:val="00453719"/>
    <w:rsid w:val="00453FF0"/>
    <w:rsid w:val="0045415B"/>
    <w:rsid w:val="0045422B"/>
    <w:rsid w:val="004546F3"/>
    <w:rsid w:val="00455981"/>
    <w:rsid w:val="00455D45"/>
    <w:rsid w:val="00460B81"/>
    <w:rsid w:val="0046120A"/>
    <w:rsid w:val="004616C2"/>
    <w:rsid w:val="004624E7"/>
    <w:rsid w:val="0046331C"/>
    <w:rsid w:val="00464146"/>
    <w:rsid w:val="00464595"/>
    <w:rsid w:val="0046466B"/>
    <w:rsid w:val="004658B5"/>
    <w:rsid w:val="0046637C"/>
    <w:rsid w:val="00466549"/>
    <w:rsid w:val="0046671A"/>
    <w:rsid w:val="00466DA0"/>
    <w:rsid w:val="00467CA0"/>
    <w:rsid w:val="00471BCE"/>
    <w:rsid w:val="00471EA5"/>
    <w:rsid w:val="00472154"/>
    <w:rsid w:val="00472A79"/>
    <w:rsid w:val="00473790"/>
    <w:rsid w:val="00473D19"/>
    <w:rsid w:val="00473F19"/>
    <w:rsid w:val="004749FF"/>
    <w:rsid w:val="00474C6F"/>
    <w:rsid w:val="0047598B"/>
    <w:rsid w:val="00475E22"/>
    <w:rsid w:val="00475F59"/>
    <w:rsid w:val="0047754C"/>
    <w:rsid w:val="004802EF"/>
    <w:rsid w:val="0048088E"/>
    <w:rsid w:val="00480A02"/>
    <w:rsid w:val="00480F2B"/>
    <w:rsid w:val="0048127D"/>
    <w:rsid w:val="00481729"/>
    <w:rsid w:val="00481A41"/>
    <w:rsid w:val="00482720"/>
    <w:rsid w:val="004835E7"/>
    <w:rsid w:val="00483711"/>
    <w:rsid w:val="00483DB7"/>
    <w:rsid w:val="00484CD7"/>
    <w:rsid w:val="00484E94"/>
    <w:rsid w:val="004854EF"/>
    <w:rsid w:val="00485862"/>
    <w:rsid w:val="004859E1"/>
    <w:rsid w:val="00485BDD"/>
    <w:rsid w:val="00485BF1"/>
    <w:rsid w:val="004867E2"/>
    <w:rsid w:val="00486945"/>
    <w:rsid w:val="00490B17"/>
    <w:rsid w:val="00491B3A"/>
    <w:rsid w:val="0049201A"/>
    <w:rsid w:val="00492C84"/>
    <w:rsid w:val="00492CFD"/>
    <w:rsid w:val="00493009"/>
    <w:rsid w:val="00493EFE"/>
    <w:rsid w:val="00494207"/>
    <w:rsid w:val="00494DD5"/>
    <w:rsid w:val="004950EA"/>
    <w:rsid w:val="00495B42"/>
    <w:rsid w:val="004962D2"/>
    <w:rsid w:val="004967F9"/>
    <w:rsid w:val="00496CD1"/>
    <w:rsid w:val="00497695"/>
    <w:rsid w:val="004A0973"/>
    <w:rsid w:val="004A0CD1"/>
    <w:rsid w:val="004A0DA1"/>
    <w:rsid w:val="004A13D6"/>
    <w:rsid w:val="004A1D08"/>
    <w:rsid w:val="004A3051"/>
    <w:rsid w:val="004A52E9"/>
    <w:rsid w:val="004A5EEE"/>
    <w:rsid w:val="004A5EFA"/>
    <w:rsid w:val="004A6040"/>
    <w:rsid w:val="004A6597"/>
    <w:rsid w:val="004A6BA6"/>
    <w:rsid w:val="004A7424"/>
    <w:rsid w:val="004A75D3"/>
    <w:rsid w:val="004A7848"/>
    <w:rsid w:val="004A793B"/>
    <w:rsid w:val="004A7A2C"/>
    <w:rsid w:val="004B079F"/>
    <w:rsid w:val="004B16E0"/>
    <w:rsid w:val="004B180E"/>
    <w:rsid w:val="004B1CB4"/>
    <w:rsid w:val="004B2086"/>
    <w:rsid w:val="004B25D3"/>
    <w:rsid w:val="004B29BF"/>
    <w:rsid w:val="004B2DBC"/>
    <w:rsid w:val="004B2E34"/>
    <w:rsid w:val="004B2F18"/>
    <w:rsid w:val="004B3BDE"/>
    <w:rsid w:val="004B3DDB"/>
    <w:rsid w:val="004B441B"/>
    <w:rsid w:val="004B44FD"/>
    <w:rsid w:val="004B4CDA"/>
    <w:rsid w:val="004B50CF"/>
    <w:rsid w:val="004B54BE"/>
    <w:rsid w:val="004B5CFC"/>
    <w:rsid w:val="004B648B"/>
    <w:rsid w:val="004B6627"/>
    <w:rsid w:val="004B6F79"/>
    <w:rsid w:val="004B6FCD"/>
    <w:rsid w:val="004B721A"/>
    <w:rsid w:val="004B757A"/>
    <w:rsid w:val="004B774D"/>
    <w:rsid w:val="004C0978"/>
    <w:rsid w:val="004C1767"/>
    <w:rsid w:val="004C2922"/>
    <w:rsid w:val="004C2AC2"/>
    <w:rsid w:val="004C2E37"/>
    <w:rsid w:val="004C40AE"/>
    <w:rsid w:val="004C4AED"/>
    <w:rsid w:val="004C64A7"/>
    <w:rsid w:val="004C667F"/>
    <w:rsid w:val="004D054D"/>
    <w:rsid w:val="004D062E"/>
    <w:rsid w:val="004D0A8B"/>
    <w:rsid w:val="004D0D59"/>
    <w:rsid w:val="004D205B"/>
    <w:rsid w:val="004D2337"/>
    <w:rsid w:val="004D2C2D"/>
    <w:rsid w:val="004D37C8"/>
    <w:rsid w:val="004D39E9"/>
    <w:rsid w:val="004D3A48"/>
    <w:rsid w:val="004D3B34"/>
    <w:rsid w:val="004D4A29"/>
    <w:rsid w:val="004D592D"/>
    <w:rsid w:val="004D69B5"/>
    <w:rsid w:val="004D6E8E"/>
    <w:rsid w:val="004D7227"/>
    <w:rsid w:val="004D78A5"/>
    <w:rsid w:val="004D7913"/>
    <w:rsid w:val="004D7A3D"/>
    <w:rsid w:val="004D7B5E"/>
    <w:rsid w:val="004E042D"/>
    <w:rsid w:val="004E0E7F"/>
    <w:rsid w:val="004E0EB8"/>
    <w:rsid w:val="004E1738"/>
    <w:rsid w:val="004E175A"/>
    <w:rsid w:val="004E18E9"/>
    <w:rsid w:val="004E25C7"/>
    <w:rsid w:val="004E2A39"/>
    <w:rsid w:val="004E2ADC"/>
    <w:rsid w:val="004E2AE1"/>
    <w:rsid w:val="004E2C5D"/>
    <w:rsid w:val="004E3113"/>
    <w:rsid w:val="004E3A5C"/>
    <w:rsid w:val="004E43B2"/>
    <w:rsid w:val="004E4860"/>
    <w:rsid w:val="004E4909"/>
    <w:rsid w:val="004E7EB5"/>
    <w:rsid w:val="004E7EC1"/>
    <w:rsid w:val="004E7F7B"/>
    <w:rsid w:val="004F03F7"/>
    <w:rsid w:val="004F044D"/>
    <w:rsid w:val="004F0C39"/>
    <w:rsid w:val="004F0D96"/>
    <w:rsid w:val="004F18F0"/>
    <w:rsid w:val="004F1D02"/>
    <w:rsid w:val="004F2679"/>
    <w:rsid w:val="004F2F21"/>
    <w:rsid w:val="004F3DE5"/>
    <w:rsid w:val="004F4C1E"/>
    <w:rsid w:val="004F4C39"/>
    <w:rsid w:val="004F5FC4"/>
    <w:rsid w:val="004F688E"/>
    <w:rsid w:val="004F6913"/>
    <w:rsid w:val="004F7865"/>
    <w:rsid w:val="005004F7"/>
    <w:rsid w:val="00500BBB"/>
    <w:rsid w:val="00501668"/>
    <w:rsid w:val="0050174E"/>
    <w:rsid w:val="00501854"/>
    <w:rsid w:val="00501934"/>
    <w:rsid w:val="0050219B"/>
    <w:rsid w:val="005021D3"/>
    <w:rsid w:val="0050284B"/>
    <w:rsid w:val="00502876"/>
    <w:rsid w:val="005029B3"/>
    <w:rsid w:val="00502DDF"/>
    <w:rsid w:val="0050313C"/>
    <w:rsid w:val="00503E65"/>
    <w:rsid w:val="00503F17"/>
    <w:rsid w:val="00503F3A"/>
    <w:rsid w:val="0050538F"/>
    <w:rsid w:val="00505F86"/>
    <w:rsid w:val="0050627A"/>
    <w:rsid w:val="00506928"/>
    <w:rsid w:val="00506D8B"/>
    <w:rsid w:val="005077EF"/>
    <w:rsid w:val="0051009B"/>
    <w:rsid w:val="005106F8"/>
    <w:rsid w:val="00510C19"/>
    <w:rsid w:val="00511066"/>
    <w:rsid w:val="00511125"/>
    <w:rsid w:val="0051131A"/>
    <w:rsid w:val="00511327"/>
    <w:rsid w:val="005113E4"/>
    <w:rsid w:val="00511AD5"/>
    <w:rsid w:val="00511DC7"/>
    <w:rsid w:val="00512A59"/>
    <w:rsid w:val="005140E9"/>
    <w:rsid w:val="005142C5"/>
    <w:rsid w:val="0051501B"/>
    <w:rsid w:val="005152B5"/>
    <w:rsid w:val="00515886"/>
    <w:rsid w:val="005165E6"/>
    <w:rsid w:val="00517230"/>
    <w:rsid w:val="00520358"/>
    <w:rsid w:val="00520B19"/>
    <w:rsid w:val="0052123C"/>
    <w:rsid w:val="00521319"/>
    <w:rsid w:val="005214A4"/>
    <w:rsid w:val="005217DA"/>
    <w:rsid w:val="00521DA0"/>
    <w:rsid w:val="00521E51"/>
    <w:rsid w:val="00522BC8"/>
    <w:rsid w:val="00523637"/>
    <w:rsid w:val="00523C28"/>
    <w:rsid w:val="00525CAE"/>
    <w:rsid w:val="00525F9A"/>
    <w:rsid w:val="00527369"/>
    <w:rsid w:val="0053002A"/>
    <w:rsid w:val="00530AE1"/>
    <w:rsid w:val="00530F0D"/>
    <w:rsid w:val="00530F65"/>
    <w:rsid w:val="00531242"/>
    <w:rsid w:val="0053176B"/>
    <w:rsid w:val="00531DBF"/>
    <w:rsid w:val="005328D3"/>
    <w:rsid w:val="005333C9"/>
    <w:rsid w:val="00533F0F"/>
    <w:rsid w:val="005341B3"/>
    <w:rsid w:val="005345DD"/>
    <w:rsid w:val="00534E9A"/>
    <w:rsid w:val="00535117"/>
    <w:rsid w:val="00535995"/>
    <w:rsid w:val="005359F6"/>
    <w:rsid w:val="00535C46"/>
    <w:rsid w:val="00536A18"/>
    <w:rsid w:val="00536F42"/>
    <w:rsid w:val="0053714B"/>
    <w:rsid w:val="00537182"/>
    <w:rsid w:val="00537517"/>
    <w:rsid w:val="005375D0"/>
    <w:rsid w:val="0054139D"/>
    <w:rsid w:val="00541EDD"/>
    <w:rsid w:val="00542118"/>
    <w:rsid w:val="005421D2"/>
    <w:rsid w:val="005424EE"/>
    <w:rsid w:val="00542743"/>
    <w:rsid w:val="00542C2D"/>
    <w:rsid w:val="00543A36"/>
    <w:rsid w:val="00543AAF"/>
    <w:rsid w:val="00544458"/>
    <w:rsid w:val="00544476"/>
    <w:rsid w:val="0054523E"/>
    <w:rsid w:val="005455AC"/>
    <w:rsid w:val="005478BD"/>
    <w:rsid w:val="005479E3"/>
    <w:rsid w:val="00550FBB"/>
    <w:rsid w:val="005510E6"/>
    <w:rsid w:val="00551985"/>
    <w:rsid w:val="00552BD3"/>
    <w:rsid w:val="005532A0"/>
    <w:rsid w:val="005539E8"/>
    <w:rsid w:val="00554C77"/>
    <w:rsid w:val="00554D8F"/>
    <w:rsid w:val="00554DBF"/>
    <w:rsid w:val="00555109"/>
    <w:rsid w:val="00555688"/>
    <w:rsid w:val="00555A9F"/>
    <w:rsid w:val="00556B35"/>
    <w:rsid w:val="005570D0"/>
    <w:rsid w:val="0055724C"/>
    <w:rsid w:val="0055741A"/>
    <w:rsid w:val="00557769"/>
    <w:rsid w:val="005577F8"/>
    <w:rsid w:val="005578AC"/>
    <w:rsid w:val="005611B7"/>
    <w:rsid w:val="005618D4"/>
    <w:rsid w:val="00561948"/>
    <w:rsid w:val="00561D67"/>
    <w:rsid w:val="005637B9"/>
    <w:rsid w:val="00564867"/>
    <w:rsid w:val="00564E36"/>
    <w:rsid w:val="00565135"/>
    <w:rsid w:val="005656D3"/>
    <w:rsid w:val="00565C79"/>
    <w:rsid w:val="00565DF0"/>
    <w:rsid w:val="00565E7A"/>
    <w:rsid w:val="00566477"/>
    <w:rsid w:val="0056696F"/>
    <w:rsid w:val="00566F34"/>
    <w:rsid w:val="00570191"/>
    <w:rsid w:val="005703FA"/>
    <w:rsid w:val="0057043C"/>
    <w:rsid w:val="00570553"/>
    <w:rsid w:val="00570EF6"/>
    <w:rsid w:val="005713EB"/>
    <w:rsid w:val="00571CA2"/>
    <w:rsid w:val="00571CCC"/>
    <w:rsid w:val="00572269"/>
    <w:rsid w:val="0057244A"/>
    <w:rsid w:val="005727F5"/>
    <w:rsid w:val="00572F26"/>
    <w:rsid w:val="00572FD5"/>
    <w:rsid w:val="00574DFA"/>
    <w:rsid w:val="00574F41"/>
    <w:rsid w:val="005750C5"/>
    <w:rsid w:val="005750CA"/>
    <w:rsid w:val="005752DE"/>
    <w:rsid w:val="00575832"/>
    <w:rsid w:val="00575ABA"/>
    <w:rsid w:val="00575D60"/>
    <w:rsid w:val="00575D8D"/>
    <w:rsid w:val="00576972"/>
    <w:rsid w:val="00576B6E"/>
    <w:rsid w:val="00576C18"/>
    <w:rsid w:val="00577248"/>
    <w:rsid w:val="0058095F"/>
    <w:rsid w:val="00580C42"/>
    <w:rsid w:val="00581A58"/>
    <w:rsid w:val="00581C71"/>
    <w:rsid w:val="00581FEB"/>
    <w:rsid w:val="005824A1"/>
    <w:rsid w:val="00583699"/>
    <w:rsid w:val="005845C1"/>
    <w:rsid w:val="0058514D"/>
    <w:rsid w:val="00585498"/>
    <w:rsid w:val="00585AE7"/>
    <w:rsid w:val="00585CDD"/>
    <w:rsid w:val="00585FDD"/>
    <w:rsid w:val="005860DA"/>
    <w:rsid w:val="005863B7"/>
    <w:rsid w:val="00586A3D"/>
    <w:rsid w:val="00586D37"/>
    <w:rsid w:val="00587058"/>
    <w:rsid w:val="00590056"/>
    <w:rsid w:val="00590835"/>
    <w:rsid w:val="00590F90"/>
    <w:rsid w:val="00591957"/>
    <w:rsid w:val="0059316C"/>
    <w:rsid w:val="00593A88"/>
    <w:rsid w:val="0059410B"/>
    <w:rsid w:val="0059492E"/>
    <w:rsid w:val="0059523D"/>
    <w:rsid w:val="0059523F"/>
    <w:rsid w:val="00595FBB"/>
    <w:rsid w:val="00596605"/>
    <w:rsid w:val="00597AE8"/>
    <w:rsid w:val="00597BF9"/>
    <w:rsid w:val="005A0288"/>
    <w:rsid w:val="005A087B"/>
    <w:rsid w:val="005A0C11"/>
    <w:rsid w:val="005A1030"/>
    <w:rsid w:val="005A13C9"/>
    <w:rsid w:val="005A17BE"/>
    <w:rsid w:val="005A1A78"/>
    <w:rsid w:val="005A1E1E"/>
    <w:rsid w:val="005A23ED"/>
    <w:rsid w:val="005A2A60"/>
    <w:rsid w:val="005A309A"/>
    <w:rsid w:val="005A3232"/>
    <w:rsid w:val="005A373D"/>
    <w:rsid w:val="005A40A1"/>
    <w:rsid w:val="005A5E4E"/>
    <w:rsid w:val="005A622C"/>
    <w:rsid w:val="005A6449"/>
    <w:rsid w:val="005A67B0"/>
    <w:rsid w:val="005A6EB5"/>
    <w:rsid w:val="005B00DA"/>
    <w:rsid w:val="005B0B58"/>
    <w:rsid w:val="005B1078"/>
    <w:rsid w:val="005B1576"/>
    <w:rsid w:val="005B16A9"/>
    <w:rsid w:val="005B209F"/>
    <w:rsid w:val="005B3A5E"/>
    <w:rsid w:val="005B403D"/>
    <w:rsid w:val="005B45C2"/>
    <w:rsid w:val="005B4866"/>
    <w:rsid w:val="005B4E53"/>
    <w:rsid w:val="005B56ED"/>
    <w:rsid w:val="005B5857"/>
    <w:rsid w:val="005B6107"/>
    <w:rsid w:val="005B7FBC"/>
    <w:rsid w:val="005C0108"/>
    <w:rsid w:val="005C01DA"/>
    <w:rsid w:val="005C144A"/>
    <w:rsid w:val="005C19C4"/>
    <w:rsid w:val="005C1B83"/>
    <w:rsid w:val="005C25FF"/>
    <w:rsid w:val="005C2D55"/>
    <w:rsid w:val="005C346B"/>
    <w:rsid w:val="005C3BC4"/>
    <w:rsid w:val="005C4EEE"/>
    <w:rsid w:val="005C51C9"/>
    <w:rsid w:val="005C52C5"/>
    <w:rsid w:val="005C5ABC"/>
    <w:rsid w:val="005C74EF"/>
    <w:rsid w:val="005C77DC"/>
    <w:rsid w:val="005C7F93"/>
    <w:rsid w:val="005D0330"/>
    <w:rsid w:val="005D044D"/>
    <w:rsid w:val="005D0ABD"/>
    <w:rsid w:val="005D0B4F"/>
    <w:rsid w:val="005D18AD"/>
    <w:rsid w:val="005D26B4"/>
    <w:rsid w:val="005D295B"/>
    <w:rsid w:val="005D2B12"/>
    <w:rsid w:val="005D2B3D"/>
    <w:rsid w:val="005D352D"/>
    <w:rsid w:val="005D441C"/>
    <w:rsid w:val="005D5452"/>
    <w:rsid w:val="005D5E6B"/>
    <w:rsid w:val="005D67DB"/>
    <w:rsid w:val="005D6A07"/>
    <w:rsid w:val="005D6FA1"/>
    <w:rsid w:val="005D7E9A"/>
    <w:rsid w:val="005E1995"/>
    <w:rsid w:val="005E1F85"/>
    <w:rsid w:val="005E2142"/>
    <w:rsid w:val="005E2CFB"/>
    <w:rsid w:val="005E2F66"/>
    <w:rsid w:val="005E365A"/>
    <w:rsid w:val="005E5134"/>
    <w:rsid w:val="005E5481"/>
    <w:rsid w:val="005E54E1"/>
    <w:rsid w:val="005E61DD"/>
    <w:rsid w:val="005E6C1E"/>
    <w:rsid w:val="005E6CBC"/>
    <w:rsid w:val="005E6F66"/>
    <w:rsid w:val="005E72FF"/>
    <w:rsid w:val="005E73C0"/>
    <w:rsid w:val="005E744F"/>
    <w:rsid w:val="005E7F55"/>
    <w:rsid w:val="005F00C2"/>
    <w:rsid w:val="005F07ED"/>
    <w:rsid w:val="005F0D9C"/>
    <w:rsid w:val="005F1301"/>
    <w:rsid w:val="005F180C"/>
    <w:rsid w:val="005F1EF6"/>
    <w:rsid w:val="005F1F75"/>
    <w:rsid w:val="005F2706"/>
    <w:rsid w:val="005F3AEA"/>
    <w:rsid w:val="005F406B"/>
    <w:rsid w:val="005F421C"/>
    <w:rsid w:val="005F440B"/>
    <w:rsid w:val="005F527C"/>
    <w:rsid w:val="005F5D0A"/>
    <w:rsid w:val="005F6445"/>
    <w:rsid w:val="005F6730"/>
    <w:rsid w:val="005F6A8F"/>
    <w:rsid w:val="005F6BB7"/>
    <w:rsid w:val="005F7588"/>
    <w:rsid w:val="005F75CB"/>
    <w:rsid w:val="00600293"/>
    <w:rsid w:val="006004FE"/>
    <w:rsid w:val="00600728"/>
    <w:rsid w:val="006016D5"/>
    <w:rsid w:val="00602567"/>
    <w:rsid w:val="00602667"/>
    <w:rsid w:val="00602D9F"/>
    <w:rsid w:val="00603A1C"/>
    <w:rsid w:val="00603CE1"/>
    <w:rsid w:val="00603DB9"/>
    <w:rsid w:val="00604856"/>
    <w:rsid w:val="00604D68"/>
    <w:rsid w:val="0060686E"/>
    <w:rsid w:val="00606CED"/>
    <w:rsid w:val="00606E45"/>
    <w:rsid w:val="00606FBA"/>
    <w:rsid w:val="00607669"/>
    <w:rsid w:val="006076F4"/>
    <w:rsid w:val="006077F4"/>
    <w:rsid w:val="00607AFD"/>
    <w:rsid w:val="00607C0A"/>
    <w:rsid w:val="00607D4D"/>
    <w:rsid w:val="00607DD6"/>
    <w:rsid w:val="00611563"/>
    <w:rsid w:val="006117FB"/>
    <w:rsid w:val="0061188A"/>
    <w:rsid w:val="00611B12"/>
    <w:rsid w:val="0061297A"/>
    <w:rsid w:val="00612A73"/>
    <w:rsid w:val="00612F97"/>
    <w:rsid w:val="0061345D"/>
    <w:rsid w:val="0061346E"/>
    <w:rsid w:val="006136B9"/>
    <w:rsid w:val="00613B0D"/>
    <w:rsid w:val="00613D85"/>
    <w:rsid w:val="00613DFE"/>
    <w:rsid w:val="00614084"/>
    <w:rsid w:val="0061549B"/>
    <w:rsid w:val="00616802"/>
    <w:rsid w:val="00616A08"/>
    <w:rsid w:val="00617C86"/>
    <w:rsid w:val="00617E12"/>
    <w:rsid w:val="0062009C"/>
    <w:rsid w:val="006203A3"/>
    <w:rsid w:val="00620888"/>
    <w:rsid w:val="00620C25"/>
    <w:rsid w:val="00620D7E"/>
    <w:rsid w:val="00621477"/>
    <w:rsid w:val="00621733"/>
    <w:rsid w:val="00621ADA"/>
    <w:rsid w:val="00621FED"/>
    <w:rsid w:val="006234A6"/>
    <w:rsid w:val="00623A4B"/>
    <w:rsid w:val="00623EFB"/>
    <w:rsid w:val="00623F7B"/>
    <w:rsid w:val="006245EF"/>
    <w:rsid w:val="00624B27"/>
    <w:rsid w:val="00624BD4"/>
    <w:rsid w:val="00624EC1"/>
    <w:rsid w:val="00627485"/>
    <w:rsid w:val="0062768B"/>
    <w:rsid w:val="00627855"/>
    <w:rsid w:val="00627FA0"/>
    <w:rsid w:val="006308B5"/>
    <w:rsid w:val="00630957"/>
    <w:rsid w:val="00630CD2"/>
    <w:rsid w:val="0063158F"/>
    <w:rsid w:val="00631A68"/>
    <w:rsid w:val="00631D6B"/>
    <w:rsid w:val="00632183"/>
    <w:rsid w:val="006329A2"/>
    <w:rsid w:val="006330A1"/>
    <w:rsid w:val="006332DB"/>
    <w:rsid w:val="0063479F"/>
    <w:rsid w:val="006353F0"/>
    <w:rsid w:val="006357B5"/>
    <w:rsid w:val="006364A1"/>
    <w:rsid w:val="0063678E"/>
    <w:rsid w:val="006374BB"/>
    <w:rsid w:val="00637562"/>
    <w:rsid w:val="00637BFD"/>
    <w:rsid w:val="00637C5C"/>
    <w:rsid w:val="00640FF6"/>
    <w:rsid w:val="00641C09"/>
    <w:rsid w:val="00641C4E"/>
    <w:rsid w:val="00641FB3"/>
    <w:rsid w:val="006428E5"/>
    <w:rsid w:val="00643E00"/>
    <w:rsid w:val="0064434C"/>
    <w:rsid w:val="00644B99"/>
    <w:rsid w:val="00645FC8"/>
    <w:rsid w:val="006465C6"/>
    <w:rsid w:val="00646AAB"/>
    <w:rsid w:val="006471CC"/>
    <w:rsid w:val="006472FE"/>
    <w:rsid w:val="00647686"/>
    <w:rsid w:val="00647959"/>
    <w:rsid w:val="00647A29"/>
    <w:rsid w:val="0065079F"/>
    <w:rsid w:val="006507EB"/>
    <w:rsid w:val="00650E65"/>
    <w:rsid w:val="00652A28"/>
    <w:rsid w:val="00652E44"/>
    <w:rsid w:val="00653473"/>
    <w:rsid w:val="0065379F"/>
    <w:rsid w:val="00654344"/>
    <w:rsid w:val="00656188"/>
    <w:rsid w:val="006562B6"/>
    <w:rsid w:val="0065643C"/>
    <w:rsid w:val="0065647E"/>
    <w:rsid w:val="006565A9"/>
    <w:rsid w:val="0065665B"/>
    <w:rsid w:val="0065673E"/>
    <w:rsid w:val="006568CD"/>
    <w:rsid w:val="0065715A"/>
    <w:rsid w:val="00660061"/>
    <w:rsid w:val="0066062A"/>
    <w:rsid w:val="006608AC"/>
    <w:rsid w:val="006608F1"/>
    <w:rsid w:val="00660BAA"/>
    <w:rsid w:val="00660E9E"/>
    <w:rsid w:val="006610F1"/>
    <w:rsid w:val="00661C6B"/>
    <w:rsid w:val="00662CB5"/>
    <w:rsid w:val="00662D3E"/>
    <w:rsid w:val="00663F67"/>
    <w:rsid w:val="00664E60"/>
    <w:rsid w:val="006657E5"/>
    <w:rsid w:val="006661C2"/>
    <w:rsid w:val="00666A98"/>
    <w:rsid w:val="00666CAA"/>
    <w:rsid w:val="00667BE3"/>
    <w:rsid w:val="00667CA0"/>
    <w:rsid w:val="00667E13"/>
    <w:rsid w:val="0067086C"/>
    <w:rsid w:val="00670CDC"/>
    <w:rsid w:val="00670FC2"/>
    <w:rsid w:val="00671004"/>
    <w:rsid w:val="006714C2"/>
    <w:rsid w:val="00672487"/>
    <w:rsid w:val="0067258D"/>
    <w:rsid w:val="00672646"/>
    <w:rsid w:val="00673D31"/>
    <w:rsid w:val="00674345"/>
    <w:rsid w:val="00674E42"/>
    <w:rsid w:val="00675100"/>
    <w:rsid w:val="0067552A"/>
    <w:rsid w:val="006759D1"/>
    <w:rsid w:val="00675A14"/>
    <w:rsid w:val="00676563"/>
    <w:rsid w:val="00680543"/>
    <w:rsid w:val="00680EA5"/>
    <w:rsid w:val="00680ED2"/>
    <w:rsid w:val="00680F91"/>
    <w:rsid w:val="00681179"/>
    <w:rsid w:val="006813F8"/>
    <w:rsid w:val="00681718"/>
    <w:rsid w:val="00682112"/>
    <w:rsid w:val="00682BA6"/>
    <w:rsid w:val="006839D4"/>
    <w:rsid w:val="00683DC4"/>
    <w:rsid w:val="00686957"/>
    <w:rsid w:val="006872BA"/>
    <w:rsid w:val="00687BB9"/>
    <w:rsid w:val="00687C10"/>
    <w:rsid w:val="00690795"/>
    <w:rsid w:val="006907CA"/>
    <w:rsid w:val="00691648"/>
    <w:rsid w:val="006917D7"/>
    <w:rsid w:val="00692077"/>
    <w:rsid w:val="00692606"/>
    <w:rsid w:val="00692A0A"/>
    <w:rsid w:val="00693589"/>
    <w:rsid w:val="006940E5"/>
    <w:rsid w:val="006942FB"/>
    <w:rsid w:val="0069434C"/>
    <w:rsid w:val="00694CFD"/>
    <w:rsid w:val="00694D49"/>
    <w:rsid w:val="00694F44"/>
    <w:rsid w:val="006951ED"/>
    <w:rsid w:val="00696877"/>
    <w:rsid w:val="006969EB"/>
    <w:rsid w:val="00696AD5"/>
    <w:rsid w:val="00696EF9"/>
    <w:rsid w:val="00696F51"/>
    <w:rsid w:val="006975D0"/>
    <w:rsid w:val="006979A5"/>
    <w:rsid w:val="00697CB9"/>
    <w:rsid w:val="006A016F"/>
    <w:rsid w:val="006A030A"/>
    <w:rsid w:val="006A07CF"/>
    <w:rsid w:val="006A0DF7"/>
    <w:rsid w:val="006A111C"/>
    <w:rsid w:val="006A14D4"/>
    <w:rsid w:val="006A165E"/>
    <w:rsid w:val="006A1724"/>
    <w:rsid w:val="006A1C72"/>
    <w:rsid w:val="006A4321"/>
    <w:rsid w:val="006A43D9"/>
    <w:rsid w:val="006A4EC8"/>
    <w:rsid w:val="006A51C3"/>
    <w:rsid w:val="006A5509"/>
    <w:rsid w:val="006A59D1"/>
    <w:rsid w:val="006A5E39"/>
    <w:rsid w:val="006A5EE9"/>
    <w:rsid w:val="006A6B99"/>
    <w:rsid w:val="006A7E5F"/>
    <w:rsid w:val="006B1372"/>
    <w:rsid w:val="006B1918"/>
    <w:rsid w:val="006B261B"/>
    <w:rsid w:val="006B2990"/>
    <w:rsid w:val="006B2C90"/>
    <w:rsid w:val="006B2CAE"/>
    <w:rsid w:val="006B35E6"/>
    <w:rsid w:val="006B3AE6"/>
    <w:rsid w:val="006B43BB"/>
    <w:rsid w:val="006B465A"/>
    <w:rsid w:val="006B4D37"/>
    <w:rsid w:val="006B5A44"/>
    <w:rsid w:val="006B6DD0"/>
    <w:rsid w:val="006B745F"/>
    <w:rsid w:val="006B7B13"/>
    <w:rsid w:val="006B7ED5"/>
    <w:rsid w:val="006C02F9"/>
    <w:rsid w:val="006C0399"/>
    <w:rsid w:val="006C09A3"/>
    <w:rsid w:val="006C10CA"/>
    <w:rsid w:val="006C135F"/>
    <w:rsid w:val="006C147E"/>
    <w:rsid w:val="006C1770"/>
    <w:rsid w:val="006C1B12"/>
    <w:rsid w:val="006C209B"/>
    <w:rsid w:val="006C2A8E"/>
    <w:rsid w:val="006C3255"/>
    <w:rsid w:val="006C38FE"/>
    <w:rsid w:val="006C39E0"/>
    <w:rsid w:val="006C3CB4"/>
    <w:rsid w:val="006C3F26"/>
    <w:rsid w:val="006C45B2"/>
    <w:rsid w:val="006C5FCC"/>
    <w:rsid w:val="006C6B14"/>
    <w:rsid w:val="006C7160"/>
    <w:rsid w:val="006D033F"/>
    <w:rsid w:val="006D0ACF"/>
    <w:rsid w:val="006D0D17"/>
    <w:rsid w:val="006D0E52"/>
    <w:rsid w:val="006D1756"/>
    <w:rsid w:val="006D1963"/>
    <w:rsid w:val="006D1AB7"/>
    <w:rsid w:val="006D1EEB"/>
    <w:rsid w:val="006D326A"/>
    <w:rsid w:val="006D3C7D"/>
    <w:rsid w:val="006D4659"/>
    <w:rsid w:val="006D4D5C"/>
    <w:rsid w:val="006D50E9"/>
    <w:rsid w:val="006D5D5F"/>
    <w:rsid w:val="006D601D"/>
    <w:rsid w:val="006D6573"/>
    <w:rsid w:val="006D67EA"/>
    <w:rsid w:val="006D68FB"/>
    <w:rsid w:val="006D78CF"/>
    <w:rsid w:val="006E0D60"/>
    <w:rsid w:val="006E1930"/>
    <w:rsid w:val="006E2297"/>
    <w:rsid w:val="006E2300"/>
    <w:rsid w:val="006E2531"/>
    <w:rsid w:val="006E2868"/>
    <w:rsid w:val="006E42E5"/>
    <w:rsid w:val="006E4EBE"/>
    <w:rsid w:val="006E55CB"/>
    <w:rsid w:val="006E5BDC"/>
    <w:rsid w:val="006E5E0D"/>
    <w:rsid w:val="006E63A9"/>
    <w:rsid w:val="006F050C"/>
    <w:rsid w:val="006F056D"/>
    <w:rsid w:val="006F06E1"/>
    <w:rsid w:val="006F0E13"/>
    <w:rsid w:val="006F1346"/>
    <w:rsid w:val="006F1527"/>
    <w:rsid w:val="006F1CEA"/>
    <w:rsid w:val="006F2064"/>
    <w:rsid w:val="006F22A1"/>
    <w:rsid w:val="006F306C"/>
    <w:rsid w:val="006F3112"/>
    <w:rsid w:val="006F52D5"/>
    <w:rsid w:val="006F63A5"/>
    <w:rsid w:val="006F649F"/>
    <w:rsid w:val="006F67B0"/>
    <w:rsid w:val="006F6FDF"/>
    <w:rsid w:val="006F7825"/>
    <w:rsid w:val="006F78AF"/>
    <w:rsid w:val="006F797F"/>
    <w:rsid w:val="006F7AA4"/>
    <w:rsid w:val="007003CA"/>
    <w:rsid w:val="00700C6E"/>
    <w:rsid w:val="0070142B"/>
    <w:rsid w:val="00701544"/>
    <w:rsid w:val="0070276C"/>
    <w:rsid w:val="0070276E"/>
    <w:rsid w:val="007027F7"/>
    <w:rsid w:val="00702D83"/>
    <w:rsid w:val="00702F8F"/>
    <w:rsid w:val="00702FAA"/>
    <w:rsid w:val="00703D00"/>
    <w:rsid w:val="00705D70"/>
    <w:rsid w:val="007062FB"/>
    <w:rsid w:val="00706391"/>
    <w:rsid w:val="0070761D"/>
    <w:rsid w:val="007079FC"/>
    <w:rsid w:val="00707C17"/>
    <w:rsid w:val="00707CEB"/>
    <w:rsid w:val="00711A36"/>
    <w:rsid w:val="00711EB6"/>
    <w:rsid w:val="007125D3"/>
    <w:rsid w:val="00712984"/>
    <w:rsid w:val="00712A66"/>
    <w:rsid w:val="0071337A"/>
    <w:rsid w:val="007133A8"/>
    <w:rsid w:val="0071499D"/>
    <w:rsid w:val="00714C26"/>
    <w:rsid w:val="007150C2"/>
    <w:rsid w:val="0071529C"/>
    <w:rsid w:val="00715645"/>
    <w:rsid w:val="00715727"/>
    <w:rsid w:val="00715D13"/>
    <w:rsid w:val="00715EE0"/>
    <w:rsid w:val="007161CE"/>
    <w:rsid w:val="00716577"/>
    <w:rsid w:val="00716794"/>
    <w:rsid w:val="00716D51"/>
    <w:rsid w:val="007170DA"/>
    <w:rsid w:val="007172AD"/>
    <w:rsid w:val="00717546"/>
    <w:rsid w:val="00717634"/>
    <w:rsid w:val="007178CA"/>
    <w:rsid w:val="00717D93"/>
    <w:rsid w:val="00720801"/>
    <w:rsid w:val="007219AA"/>
    <w:rsid w:val="00722B1B"/>
    <w:rsid w:val="007233D6"/>
    <w:rsid w:val="0072383A"/>
    <w:rsid w:val="00723CE2"/>
    <w:rsid w:val="0072416F"/>
    <w:rsid w:val="007246A7"/>
    <w:rsid w:val="00724AFC"/>
    <w:rsid w:val="00725F93"/>
    <w:rsid w:val="007261D9"/>
    <w:rsid w:val="00726754"/>
    <w:rsid w:val="00726A4F"/>
    <w:rsid w:val="00726FBB"/>
    <w:rsid w:val="00727C94"/>
    <w:rsid w:val="0073037A"/>
    <w:rsid w:val="0073091F"/>
    <w:rsid w:val="00730DF3"/>
    <w:rsid w:val="00731B0A"/>
    <w:rsid w:val="00731CB4"/>
    <w:rsid w:val="00731EAE"/>
    <w:rsid w:val="00731F3C"/>
    <w:rsid w:val="00732BC2"/>
    <w:rsid w:val="00733050"/>
    <w:rsid w:val="00733073"/>
    <w:rsid w:val="007349ED"/>
    <w:rsid w:val="00734A1E"/>
    <w:rsid w:val="00735033"/>
    <w:rsid w:val="00735328"/>
    <w:rsid w:val="0073662C"/>
    <w:rsid w:val="0073685B"/>
    <w:rsid w:val="00736BE6"/>
    <w:rsid w:val="0073767A"/>
    <w:rsid w:val="00737C12"/>
    <w:rsid w:val="007410F3"/>
    <w:rsid w:val="007417BE"/>
    <w:rsid w:val="00741CDA"/>
    <w:rsid w:val="00741E48"/>
    <w:rsid w:val="00741E8C"/>
    <w:rsid w:val="00744826"/>
    <w:rsid w:val="007449BF"/>
    <w:rsid w:val="007458AA"/>
    <w:rsid w:val="00746022"/>
    <w:rsid w:val="007463FE"/>
    <w:rsid w:val="00746A96"/>
    <w:rsid w:val="00746BC0"/>
    <w:rsid w:val="00750AAF"/>
    <w:rsid w:val="007510B4"/>
    <w:rsid w:val="00751265"/>
    <w:rsid w:val="007515DC"/>
    <w:rsid w:val="00751CD9"/>
    <w:rsid w:val="00752142"/>
    <w:rsid w:val="007523F9"/>
    <w:rsid w:val="00752548"/>
    <w:rsid w:val="0075357E"/>
    <w:rsid w:val="00753B29"/>
    <w:rsid w:val="0075405E"/>
    <w:rsid w:val="00754530"/>
    <w:rsid w:val="007553C3"/>
    <w:rsid w:val="007554FE"/>
    <w:rsid w:val="0075717E"/>
    <w:rsid w:val="0075734A"/>
    <w:rsid w:val="007573E8"/>
    <w:rsid w:val="00760285"/>
    <w:rsid w:val="00760C4E"/>
    <w:rsid w:val="00760F9E"/>
    <w:rsid w:val="007615CD"/>
    <w:rsid w:val="007616E6"/>
    <w:rsid w:val="00761F4B"/>
    <w:rsid w:val="00761F90"/>
    <w:rsid w:val="007627BE"/>
    <w:rsid w:val="00763AD2"/>
    <w:rsid w:val="0076499A"/>
    <w:rsid w:val="00764F03"/>
    <w:rsid w:val="007653C5"/>
    <w:rsid w:val="00765B1A"/>
    <w:rsid w:val="00765DC1"/>
    <w:rsid w:val="0076668A"/>
    <w:rsid w:val="00770253"/>
    <w:rsid w:val="007715B5"/>
    <w:rsid w:val="00771F41"/>
    <w:rsid w:val="00772B37"/>
    <w:rsid w:val="00773204"/>
    <w:rsid w:val="00773A8A"/>
    <w:rsid w:val="00773DD5"/>
    <w:rsid w:val="007740D2"/>
    <w:rsid w:val="007747B5"/>
    <w:rsid w:val="007760FF"/>
    <w:rsid w:val="00776BA4"/>
    <w:rsid w:val="00777276"/>
    <w:rsid w:val="00777335"/>
    <w:rsid w:val="00777ABB"/>
    <w:rsid w:val="00780B77"/>
    <w:rsid w:val="0078120D"/>
    <w:rsid w:val="00781A64"/>
    <w:rsid w:val="00782023"/>
    <w:rsid w:val="007822A3"/>
    <w:rsid w:val="00782861"/>
    <w:rsid w:val="00782EF3"/>
    <w:rsid w:val="00783399"/>
    <w:rsid w:val="00783411"/>
    <w:rsid w:val="007835DB"/>
    <w:rsid w:val="00784382"/>
    <w:rsid w:val="007843F2"/>
    <w:rsid w:val="007846FA"/>
    <w:rsid w:val="00785606"/>
    <w:rsid w:val="007857F1"/>
    <w:rsid w:val="00785A9F"/>
    <w:rsid w:val="00785D05"/>
    <w:rsid w:val="0078657C"/>
    <w:rsid w:val="007867E8"/>
    <w:rsid w:val="00786D98"/>
    <w:rsid w:val="00787DB2"/>
    <w:rsid w:val="0079072E"/>
    <w:rsid w:val="0079201B"/>
    <w:rsid w:val="007920A0"/>
    <w:rsid w:val="00792255"/>
    <w:rsid w:val="007925DF"/>
    <w:rsid w:val="00792900"/>
    <w:rsid w:val="007966A7"/>
    <w:rsid w:val="00796F2F"/>
    <w:rsid w:val="007974CC"/>
    <w:rsid w:val="00797C69"/>
    <w:rsid w:val="00797EB5"/>
    <w:rsid w:val="007A08AA"/>
    <w:rsid w:val="007A0A12"/>
    <w:rsid w:val="007A132D"/>
    <w:rsid w:val="007A1345"/>
    <w:rsid w:val="007A1CFA"/>
    <w:rsid w:val="007A1E0E"/>
    <w:rsid w:val="007A21AB"/>
    <w:rsid w:val="007A2B17"/>
    <w:rsid w:val="007A2DDB"/>
    <w:rsid w:val="007A2E38"/>
    <w:rsid w:val="007A3640"/>
    <w:rsid w:val="007A3EF8"/>
    <w:rsid w:val="007A551F"/>
    <w:rsid w:val="007A6E27"/>
    <w:rsid w:val="007A70BA"/>
    <w:rsid w:val="007A7AF1"/>
    <w:rsid w:val="007B088F"/>
    <w:rsid w:val="007B0D68"/>
    <w:rsid w:val="007B1038"/>
    <w:rsid w:val="007B251D"/>
    <w:rsid w:val="007B32C7"/>
    <w:rsid w:val="007B3533"/>
    <w:rsid w:val="007B3E22"/>
    <w:rsid w:val="007B407C"/>
    <w:rsid w:val="007B42EB"/>
    <w:rsid w:val="007B4437"/>
    <w:rsid w:val="007B4489"/>
    <w:rsid w:val="007B4F58"/>
    <w:rsid w:val="007B528D"/>
    <w:rsid w:val="007B6067"/>
    <w:rsid w:val="007B63CA"/>
    <w:rsid w:val="007B683B"/>
    <w:rsid w:val="007B77D1"/>
    <w:rsid w:val="007C028D"/>
    <w:rsid w:val="007C04B7"/>
    <w:rsid w:val="007C0618"/>
    <w:rsid w:val="007C06B1"/>
    <w:rsid w:val="007C07C7"/>
    <w:rsid w:val="007C0C28"/>
    <w:rsid w:val="007C1CD9"/>
    <w:rsid w:val="007C1FF1"/>
    <w:rsid w:val="007C32EF"/>
    <w:rsid w:val="007C361D"/>
    <w:rsid w:val="007C3DC4"/>
    <w:rsid w:val="007C3EBE"/>
    <w:rsid w:val="007C42DB"/>
    <w:rsid w:val="007C43CD"/>
    <w:rsid w:val="007C484E"/>
    <w:rsid w:val="007C4B84"/>
    <w:rsid w:val="007C50D6"/>
    <w:rsid w:val="007C5652"/>
    <w:rsid w:val="007C5CC7"/>
    <w:rsid w:val="007C5DD6"/>
    <w:rsid w:val="007C70FF"/>
    <w:rsid w:val="007C7272"/>
    <w:rsid w:val="007C7C25"/>
    <w:rsid w:val="007D004F"/>
    <w:rsid w:val="007D02D5"/>
    <w:rsid w:val="007D035F"/>
    <w:rsid w:val="007D060A"/>
    <w:rsid w:val="007D06B2"/>
    <w:rsid w:val="007D0B38"/>
    <w:rsid w:val="007D1C1C"/>
    <w:rsid w:val="007D2D68"/>
    <w:rsid w:val="007D3F04"/>
    <w:rsid w:val="007D43DC"/>
    <w:rsid w:val="007D5440"/>
    <w:rsid w:val="007D5923"/>
    <w:rsid w:val="007D69EB"/>
    <w:rsid w:val="007D6C7B"/>
    <w:rsid w:val="007D74D4"/>
    <w:rsid w:val="007D7763"/>
    <w:rsid w:val="007E055C"/>
    <w:rsid w:val="007E08D3"/>
    <w:rsid w:val="007E128F"/>
    <w:rsid w:val="007E26D7"/>
    <w:rsid w:val="007E43B1"/>
    <w:rsid w:val="007E470C"/>
    <w:rsid w:val="007E4F8B"/>
    <w:rsid w:val="007E5696"/>
    <w:rsid w:val="007E6B44"/>
    <w:rsid w:val="007E6BAE"/>
    <w:rsid w:val="007E6C5D"/>
    <w:rsid w:val="007E74F5"/>
    <w:rsid w:val="007E786E"/>
    <w:rsid w:val="007E7F1E"/>
    <w:rsid w:val="007F0FDF"/>
    <w:rsid w:val="007F1017"/>
    <w:rsid w:val="007F1AFD"/>
    <w:rsid w:val="007F2062"/>
    <w:rsid w:val="007F266B"/>
    <w:rsid w:val="007F2AD7"/>
    <w:rsid w:val="007F33FD"/>
    <w:rsid w:val="007F3548"/>
    <w:rsid w:val="007F3F55"/>
    <w:rsid w:val="007F4A3F"/>
    <w:rsid w:val="007F4A61"/>
    <w:rsid w:val="007F5222"/>
    <w:rsid w:val="007F5255"/>
    <w:rsid w:val="007F56CC"/>
    <w:rsid w:val="007F5A05"/>
    <w:rsid w:val="007F61C2"/>
    <w:rsid w:val="007F67B0"/>
    <w:rsid w:val="007F6CEC"/>
    <w:rsid w:val="007F7E3F"/>
    <w:rsid w:val="008005EF"/>
    <w:rsid w:val="008018A2"/>
    <w:rsid w:val="00801CBA"/>
    <w:rsid w:val="00802D0E"/>
    <w:rsid w:val="00804222"/>
    <w:rsid w:val="008042F7"/>
    <w:rsid w:val="00805142"/>
    <w:rsid w:val="00805FCE"/>
    <w:rsid w:val="00807075"/>
    <w:rsid w:val="00807216"/>
    <w:rsid w:val="00807A8B"/>
    <w:rsid w:val="008102CE"/>
    <w:rsid w:val="008109BC"/>
    <w:rsid w:val="00810AA7"/>
    <w:rsid w:val="00810F4D"/>
    <w:rsid w:val="00811383"/>
    <w:rsid w:val="00812149"/>
    <w:rsid w:val="00812CAC"/>
    <w:rsid w:val="00813471"/>
    <w:rsid w:val="0081478E"/>
    <w:rsid w:val="00816361"/>
    <w:rsid w:val="008166EF"/>
    <w:rsid w:val="00816DAB"/>
    <w:rsid w:val="00816FEF"/>
    <w:rsid w:val="00820573"/>
    <w:rsid w:val="00820869"/>
    <w:rsid w:val="00820A8C"/>
    <w:rsid w:val="00820AD3"/>
    <w:rsid w:val="00820CF3"/>
    <w:rsid w:val="008215FB"/>
    <w:rsid w:val="008220CC"/>
    <w:rsid w:val="00822AAE"/>
    <w:rsid w:val="00823174"/>
    <w:rsid w:val="00823A9D"/>
    <w:rsid w:val="0082428A"/>
    <w:rsid w:val="008247C2"/>
    <w:rsid w:val="00824853"/>
    <w:rsid w:val="008248D9"/>
    <w:rsid w:val="00824DD1"/>
    <w:rsid w:val="00824DF7"/>
    <w:rsid w:val="00825751"/>
    <w:rsid w:val="00826331"/>
    <w:rsid w:val="008264EB"/>
    <w:rsid w:val="008268CE"/>
    <w:rsid w:val="00826961"/>
    <w:rsid w:val="00826D08"/>
    <w:rsid w:val="008273A4"/>
    <w:rsid w:val="0082756E"/>
    <w:rsid w:val="00827C23"/>
    <w:rsid w:val="0083012E"/>
    <w:rsid w:val="00830726"/>
    <w:rsid w:val="00831483"/>
    <w:rsid w:val="00831BEF"/>
    <w:rsid w:val="008325C3"/>
    <w:rsid w:val="0083298D"/>
    <w:rsid w:val="00832A19"/>
    <w:rsid w:val="0083319A"/>
    <w:rsid w:val="00833B05"/>
    <w:rsid w:val="00833F3A"/>
    <w:rsid w:val="008348A0"/>
    <w:rsid w:val="00834951"/>
    <w:rsid w:val="008353DA"/>
    <w:rsid w:val="00835488"/>
    <w:rsid w:val="00835B03"/>
    <w:rsid w:val="00835EA8"/>
    <w:rsid w:val="008362B4"/>
    <w:rsid w:val="0083727B"/>
    <w:rsid w:val="00837D70"/>
    <w:rsid w:val="008401B7"/>
    <w:rsid w:val="00840643"/>
    <w:rsid w:val="00840CA2"/>
    <w:rsid w:val="0084135C"/>
    <w:rsid w:val="00841C0E"/>
    <w:rsid w:val="0084238F"/>
    <w:rsid w:val="008430AE"/>
    <w:rsid w:val="00843348"/>
    <w:rsid w:val="0084374F"/>
    <w:rsid w:val="00843954"/>
    <w:rsid w:val="00843F14"/>
    <w:rsid w:val="00844A22"/>
    <w:rsid w:val="00844AA7"/>
    <w:rsid w:val="00844F6D"/>
    <w:rsid w:val="008457C9"/>
    <w:rsid w:val="00846D12"/>
    <w:rsid w:val="00847703"/>
    <w:rsid w:val="00847DF5"/>
    <w:rsid w:val="008500CB"/>
    <w:rsid w:val="008501E5"/>
    <w:rsid w:val="0085124A"/>
    <w:rsid w:val="00851B4D"/>
    <w:rsid w:val="00852084"/>
    <w:rsid w:val="00852122"/>
    <w:rsid w:val="0085236C"/>
    <w:rsid w:val="0085309D"/>
    <w:rsid w:val="00853C0A"/>
    <w:rsid w:val="00853EAE"/>
    <w:rsid w:val="00856897"/>
    <w:rsid w:val="00856E9A"/>
    <w:rsid w:val="00857A14"/>
    <w:rsid w:val="0086075D"/>
    <w:rsid w:val="00860862"/>
    <w:rsid w:val="008609DC"/>
    <w:rsid w:val="00860BF3"/>
    <w:rsid w:val="00860C79"/>
    <w:rsid w:val="00861728"/>
    <w:rsid w:val="00861F7C"/>
    <w:rsid w:val="00861F82"/>
    <w:rsid w:val="00862502"/>
    <w:rsid w:val="00862CC1"/>
    <w:rsid w:val="008631AE"/>
    <w:rsid w:val="0086343B"/>
    <w:rsid w:val="008637EA"/>
    <w:rsid w:val="00863839"/>
    <w:rsid w:val="00863A2B"/>
    <w:rsid w:val="00863CFC"/>
    <w:rsid w:val="008640CF"/>
    <w:rsid w:val="008642A7"/>
    <w:rsid w:val="00864453"/>
    <w:rsid w:val="0086540F"/>
    <w:rsid w:val="00865521"/>
    <w:rsid w:val="008660D4"/>
    <w:rsid w:val="00867719"/>
    <w:rsid w:val="00871B59"/>
    <w:rsid w:val="00871FA9"/>
    <w:rsid w:val="0087267D"/>
    <w:rsid w:val="008728E9"/>
    <w:rsid w:val="00873152"/>
    <w:rsid w:val="00873192"/>
    <w:rsid w:val="00873784"/>
    <w:rsid w:val="00873E82"/>
    <w:rsid w:val="0087483B"/>
    <w:rsid w:val="00874BB6"/>
    <w:rsid w:val="00874EE7"/>
    <w:rsid w:val="0087552F"/>
    <w:rsid w:val="008756A6"/>
    <w:rsid w:val="00876DEE"/>
    <w:rsid w:val="0087751B"/>
    <w:rsid w:val="00877773"/>
    <w:rsid w:val="008806A2"/>
    <w:rsid w:val="0088159F"/>
    <w:rsid w:val="00881ABF"/>
    <w:rsid w:val="00881D2B"/>
    <w:rsid w:val="00881D39"/>
    <w:rsid w:val="00882874"/>
    <w:rsid w:val="00882E3C"/>
    <w:rsid w:val="00882FD0"/>
    <w:rsid w:val="0088308A"/>
    <w:rsid w:val="008832A0"/>
    <w:rsid w:val="00883787"/>
    <w:rsid w:val="0088438A"/>
    <w:rsid w:val="00885182"/>
    <w:rsid w:val="008855E4"/>
    <w:rsid w:val="00886CD2"/>
    <w:rsid w:val="00887017"/>
    <w:rsid w:val="00887656"/>
    <w:rsid w:val="008876EA"/>
    <w:rsid w:val="008878A9"/>
    <w:rsid w:val="00887BA4"/>
    <w:rsid w:val="008907A1"/>
    <w:rsid w:val="00890857"/>
    <w:rsid w:val="00890E59"/>
    <w:rsid w:val="00890E9D"/>
    <w:rsid w:val="00891647"/>
    <w:rsid w:val="008918B1"/>
    <w:rsid w:val="0089191C"/>
    <w:rsid w:val="00891E6F"/>
    <w:rsid w:val="00891EB8"/>
    <w:rsid w:val="0089275D"/>
    <w:rsid w:val="00892A36"/>
    <w:rsid w:val="00892A41"/>
    <w:rsid w:val="00892D33"/>
    <w:rsid w:val="00893239"/>
    <w:rsid w:val="00893261"/>
    <w:rsid w:val="00893384"/>
    <w:rsid w:val="00894489"/>
    <w:rsid w:val="00894505"/>
    <w:rsid w:val="0089460F"/>
    <w:rsid w:val="00894B24"/>
    <w:rsid w:val="00894B9B"/>
    <w:rsid w:val="00894CD6"/>
    <w:rsid w:val="0089585F"/>
    <w:rsid w:val="008963A5"/>
    <w:rsid w:val="00896CFF"/>
    <w:rsid w:val="00896D5D"/>
    <w:rsid w:val="008972F8"/>
    <w:rsid w:val="00897844"/>
    <w:rsid w:val="008A027E"/>
    <w:rsid w:val="008A163E"/>
    <w:rsid w:val="008A1858"/>
    <w:rsid w:val="008A1E46"/>
    <w:rsid w:val="008A25BF"/>
    <w:rsid w:val="008A2C71"/>
    <w:rsid w:val="008A2ED0"/>
    <w:rsid w:val="008A3158"/>
    <w:rsid w:val="008A3352"/>
    <w:rsid w:val="008A3363"/>
    <w:rsid w:val="008A3371"/>
    <w:rsid w:val="008A3375"/>
    <w:rsid w:val="008A3C3E"/>
    <w:rsid w:val="008A3C51"/>
    <w:rsid w:val="008A58EE"/>
    <w:rsid w:val="008A65EF"/>
    <w:rsid w:val="008A6670"/>
    <w:rsid w:val="008A6DC0"/>
    <w:rsid w:val="008A6E38"/>
    <w:rsid w:val="008A78F6"/>
    <w:rsid w:val="008A79DE"/>
    <w:rsid w:val="008B0165"/>
    <w:rsid w:val="008B0646"/>
    <w:rsid w:val="008B1757"/>
    <w:rsid w:val="008B1C33"/>
    <w:rsid w:val="008B23C8"/>
    <w:rsid w:val="008B2A82"/>
    <w:rsid w:val="008B348A"/>
    <w:rsid w:val="008B4063"/>
    <w:rsid w:val="008B41ED"/>
    <w:rsid w:val="008B4278"/>
    <w:rsid w:val="008B42C7"/>
    <w:rsid w:val="008B4B6F"/>
    <w:rsid w:val="008B4EC8"/>
    <w:rsid w:val="008B538F"/>
    <w:rsid w:val="008B5571"/>
    <w:rsid w:val="008B559E"/>
    <w:rsid w:val="008B5B20"/>
    <w:rsid w:val="008B5CFC"/>
    <w:rsid w:val="008B5F94"/>
    <w:rsid w:val="008B6DDB"/>
    <w:rsid w:val="008B6FC1"/>
    <w:rsid w:val="008B7992"/>
    <w:rsid w:val="008B7B96"/>
    <w:rsid w:val="008B7D7E"/>
    <w:rsid w:val="008C01E3"/>
    <w:rsid w:val="008C049C"/>
    <w:rsid w:val="008C05A3"/>
    <w:rsid w:val="008C0883"/>
    <w:rsid w:val="008C18F9"/>
    <w:rsid w:val="008C34D6"/>
    <w:rsid w:val="008C5610"/>
    <w:rsid w:val="008C5739"/>
    <w:rsid w:val="008C7282"/>
    <w:rsid w:val="008C7D3C"/>
    <w:rsid w:val="008C7ECB"/>
    <w:rsid w:val="008D11DA"/>
    <w:rsid w:val="008D1E92"/>
    <w:rsid w:val="008D21F4"/>
    <w:rsid w:val="008D2CD7"/>
    <w:rsid w:val="008D3B86"/>
    <w:rsid w:val="008D4033"/>
    <w:rsid w:val="008D43FD"/>
    <w:rsid w:val="008D4755"/>
    <w:rsid w:val="008D4C3D"/>
    <w:rsid w:val="008D5311"/>
    <w:rsid w:val="008D5BDC"/>
    <w:rsid w:val="008D6CFF"/>
    <w:rsid w:val="008D7348"/>
    <w:rsid w:val="008D743C"/>
    <w:rsid w:val="008D7AB9"/>
    <w:rsid w:val="008E0206"/>
    <w:rsid w:val="008E0D3C"/>
    <w:rsid w:val="008E0D55"/>
    <w:rsid w:val="008E1162"/>
    <w:rsid w:val="008E1590"/>
    <w:rsid w:val="008E1B9E"/>
    <w:rsid w:val="008E2281"/>
    <w:rsid w:val="008E233D"/>
    <w:rsid w:val="008E2CCD"/>
    <w:rsid w:val="008E35CF"/>
    <w:rsid w:val="008E36C8"/>
    <w:rsid w:val="008E36FA"/>
    <w:rsid w:val="008E3970"/>
    <w:rsid w:val="008E3989"/>
    <w:rsid w:val="008E3D81"/>
    <w:rsid w:val="008E42E1"/>
    <w:rsid w:val="008E4577"/>
    <w:rsid w:val="008E4EBE"/>
    <w:rsid w:val="008E4FF9"/>
    <w:rsid w:val="008E514A"/>
    <w:rsid w:val="008E557B"/>
    <w:rsid w:val="008E55AB"/>
    <w:rsid w:val="008E57E1"/>
    <w:rsid w:val="008E608A"/>
    <w:rsid w:val="008E7003"/>
    <w:rsid w:val="008E77D2"/>
    <w:rsid w:val="008F0FFD"/>
    <w:rsid w:val="008F120A"/>
    <w:rsid w:val="008F1899"/>
    <w:rsid w:val="008F18B0"/>
    <w:rsid w:val="008F1F2F"/>
    <w:rsid w:val="008F27A9"/>
    <w:rsid w:val="008F27E0"/>
    <w:rsid w:val="008F28C8"/>
    <w:rsid w:val="008F3EA8"/>
    <w:rsid w:val="008F48EB"/>
    <w:rsid w:val="008F4F0B"/>
    <w:rsid w:val="008F54C9"/>
    <w:rsid w:val="008F6902"/>
    <w:rsid w:val="008F6AAA"/>
    <w:rsid w:val="008F706B"/>
    <w:rsid w:val="008F7254"/>
    <w:rsid w:val="008F788C"/>
    <w:rsid w:val="008F7B25"/>
    <w:rsid w:val="00900054"/>
    <w:rsid w:val="00900CBC"/>
    <w:rsid w:val="009011A9"/>
    <w:rsid w:val="009011C5"/>
    <w:rsid w:val="00901656"/>
    <w:rsid w:val="00901745"/>
    <w:rsid w:val="00901C72"/>
    <w:rsid w:val="00901FD1"/>
    <w:rsid w:val="00902123"/>
    <w:rsid w:val="0090267A"/>
    <w:rsid w:val="009046C4"/>
    <w:rsid w:val="009054DB"/>
    <w:rsid w:val="009062A5"/>
    <w:rsid w:val="009068A9"/>
    <w:rsid w:val="009071E6"/>
    <w:rsid w:val="00907653"/>
    <w:rsid w:val="00907699"/>
    <w:rsid w:val="0091004E"/>
    <w:rsid w:val="00910A62"/>
    <w:rsid w:val="00910FA7"/>
    <w:rsid w:val="00911272"/>
    <w:rsid w:val="00911339"/>
    <w:rsid w:val="00911760"/>
    <w:rsid w:val="0091238D"/>
    <w:rsid w:val="00912694"/>
    <w:rsid w:val="00912BAB"/>
    <w:rsid w:val="009135D6"/>
    <w:rsid w:val="009139C4"/>
    <w:rsid w:val="00914C77"/>
    <w:rsid w:val="00916441"/>
    <w:rsid w:val="00916BA0"/>
    <w:rsid w:val="00920ACF"/>
    <w:rsid w:val="00920D6B"/>
    <w:rsid w:val="00920F96"/>
    <w:rsid w:val="00920FB0"/>
    <w:rsid w:val="009216B5"/>
    <w:rsid w:val="00921ACB"/>
    <w:rsid w:val="00921CE6"/>
    <w:rsid w:val="00921FAB"/>
    <w:rsid w:val="00922595"/>
    <w:rsid w:val="009225DC"/>
    <w:rsid w:val="00923608"/>
    <w:rsid w:val="0092369B"/>
    <w:rsid w:val="00923BC3"/>
    <w:rsid w:val="00923BC4"/>
    <w:rsid w:val="00923DA2"/>
    <w:rsid w:val="009251F6"/>
    <w:rsid w:val="00925992"/>
    <w:rsid w:val="00925C5B"/>
    <w:rsid w:val="00926023"/>
    <w:rsid w:val="0092671F"/>
    <w:rsid w:val="00926A0F"/>
    <w:rsid w:val="009274A9"/>
    <w:rsid w:val="00927574"/>
    <w:rsid w:val="009304F7"/>
    <w:rsid w:val="00930E35"/>
    <w:rsid w:val="009310DE"/>
    <w:rsid w:val="009318DB"/>
    <w:rsid w:val="00932A9C"/>
    <w:rsid w:val="00933979"/>
    <w:rsid w:val="00933E52"/>
    <w:rsid w:val="00934601"/>
    <w:rsid w:val="0093465A"/>
    <w:rsid w:val="0093480F"/>
    <w:rsid w:val="00934988"/>
    <w:rsid w:val="00935F10"/>
    <w:rsid w:val="00936C6C"/>
    <w:rsid w:val="00936F61"/>
    <w:rsid w:val="00937089"/>
    <w:rsid w:val="00937262"/>
    <w:rsid w:val="00940013"/>
    <w:rsid w:val="0094174F"/>
    <w:rsid w:val="0094224F"/>
    <w:rsid w:val="00943F40"/>
    <w:rsid w:val="00943F9C"/>
    <w:rsid w:val="0094464C"/>
    <w:rsid w:val="009446D9"/>
    <w:rsid w:val="00944817"/>
    <w:rsid w:val="00944F8A"/>
    <w:rsid w:val="00945A44"/>
    <w:rsid w:val="00945E27"/>
    <w:rsid w:val="009465E6"/>
    <w:rsid w:val="009479B4"/>
    <w:rsid w:val="00950243"/>
    <w:rsid w:val="00950627"/>
    <w:rsid w:val="009510A2"/>
    <w:rsid w:val="00951795"/>
    <w:rsid w:val="00952C66"/>
    <w:rsid w:val="00952EF1"/>
    <w:rsid w:val="00953257"/>
    <w:rsid w:val="009536A3"/>
    <w:rsid w:val="00953918"/>
    <w:rsid w:val="00953E74"/>
    <w:rsid w:val="00954725"/>
    <w:rsid w:val="0095474C"/>
    <w:rsid w:val="00954FAC"/>
    <w:rsid w:val="00955359"/>
    <w:rsid w:val="0095571D"/>
    <w:rsid w:val="00957D92"/>
    <w:rsid w:val="00957FF6"/>
    <w:rsid w:val="0096077F"/>
    <w:rsid w:val="009613AD"/>
    <w:rsid w:val="009626FB"/>
    <w:rsid w:val="00962829"/>
    <w:rsid w:val="00962CB9"/>
    <w:rsid w:val="00964312"/>
    <w:rsid w:val="00965272"/>
    <w:rsid w:val="0096530C"/>
    <w:rsid w:val="0096582C"/>
    <w:rsid w:val="00965B8A"/>
    <w:rsid w:val="0096627F"/>
    <w:rsid w:val="00966741"/>
    <w:rsid w:val="00966BFF"/>
    <w:rsid w:val="0097071F"/>
    <w:rsid w:val="0097135D"/>
    <w:rsid w:val="009717AC"/>
    <w:rsid w:val="009719C5"/>
    <w:rsid w:val="00972050"/>
    <w:rsid w:val="00972520"/>
    <w:rsid w:val="00974387"/>
    <w:rsid w:val="00974D13"/>
    <w:rsid w:val="009751C1"/>
    <w:rsid w:val="00975590"/>
    <w:rsid w:val="00976840"/>
    <w:rsid w:val="00976E67"/>
    <w:rsid w:val="00977834"/>
    <w:rsid w:val="00977A08"/>
    <w:rsid w:val="00977C19"/>
    <w:rsid w:val="00980033"/>
    <w:rsid w:val="00980976"/>
    <w:rsid w:val="009811F1"/>
    <w:rsid w:val="00981B58"/>
    <w:rsid w:val="00981E25"/>
    <w:rsid w:val="00981E9D"/>
    <w:rsid w:val="009820E5"/>
    <w:rsid w:val="0098268B"/>
    <w:rsid w:val="00982802"/>
    <w:rsid w:val="0098285D"/>
    <w:rsid w:val="00983E57"/>
    <w:rsid w:val="0098450F"/>
    <w:rsid w:val="00984A06"/>
    <w:rsid w:val="00985DE2"/>
    <w:rsid w:val="0098675D"/>
    <w:rsid w:val="00986A72"/>
    <w:rsid w:val="00986E27"/>
    <w:rsid w:val="009876D0"/>
    <w:rsid w:val="00987884"/>
    <w:rsid w:val="00987BA4"/>
    <w:rsid w:val="00990899"/>
    <w:rsid w:val="009908A0"/>
    <w:rsid w:val="0099119D"/>
    <w:rsid w:val="009916EF"/>
    <w:rsid w:val="0099199C"/>
    <w:rsid w:val="00991CB2"/>
    <w:rsid w:val="00991ECA"/>
    <w:rsid w:val="009926E0"/>
    <w:rsid w:val="00992732"/>
    <w:rsid w:val="0099451E"/>
    <w:rsid w:val="00994687"/>
    <w:rsid w:val="00994938"/>
    <w:rsid w:val="00994D24"/>
    <w:rsid w:val="00996B1A"/>
    <w:rsid w:val="009A0342"/>
    <w:rsid w:val="009A066E"/>
    <w:rsid w:val="009A0683"/>
    <w:rsid w:val="009A1865"/>
    <w:rsid w:val="009A18F6"/>
    <w:rsid w:val="009A1C41"/>
    <w:rsid w:val="009A1E17"/>
    <w:rsid w:val="009A209C"/>
    <w:rsid w:val="009A2DCC"/>
    <w:rsid w:val="009A408C"/>
    <w:rsid w:val="009A42FE"/>
    <w:rsid w:val="009A43B6"/>
    <w:rsid w:val="009A5888"/>
    <w:rsid w:val="009A5ABC"/>
    <w:rsid w:val="009A6ED7"/>
    <w:rsid w:val="009A6F79"/>
    <w:rsid w:val="009A723F"/>
    <w:rsid w:val="009A74D3"/>
    <w:rsid w:val="009A7F10"/>
    <w:rsid w:val="009B05DA"/>
    <w:rsid w:val="009B131B"/>
    <w:rsid w:val="009B1A45"/>
    <w:rsid w:val="009B1CA3"/>
    <w:rsid w:val="009B1E35"/>
    <w:rsid w:val="009B1F1F"/>
    <w:rsid w:val="009B2441"/>
    <w:rsid w:val="009B24D8"/>
    <w:rsid w:val="009B25E9"/>
    <w:rsid w:val="009B3DDA"/>
    <w:rsid w:val="009B3E26"/>
    <w:rsid w:val="009B469B"/>
    <w:rsid w:val="009B5617"/>
    <w:rsid w:val="009C00BC"/>
    <w:rsid w:val="009C06DD"/>
    <w:rsid w:val="009C0788"/>
    <w:rsid w:val="009C0D63"/>
    <w:rsid w:val="009C0F20"/>
    <w:rsid w:val="009C1271"/>
    <w:rsid w:val="009C1302"/>
    <w:rsid w:val="009C3706"/>
    <w:rsid w:val="009C3A3A"/>
    <w:rsid w:val="009C443F"/>
    <w:rsid w:val="009C4AFC"/>
    <w:rsid w:val="009C5557"/>
    <w:rsid w:val="009C61ED"/>
    <w:rsid w:val="009C6CEA"/>
    <w:rsid w:val="009C73F0"/>
    <w:rsid w:val="009C7B85"/>
    <w:rsid w:val="009C7F0B"/>
    <w:rsid w:val="009D0254"/>
    <w:rsid w:val="009D0D15"/>
    <w:rsid w:val="009D1A64"/>
    <w:rsid w:val="009D1D6A"/>
    <w:rsid w:val="009D22A6"/>
    <w:rsid w:val="009D44EF"/>
    <w:rsid w:val="009D5B91"/>
    <w:rsid w:val="009D5EF4"/>
    <w:rsid w:val="009D6201"/>
    <w:rsid w:val="009D7254"/>
    <w:rsid w:val="009D729B"/>
    <w:rsid w:val="009D7562"/>
    <w:rsid w:val="009D792E"/>
    <w:rsid w:val="009E0DFE"/>
    <w:rsid w:val="009E1D76"/>
    <w:rsid w:val="009E2A09"/>
    <w:rsid w:val="009E3098"/>
    <w:rsid w:val="009E31E3"/>
    <w:rsid w:val="009E31F6"/>
    <w:rsid w:val="009E3364"/>
    <w:rsid w:val="009E39F6"/>
    <w:rsid w:val="009E3FA8"/>
    <w:rsid w:val="009E416E"/>
    <w:rsid w:val="009E47EA"/>
    <w:rsid w:val="009E4ABF"/>
    <w:rsid w:val="009E4C07"/>
    <w:rsid w:val="009E63E0"/>
    <w:rsid w:val="009E68EA"/>
    <w:rsid w:val="009E6F10"/>
    <w:rsid w:val="009E73DA"/>
    <w:rsid w:val="009E73ED"/>
    <w:rsid w:val="009E777F"/>
    <w:rsid w:val="009E7BCF"/>
    <w:rsid w:val="009F0FE8"/>
    <w:rsid w:val="009F1C95"/>
    <w:rsid w:val="009F2B41"/>
    <w:rsid w:val="009F494C"/>
    <w:rsid w:val="009F52C6"/>
    <w:rsid w:val="009F6120"/>
    <w:rsid w:val="009F6852"/>
    <w:rsid w:val="009F6899"/>
    <w:rsid w:val="009F6BA2"/>
    <w:rsid w:val="009F782B"/>
    <w:rsid w:val="009F7916"/>
    <w:rsid w:val="00A00D76"/>
    <w:rsid w:val="00A01184"/>
    <w:rsid w:val="00A01449"/>
    <w:rsid w:val="00A01909"/>
    <w:rsid w:val="00A01984"/>
    <w:rsid w:val="00A01BFF"/>
    <w:rsid w:val="00A024DD"/>
    <w:rsid w:val="00A037C2"/>
    <w:rsid w:val="00A03D43"/>
    <w:rsid w:val="00A04380"/>
    <w:rsid w:val="00A04786"/>
    <w:rsid w:val="00A05472"/>
    <w:rsid w:val="00A05545"/>
    <w:rsid w:val="00A0569F"/>
    <w:rsid w:val="00A05C32"/>
    <w:rsid w:val="00A0653F"/>
    <w:rsid w:val="00A0783B"/>
    <w:rsid w:val="00A10636"/>
    <w:rsid w:val="00A11BDE"/>
    <w:rsid w:val="00A11CD0"/>
    <w:rsid w:val="00A11EB7"/>
    <w:rsid w:val="00A12262"/>
    <w:rsid w:val="00A12ABB"/>
    <w:rsid w:val="00A1373F"/>
    <w:rsid w:val="00A13948"/>
    <w:rsid w:val="00A141F6"/>
    <w:rsid w:val="00A146F9"/>
    <w:rsid w:val="00A149BF"/>
    <w:rsid w:val="00A14F4B"/>
    <w:rsid w:val="00A14F88"/>
    <w:rsid w:val="00A153F8"/>
    <w:rsid w:val="00A1555B"/>
    <w:rsid w:val="00A155C5"/>
    <w:rsid w:val="00A16AD8"/>
    <w:rsid w:val="00A16D66"/>
    <w:rsid w:val="00A17849"/>
    <w:rsid w:val="00A17C56"/>
    <w:rsid w:val="00A20129"/>
    <w:rsid w:val="00A2021E"/>
    <w:rsid w:val="00A2127F"/>
    <w:rsid w:val="00A21450"/>
    <w:rsid w:val="00A21815"/>
    <w:rsid w:val="00A218F4"/>
    <w:rsid w:val="00A21C95"/>
    <w:rsid w:val="00A21CF3"/>
    <w:rsid w:val="00A2265F"/>
    <w:rsid w:val="00A227C6"/>
    <w:rsid w:val="00A230D1"/>
    <w:rsid w:val="00A2390F"/>
    <w:rsid w:val="00A23B0F"/>
    <w:rsid w:val="00A2443D"/>
    <w:rsid w:val="00A24813"/>
    <w:rsid w:val="00A25B6F"/>
    <w:rsid w:val="00A2664D"/>
    <w:rsid w:val="00A26DBD"/>
    <w:rsid w:val="00A27AEC"/>
    <w:rsid w:val="00A3124C"/>
    <w:rsid w:val="00A320DB"/>
    <w:rsid w:val="00A3236C"/>
    <w:rsid w:val="00A32EC2"/>
    <w:rsid w:val="00A346B6"/>
    <w:rsid w:val="00A3588B"/>
    <w:rsid w:val="00A35D16"/>
    <w:rsid w:val="00A35FF9"/>
    <w:rsid w:val="00A36FC5"/>
    <w:rsid w:val="00A378B9"/>
    <w:rsid w:val="00A37BCD"/>
    <w:rsid w:val="00A4038D"/>
    <w:rsid w:val="00A403C3"/>
    <w:rsid w:val="00A40703"/>
    <w:rsid w:val="00A40729"/>
    <w:rsid w:val="00A40E57"/>
    <w:rsid w:val="00A40FDE"/>
    <w:rsid w:val="00A41033"/>
    <w:rsid w:val="00A412E3"/>
    <w:rsid w:val="00A41689"/>
    <w:rsid w:val="00A41F91"/>
    <w:rsid w:val="00A42578"/>
    <w:rsid w:val="00A42592"/>
    <w:rsid w:val="00A431AA"/>
    <w:rsid w:val="00A439F3"/>
    <w:rsid w:val="00A43C59"/>
    <w:rsid w:val="00A46C60"/>
    <w:rsid w:val="00A47979"/>
    <w:rsid w:val="00A50ECD"/>
    <w:rsid w:val="00A5178E"/>
    <w:rsid w:val="00A518F3"/>
    <w:rsid w:val="00A51DFE"/>
    <w:rsid w:val="00A52729"/>
    <w:rsid w:val="00A52C8A"/>
    <w:rsid w:val="00A52F87"/>
    <w:rsid w:val="00A53212"/>
    <w:rsid w:val="00A53675"/>
    <w:rsid w:val="00A53F48"/>
    <w:rsid w:val="00A5408D"/>
    <w:rsid w:val="00A54572"/>
    <w:rsid w:val="00A54581"/>
    <w:rsid w:val="00A54971"/>
    <w:rsid w:val="00A54E74"/>
    <w:rsid w:val="00A564D7"/>
    <w:rsid w:val="00A56736"/>
    <w:rsid w:val="00A56B6A"/>
    <w:rsid w:val="00A578DC"/>
    <w:rsid w:val="00A57E2B"/>
    <w:rsid w:val="00A6085B"/>
    <w:rsid w:val="00A6098C"/>
    <w:rsid w:val="00A61091"/>
    <w:rsid w:val="00A615AA"/>
    <w:rsid w:val="00A6164F"/>
    <w:rsid w:val="00A61AA7"/>
    <w:rsid w:val="00A6282B"/>
    <w:rsid w:val="00A62C6A"/>
    <w:rsid w:val="00A640E2"/>
    <w:rsid w:val="00A6427A"/>
    <w:rsid w:val="00A64D65"/>
    <w:rsid w:val="00A64E2F"/>
    <w:rsid w:val="00A6501C"/>
    <w:rsid w:val="00A650BF"/>
    <w:rsid w:val="00A657DE"/>
    <w:rsid w:val="00A66006"/>
    <w:rsid w:val="00A66D57"/>
    <w:rsid w:val="00A66E7D"/>
    <w:rsid w:val="00A671D8"/>
    <w:rsid w:val="00A6725B"/>
    <w:rsid w:val="00A67A04"/>
    <w:rsid w:val="00A70331"/>
    <w:rsid w:val="00A70605"/>
    <w:rsid w:val="00A7074B"/>
    <w:rsid w:val="00A70B18"/>
    <w:rsid w:val="00A70DBB"/>
    <w:rsid w:val="00A72013"/>
    <w:rsid w:val="00A7246D"/>
    <w:rsid w:val="00A72598"/>
    <w:rsid w:val="00A727DE"/>
    <w:rsid w:val="00A72F53"/>
    <w:rsid w:val="00A73134"/>
    <w:rsid w:val="00A7365A"/>
    <w:rsid w:val="00A73745"/>
    <w:rsid w:val="00A73AA9"/>
    <w:rsid w:val="00A7420C"/>
    <w:rsid w:val="00A74963"/>
    <w:rsid w:val="00A75486"/>
    <w:rsid w:val="00A75941"/>
    <w:rsid w:val="00A76001"/>
    <w:rsid w:val="00A76996"/>
    <w:rsid w:val="00A7743A"/>
    <w:rsid w:val="00A777B2"/>
    <w:rsid w:val="00A801EB"/>
    <w:rsid w:val="00A80314"/>
    <w:rsid w:val="00A80882"/>
    <w:rsid w:val="00A80FA0"/>
    <w:rsid w:val="00A81D1F"/>
    <w:rsid w:val="00A8225B"/>
    <w:rsid w:val="00A825D4"/>
    <w:rsid w:val="00A828F6"/>
    <w:rsid w:val="00A82B73"/>
    <w:rsid w:val="00A84099"/>
    <w:rsid w:val="00A8501F"/>
    <w:rsid w:val="00A8596D"/>
    <w:rsid w:val="00A865AF"/>
    <w:rsid w:val="00A86ADD"/>
    <w:rsid w:val="00A86C78"/>
    <w:rsid w:val="00A86E8B"/>
    <w:rsid w:val="00A87164"/>
    <w:rsid w:val="00A878F4"/>
    <w:rsid w:val="00A87E64"/>
    <w:rsid w:val="00A9196C"/>
    <w:rsid w:val="00A91DC3"/>
    <w:rsid w:val="00A92D3A"/>
    <w:rsid w:val="00A93072"/>
    <w:rsid w:val="00A9370D"/>
    <w:rsid w:val="00A938BD"/>
    <w:rsid w:val="00A93953"/>
    <w:rsid w:val="00A94416"/>
    <w:rsid w:val="00A949ED"/>
    <w:rsid w:val="00A94B80"/>
    <w:rsid w:val="00A959D8"/>
    <w:rsid w:val="00A95C03"/>
    <w:rsid w:val="00A95F10"/>
    <w:rsid w:val="00A967EC"/>
    <w:rsid w:val="00A970CD"/>
    <w:rsid w:val="00A976D4"/>
    <w:rsid w:val="00A97DFC"/>
    <w:rsid w:val="00AA113D"/>
    <w:rsid w:val="00AA15E0"/>
    <w:rsid w:val="00AA1E76"/>
    <w:rsid w:val="00AA2AC6"/>
    <w:rsid w:val="00AA2B4A"/>
    <w:rsid w:val="00AA2F7B"/>
    <w:rsid w:val="00AA3552"/>
    <w:rsid w:val="00AA3A9A"/>
    <w:rsid w:val="00AA40CC"/>
    <w:rsid w:val="00AA4725"/>
    <w:rsid w:val="00AA480E"/>
    <w:rsid w:val="00AA49FC"/>
    <w:rsid w:val="00AA5139"/>
    <w:rsid w:val="00AA596D"/>
    <w:rsid w:val="00AA5D58"/>
    <w:rsid w:val="00AA624B"/>
    <w:rsid w:val="00AA6BD5"/>
    <w:rsid w:val="00AA6BD8"/>
    <w:rsid w:val="00AA6C7D"/>
    <w:rsid w:val="00AA767F"/>
    <w:rsid w:val="00AA7F3F"/>
    <w:rsid w:val="00AA7FD6"/>
    <w:rsid w:val="00AB023B"/>
    <w:rsid w:val="00AB042A"/>
    <w:rsid w:val="00AB11AD"/>
    <w:rsid w:val="00AB1847"/>
    <w:rsid w:val="00AB19EF"/>
    <w:rsid w:val="00AB2495"/>
    <w:rsid w:val="00AB28B1"/>
    <w:rsid w:val="00AB2D34"/>
    <w:rsid w:val="00AB3430"/>
    <w:rsid w:val="00AB37B9"/>
    <w:rsid w:val="00AB3E4C"/>
    <w:rsid w:val="00AB40B7"/>
    <w:rsid w:val="00AB4AD1"/>
    <w:rsid w:val="00AB546E"/>
    <w:rsid w:val="00AB5E07"/>
    <w:rsid w:val="00AB5EDD"/>
    <w:rsid w:val="00AB65FF"/>
    <w:rsid w:val="00AB713C"/>
    <w:rsid w:val="00AB7975"/>
    <w:rsid w:val="00AB7CFA"/>
    <w:rsid w:val="00AC08E3"/>
    <w:rsid w:val="00AC0CA7"/>
    <w:rsid w:val="00AC17D0"/>
    <w:rsid w:val="00AC1FE5"/>
    <w:rsid w:val="00AC27B2"/>
    <w:rsid w:val="00AC2B65"/>
    <w:rsid w:val="00AC5683"/>
    <w:rsid w:val="00AC5A15"/>
    <w:rsid w:val="00AC5B42"/>
    <w:rsid w:val="00AC5B48"/>
    <w:rsid w:val="00AC6C96"/>
    <w:rsid w:val="00AC6DF5"/>
    <w:rsid w:val="00AD0821"/>
    <w:rsid w:val="00AD0F96"/>
    <w:rsid w:val="00AD1450"/>
    <w:rsid w:val="00AD15E8"/>
    <w:rsid w:val="00AD32E9"/>
    <w:rsid w:val="00AD3465"/>
    <w:rsid w:val="00AD356D"/>
    <w:rsid w:val="00AD3DBF"/>
    <w:rsid w:val="00AD40D0"/>
    <w:rsid w:val="00AD44FA"/>
    <w:rsid w:val="00AD450C"/>
    <w:rsid w:val="00AD4E79"/>
    <w:rsid w:val="00AD504A"/>
    <w:rsid w:val="00AD54F5"/>
    <w:rsid w:val="00AD6415"/>
    <w:rsid w:val="00AD6502"/>
    <w:rsid w:val="00AD65E1"/>
    <w:rsid w:val="00AD6D86"/>
    <w:rsid w:val="00AD6EDA"/>
    <w:rsid w:val="00AD7A5C"/>
    <w:rsid w:val="00AE0341"/>
    <w:rsid w:val="00AE0695"/>
    <w:rsid w:val="00AE1E43"/>
    <w:rsid w:val="00AE3E7E"/>
    <w:rsid w:val="00AE4B1B"/>
    <w:rsid w:val="00AE5367"/>
    <w:rsid w:val="00AE5A1D"/>
    <w:rsid w:val="00AE5F61"/>
    <w:rsid w:val="00AE627D"/>
    <w:rsid w:val="00AE65AF"/>
    <w:rsid w:val="00AE7553"/>
    <w:rsid w:val="00AE7B84"/>
    <w:rsid w:val="00AE7E53"/>
    <w:rsid w:val="00AF02B2"/>
    <w:rsid w:val="00AF07FE"/>
    <w:rsid w:val="00AF0C46"/>
    <w:rsid w:val="00AF1315"/>
    <w:rsid w:val="00AF18E4"/>
    <w:rsid w:val="00AF19BF"/>
    <w:rsid w:val="00AF1DF7"/>
    <w:rsid w:val="00AF2DC3"/>
    <w:rsid w:val="00AF321F"/>
    <w:rsid w:val="00AF3628"/>
    <w:rsid w:val="00AF3DD4"/>
    <w:rsid w:val="00AF41DB"/>
    <w:rsid w:val="00AF44DD"/>
    <w:rsid w:val="00AF4D50"/>
    <w:rsid w:val="00AF72E2"/>
    <w:rsid w:val="00B014BE"/>
    <w:rsid w:val="00B01A3B"/>
    <w:rsid w:val="00B02812"/>
    <w:rsid w:val="00B02BB7"/>
    <w:rsid w:val="00B02D52"/>
    <w:rsid w:val="00B033E5"/>
    <w:rsid w:val="00B03A63"/>
    <w:rsid w:val="00B04A98"/>
    <w:rsid w:val="00B05674"/>
    <w:rsid w:val="00B074CA"/>
    <w:rsid w:val="00B07A1C"/>
    <w:rsid w:val="00B108E8"/>
    <w:rsid w:val="00B11452"/>
    <w:rsid w:val="00B11ADA"/>
    <w:rsid w:val="00B11B8E"/>
    <w:rsid w:val="00B12069"/>
    <w:rsid w:val="00B12352"/>
    <w:rsid w:val="00B12500"/>
    <w:rsid w:val="00B129A4"/>
    <w:rsid w:val="00B12E9F"/>
    <w:rsid w:val="00B13752"/>
    <w:rsid w:val="00B13D56"/>
    <w:rsid w:val="00B140A7"/>
    <w:rsid w:val="00B14669"/>
    <w:rsid w:val="00B14F70"/>
    <w:rsid w:val="00B15E36"/>
    <w:rsid w:val="00B15F6B"/>
    <w:rsid w:val="00B164D0"/>
    <w:rsid w:val="00B177EE"/>
    <w:rsid w:val="00B17B52"/>
    <w:rsid w:val="00B17B63"/>
    <w:rsid w:val="00B201A4"/>
    <w:rsid w:val="00B201D1"/>
    <w:rsid w:val="00B20C91"/>
    <w:rsid w:val="00B213A6"/>
    <w:rsid w:val="00B21466"/>
    <w:rsid w:val="00B21673"/>
    <w:rsid w:val="00B21AE6"/>
    <w:rsid w:val="00B21F7F"/>
    <w:rsid w:val="00B21FA8"/>
    <w:rsid w:val="00B22778"/>
    <w:rsid w:val="00B23420"/>
    <w:rsid w:val="00B235B0"/>
    <w:rsid w:val="00B24DF6"/>
    <w:rsid w:val="00B25124"/>
    <w:rsid w:val="00B25AE0"/>
    <w:rsid w:val="00B25F06"/>
    <w:rsid w:val="00B26983"/>
    <w:rsid w:val="00B277C8"/>
    <w:rsid w:val="00B2790A"/>
    <w:rsid w:val="00B27A61"/>
    <w:rsid w:val="00B30660"/>
    <w:rsid w:val="00B3078B"/>
    <w:rsid w:val="00B31D8F"/>
    <w:rsid w:val="00B3278C"/>
    <w:rsid w:val="00B33307"/>
    <w:rsid w:val="00B3466B"/>
    <w:rsid w:val="00B34BCE"/>
    <w:rsid w:val="00B34FE2"/>
    <w:rsid w:val="00B35166"/>
    <w:rsid w:val="00B35262"/>
    <w:rsid w:val="00B35399"/>
    <w:rsid w:val="00B354AD"/>
    <w:rsid w:val="00B357D8"/>
    <w:rsid w:val="00B35887"/>
    <w:rsid w:val="00B360F4"/>
    <w:rsid w:val="00B36A00"/>
    <w:rsid w:val="00B375D4"/>
    <w:rsid w:val="00B3792B"/>
    <w:rsid w:val="00B37BFC"/>
    <w:rsid w:val="00B37DE2"/>
    <w:rsid w:val="00B40358"/>
    <w:rsid w:val="00B411D3"/>
    <w:rsid w:val="00B41614"/>
    <w:rsid w:val="00B41ADB"/>
    <w:rsid w:val="00B41D8B"/>
    <w:rsid w:val="00B42851"/>
    <w:rsid w:val="00B42F80"/>
    <w:rsid w:val="00B435CB"/>
    <w:rsid w:val="00B43F70"/>
    <w:rsid w:val="00B44924"/>
    <w:rsid w:val="00B44EF7"/>
    <w:rsid w:val="00B452AA"/>
    <w:rsid w:val="00B465EC"/>
    <w:rsid w:val="00B47A41"/>
    <w:rsid w:val="00B50056"/>
    <w:rsid w:val="00B5013A"/>
    <w:rsid w:val="00B505C8"/>
    <w:rsid w:val="00B50807"/>
    <w:rsid w:val="00B5091A"/>
    <w:rsid w:val="00B50C8F"/>
    <w:rsid w:val="00B50DB8"/>
    <w:rsid w:val="00B51D54"/>
    <w:rsid w:val="00B51FE8"/>
    <w:rsid w:val="00B52C94"/>
    <w:rsid w:val="00B53109"/>
    <w:rsid w:val="00B53654"/>
    <w:rsid w:val="00B53894"/>
    <w:rsid w:val="00B53905"/>
    <w:rsid w:val="00B546DB"/>
    <w:rsid w:val="00B54B5B"/>
    <w:rsid w:val="00B5562E"/>
    <w:rsid w:val="00B55862"/>
    <w:rsid w:val="00B55D65"/>
    <w:rsid w:val="00B56305"/>
    <w:rsid w:val="00B56320"/>
    <w:rsid w:val="00B568B0"/>
    <w:rsid w:val="00B56C64"/>
    <w:rsid w:val="00B57000"/>
    <w:rsid w:val="00B57B6C"/>
    <w:rsid w:val="00B60939"/>
    <w:rsid w:val="00B60AFD"/>
    <w:rsid w:val="00B623B1"/>
    <w:rsid w:val="00B62715"/>
    <w:rsid w:val="00B65251"/>
    <w:rsid w:val="00B65611"/>
    <w:rsid w:val="00B66963"/>
    <w:rsid w:val="00B66DD1"/>
    <w:rsid w:val="00B66EBD"/>
    <w:rsid w:val="00B707CE"/>
    <w:rsid w:val="00B70DB9"/>
    <w:rsid w:val="00B70E8E"/>
    <w:rsid w:val="00B710C0"/>
    <w:rsid w:val="00B71626"/>
    <w:rsid w:val="00B71731"/>
    <w:rsid w:val="00B72010"/>
    <w:rsid w:val="00B72380"/>
    <w:rsid w:val="00B73014"/>
    <w:rsid w:val="00B74FC3"/>
    <w:rsid w:val="00B750F1"/>
    <w:rsid w:val="00B75488"/>
    <w:rsid w:val="00B7548C"/>
    <w:rsid w:val="00B75AA5"/>
    <w:rsid w:val="00B76A10"/>
    <w:rsid w:val="00B76A7B"/>
    <w:rsid w:val="00B76C92"/>
    <w:rsid w:val="00B77810"/>
    <w:rsid w:val="00B80EFD"/>
    <w:rsid w:val="00B80F2D"/>
    <w:rsid w:val="00B8165F"/>
    <w:rsid w:val="00B818A4"/>
    <w:rsid w:val="00B81E56"/>
    <w:rsid w:val="00B820AD"/>
    <w:rsid w:val="00B83739"/>
    <w:rsid w:val="00B83C64"/>
    <w:rsid w:val="00B83D39"/>
    <w:rsid w:val="00B84117"/>
    <w:rsid w:val="00B84356"/>
    <w:rsid w:val="00B850E6"/>
    <w:rsid w:val="00B858F0"/>
    <w:rsid w:val="00B85AA2"/>
    <w:rsid w:val="00B85CD4"/>
    <w:rsid w:val="00B85D8C"/>
    <w:rsid w:val="00B8649C"/>
    <w:rsid w:val="00B865AE"/>
    <w:rsid w:val="00B8695D"/>
    <w:rsid w:val="00B86BE2"/>
    <w:rsid w:val="00B87829"/>
    <w:rsid w:val="00B87CFF"/>
    <w:rsid w:val="00B87F0A"/>
    <w:rsid w:val="00B912BB"/>
    <w:rsid w:val="00B919A4"/>
    <w:rsid w:val="00B91E7B"/>
    <w:rsid w:val="00B92215"/>
    <w:rsid w:val="00B92575"/>
    <w:rsid w:val="00B925D3"/>
    <w:rsid w:val="00B92BC5"/>
    <w:rsid w:val="00B92D0B"/>
    <w:rsid w:val="00B92EEE"/>
    <w:rsid w:val="00B92FA2"/>
    <w:rsid w:val="00B9301A"/>
    <w:rsid w:val="00B93EB2"/>
    <w:rsid w:val="00B940DB"/>
    <w:rsid w:val="00B947E2"/>
    <w:rsid w:val="00B94945"/>
    <w:rsid w:val="00B94DD6"/>
    <w:rsid w:val="00B9518B"/>
    <w:rsid w:val="00B95290"/>
    <w:rsid w:val="00B95A1E"/>
    <w:rsid w:val="00B95C46"/>
    <w:rsid w:val="00B960AF"/>
    <w:rsid w:val="00B96277"/>
    <w:rsid w:val="00B96455"/>
    <w:rsid w:val="00B9652E"/>
    <w:rsid w:val="00B96A76"/>
    <w:rsid w:val="00B97DDB"/>
    <w:rsid w:val="00BA107E"/>
    <w:rsid w:val="00BA12D6"/>
    <w:rsid w:val="00BA1445"/>
    <w:rsid w:val="00BA1CAF"/>
    <w:rsid w:val="00BA2548"/>
    <w:rsid w:val="00BA322D"/>
    <w:rsid w:val="00BA3894"/>
    <w:rsid w:val="00BA423D"/>
    <w:rsid w:val="00BA4CE0"/>
    <w:rsid w:val="00BA63FA"/>
    <w:rsid w:val="00BA65DD"/>
    <w:rsid w:val="00BA662F"/>
    <w:rsid w:val="00BA6997"/>
    <w:rsid w:val="00BA6F05"/>
    <w:rsid w:val="00BA7651"/>
    <w:rsid w:val="00BA7B43"/>
    <w:rsid w:val="00BA7E8D"/>
    <w:rsid w:val="00BB00B3"/>
    <w:rsid w:val="00BB02EB"/>
    <w:rsid w:val="00BB06DE"/>
    <w:rsid w:val="00BB0BDD"/>
    <w:rsid w:val="00BB104C"/>
    <w:rsid w:val="00BB1071"/>
    <w:rsid w:val="00BB15DF"/>
    <w:rsid w:val="00BB176C"/>
    <w:rsid w:val="00BB1A3C"/>
    <w:rsid w:val="00BB1C1E"/>
    <w:rsid w:val="00BB24ED"/>
    <w:rsid w:val="00BB2A73"/>
    <w:rsid w:val="00BB2DE5"/>
    <w:rsid w:val="00BB3A45"/>
    <w:rsid w:val="00BB428F"/>
    <w:rsid w:val="00BB4ACC"/>
    <w:rsid w:val="00BB67D1"/>
    <w:rsid w:val="00BB6825"/>
    <w:rsid w:val="00BB703E"/>
    <w:rsid w:val="00BB722A"/>
    <w:rsid w:val="00BB732D"/>
    <w:rsid w:val="00BB7405"/>
    <w:rsid w:val="00BB7775"/>
    <w:rsid w:val="00BB7C04"/>
    <w:rsid w:val="00BC1DAF"/>
    <w:rsid w:val="00BC24BA"/>
    <w:rsid w:val="00BC2724"/>
    <w:rsid w:val="00BC319F"/>
    <w:rsid w:val="00BC3631"/>
    <w:rsid w:val="00BC3E2B"/>
    <w:rsid w:val="00BC42E1"/>
    <w:rsid w:val="00BC476E"/>
    <w:rsid w:val="00BC4FDF"/>
    <w:rsid w:val="00BC53BF"/>
    <w:rsid w:val="00BC56B4"/>
    <w:rsid w:val="00BC591F"/>
    <w:rsid w:val="00BC65D1"/>
    <w:rsid w:val="00BC669F"/>
    <w:rsid w:val="00BC6DC6"/>
    <w:rsid w:val="00BC704A"/>
    <w:rsid w:val="00BC72DC"/>
    <w:rsid w:val="00BC73AC"/>
    <w:rsid w:val="00BC7D6D"/>
    <w:rsid w:val="00BD094B"/>
    <w:rsid w:val="00BD1688"/>
    <w:rsid w:val="00BD2108"/>
    <w:rsid w:val="00BD258A"/>
    <w:rsid w:val="00BD26C5"/>
    <w:rsid w:val="00BD2EA1"/>
    <w:rsid w:val="00BD3472"/>
    <w:rsid w:val="00BD41DC"/>
    <w:rsid w:val="00BD4345"/>
    <w:rsid w:val="00BD4370"/>
    <w:rsid w:val="00BD5096"/>
    <w:rsid w:val="00BD5A5E"/>
    <w:rsid w:val="00BD64A9"/>
    <w:rsid w:val="00BD67C9"/>
    <w:rsid w:val="00BD68A3"/>
    <w:rsid w:val="00BD6938"/>
    <w:rsid w:val="00BD6CF3"/>
    <w:rsid w:val="00BD74E5"/>
    <w:rsid w:val="00BD76B4"/>
    <w:rsid w:val="00BD796D"/>
    <w:rsid w:val="00BD7C68"/>
    <w:rsid w:val="00BD7F72"/>
    <w:rsid w:val="00BE0ECA"/>
    <w:rsid w:val="00BE152C"/>
    <w:rsid w:val="00BE2180"/>
    <w:rsid w:val="00BE21F2"/>
    <w:rsid w:val="00BE2826"/>
    <w:rsid w:val="00BE2BFE"/>
    <w:rsid w:val="00BE40FA"/>
    <w:rsid w:val="00BE415B"/>
    <w:rsid w:val="00BE4275"/>
    <w:rsid w:val="00BE517D"/>
    <w:rsid w:val="00BF0199"/>
    <w:rsid w:val="00BF01E8"/>
    <w:rsid w:val="00BF02B0"/>
    <w:rsid w:val="00BF06AE"/>
    <w:rsid w:val="00BF0747"/>
    <w:rsid w:val="00BF0BAE"/>
    <w:rsid w:val="00BF0C8A"/>
    <w:rsid w:val="00BF0CB6"/>
    <w:rsid w:val="00BF0F95"/>
    <w:rsid w:val="00BF18DF"/>
    <w:rsid w:val="00BF1AE9"/>
    <w:rsid w:val="00BF2433"/>
    <w:rsid w:val="00BF263C"/>
    <w:rsid w:val="00BF2E6E"/>
    <w:rsid w:val="00BF3635"/>
    <w:rsid w:val="00BF37EB"/>
    <w:rsid w:val="00BF4941"/>
    <w:rsid w:val="00BF61C9"/>
    <w:rsid w:val="00BF6C94"/>
    <w:rsid w:val="00BF6FDC"/>
    <w:rsid w:val="00BF7156"/>
    <w:rsid w:val="00BF7495"/>
    <w:rsid w:val="00BF7554"/>
    <w:rsid w:val="00BF755D"/>
    <w:rsid w:val="00BF7BF2"/>
    <w:rsid w:val="00C00087"/>
    <w:rsid w:val="00C00356"/>
    <w:rsid w:val="00C00424"/>
    <w:rsid w:val="00C00BB0"/>
    <w:rsid w:val="00C01F57"/>
    <w:rsid w:val="00C02860"/>
    <w:rsid w:val="00C02871"/>
    <w:rsid w:val="00C043ED"/>
    <w:rsid w:val="00C04ED3"/>
    <w:rsid w:val="00C05068"/>
    <w:rsid w:val="00C0570D"/>
    <w:rsid w:val="00C05E5E"/>
    <w:rsid w:val="00C05ED0"/>
    <w:rsid w:val="00C063E2"/>
    <w:rsid w:val="00C064E4"/>
    <w:rsid w:val="00C07E14"/>
    <w:rsid w:val="00C07FFE"/>
    <w:rsid w:val="00C106D3"/>
    <w:rsid w:val="00C10928"/>
    <w:rsid w:val="00C111F8"/>
    <w:rsid w:val="00C1160D"/>
    <w:rsid w:val="00C1179F"/>
    <w:rsid w:val="00C11E0F"/>
    <w:rsid w:val="00C11FF9"/>
    <w:rsid w:val="00C120D1"/>
    <w:rsid w:val="00C127B9"/>
    <w:rsid w:val="00C128FA"/>
    <w:rsid w:val="00C12C14"/>
    <w:rsid w:val="00C130F8"/>
    <w:rsid w:val="00C14685"/>
    <w:rsid w:val="00C15F04"/>
    <w:rsid w:val="00C15FA0"/>
    <w:rsid w:val="00C16765"/>
    <w:rsid w:val="00C16A9E"/>
    <w:rsid w:val="00C17145"/>
    <w:rsid w:val="00C179B3"/>
    <w:rsid w:val="00C17E3F"/>
    <w:rsid w:val="00C20059"/>
    <w:rsid w:val="00C200AA"/>
    <w:rsid w:val="00C20F53"/>
    <w:rsid w:val="00C21315"/>
    <w:rsid w:val="00C217CB"/>
    <w:rsid w:val="00C21F73"/>
    <w:rsid w:val="00C23100"/>
    <w:rsid w:val="00C237ED"/>
    <w:rsid w:val="00C23A31"/>
    <w:rsid w:val="00C23F6C"/>
    <w:rsid w:val="00C2419F"/>
    <w:rsid w:val="00C244C5"/>
    <w:rsid w:val="00C24632"/>
    <w:rsid w:val="00C24B57"/>
    <w:rsid w:val="00C25010"/>
    <w:rsid w:val="00C25373"/>
    <w:rsid w:val="00C25418"/>
    <w:rsid w:val="00C254E4"/>
    <w:rsid w:val="00C25681"/>
    <w:rsid w:val="00C25BE1"/>
    <w:rsid w:val="00C25CE8"/>
    <w:rsid w:val="00C25D9C"/>
    <w:rsid w:val="00C26F29"/>
    <w:rsid w:val="00C27517"/>
    <w:rsid w:val="00C2778B"/>
    <w:rsid w:val="00C30E2B"/>
    <w:rsid w:val="00C3146B"/>
    <w:rsid w:val="00C31649"/>
    <w:rsid w:val="00C31A95"/>
    <w:rsid w:val="00C31EB2"/>
    <w:rsid w:val="00C32351"/>
    <w:rsid w:val="00C32FD7"/>
    <w:rsid w:val="00C3309B"/>
    <w:rsid w:val="00C332C2"/>
    <w:rsid w:val="00C336F1"/>
    <w:rsid w:val="00C33997"/>
    <w:rsid w:val="00C3434C"/>
    <w:rsid w:val="00C34998"/>
    <w:rsid w:val="00C34F24"/>
    <w:rsid w:val="00C362CD"/>
    <w:rsid w:val="00C36A04"/>
    <w:rsid w:val="00C36CBF"/>
    <w:rsid w:val="00C3719B"/>
    <w:rsid w:val="00C3788D"/>
    <w:rsid w:val="00C4032D"/>
    <w:rsid w:val="00C40385"/>
    <w:rsid w:val="00C40888"/>
    <w:rsid w:val="00C40946"/>
    <w:rsid w:val="00C40F5F"/>
    <w:rsid w:val="00C41768"/>
    <w:rsid w:val="00C41871"/>
    <w:rsid w:val="00C42D3C"/>
    <w:rsid w:val="00C45270"/>
    <w:rsid w:val="00C46184"/>
    <w:rsid w:val="00C46C26"/>
    <w:rsid w:val="00C46E00"/>
    <w:rsid w:val="00C47030"/>
    <w:rsid w:val="00C4704D"/>
    <w:rsid w:val="00C4752B"/>
    <w:rsid w:val="00C475AA"/>
    <w:rsid w:val="00C47F5A"/>
    <w:rsid w:val="00C50AC6"/>
    <w:rsid w:val="00C51560"/>
    <w:rsid w:val="00C51E0F"/>
    <w:rsid w:val="00C52240"/>
    <w:rsid w:val="00C527C7"/>
    <w:rsid w:val="00C528A5"/>
    <w:rsid w:val="00C52F9E"/>
    <w:rsid w:val="00C531A6"/>
    <w:rsid w:val="00C53676"/>
    <w:rsid w:val="00C53847"/>
    <w:rsid w:val="00C5397B"/>
    <w:rsid w:val="00C53C98"/>
    <w:rsid w:val="00C5484A"/>
    <w:rsid w:val="00C54B66"/>
    <w:rsid w:val="00C553FF"/>
    <w:rsid w:val="00C556BB"/>
    <w:rsid w:val="00C56D72"/>
    <w:rsid w:val="00C56FCF"/>
    <w:rsid w:val="00C57377"/>
    <w:rsid w:val="00C57B6C"/>
    <w:rsid w:val="00C60399"/>
    <w:rsid w:val="00C60682"/>
    <w:rsid w:val="00C616D9"/>
    <w:rsid w:val="00C61A59"/>
    <w:rsid w:val="00C628A6"/>
    <w:rsid w:val="00C63BD7"/>
    <w:rsid w:val="00C64344"/>
    <w:rsid w:val="00C645C1"/>
    <w:rsid w:val="00C65108"/>
    <w:rsid w:val="00C65576"/>
    <w:rsid w:val="00C65DF8"/>
    <w:rsid w:val="00C66165"/>
    <w:rsid w:val="00C663D3"/>
    <w:rsid w:val="00C666F3"/>
    <w:rsid w:val="00C7060A"/>
    <w:rsid w:val="00C709C2"/>
    <w:rsid w:val="00C7151A"/>
    <w:rsid w:val="00C71523"/>
    <w:rsid w:val="00C717E3"/>
    <w:rsid w:val="00C71DEB"/>
    <w:rsid w:val="00C71F60"/>
    <w:rsid w:val="00C72241"/>
    <w:rsid w:val="00C73027"/>
    <w:rsid w:val="00C732F0"/>
    <w:rsid w:val="00C73C7B"/>
    <w:rsid w:val="00C73D21"/>
    <w:rsid w:val="00C7449F"/>
    <w:rsid w:val="00C745A6"/>
    <w:rsid w:val="00C74920"/>
    <w:rsid w:val="00C750C8"/>
    <w:rsid w:val="00C7560F"/>
    <w:rsid w:val="00C75E67"/>
    <w:rsid w:val="00C767B3"/>
    <w:rsid w:val="00C76CBF"/>
    <w:rsid w:val="00C8042E"/>
    <w:rsid w:val="00C80A0E"/>
    <w:rsid w:val="00C81819"/>
    <w:rsid w:val="00C8213F"/>
    <w:rsid w:val="00C829CD"/>
    <w:rsid w:val="00C82E56"/>
    <w:rsid w:val="00C8303F"/>
    <w:rsid w:val="00C841AA"/>
    <w:rsid w:val="00C85154"/>
    <w:rsid w:val="00C85612"/>
    <w:rsid w:val="00C85A70"/>
    <w:rsid w:val="00C867F4"/>
    <w:rsid w:val="00C8703E"/>
    <w:rsid w:val="00C87552"/>
    <w:rsid w:val="00C8797A"/>
    <w:rsid w:val="00C900B8"/>
    <w:rsid w:val="00C90197"/>
    <w:rsid w:val="00C90617"/>
    <w:rsid w:val="00C9061C"/>
    <w:rsid w:val="00C90C71"/>
    <w:rsid w:val="00C91F20"/>
    <w:rsid w:val="00C91FD1"/>
    <w:rsid w:val="00C923CD"/>
    <w:rsid w:val="00C931CF"/>
    <w:rsid w:val="00C938CF"/>
    <w:rsid w:val="00C93F1A"/>
    <w:rsid w:val="00C94053"/>
    <w:rsid w:val="00C9464A"/>
    <w:rsid w:val="00C95C94"/>
    <w:rsid w:val="00C9624D"/>
    <w:rsid w:val="00C969DA"/>
    <w:rsid w:val="00C977AA"/>
    <w:rsid w:val="00C97CF4"/>
    <w:rsid w:val="00CA05D8"/>
    <w:rsid w:val="00CA0954"/>
    <w:rsid w:val="00CA0F5A"/>
    <w:rsid w:val="00CA14CD"/>
    <w:rsid w:val="00CA1780"/>
    <w:rsid w:val="00CA1B2D"/>
    <w:rsid w:val="00CA2C77"/>
    <w:rsid w:val="00CA308A"/>
    <w:rsid w:val="00CA3841"/>
    <w:rsid w:val="00CA3C89"/>
    <w:rsid w:val="00CA444F"/>
    <w:rsid w:val="00CA4751"/>
    <w:rsid w:val="00CA5076"/>
    <w:rsid w:val="00CA5245"/>
    <w:rsid w:val="00CA53B2"/>
    <w:rsid w:val="00CA5BBC"/>
    <w:rsid w:val="00CA5E2F"/>
    <w:rsid w:val="00CA6C1E"/>
    <w:rsid w:val="00CA6F52"/>
    <w:rsid w:val="00CA7016"/>
    <w:rsid w:val="00CA71F4"/>
    <w:rsid w:val="00CA7B09"/>
    <w:rsid w:val="00CB02E9"/>
    <w:rsid w:val="00CB05E3"/>
    <w:rsid w:val="00CB0A70"/>
    <w:rsid w:val="00CB0DC1"/>
    <w:rsid w:val="00CB128E"/>
    <w:rsid w:val="00CB12A5"/>
    <w:rsid w:val="00CB1CAC"/>
    <w:rsid w:val="00CB20B3"/>
    <w:rsid w:val="00CB2526"/>
    <w:rsid w:val="00CB26F4"/>
    <w:rsid w:val="00CB2CF3"/>
    <w:rsid w:val="00CB2F2A"/>
    <w:rsid w:val="00CB3741"/>
    <w:rsid w:val="00CB54E1"/>
    <w:rsid w:val="00CB5B1A"/>
    <w:rsid w:val="00CB5D1C"/>
    <w:rsid w:val="00CB6218"/>
    <w:rsid w:val="00CB6B22"/>
    <w:rsid w:val="00CB7F5F"/>
    <w:rsid w:val="00CC1463"/>
    <w:rsid w:val="00CC1B39"/>
    <w:rsid w:val="00CC1BFA"/>
    <w:rsid w:val="00CC2E9F"/>
    <w:rsid w:val="00CC3569"/>
    <w:rsid w:val="00CC35EA"/>
    <w:rsid w:val="00CC3848"/>
    <w:rsid w:val="00CC67C7"/>
    <w:rsid w:val="00CC6806"/>
    <w:rsid w:val="00CC6D5E"/>
    <w:rsid w:val="00CC6E2D"/>
    <w:rsid w:val="00CC7096"/>
    <w:rsid w:val="00CD0200"/>
    <w:rsid w:val="00CD10A8"/>
    <w:rsid w:val="00CD1492"/>
    <w:rsid w:val="00CD17A0"/>
    <w:rsid w:val="00CD24E6"/>
    <w:rsid w:val="00CD3570"/>
    <w:rsid w:val="00CD3D27"/>
    <w:rsid w:val="00CD3DCE"/>
    <w:rsid w:val="00CD3F77"/>
    <w:rsid w:val="00CD5798"/>
    <w:rsid w:val="00CD6ADC"/>
    <w:rsid w:val="00CD7193"/>
    <w:rsid w:val="00CD73B3"/>
    <w:rsid w:val="00CD7571"/>
    <w:rsid w:val="00CD78E0"/>
    <w:rsid w:val="00CE0235"/>
    <w:rsid w:val="00CE05A4"/>
    <w:rsid w:val="00CE09A0"/>
    <w:rsid w:val="00CE0C02"/>
    <w:rsid w:val="00CE0EA8"/>
    <w:rsid w:val="00CE0FA0"/>
    <w:rsid w:val="00CE1268"/>
    <w:rsid w:val="00CE38B8"/>
    <w:rsid w:val="00CE38C8"/>
    <w:rsid w:val="00CE3C79"/>
    <w:rsid w:val="00CE4940"/>
    <w:rsid w:val="00CE4B1B"/>
    <w:rsid w:val="00CE4C7F"/>
    <w:rsid w:val="00CE4CF5"/>
    <w:rsid w:val="00CE524F"/>
    <w:rsid w:val="00CE5297"/>
    <w:rsid w:val="00CE58CC"/>
    <w:rsid w:val="00CE6274"/>
    <w:rsid w:val="00CE69FB"/>
    <w:rsid w:val="00CE74CF"/>
    <w:rsid w:val="00CE77B6"/>
    <w:rsid w:val="00CE7E2F"/>
    <w:rsid w:val="00CF19F4"/>
    <w:rsid w:val="00CF2B8D"/>
    <w:rsid w:val="00CF2D58"/>
    <w:rsid w:val="00CF2E36"/>
    <w:rsid w:val="00CF3069"/>
    <w:rsid w:val="00CF321D"/>
    <w:rsid w:val="00CF3A1B"/>
    <w:rsid w:val="00CF3E65"/>
    <w:rsid w:val="00CF456B"/>
    <w:rsid w:val="00CF5318"/>
    <w:rsid w:val="00CF5947"/>
    <w:rsid w:val="00CF5A22"/>
    <w:rsid w:val="00CF5DB3"/>
    <w:rsid w:val="00CF5DB9"/>
    <w:rsid w:val="00CF6874"/>
    <w:rsid w:val="00CF77B3"/>
    <w:rsid w:val="00CF7A41"/>
    <w:rsid w:val="00D00D0C"/>
    <w:rsid w:val="00D01111"/>
    <w:rsid w:val="00D01BE2"/>
    <w:rsid w:val="00D025B6"/>
    <w:rsid w:val="00D0262E"/>
    <w:rsid w:val="00D02E4A"/>
    <w:rsid w:val="00D03679"/>
    <w:rsid w:val="00D03DD4"/>
    <w:rsid w:val="00D04A54"/>
    <w:rsid w:val="00D04D41"/>
    <w:rsid w:val="00D05E3D"/>
    <w:rsid w:val="00D06032"/>
    <w:rsid w:val="00D06139"/>
    <w:rsid w:val="00D0632A"/>
    <w:rsid w:val="00D06925"/>
    <w:rsid w:val="00D07533"/>
    <w:rsid w:val="00D07E1C"/>
    <w:rsid w:val="00D07E99"/>
    <w:rsid w:val="00D110BD"/>
    <w:rsid w:val="00D11152"/>
    <w:rsid w:val="00D11838"/>
    <w:rsid w:val="00D135BC"/>
    <w:rsid w:val="00D13675"/>
    <w:rsid w:val="00D13AA5"/>
    <w:rsid w:val="00D13B7C"/>
    <w:rsid w:val="00D141E1"/>
    <w:rsid w:val="00D146F5"/>
    <w:rsid w:val="00D14DA2"/>
    <w:rsid w:val="00D14E59"/>
    <w:rsid w:val="00D14F48"/>
    <w:rsid w:val="00D15314"/>
    <w:rsid w:val="00D155BE"/>
    <w:rsid w:val="00D1569E"/>
    <w:rsid w:val="00D15ABA"/>
    <w:rsid w:val="00D15B48"/>
    <w:rsid w:val="00D1602A"/>
    <w:rsid w:val="00D17249"/>
    <w:rsid w:val="00D1797F"/>
    <w:rsid w:val="00D17D6C"/>
    <w:rsid w:val="00D206E7"/>
    <w:rsid w:val="00D2155B"/>
    <w:rsid w:val="00D215A5"/>
    <w:rsid w:val="00D21CAF"/>
    <w:rsid w:val="00D227D3"/>
    <w:rsid w:val="00D22C93"/>
    <w:rsid w:val="00D23D11"/>
    <w:rsid w:val="00D244B6"/>
    <w:rsid w:val="00D24531"/>
    <w:rsid w:val="00D2490E"/>
    <w:rsid w:val="00D25966"/>
    <w:rsid w:val="00D2754D"/>
    <w:rsid w:val="00D27B27"/>
    <w:rsid w:val="00D30027"/>
    <w:rsid w:val="00D30D5B"/>
    <w:rsid w:val="00D314B2"/>
    <w:rsid w:val="00D31966"/>
    <w:rsid w:val="00D32615"/>
    <w:rsid w:val="00D33042"/>
    <w:rsid w:val="00D33BE9"/>
    <w:rsid w:val="00D33DA6"/>
    <w:rsid w:val="00D33F93"/>
    <w:rsid w:val="00D3458F"/>
    <w:rsid w:val="00D34B53"/>
    <w:rsid w:val="00D35400"/>
    <w:rsid w:val="00D357FF"/>
    <w:rsid w:val="00D3595B"/>
    <w:rsid w:val="00D3608A"/>
    <w:rsid w:val="00D374B0"/>
    <w:rsid w:val="00D37B5B"/>
    <w:rsid w:val="00D40014"/>
    <w:rsid w:val="00D4178A"/>
    <w:rsid w:val="00D41BE5"/>
    <w:rsid w:val="00D42059"/>
    <w:rsid w:val="00D424C7"/>
    <w:rsid w:val="00D4303D"/>
    <w:rsid w:val="00D4323D"/>
    <w:rsid w:val="00D43B2A"/>
    <w:rsid w:val="00D43CF1"/>
    <w:rsid w:val="00D43D83"/>
    <w:rsid w:val="00D4532C"/>
    <w:rsid w:val="00D4624A"/>
    <w:rsid w:val="00D469C1"/>
    <w:rsid w:val="00D46E1F"/>
    <w:rsid w:val="00D47575"/>
    <w:rsid w:val="00D502F7"/>
    <w:rsid w:val="00D5167C"/>
    <w:rsid w:val="00D5243B"/>
    <w:rsid w:val="00D533EC"/>
    <w:rsid w:val="00D53ABD"/>
    <w:rsid w:val="00D53D8D"/>
    <w:rsid w:val="00D53E62"/>
    <w:rsid w:val="00D53FBD"/>
    <w:rsid w:val="00D5408A"/>
    <w:rsid w:val="00D54D4B"/>
    <w:rsid w:val="00D551D0"/>
    <w:rsid w:val="00D55E27"/>
    <w:rsid w:val="00D561B0"/>
    <w:rsid w:val="00D56A95"/>
    <w:rsid w:val="00D57407"/>
    <w:rsid w:val="00D57752"/>
    <w:rsid w:val="00D57D3E"/>
    <w:rsid w:val="00D6058C"/>
    <w:rsid w:val="00D6076E"/>
    <w:rsid w:val="00D609F8"/>
    <w:rsid w:val="00D616DA"/>
    <w:rsid w:val="00D61C29"/>
    <w:rsid w:val="00D6227C"/>
    <w:rsid w:val="00D62ACF"/>
    <w:rsid w:val="00D63D5E"/>
    <w:rsid w:val="00D65583"/>
    <w:rsid w:val="00D672E0"/>
    <w:rsid w:val="00D672E5"/>
    <w:rsid w:val="00D677A1"/>
    <w:rsid w:val="00D67C35"/>
    <w:rsid w:val="00D67C5A"/>
    <w:rsid w:val="00D67D48"/>
    <w:rsid w:val="00D70807"/>
    <w:rsid w:val="00D70A4A"/>
    <w:rsid w:val="00D70E0B"/>
    <w:rsid w:val="00D70F16"/>
    <w:rsid w:val="00D7182A"/>
    <w:rsid w:val="00D719FF"/>
    <w:rsid w:val="00D71BF5"/>
    <w:rsid w:val="00D72074"/>
    <w:rsid w:val="00D72108"/>
    <w:rsid w:val="00D72617"/>
    <w:rsid w:val="00D72A4C"/>
    <w:rsid w:val="00D72F57"/>
    <w:rsid w:val="00D736F0"/>
    <w:rsid w:val="00D738FA"/>
    <w:rsid w:val="00D742BE"/>
    <w:rsid w:val="00D74D31"/>
    <w:rsid w:val="00D7546B"/>
    <w:rsid w:val="00D761F9"/>
    <w:rsid w:val="00D76A44"/>
    <w:rsid w:val="00D76AF5"/>
    <w:rsid w:val="00D77239"/>
    <w:rsid w:val="00D77873"/>
    <w:rsid w:val="00D80DAF"/>
    <w:rsid w:val="00D81185"/>
    <w:rsid w:val="00D811BC"/>
    <w:rsid w:val="00D815EF"/>
    <w:rsid w:val="00D81949"/>
    <w:rsid w:val="00D81E31"/>
    <w:rsid w:val="00D81F26"/>
    <w:rsid w:val="00D822E2"/>
    <w:rsid w:val="00D83300"/>
    <w:rsid w:val="00D83460"/>
    <w:rsid w:val="00D83907"/>
    <w:rsid w:val="00D83F52"/>
    <w:rsid w:val="00D843F2"/>
    <w:rsid w:val="00D847A3"/>
    <w:rsid w:val="00D84893"/>
    <w:rsid w:val="00D850F8"/>
    <w:rsid w:val="00D86231"/>
    <w:rsid w:val="00D86F4C"/>
    <w:rsid w:val="00D8798E"/>
    <w:rsid w:val="00D87B5A"/>
    <w:rsid w:val="00D90B21"/>
    <w:rsid w:val="00D91286"/>
    <w:rsid w:val="00D912AB"/>
    <w:rsid w:val="00D91923"/>
    <w:rsid w:val="00D91E0B"/>
    <w:rsid w:val="00D92469"/>
    <w:rsid w:val="00D93071"/>
    <w:rsid w:val="00D93753"/>
    <w:rsid w:val="00D937C5"/>
    <w:rsid w:val="00D939C3"/>
    <w:rsid w:val="00D940A5"/>
    <w:rsid w:val="00D9526F"/>
    <w:rsid w:val="00D95C80"/>
    <w:rsid w:val="00D961D9"/>
    <w:rsid w:val="00D96290"/>
    <w:rsid w:val="00D965C3"/>
    <w:rsid w:val="00D9664E"/>
    <w:rsid w:val="00D968FB"/>
    <w:rsid w:val="00D97217"/>
    <w:rsid w:val="00D97431"/>
    <w:rsid w:val="00D97DE4"/>
    <w:rsid w:val="00DA0441"/>
    <w:rsid w:val="00DA0724"/>
    <w:rsid w:val="00DA1316"/>
    <w:rsid w:val="00DA1609"/>
    <w:rsid w:val="00DA1883"/>
    <w:rsid w:val="00DA1E6D"/>
    <w:rsid w:val="00DA3167"/>
    <w:rsid w:val="00DA31CC"/>
    <w:rsid w:val="00DA3B5D"/>
    <w:rsid w:val="00DA3E0B"/>
    <w:rsid w:val="00DA4DC3"/>
    <w:rsid w:val="00DA4F16"/>
    <w:rsid w:val="00DA525F"/>
    <w:rsid w:val="00DA572F"/>
    <w:rsid w:val="00DA585C"/>
    <w:rsid w:val="00DA71F1"/>
    <w:rsid w:val="00DA7572"/>
    <w:rsid w:val="00DA77A5"/>
    <w:rsid w:val="00DA79C9"/>
    <w:rsid w:val="00DA7A9F"/>
    <w:rsid w:val="00DA7D46"/>
    <w:rsid w:val="00DA7DFD"/>
    <w:rsid w:val="00DB00E5"/>
    <w:rsid w:val="00DB0322"/>
    <w:rsid w:val="00DB059B"/>
    <w:rsid w:val="00DB0E36"/>
    <w:rsid w:val="00DB1F40"/>
    <w:rsid w:val="00DB3DBF"/>
    <w:rsid w:val="00DB3E40"/>
    <w:rsid w:val="00DB3E96"/>
    <w:rsid w:val="00DB3F60"/>
    <w:rsid w:val="00DB45F4"/>
    <w:rsid w:val="00DB484F"/>
    <w:rsid w:val="00DB48AF"/>
    <w:rsid w:val="00DB4953"/>
    <w:rsid w:val="00DB4A73"/>
    <w:rsid w:val="00DB55DF"/>
    <w:rsid w:val="00DB635D"/>
    <w:rsid w:val="00DC01D4"/>
    <w:rsid w:val="00DC04F6"/>
    <w:rsid w:val="00DC0690"/>
    <w:rsid w:val="00DC189C"/>
    <w:rsid w:val="00DC1A42"/>
    <w:rsid w:val="00DC1B5F"/>
    <w:rsid w:val="00DC1D65"/>
    <w:rsid w:val="00DC2886"/>
    <w:rsid w:val="00DC2A8C"/>
    <w:rsid w:val="00DC2B60"/>
    <w:rsid w:val="00DC332D"/>
    <w:rsid w:val="00DC34C6"/>
    <w:rsid w:val="00DC359B"/>
    <w:rsid w:val="00DC3C57"/>
    <w:rsid w:val="00DC3CF8"/>
    <w:rsid w:val="00DC3DD2"/>
    <w:rsid w:val="00DC48DA"/>
    <w:rsid w:val="00DC4FE8"/>
    <w:rsid w:val="00DC5039"/>
    <w:rsid w:val="00DC51BA"/>
    <w:rsid w:val="00DC5501"/>
    <w:rsid w:val="00DC5BD5"/>
    <w:rsid w:val="00DC5DE4"/>
    <w:rsid w:val="00DC7154"/>
    <w:rsid w:val="00DC7E8A"/>
    <w:rsid w:val="00DC7FC0"/>
    <w:rsid w:val="00DD060D"/>
    <w:rsid w:val="00DD0F78"/>
    <w:rsid w:val="00DD1E2C"/>
    <w:rsid w:val="00DD200C"/>
    <w:rsid w:val="00DD273C"/>
    <w:rsid w:val="00DD3512"/>
    <w:rsid w:val="00DD3F28"/>
    <w:rsid w:val="00DD4446"/>
    <w:rsid w:val="00DD4537"/>
    <w:rsid w:val="00DD4E15"/>
    <w:rsid w:val="00DD5FBC"/>
    <w:rsid w:val="00DD610A"/>
    <w:rsid w:val="00DD6715"/>
    <w:rsid w:val="00DD6EC4"/>
    <w:rsid w:val="00DD6F15"/>
    <w:rsid w:val="00DD7A78"/>
    <w:rsid w:val="00DE10D3"/>
    <w:rsid w:val="00DE1229"/>
    <w:rsid w:val="00DE1EDE"/>
    <w:rsid w:val="00DE2304"/>
    <w:rsid w:val="00DE2320"/>
    <w:rsid w:val="00DE2343"/>
    <w:rsid w:val="00DE2971"/>
    <w:rsid w:val="00DE3138"/>
    <w:rsid w:val="00DE37F8"/>
    <w:rsid w:val="00DE4273"/>
    <w:rsid w:val="00DE4764"/>
    <w:rsid w:val="00DE4FCB"/>
    <w:rsid w:val="00DE5AC8"/>
    <w:rsid w:val="00DE5D07"/>
    <w:rsid w:val="00DE6423"/>
    <w:rsid w:val="00DE6673"/>
    <w:rsid w:val="00DE6A72"/>
    <w:rsid w:val="00DE72A7"/>
    <w:rsid w:val="00DE7832"/>
    <w:rsid w:val="00DE7DD9"/>
    <w:rsid w:val="00DF0878"/>
    <w:rsid w:val="00DF15F9"/>
    <w:rsid w:val="00DF18FC"/>
    <w:rsid w:val="00DF1A3B"/>
    <w:rsid w:val="00DF2486"/>
    <w:rsid w:val="00DF3698"/>
    <w:rsid w:val="00DF3899"/>
    <w:rsid w:val="00DF4669"/>
    <w:rsid w:val="00DF4F20"/>
    <w:rsid w:val="00DF57C4"/>
    <w:rsid w:val="00DF5CAC"/>
    <w:rsid w:val="00DF5D2B"/>
    <w:rsid w:val="00DF6074"/>
    <w:rsid w:val="00DF6341"/>
    <w:rsid w:val="00DF6B21"/>
    <w:rsid w:val="00DF6F01"/>
    <w:rsid w:val="00DF6FDC"/>
    <w:rsid w:val="00DF741B"/>
    <w:rsid w:val="00E00B43"/>
    <w:rsid w:val="00E00E8E"/>
    <w:rsid w:val="00E019DB"/>
    <w:rsid w:val="00E02197"/>
    <w:rsid w:val="00E031A7"/>
    <w:rsid w:val="00E035FB"/>
    <w:rsid w:val="00E03E36"/>
    <w:rsid w:val="00E043D6"/>
    <w:rsid w:val="00E04B43"/>
    <w:rsid w:val="00E05383"/>
    <w:rsid w:val="00E05630"/>
    <w:rsid w:val="00E05846"/>
    <w:rsid w:val="00E05B35"/>
    <w:rsid w:val="00E066EC"/>
    <w:rsid w:val="00E06C6C"/>
    <w:rsid w:val="00E06DBB"/>
    <w:rsid w:val="00E06E96"/>
    <w:rsid w:val="00E0724A"/>
    <w:rsid w:val="00E10149"/>
    <w:rsid w:val="00E1035F"/>
    <w:rsid w:val="00E10368"/>
    <w:rsid w:val="00E111AA"/>
    <w:rsid w:val="00E11340"/>
    <w:rsid w:val="00E1139E"/>
    <w:rsid w:val="00E120C6"/>
    <w:rsid w:val="00E122A1"/>
    <w:rsid w:val="00E12FFD"/>
    <w:rsid w:val="00E13CD2"/>
    <w:rsid w:val="00E15990"/>
    <w:rsid w:val="00E1619F"/>
    <w:rsid w:val="00E1629D"/>
    <w:rsid w:val="00E1632F"/>
    <w:rsid w:val="00E16372"/>
    <w:rsid w:val="00E16376"/>
    <w:rsid w:val="00E16963"/>
    <w:rsid w:val="00E16AD8"/>
    <w:rsid w:val="00E17FFA"/>
    <w:rsid w:val="00E201C1"/>
    <w:rsid w:val="00E20541"/>
    <w:rsid w:val="00E20B22"/>
    <w:rsid w:val="00E20E4D"/>
    <w:rsid w:val="00E20ED6"/>
    <w:rsid w:val="00E212FE"/>
    <w:rsid w:val="00E21351"/>
    <w:rsid w:val="00E21358"/>
    <w:rsid w:val="00E21647"/>
    <w:rsid w:val="00E2249B"/>
    <w:rsid w:val="00E22688"/>
    <w:rsid w:val="00E22768"/>
    <w:rsid w:val="00E22A0D"/>
    <w:rsid w:val="00E23FE8"/>
    <w:rsid w:val="00E244F6"/>
    <w:rsid w:val="00E245E0"/>
    <w:rsid w:val="00E258DB"/>
    <w:rsid w:val="00E25C6B"/>
    <w:rsid w:val="00E2771E"/>
    <w:rsid w:val="00E278B7"/>
    <w:rsid w:val="00E27EE6"/>
    <w:rsid w:val="00E3074C"/>
    <w:rsid w:val="00E311EF"/>
    <w:rsid w:val="00E311F2"/>
    <w:rsid w:val="00E3133C"/>
    <w:rsid w:val="00E32180"/>
    <w:rsid w:val="00E3248C"/>
    <w:rsid w:val="00E32AA6"/>
    <w:rsid w:val="00E32FA9"/>
    <w:rsid w:val="00E33DD3"/>
    <w:rsid w:val="00E340F5"/>
    <w:rsid w:val="00E3416C"/>
    <w:rsid w:val="00E344CE"/>
    <w:rsid w:val="00E34948"/>
    <w:rsid w:val="00E34EF3"/>
    <w:rsid w:val="00E3534B"/>
    <w:rsid w:val="00E35518"/>
    <w:rsid w:val="00E357B2"/>
    <w:rsid w:val="00E36713"/>
    <w:rsid w:val="00E36851"/>
    <w:rsid w:val="00E37569"/>
    <w:rsid w:val="00E37ED8"/>
    <w:rsid w:val="00E401B2"/>
    <w:rsid w:val="00E40AFF"/>
    <w:rsid w:val="00E41A17"/>
    <w:rsid w:val="00E41E30"/>
    <w:rsid w:val="00E420A7"/>
    <w:rsid w:val="00E4210C"/>
    <w:rsid w:val="00E42387"/>
    <w:rsid w:val="00E42C04"/>
    <w:rsid w:val="00E42F73"/>
    <w:rsid w:val="00E43D70"/>
    <w:rsid w:val="00E44F1E"/>
    <w:rsid w:val="00E44F50"/>
    <w:rsid w:val="00E45072"/>
    <w:rsid w:val="00E45A1B"/>
    <w:rsid w:val="00E45A22"/>
    <w:rsid w:val="00E466F3"/>
    <w:rsid w:val="00E474BC"/>
    <w:rsid w:val="00E47B2C"/>
    <w:rsid w:val="00E47B9A"/>
    <w:rsid w:val="00E508F0"/>
    <w:rsid w:val="00E512B0"/>
    <w:rsid w:val="00E51560"/>
    <w:rsid w:val="00E51821"/>
    <w:rsid w:val="00E53277"/>
    <w:rsid w:val="00E53FC8"/>
    <w:rsid w:val="00E54347"/>
    <w:rsid w:val="00E54CA6"/>
    <w:rsid w:val="00E55424"/>
    <w:rsid w:val="00E5581B"/>
    <w:rsid w:val="00E55915"/>
    <w:rsid w:val="00E55BB5"/>
    <w:rsid w:val="00E56306"/>
    <w:rsid w:val="00E5649F"/>
    <w:rsid w:val="00E56986"/>
    <w:rsid w:val="00E5699F"/>
    <w:rsid w:val="00E602A0"/>
    <w:rsid w:val="00E60311"/>
    <w:rsid w:val="00E611B5"/>
    <w:rsid w:val="00E611DF"/>
    <w:rsid w:val="00E621DA"/>
    <w:rsid w:val="00E631D0"/>
    <w:rsid w:val="00E636CC"/>
    <w:rsid w:val="00E63851"/>
    <w:rsid w:val="00E63928"/>
    <w:rsid w:val="00E63D04"/>
    <w:rsid w:val="00E63F23"/>
    <w:rsid w:val="00E6446E"/>
    <w:rsid w:val="00E64653"/>
    <w:rsid w:val="00E64ECA"/>
    <w:rsid w:val="00E65595"/>
    <w:rsid w:val="00E65AED"/>
    <w:rsid w:val="00E65E79"/>
    <w:rsid w:val="00E65FFF"/>
    <w:rsid w:val="00E660E0"/>
    <w:rsid w:val="00E66230"/>
    <w:rsid w:val="00E66BA2"/>
    <w:rsid w:val="00E67416"/>
    <w:rsid w:val="00E6748B"/>
    <w:rsid w:val="00E67DFB"/>
    <w:rsid w:val="00E70C35"/>
    <w:rsid w:val="00E71294"/>
    <w:rsid w:val="00E7170C"/>
    <w:rsid w:val="00E718B6"/>
    <w:rsid w:val="00E723BA"/>
    <w:rsid w:val="00E72769"/>
    <w:rsid w:val="00E72D28"/>
    <w:rsid w:val="00E7309F"/>
    <w:rsid w:val="00E73581"/>
    <w:rsid w:val="00E73DE7"/>
    <w:rsid w:val="00E7414A"/>
    <w:rsid w:val="00E7427D"/>
    <w:rsid w:val="00E755D0"/>
    <w:rsid w:val="00E75BB2"/>
    <w:rsid w:val="00E7608E"/>
    <w:rsid w:val="00E76FE7"/>
    <w:rsid w:val="00E77C00"/>
    <w:rsid w:val="00E81CFA"/>
    <w:rsid w:val="00E82A5B"/>
    <w:rsid w:val="00E82AFB"/>
    <w:rsid w:val="00E8316C"/>
    <w:rsid w:val="00E833F7"/>
    <w:rsid w:val="00E83BDF"/>
    <w:rsid w:val="00E841A4"/>
    <w:rsid w:val="00E85014"/>
    <w:rsid w:val="00E85BBD"/>
    <w:rsid w:val="00E86FCC"/>
    <w:rsid w:val="00E874AB"/>
    <w:rsid w:val="00E87A1D"/>
    <w:rsid w:val="00E9094A"/>
    <w:rsid w:val="00E91519"/>
    <w:rsid w:val="00E91CB7"/>
    <w:rsid w:val="00E91D35"/>
    <w:rsid w:val="00E91F69"/>
    <w:rsid w:val="00E921C9"/>
    <w:rsid w:val="00E926A5"/>
    <w:rsid w:val="00E92A9C"/>
    <w:rsid w:val="00E92AAD"/>
    <w:rsid w:val="00E92E9D"/>
    <w:rsid w:val="00E9303F"/>
    <w:rsid w:val="00E93A7F"/>
    <w:rsid w:val="00E94003"/>
    <w:rsid w:val="00E945A9"/>
    <w:rsid w:val="00E946C3"/>
    <w:rsid w:val="00E949FC"/>
    <w:rsid w:val="00E94D93"/>
    <w:rsid w:val="00E95259"/>
    <w:rsid w:val="00E95686"/>
    <w:rsid w:val="00E95C76"/>
    <w:rsid w:val="00E95F87"/>
    <w:rsid w:val="00E9618E"/>
    <w:rsid w:val="00E962CC"/>
    <w:rsid w:val="00E96D7A"/>
    <w:rsid w:val="00E97060"/>
    <w:rsid w:val="00E972D3"/>
    <w:rsid w:val="00E979A6"/>
    <w:rsid w:val="00EA00C6"/>
    <w:rsid w:val="00EA0369"/>
    <w:rsid w:val="00EA07A8"/>
    <w:rsid w:val="00EA0F65"/>
    <w:rsid w:val="00EA0FDE"/>
    <w:rsid w:val="00EA151D"/>
    <w:rsid w:val="00EA17C3"/>
    <w:rsid w:val="00EA1831"/>
    <w:rsid w:val="00EA1AD4"/>
    <w:rsid w:val="00EA1EB1"/>
    <w:rsid w:val="00EA24C1"/>
    <w:rsid w:val="00EA274F"/>
    <w:rsid w:val="00EA2780"/>
    <w:rsid w:val="00EA2A16"/>
    <w:rsid w:val="00EA2CAA"/>
    <w:rsid w:val="00EA2F6D"/>
    <w:rsid w:val="00EA34FA"/>
    <w:rsid w:val="00EA3864"/>
    <w:rsid w:val="00EA61AF"/>
    <w:rsid w:val="00EA693D"/>
    <w:rsid w:val="00EA6D68"/>
    <w:rsid w:val="00EA717A"/>
    <w:rsid w:val="00EA762E"/>
    <w:rsid w:val="00EA7D0F"/>
    <w:rsid w:val="00EA7F1C"/>
    <w:rsid w:val="00EB0D5E"/>
    <w:rsid w:val="00EB0F5C"/>
    <w:rsid w:val="00EB15B6"/>
    <w:rsid w:val="00EB3D06"/>
    <w:rsid w:val="00EB4478"/>
    <w:rsid w:val="00EB4916"/>
    <w:rsid w:val="00EB6071"/>
    <w:rsid w:val="00EB66AC"/>
    <w:rsid w:val="00EB71F4"/>
    <w:rsid w:val="00EB75CC"/>
    <w:rsid w:val="00EC00C9"/>
    <w:rsid w:val="00EC0DD9"/>
    <w:rsid w:val="00EC0F55"/>
    <w:rsid w:val="00EC100A"/>
    <w:rsid w:val="00EC144E"/>
    <w:rsid w:val="00EC2217"/>
    <w:rsid w:val="00EC24F4"/>
    <w:rsid w:val="00EC2649"/>
    <w:rsid w:val="00EC2920"/>
    <w:rsid w:val="00EC2C76"/>
    <w:rsid w:val="00EC2DCF"/>
    <w:rsid w:val="00EC2F0E"/>
    <w:rsid w:val="00EC31ED"/>
    <w:rsid w:val="00EC3300"/>
    <w:rsid w:val="00EC3BF1"/>
    <w:rsid w:val="00EC3E8F"/>
    <w:rsid w:val="00EC5022"/>
    <w:rsid w:val="00EC5836"/>
    <w:rsid w:val="00EC61AF"/>
    <w:rsid w:val="00EC639F"/>
    <w:rsid w:val="00EC688C"/>
    <w:rsid w:val="00EC6AF5"/>
    <w:rsid w:val="00EC739E"/>
    <w:rsid w:val="00EC7CF8"/>
    <w:rsid w:val="00ED03E0"/>
    <w:rsid w:val="00ED07BB"/>
    <w:rsid w:val="00ED1068"/>
    <w:rsid w:val="00ED12E3"/>
    <w:rsid w:val="00ED14B8"/>
    <w:rsid w:val="00ED1EB4"/>
    <w:rsid w:val="00ED2174"/>
    <w:rsid w:val="00ED24AA"/>
    <w:rsid w:val="00ED34DC"/>
    <w:rsid w:val="00ED34E8"/>
    <w:rsid w:val="00ED3F3E"/>
    <w:rsid w:val="00ED4B04"/>
    <w:rsid w:val="00ED5330"/>
    <w:rsid w:val="00ED57EA"/>
    <w:rsid w:val="00ED5953"/>
    <w:rsid w:val="00ED59BE"/>
    <w:rsid w:val="00ED5A43"/>
    <w:rsid w:val="00ED5BD4"/>
    <w:rsid w:val="00ED5D7C"/>
    <w:rsid w:val="00ED6446"/>
    <w:rsid w:val="00ED6CFD"/>
    <w:rsid w:val="00ED6E06"/>
    <w:rsid w:val="00ED6F7A"/>
    <w:rsid w:val="00ED76A5"/>
    <w:rsid w:val="00EE0221"/>
    <w:rsid w:val="00EE07D3"/>
    <w:rsid w:val="00EE09C7"/>
    <w:rsid w:val="00EE12CF"/>
    <w:rsid w:val="00EE1996"/>
    <w:rsid w:val="00EE1C01"/>
    <w:rsid w:val="00EE1CE2"/>
    <w:rsid w:val="00EE22AF"/>
    <w:rsid w:val="00EE231F"/>
    <w:rsid w:val="00EE2A21"/>
    <w:rsid w:val="00EE2AFC"/>
    <w:rsid w:val="00EE2C50"/>
    <w:rsid w:val="00EE2C90"/>
    <w:rsid w:val="00EE352A"/>
    <w:rsid w:val="00EE3EEA"/>
    <w:rsid w:val="00EE419C"/>
    <w:rsid w:val="00EE4495"/>
    <w:rsid w:val="00EE519F"/>
    <w:rsid w:val="00EE58EA"/>
    <w:rsid w:val="00EE6D14"/>
    <w:rsid w:val="00EE7817"/>
    <w:rsid w:val="00EF0171"/>
    <w:rsid w:val="00EF04AE"/>
    <w:rsid w:val="00EF06E6"/>
    <w:rsid w:val="00EF1B25"/>
    <w:rsid w:val="00EF1DA0"/>
    <w:rsid w:val="00EF3A3F"/>
    <w:rsid w:val="00EF4747"/>
    <w:rsid w:val="00EF4BF8"/>
    <w:rsid w:val="00EF5B04"/>
    <w:rsid w:val="00EF6E04"/>
    <w:rsid w:val="00EF721D"/>
    <w:rsid w:val="00EF76CD"/>
    <w:rsid w:val="00EF7E3D"/>
    <w:rsid w:val="00F008E0"/>
    <w:rsid w:val="00F013F0"/>
    <w:rsid w:val="00F0217D"/>
    <w:rsid w:val="00F02253"/>
    <w:rsid w:val="00F02A3D"/>
    <w:rsid w:val="00F03823"/>
    <w:rsid w:val="00F03C10"/>
    <w:rsid w:val="00F03C2E"/>
    <w:rsid w:val="00F042FF"/>
    <w:rsid w:val="00F0478B"/>
    <w:rsid w:val="00F04A66"/>
    <w:rsid w:val="00F04B4B"/>
    <w:rsid w:val="00F04DF9"/>
    <w:rsid w:val="00F0516C"/>
    <w:rsid w:val="00F05A26"/>
    <w:rsid w:val="00F05A68"/>
    <w:rsid w:val="00F05AD2"/>
    <w:rsid w:val="00F05DD3"/>
    <w:rsid w:val="00F0674A"/>
    <w:rsid w:val="00F067A2"/>
    <w:rsid w:val="00F068DD"/>
    <w:rsid w:val="00F068FE"/>
    <w:rsid w:val="00F06A59"/>
    <w:rsid w:val="00F06CEE"/>
    <w:rsid w:val="00F07596"/>
    <w:rsid w:val="00F07B9E"/>
    <w:rsid w:val="00F10308"/>
    <w:rsid w:val="00F1116F"/>
    <w:rsid w:val="00F118BB"/>
    <w:rsid w:val="00F118FF"/>
    <w:rsid w:val="00F11C8F"/>
    <w:rsid w:val="00F1263A"/>
    <w:rsid w:val="00F139C5"/>
    <w:rsid w:val="00F140CD"/>
    <w:rsid w:val="00F14323"/>
    <w:rsid w:val="00F15373"/>
    <w:rsid w:val="00F1568A"/>
    <w:rsid w:val="00F15690"/>
    <w:rsid w:val="00F15B77"/>
    <w:rsid w:val="00F16155"/>
    <w:rsid w:val="00F206BC"/>
    <w:rsid w:val="00F21236"/>
    <w:rsid w:val="00F21714"/>
    <w:rsid w:val="00F22FC7"/>
    <w:rsid w:val="00F22FF1"/>
    <w:rsid w:val="00F2366D"/>
    <w:rsid w:val="00F23E69"/>
    <w:rsid w:val="00F2453B"/>
    <w:rsid w:val="00F24832"/>
    <w:rsid w:val="00F24837"/>
    <w:rsid w:val="00F24E43"/>
    <w:rsid w:val="00F2575F"/>
    <w:rsid w:val="00F25A1B"/>
    <w:rsid w:val="00F25B6B"/>
    <w:rsid w:val="00F25CF1"/>
    <w:rsid w:val="00F268A1"/>
    <w:rsid w:val="00F27512"/>
    <w:rsid w:val="00F27565"/>
    <w:rsid w:val="00F30227"/>
    <w:rsid w:val="00F30367"/>
    <w:rsid w:val="00F308EF"/>
    <w:rsid w:val="00F310D4"/>
    <w:rsid w:val="00F31D5A"/>
    <w:rsid w:val="00F3203C"/>
    <w:rsid w:val="00F3243C"/>
    <w:rsid w:val="00F32749"/>
    <w:rsid w:val="00F33975"/>
    <w:rsid w:val="00F33DE9"/>
    <w:rsid w:val="00F3430A"/>
    <w:rsid w:val="00F34B45"/>
    <w:rsid w:val="00F35E6D"/>
    <w:rsid w:val="00F3619A"/>
    <w:rsid w:val="00F3641E"/>
    <w:rsid w:val="00F403A1"/>
    <w:rsid w:val="00F40595"/>
    <w:rsid w:val="00F405A8"/>
    <w:rsid w:val="00F40AAA"/>
    <w:rsid w:val="00F40BA7"/>
    <w:rsid w:val="00F40F9D"/>
    <w:rsid w:val="00F41143"/>
    <w:rsid w:val="00F41145"/>
    <w:rsid w:val="00F41ACD"/>
    <w:rsid w:val="00F41B99"/>
    <w:rsid w:val="00F41F0A"/>
    <w:rsid w:val="00F4205E"/>
    <w:rsid w:val="00F42CF5"/>
    <w:rsid w:val="00F42EAB"/>
    <w:rsid w:val="00F430FC"/>
    <w:rsid w:val="00F44693"/>
    <w:rsid w:val="00F44708"/>
    <w:rsid w:val="00F45C7E"/>
    <w:rsid w:val="00F469AF"/>
    <w:rsid w:val="00F46C49"/>
    <w:rsid w:val="00F46CB6"/>
    <w:rsid w:val="00F4704F"/>
    <w:rsid w:val="00F4756D"/>
    <w:rsid w:val="00F47622"/>
    <w:rsid w:val="00F47DE8"/>
    <w:rsid w:val="00F47EF4"/>
    <w:rsid w:val="00F47F07"/>
    <w:rsid w:val="00F50198"/>
    <w:rsid w:val="00F50377"/>
    <w:rsid w:val="00F5082F"/>
    <w:rsid w:val="00F518C6"/>
    <w:rsid w:val="00F51B65"/>
    <w:rsid w:val="00F51F29"/>
    <w:rsid w:val="00F5268B"/>
    <w:rsid w:val="00F52D2C"/>
    <w:rsid w:val="00F542C1"/>
    <w:rsid w:val="00F54731"/>
    <w:rsid w:val="00F550E3"/>
    <w:rsid w:val="00F5539B"/>
    <w:rsid w:val="00F555B7"/>
    <w:rsid w:val="00F55E73"/>
    <w:rsid w:val="00F55EDA"/>
    <w:rsid w:val="00F56C80"/>
    <w:rsid w:val="00F56E6A"/>
    <w:rsid w:val="00F60092"/>
    <w:rsid w:val="00F60AA4"/>
    <w:rsid w:val="00F61136"/>
    <w:rsid w:val="00F61729"/>
    <w:rsid w:val="00F61C18"/>
    <w:rsid w:val="00F634AD"/>
    <w:rsid w:val="00F63E7D"/>
    <w:rsid w:val="00F64891"/>
    <w:rsid w:val="00F6490B"/>
    <w:rsid w:val="00F6512E"/>
    <w:rsid w:val="00F65B16"/>
    <w:rsid w:val="00F65F4B"/>
    <w:rsid w:val="00F67168"/>
    <w:rsid w:val="00F67A69"/>
    <w:rsid w:val="00F70867"/>
    <w:rsid w:val="00F70BFF"/>
    <w:rsid w:val="00F70C9D"/>
    <w:rsid w:val="00F70E06"/>
    <w:rsid w:val="00F7138E"/>
    <w:rsid w:val="00F71B58"/>
    <w:rsid w:val="00F71D2F"/>
    <w:rsid w:val="00F71D4E"/>
    <w:rsid w:val="00F72232"/>
    <w:rsid w:val="00F72710"/>
    <w:rsid w:val="00F72A6D"/>
    <w:rsid w:val="00F7344E"/>
    <w:rsid w:val="00F7367B"/>
    <w:rsid w:val="00F73A6E"/>
    <w:rsid w:val="00F73E08"/>
    <w:rsid w:val="00F74CD9"/>
    <w:rsid w:val="00F74DA6"/>
    <w:rsid w:val="00F74F20"/>
    <w:rsid w:val="00F7573C"/>
    <w:rsid w:val="00F7583A"/>
    <w:rsid w:val="00F75DB7"/>
    <w:rsid w:val="00F75E7C"/>
    <w:rsid w:val="00F75F12"/>
    <w:rsid w:val="00F7663B"/>
    <w:rsid w:val="00F7669A"/>
    <w:rsid w:val="00F771CF"/>
    <w:rsid w:val="00F7739B"/>
    <w:rsid w:val="00F778FA"/>
    <w:rsid w:val="00F80200"/>
    <w:rsid w:val="00F80A7B"/>
    <w:rsid w:val="00F80E5D"/>
    <w:rsid w:val="00F81E78"/>
    <w:rsid w:val="00F82A18"/>
    <w:rsid w:val="00F82BC8"/>
    <w:rsid w:val="00F82E25"/>
    <w:rsid w:val="00F83916"/>
    <w:rsid w:val="00F84F97"/>
    <w:rsid w:val="00F851CE"/>
    <w:rsid w:val="00F85F80"/>
    <w:rsid w:val="00F8606B"/>
    <w:rsid w:val="00F863C5"/>
    <w:rsid w:val="00F86B77"/>
    <w:rsid w:val="00F8730B"/>
    <w:rsid w:val="00F9074F"/>
    <w:rsid w:val="00F90B57"/>
    <w:rsid w:val="00F90B97"/>
    <w:rsid w:val="00F91219"/>
    <w:rsid w:val="00F91F08"/>
    <w:rsid w:val="00F92444"/>
    <w:rsid w:val="00F9270B"/>
    <w:rsid w:val="00F92C86"/>
    <w:rsid w:val="00F92E89"/>
    <w:rsid w:val="00F9315C"/>
    <w:rsid w:val="00F934F4"/>
    <w:rsid w:val="00F9393E"/>
    <w:rsid w:val="00F93CB3"/>
    <w:rsid w:val="00F94AD3"/>
    <w:rsid w:val="00F94E34"/>
    <w:rsid w:val="00F95627"/>
    <w:rsid w:val="00F96E7F"/>
    <w:rsid w:val="00F96FD0"/>
    <w:rsid w:val="00F97A78"/>
    <w:rsid w:val="00FA0473"/>
    <w:rsid w:val="00FA0B06"/>
    <w:rsid w:val="00FA0B20"/>
    <w:rsid w:val="00FA13AA"/>
    <w:rsid w:val="00FA1E6E"/>
    <w:rsid w:val="00FA2217"/>
    <w:rsid w:val="00FA24E7"/>
    <w:rsid w:val="00FA288A"/>
    <w:rsid w:val="00FA2E19"/>
    <w:rsid w:val="00FA4FA1"/>
    <w:rsid w:val="00FA4FFF"/>
    <w:rsid w:val="00FA5B05"/>
    <w:rsid w:val="00FA5EE6"/>
    <w:rsid w:val="00FA7221"/>
    <w:rsid w:val="00FA7956"/>
    <w:rsid w:val="00FA7CD4"/>
    <w:rsid w:val="00FB03D0"/>
    <w:rsid w:val="00FB0824"/>
    <w:rsid w:val="00FB2B84"/>
    <w:rsid w:val="00FB2FCB"/>
    <w:rsid w:val="00FB31BD"/>
    <w:rsid w:val="00FB3E0C"/>
    <w:rsid w:val="00FB4139"/>
    <w:rsid w:val="00FB4C9C"/>
    <w:rsid w:val="00FB7552"/>
    <w:rsid w:val="00FB760A"/>
    <w:rsid w:val="00FB7A51"/>
    <w:rsid w:val="00FB7C55"/>
    <w:rsid w:val="00FC0899"/>
    <w:rsid w:val="00FC1074"/>
    <w:rsid w:val="00FC1884"/>
    <w:rsid w:val="00FC1EE7"/>
    <w:rsid w:val="00FC206E"/>
    <w:rsid w:val="00FC371D"/>
    <w:rsid w:val="00FC41F4"/>
    <w:rsid w:val="00FC460B"/>
    <w:rsid w:val="00FC4D26"/>
    <w:rsid w:val="00FC5EA2"/>
    <w:rsid w:val="00FC5F0B"/>
    <w:rsid w:val="00FC6C32"/>
    <w:rsid w:val="00FC70E3"/>
    <w:rsid w:val="00FC748A"/>
    <w:rsid w:val="00FC7672"/>
    <w:rsid w:val="00FC7B9D"/>
    <w:rsid w:val="00FD01E4"/>
    <w:rsid w:val="00FD05AF"/>
    <w:rsid w:val="00FD0600"/>
    <w:rsid w:val="00FD0A9C"/>
    <w:rsid w:val="00FD1687"/>
    <w:rsid w:val="00FD1C78"/>
    <w:rsid w:val="00FD1E66"/>
    <w:rsid w:val="00FD1F96"/>
    <w:rsid w:val="00FD2100"/>
    <w:rsid w:val="00FD235E"/>
    <w:rsid w:val="00FD24A8"/>
    <w:rsid w:val="00FD26F5"/>
    <w:rsid w:val="00FD2866"/>
    <w:rsid w:val="00FD2D3A"/>
    <w:rsid w:val="00FD3218"/>
    <w:rsid w:val="00FD436C"/>
    <w:rsid w:val="00FD446D"/>
    <w:rsid w:val="00FD4963"/>
    <w:rsid w:val="00FD4A14"/>
    <w:rsid w:val="00FD4DCC"/>
    <w:rsid w:val="00FD4F2C"/>
    <w:rsid w:val="00FD5C5A"/>
    <w:rsid w:val="00FD6394"/>
    <w:rsid w:val="00FD6740"/>
    <w:rsid w:val="00FD703D"/>
    <w:rsid w:val="00FD7206"/>
    <w:rsid w:val="00FD7423"/>
    <w:rsid w:val="00FD74ED"/>
    <w:rsid w:val="00FD7894"/>
    <w:rsid w:val="00FE04E1"/>
    <w:rsid w:val="00FE0C04"/>
    <w:rsid w:val="00FE0E6C"/>
    <w:rsid w:val="00FE1779"/>
    <w:rsid w:val="00FE1CDC"/>
    <w:rsid w:val="00FE35D5"/>
    <w:rsid w:val="00FE3760"/>
    <w:rsid w:val="00FE3AFC"/>
    <w:rsid w:val="00FE4B36"/>
    <w:rsid w:val="00FE4DC6"/>
    <w:rsid w:val="00FE5C97"/>
    <w:rsid w:val="00FE659A"/>
    <w:rsid w:val="00FE70C3"/>
    <w:rsid w:val="00FE73E0"/>
    <w:rsid w:val="00FE768D"/>
    <w:rsid w:val="00FF009A"/>
    <w:rsid w:val="00FF05CD"/>
    <w:rsid w:val="00FF1A8B"/>
    <w:rsid w:val="00FF1D46"/>
    <w:rsid w:val="00FF2AD9"/>
    <w:rsid w:val="00FF328A"/>
    <w:rsid w:val="00FF359F"/>
    <w:rsid w:val="00FF3BB1"/>
    <w:rsid w:val="00FF3DCF"/>
    <w:rsid w:val="00FF450D"/>
    <w:rsid w:val="00FF492C"/>
    <w:rsid w:val="00FF4A21"/>
    <w:rsid w:val="00FF4C6F"/>
    <w:rsid w:val="00FF4E15"/>
    <w:rsid w:val="00FF4E55"/>
    <w:rsid w:val="00FF4FC7"/>
    <w:rsid w:val="00FF5178"/>
    <w:rsid w:val="00FF5AA3"/>
    <w:rsid w:val="00FF5AC6"/>
    <w:rsid w:val="00FF5AD8"/>
    <w:rsid w:val="00FF60E4"/>
    <w:rsid w:val="00FF610E"/>
    <w:rsid w:val="00FF69E7"/>
    <w:rsid w:val="00FF712E"/>
    <w:rsid w:val="00FF72B5"/>
    <w:rsid w:val="00FF74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7"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B36"/>
    <w:rPr>
      <w:sz w:val="24"/>
      <w:szCs w:val="24"/>
      <w:lang w:eastAsia="en-GB"/>
    </w:rPr>
  </w:style>
  <w:style w:type="paragraph" w:styleId="Heading1">
    <w:name w:val="heading 1"/>
    <w:basedOn w:val="Normal"/>
    <w:next w:val="Normal"/>
    <w:uiPriority w:val="1"/>
    <w:rsid w:val="001B204E"/>
    <w:pPr>
      <w:ind w:left="720" w:hanging="720"/>
      <w:outlineLvl w:val="0"/>
    </w:pPr>
    <w:rPr>
      <w:rFonts w:ascii="Calibri" w:hAnsi="Calibri"/>
      <w:b/>
      <w:caps/>
      <w:sz w:val="32"/>
    </w:rPr>
  </w:style>
  <w:style w:type="paragraph" w:styleId="Heading2">
    <w:name w:val="heading 2"/>
    <w:basedOn w:val="Normal"/>
    <w:next w:val="Normal"/>
    <w:link w:val="Heading2Char"/>
    <w:rsid w:val="001B204E"/>
    <w:pPr>
      <w:outlineLvl w:val="1"/>
    </w:pPr>
    <w:rPr>
      <w:rFonts w:ascii="Calibri" w:hAnsi="Calibri"/>
      <w:b/>
      <w:i/>
      <w:sz w:val="28"/>
    </w:rPr>
  </w:style>
  <w:style w:type="paragraph" w:styleId="Heading3">
    <w:name w:val="heading 3"/>
    <w:basedOn w:val="Normal"/>
    <w:next w:val="Normal"/>
    <w:rsid w:val="001F7361"/>
    <w:pPr>
      <w:outlineLvl w:val="2"/>
    </w:pPr>
    <w:rPr>
      <w:rFonts w:ascii="Calibri" w:hAnsi="Calibri"/>
      <w:u w:val="single"/>
    </w:rPr>
  </w:style>
  <w:style w:type="paragraph" w:styleId="Heading4">
    <w:name w:val="heading 4"/>
    <w:basedOn w:val="Normal"/>
    <w:next w:val="Normal"/>
    <w:rsid w:val="00124A51"/>
    <w:pPr>
      <w:keepNext/>
      <w:spacing w:before="240" w:after="60"/>
      <w:outlineLvl w:val="3"/>
    </w:pPr>
    <w:rPr>
      <w:rFonts w:ascii="Calibri" w:hAnsi="Calibri"/>
      <w:b/>
      <w:bCs/>
      <w:i/>
      <w:sz w:val="26"/>
      <w:szCs w:val="28"/>
    </w:rPr>
  </w:style>
  <w:style w:type="paragraph" w:styleId="Heading5">
    <w:name w:val="heading 5"/>
    <w:basedOn w:val="Normal"/>
    <w:next w:val="Normal"/>
    <w:rsid w:val="00124A51"/>
    <w:pPr>
      <w:spacing w:before="240" w:after="60"/>
      <w:outlineLvl w:val="4"/>
    </w:pPr>
    <w:rPr>
      <w:rFonts w:ascii="Calibri" w:hAnsi="Calibri"/>
      <w:b/>
      <w:bCs/>
      <w:iCs/>
      <w:sz w:val="26"/>
      <w:szCs w:val="26"/>
    </w:rPr>
  </w:style>
  <w:style w:type="paragraph" w:styleId="Heading6">
    <w:name w:val="heading 6"/>
    <w:basedOn w:val="Normal"/>
    <w:next w:val="Normal"/>
    <w:rsid w:val="00124A51"/>
    <w:pPr>
      <w:spacing w:before="240" w:after="60"/>
      <w:outlineLvl w:val="5"/>
    </w:pPr>
    <w:rPr>
      <w:rFonts w:ascii="Calibri" w:hAnsi="Calibri"/>
      <w:b/>
      <w:bCs/>
      <w:i/>
    </w:rPr>
  </w:style>
  <w:style w:type="paragraph" w:styleId="Heading7">
    <w:name w:val="heading 7"/>
    <w:basedOn w:val="Normal"/>
    <w:next w:val="Normal"/>
    <w:link w:val="Heading7Char"/>
    <w:rsid w:val="00124A51"/>
    <w:pPr>
      <w:keepNext/>
      <w:jc w:val="center"/>
      <w:outlineLvl w:val="6"/>
    </w:pPr>
    <w:rPr>
      <w:rFonts w:ascii="Calibri" w:hAnsi="Calibri"/>
      <w:b/>
      <w:sz w:val="20"/>
    </w:rPr>
  </w:style>
  <w:style w:type="paragraph" w:styleId="Heading8">
    <w:name w:val="heading 8"/>
    <w:basedOn w:val="Normal"/>
    <w:next w:val="Normal"/>
    <w:link w:val="Heading8Char"/>
    <w:uiPriority w:val="7"/>
    <w:rsid w:val="00124A51"/>
    <w:pPr>
      <w:keepNext/>
      <w:jc w:val="right"/>
      <w:outlineLvl w:val="7"/>
    </w:pPr>
    <w:rPr>
      <w:rFonts w:ascii="Calibri" w:hAnsi="Calibri"/>
      <w:b/>
    </w:rPr>
  </w:style>
  <w:style w:type="paragraph" w:styleId="Heading9">
    <w:name w:val="heading 9"/>
    <w:basedOn w:val="Normal"/>
    <w:next w:val="Normal"/>
    <w:link w:val="Heading9Char"/>
    <w:rsid w:val="00124A51"/>
    <w:pPr>
      <w:keepNext/>
      <w:jc w:val="center"/>
      <w:outlineLvl w:val="8"/>
    </w:pPr>
    <w:rPr>
      <w:rFonts w:ascii="Calibri" w:hAnsi="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rFonts w:ascii="Calibri" w:hAnsi="Calibri"/>
      <w:b/>
      <w:sz w:val="20"/>
    </w:rPr>
  </w:style>
  <w:style w:type="paragraph" w:styleId="Caption">
    <w:name w:val="caption"/>
    <w:aliases w:val="Table caption,Bayer Caption,IB Caption,Medical Caption,CSR Caption,Caption Char1,Caption Char Char,Medical Caption + Arial Narrow,Bayer Caption1,IB Caption1,Medical Caption1,Medical Caption + Arial Narrow1,Bayer Caption2,IB Caption2"/>
    <w:basedOn w:val="Normal"/>
    <w:next w:val="Normal"/>
    <w:link w:val="CaptionChar"/>
    <w:uiPriority w:val="99"/>
    <w:unhideWhenUsed/>
    <w:qFormat/>
    <w:rsid w:val="00E16AD8"/>
    <w:pPr>
      <w:keepNext/>
      <w:keepLines/>
    </w:pPr>
    <w:rPr>
      <w:rFonts w:ascii="Arial Narrow" w:hAnsi="Arial Narrow"/>
      <w:b/>
      <w:bCs/>
      <w:sz w:val="20"/>
      <w:szCs w:val="18"/>
    </w:rPr>
  </w:style>
  <w:style w:type="character" w:customStyle="1" w:styleId="CaptionChar">
    <w:name w:val="Caption Char"/>
    <w:aliases w:val="Table caption Char,Bayer Caption Char,IB Caption Char,Medical Caption Char,CSR Caption Char,Caption Char1 Char,Caption Char Char Char,Medical Caption + Arial Narrow Char,Bayer Caption1 Char,IB Caption1 Char,Medical Caption1 Char"/>
    <w:link w:val="Caption"/>
    <w:uiPriority w:val="99"/>
    <w:rsid w:val="00E16AD8"/>
    <w:rPr>
      <w:rFonts w:ascii="Arial Narrow" w:hAnsi="Arial Narrow" w:cs="Arial"/>
      <w:b/>
      <w:bCs/>
      <w:szCs w:val="18"/>
    </w:rPr>
  </w:style>
  <w:style w:type="paragraph" w:styleId="Title">
    <w:name w:val="Title"/>
    <w:basedOn w:val="Normal"/>
    <w:next w:val="Normal"/>
    <w:link w:val="TitleChar"/>
    <w:uiPriority w:val="87"/>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87"/>
    <w:rsid w:val="00124A51"/>
    <w:rPr>
      <w:rFonts w:ascii="Cambria" w:hAnsi="Cambria"/>
      <w:b/>
      <w:bCs/>
      <w:snapToGrid w:val="0"/>
      <w:kern w:val="28"/>
      <w:sz w:val="32"/>
      <w:szCs w:val="32"/>
      <w:lang w:eastAsia="en-US"/>
    </w:rPr>
  </w:style>
  <w:style w:type="paragraph" w:styleId="BodyText">
    <w:name w:val="Body Text"/>
    <w:basedOn w:val="Normal"/>
    <w:link w:val="BodyTextChar"/>
    <w:rsid w:val="004B3DDB"/>
    <w:rPr>
      <w:rFonts w:ascii="Calibri" w:hAnsi="Calibri"/>
    </w:r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Point,Bulletr List Paragraph,L,FooterText"/>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rPr>
      <w:rFonts w:ascii="Calibri" w:hAnsi="Calibri"/>
    </w:r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rPr>
      <w:rFonts w:ascii="Calibri" w:hAnsi="Calibri"/>
    </w:r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HTAtableplain,RTI AMCP Table,new style,Header Table,NICE instructions,Source table_,Lash Style Tab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rPr>
      <w:rFonts w:ascii="Arial Narrow" w:hAnsi="Arial Narrow"/>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snapToGrid w:val="0"/>
      <w:lang w:val="en-US"/>
    </w:rPr>
  </w:style>
  <w:style w:type="paragraph" w:styleId="NormalWeb">
    <w:name w:val="Normal (Web)"/>
    <w:basedOn w:val="Normal"/>
    <w:uiPriority w:val="99"/>
    <w:rsid w:val="008F48EB"/>
    <w:pPr>
      <w:spacing w:before="100" w:after="100"/>
    </w:pPr>
    <w:rPr>
      <w:snapToGrid w:val="0"/>
      <w:lang w:val="en-GB"/>
    </w:rPr>
  </w:style>
  <w:style w:type="paragraph" w:styleId="TOC2">
    <w:name w:val="toc 2"/>
    <w:basedOn w:val="Normal"/>
    <w:next w:val="Normal"/>
    <w:autoRedefine/>
    <w:uiPriority w:val="39"/>
    <w:rsid w:val="005C7F93"/>
    <w:pPr>
      <w:tabs>
        <w:tab w:val="left" w:pos="713"/>
        <w:tab w:val="left" w:pos="880"/>
        <w:tab w:val="right" w:leader="dot" w:pos="9016"/>
      </w:tabs>
      <w:spacing w:before="40"/>
      <w:ind w:left="221"/>
    </w:pPr>
    <w:rPr>
      <w:rFonts w:ascii="Calibri" w:hAnsi="Calibri"/>
      <w:iCs/>
      <w:sz w:val="20"/>
    </w:rPr>
  </w:style>
  <w:style w:type="paragraph" w:styleId="TOC1">
    <w:name w:val="toc 1"/>
    <w:basedOn w:val="Normal"/>
    <w:next w:val="Normal"/>
    <w:autoRedefine/>
    <w:uiPriority w:val="39"/>
    <w:rsid w:val="00393D25"/>
    <w:pPr>
      <w:tabs>
        <w:tab w:val="left" w:pos="440"/>
        <w:tab w:val="right" w:leader="dot" w:pos="9016"/>
      </w:tabs>
      <w:spacing w:after="120"/>
      <w:jc w:val="both"/>
    </w:pPr>
    <w:rPr>
      <w:rFonts w:ascii="Calibri" w:hAnsi="Calibri"/>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6F649F"/>
    <w:pPr>
      <w:tabs>
        <w:tab w:val="right" w:leader="dot" w:pos="9016"/>
      </w:tabs>
      <w:spacing w:after="120"/>
      <w:ind w:left="442"/>
    </w:pPr>
    <w:rPr>
      <w:rFonts w:asciiTheme="minorHAnsi" w:hAnsiTheme="minorHAnsi"/>
      <w:sz w:val="20"/>
    </w:rPr>
  </w:style>
  <w:style w:type="paragraph" w:styleId="TOC4">
    <w:name w:val="toc 4"/>
    <w:basedOn w:val="Normal"/>
    <w:next w:val="Normal"/>
    <w:autoRedefine/>
    <w:rsid w:val="00D0262E"/>
    <w:pPr>
      <w:ind w:left="660"/>
    </w:pPr>
    <w:rPr>
      <w:rFonts w:asciiTheme="minorHAnsi" w:hAnsiTheme="minorHAnsi"/>
      <w:sz w:val="20"/>
    </w:rPr>
  </w:style>
  <w:style w:type="paragraph" w:styleId="TOC5">
    <w:name w:val="toc 5"/>
    <w:basedOn w:val="Normal"/>
    <w:next w:val="Normal"/>
    <w:autoRedefine/>
    <w:rsid w:val="00D0262E"/>
    <w:pPr>
      <w:ind w:left="880"/>
    </w:pPr>
    <w:rPr>
      <w:rFonts w:asciiTheme="minorHAnsi" w:hAnsiTheme="minorHAnsi"/>
      <w:sz w:val="20"/>
    </w:rPr>
  </w:style>
  <w:style w:type="paragraph" w:styleId="TOC6">
    <w:name w:val="toc 6"/>
    <w:basedOn w:val="Normal"/>
    <w:next w:val="Normal"/>
    <w:autoRedefine/>
    <w:rsid w:val="00D0262E"/>
    <w:pPr>
      <w:ind w:left="1100"/>
    </w:pPr>
    <w:rPr>
      <w:rFonts w:asciiTheme="minorHAnsi" w:hAnsiTheme="minorHAnsi"/>
      <w:sz w:val="20"/>
    </w:rPr>
  </w:style>
  <w:style w:type="paragraph" w:styleId="TOC7">
    <w:name w:val="toc 7"/>
    <w:basedOn w:val="Normal"/>
    <w:next w:val="Normal"/>
    <w:autoRedefine/>
    <w:rsid w:val="00D0262E"/>
    <w:pPr>
      <w:ind w:left="1320"/>
    </w:pPr>
    <w:rPr>
      <w:rFonts w:asciiTheme="minorHAnsi" w:hAnsiTheme="minorHAnsi"/>
      <w:sz w:val="20"/>
    </w:rPr>
  </w:style>
  <w:style w:type="paragraph" w:styleId="TOC8">
    <w:name w:val="toc 8"/>
    <w:basedOn w:val="Normal"/>
    <w:next w:val="Normal"/>
    <w:autoRedefine/>
    <w:rsid w:val="00D0262E"/>
    <w:pPr>
      <w:ind w:left="1540"/>
    </w:pPr>
    <w:rPr>
      <w:rFonts w:asciiTheme="minorHAnsi" w:hAnsiTheme="minorHAnsi"/>
      <w:sz w:val="20"/>
    </w:rPr>
  </w:style>
  <w:style w:type="paragraph" w:styleId="TOC9">
    <w:name w:val="toc 9"/>
    <w:basedOn w:val="Normal"/>
    <w:next w:val="Normal"/>
    <w:autoRedefine/>
    <w:rsid w:val="00D0262E"/>
    <w:pPr>
      <w:ind w:left="1760"/>
    </w:pPr>
    <w:rPr>
      <w:rFonts w:asciiTheme="minorHAnsi" w:hAnsiTheme="minorHAnsi"/>
      <w:sz w:val="20"/>
    </w:rPr>
  </w:style>
  <w:style w:type="paragraph" w:styleId="CommentText">
    <w:name w:val="annotation text"/>
    <w:aliases w:val="- H19"/>
    <w:basedOn w:val="Normal"/>
    <w:link w:val="CommentTextChar"/>
    <w:uiPriority w:val="99"/>
    <w:rsid w:val="00FD2100"/>
    <w:rPr>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rPr>
      <w:rFonts w:ascii="Calibri" w:hAnsi="Calibri"/>
    </w:r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rFonts w:ascii="Calibri" w:hAnsi="Calibri"/>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rFonts w:ascii="Calibri" w:hAnsi="Calibri"/>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jc w:val="both"/>
    </w:pPr>
    <w:rPr>
      <w:rFonts w:ascii="Calibri" w:hAnsi="Calibri"/>
    </w:r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Text1">
    <w:name w:val="TableText"/>
    <w:basedOn w:val="Normal"/>
    <w:link w:val="TableTextChar1"/>
    <w:uiPriority w:val="3"/>
    <w:qFormat/>
    <w:rsid w:val="008C0883"/>
    <w:pPr>
      <w:spacing w:before="20" w:after="20"/>
    </w:pPr>
    <w:rPr>
      <w:rFonts w:ascii="Calibri" w:hAnsi="Calibri" w:cs="Calibri"/>
      <w:bCs/>
      <w:sz w:val="20"/>
      <w:szCs w:val="20"/>
      <w:lang w:eastAsia="zh-CN"/>
    </w:rPr>
  </w:style>
  <w:style w:type="character" w:customStyle="1" w:styleId="TableTextChar1">
    <w:name w:val="TableText Char"/>
    <w:basedOn w:val="DefaultParagraphFont"/>
    <w:link w:val="TableText1"/>
    <w:uiPriority w:val="3"/>
    <w:rsid w:val="008C0883"/>
    <w:rPr>
      <w:rFonts w:ascii="Calibri" w:hAnsi="Calibri" w:cs="Calibri"/>
      <w:bCs/>
      <w:lang w:eastAsia="zh-CN"/>
    </w:rPr>
  </w:style>
  <w:style w:type="paragraph" w:styleId="FootnoteText">
    <w:name w:val="footnote text"/>
    <w:aliases w:val="Char"/>
    <w:basedOn w:val="Normal"/>
    <w:link w:val="FootnoteTextChar"/>
    <w:uiPriority w:val="99"/>
    <w:unhideWhenUsed/>
    <w:rsid w:val="00502876"/>
    <w:rPr>
      <w:rFonts w:ascii="Calibri" w:hAnsi="Calibri"/>
      <w:sz w:val="20"/>
      <w:szCs w:val="20"/>
    </w:rPr>
  </w:style>
  <w:style w:type="character" w:customStyle="1" w:styleId="FootnoteTextChar">
    <w:name w:val="Footnote Text Char"/>
    <w:aliases w:val="Char Char"/>
    <w:basedOn w:val="DefaultParagraphFont"/>
    <w:link w:val="FootnoteText"/>
    <w:uiPriority w:val="99"/>
    <w:rsid w:val="00502876"/>
    <w:rPr>
      <w:rFonts w:ascii="Calibri" w:hAnsi="Calibri" w:cs="Arial"/>
    </w:rPr>
  </w:style>
  <w:style w:type="character" w:styleId="FootnoteReference">
    <w:name w:val="footnote reference"/>
    <w:basedOn w:val="DefaultParagraphFont"/>
    <w:uiPriority w:val="99"/>
    <w:semiHidden/>
    <w:unhideWhenUsed/>
    <w:rsid w:val="00502876"/>
    <w:rPr>
      <w:vertAlign w:val="superscript"/>
    </w:rPr>
  </w:style>
  <w:style w:type="paragraph" w:customStyle="1" w:styleId="SourceNotes">
    <w:name w:val="SourceNotes"/>
    <w:basedOn w:val="Normal"/>
    <w:next w:val="Normal"/>
    <w:link w:val="SourceNotesChar"/>
    <w:uiPriority w:val="2"/>
    <w:qFormat/>
    <w:rsid w:val="004C2922"/>
    <w:pPr>
      <w:tabs>
        <w:tab w:val="left" w:pos="1100"/>
      </w:tabs>
      <w:ind w:left="1100" w:hanging="1100"/>
    </w:pPr>
    <w:rPr>
      <w:rFonts w:ascii="Calibri" w:eastAsiaTheme="minorEastAsia" w:hAnsi="Calibri" w:cstheme="minorBidi"/>
      <w:sz w:val="18"/>
      <w:szCs w:val="18"/>
      <w:lang w:eastAsia="en-US"/>
    </w:rPr>
  </w:style>
  <w:style w:type="character" w:customStyle="1" w:styleId="SourceNotesChar">
    <w:name w:val="SourceNotes Char"/>
    <w:basedOn w:val="DefaultParagraphFont"/>
    <w:link w:val="SourceNotes"/>
    <w:uiPriority w:val="2"/>
    <w:rsid w:val="004C2922"/>
    <w:rPr>
      <w:rFonts w:ascii="Calibri" w:eastAsiaTheme="minorEastAsia" w:hAnsi="Calibri" w:cstheme="minorBidi"/>
      <w:sz w:val="18"/>
      <w:szCs w:val="18"/>
      <w:lang w:eastAsia="en-US"/>
    </w:rPr>
  </w:style>
  <w:style w:type="paragraph" w:customStyle="1" w:styleId="TableHeadingRow">
    <w:name w:val="TableHeadingRow"/>
    <w:basedOn w:val="TableText1"/>
    <w:uiPriority w:val="3"/>
    <w:qFormat/>
    <w:rsid w:val="00A80882"/>
    <w:pPr>
      <w:keepNext/>
      <w:spacing w:before="40" w:after="40"/>
      <w:jc w:val="center"/>
    </w:pPr>
    <w:rPr>
      <w:b/>
      <w:bCs w:val="0"/>
    </w:rPr>
  </w:style>
  <w:style w:type="paragraph" w:customStyle="1" w:styleId="TableNotes">
    <w:name w:val="TableNotes"/>
    <w:basedOn w:val="Normal"/>
    <w:next w:val="Normal"/>
    <w:link w:val="TableNotesChar"/>
    <w:uiPriority w:val="3"/>
    <w:qFormat/>
    <w:rsid w:val="00A80882"/>
    <w:pPr>
      <w:tabs>
        <w:tab w:val="left" w:pos="1134"/>
      </w:tabs>
      <w:ind w:left="1134" w:hanging="1134"/>
    </w:pPr>
    <w:rPr>
      <w:rFonts w:ascii="Calibri" w:eastAsiaTheme="minorEastAsia" w:hAnsi="Calibri" w:cstheme="minorBidi"/>
      <w:sz w:val="18"/>
      <w:szCs w:val="18"/>
      <w:lang w:eastAsia="zh-CN"/>
    </w:rPr>
  </w:style>
  <w:style w:type="character" w:customStyle="1" w:styleId="TableNotesChar">
    <w:name w:val="TableNotes Char"/>
    <w:basedOn w:val="DefaultParagraphFont"/>
    <w:link w:val="TableNotes"/>
    <w:uiPriority w:val="3"/>
    <w:rsid w:val="00A80882"/>
    <w:rPr>
      <w:rFonts w:ascii="Calibri" w:eastAsiaTheme="minorEastAsia" w:hAnsi="Calibri" w:cstheme="minorBidi"/>
      <w:sz w:val="18"/>
      <w:szCs w:val="18"/>
      <w:lang w:eastAsia="zh-CN"/>
    </w:rPr>
  </w:style>
  <w:style w:type="character" w:customStyle="1" w:styleId="TableFigureFooterChar">
    <w:name w:val="Table/Figure Footer Char"/>
    <w:link w:val="TableFigureFooter"/>
    <w:locked/>
    <w:rsid w:val="001E7B74"/>
    <w:rPr>
      <w:rFonts w:ascii="Arial Narrow" w:hAnsi="Arial Narrow" w:cs="Arial"/>
      <w:sz w:val="18"/>
      <w:szCs w:val="22"/>
    </w:rPr>
  </w:style>
  <w:style w:type="paragraph" w:customStyle="1" w:styleId="TableFigureFooter">
    <w:name w:val="Table/Figure Footer"/>
    <w:basedOn w:val="Normal"/>
    <w:link w:val="TableFigureFooterChar"/>
    <w:qFormat/>
    <w:rsid w:val="001E7B74"/>
    <w:pPr>
      <w:snapToGrid w:val="0"/>
      <w:spacing w:after="120"/>
      <w:contextualSpacing/>
    </w:pPr>
    <w:rPr>
      <w:rFonts w:ascii="Arial Narrow" w:hAnsi="Arial Narrow"/>
      <w:sz w:val="18"/>
      <w:szCs w:val="22"/>
    </w:rPr>
  </w:style>
  <w:style w:type="paragraph" w:customStyle="1" w:styleId="BulletList">
    <w:name w:val="Bullet List"/>
    <w:basedOn w:val="Normal"/>
    <w:link w:val="BulletListChar"/>
    <w:uiPriority w:val="2"/>
    <w:qFormat/>
    <w:rsid w:val="008B6FC1"/>
    <w:pPr>
      <w:numPr>
        <w:numId w:val="9"/>
      </w:numPr>
      <w:tabs>
        <w:tab w:val="left" w:pos="426"/>
      </w:tabs>
      <w:spacing w:after="200" w:line="264" w:lineRule="auto"/>
      <w:contextualSpacing/>
    </w:pPr>
    <w:rPr>
      <w:rFonts w:ascii="Calibri" w:eastAsiaTheme="minorEastAsia" w:hAnsi="Calibri" w:cstheme="minorBidi"/>
      <w:sz w:val="22"/>
      <w:szCs w:val="22"/>
      <w:lang w:val="en-US" w:eastAsia="zh-CN"/>
    </w:rPr>
  </w:style>
  <w:style w:type="character" w:customStyle="1" w:styleId="BulletListChar">
    <w:name w:val="Bullet List Char"/>
    <w:basedOn w:val="DefaultParagraphFont"/>
    <w:link w:val="BulletList"/>
    <w:uiPriority w:val="2"/>
    <w:rsid w:val="008B6FC1"/>
    <w:rPr>
      <w:rFonts w:ascii="Calibri" w:eastAsiaTheme="minorEastAsia" w:hAnsi="Calibri" w:cstheme="minorBidi"/>
      <w:sz w:val="22"/>
      <w:szCs w:val="22"/>
      <w:lang w:val="en-US" w:eastAsia="zh-CN"/>
    </w:rPr>
  </w:style>
  <w:style w:type="character" w:customStyle="1" w:styleId="cf01">
    <w:name w:val="cf01"/>
    <w:basedOn w:val="DefaultParagraphFont"/>
    <w:rsid w:val="00C666F3"/>
    <w:rPr>
      <w:rFonts w:ascii="Segoe UI" w:hAnsi="Segoe UI" w:cs="Segoe UI" w:hint="default"/>
      <w:sz w:val="18"/>
      <w:szCs w:val="18"/>
    </w:rPr>
  </w:style>
  <w:style w:type="paragraph" w:customStyle="1" w:styleId="Tabletextbold">
    <w:name w:val="Table text bold"/>
    <w:basedOn w:val="Normal"/>
    <w:qFormat/>
    <w:rsid w:val="00046847"/>
    <w:pPr>
      <w:spacing w:before="20" w:after="20"/>
      <w:ind w:left="57" w:right="57"/>
    </w:pPr>
    <w:rPr>
      <w:rFonts w:asciiTheme="minorHAnsi" w:eastAsia="Arial" w:hAnsiTheme="minorHAnsi"/>
      <w:b/>
      <w:bCs/>
      <w:sz w:val="18"/>
      <w:szCs w:val="20"/>
      <w:lang w:val="de-DE"/>
    </w:rPr>
  </w:style>
  <w:style w:type="paragraph" w:customStyle="1" w:styleId="Tablefootnote">
    <w:name w:val="Table footnote"/>
    <w:basedOn w:val="Normal"/>
    <w:link w:val="TablefootnoteChar"/>
    <w:qFormat/>
    <w:rsid w:val="00046847"/>
    <w:pPr>
      <w:keepNext/>
      <w:keepLines/>
      <w:spacing w:before="120" w:after="120"/>
      <w:contextualSpacing/>
    </w:pPr>
    <w:rPr>
      <w:rFonts w:ascii="Arial Narrow" w:hAnsi="Arial Narrow"/>
      <w:sz w:val="18"/>
      <w:szCs w:val="22"/>
      <w:lang w:eastAsia="en-US"/>
    </w:rPr>
  </w:style>
  <w:style w:type="character" w:customStyle="1" w:styleId="TablefootnoteChar">
    <w:name w:val="Table footnote Char"/>
    <w:basedOn w:val="DefaultParagraphFont"/>
    <w:link w:val="Tablefootnote"/>
    <w:rsid w:val="00046847"/>
    <w:rPr>
      <w:rFonts w:ascii="Arial Narrow" w:hAnsi="Arial Narrow"/>
      <w:sz w:val="18"/>
      <w:szCs w:val="22"/>
      <w:lang w:eastAsia="en-US"/>
    </w:rPr>
  </w:style>
  <w:style w:type="character" w:customStyle="1" w:styleId="ui-provider">
    <w:name w:val="ui-provider"/>
    <w:basedOn w:val="DefaultParagraphFont"/>
    <w:rsid w:val="00046847"/>
  </w:style>
  <w:style w:type="paragraph" w:customStyle="1" w:styleId="1-MainHeading0">
    <w:name w:val="1- Main Heading"/>
    <w:link w:val="1-MainHeadingChar0"/>
    <w:qFormat/>
    <w:rsid w:val="00046847"/>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0">
    <w:name w:val="1- Main Heading Char"/>
    <w:basedOn w:val="DefaultParagraphFont"/>
    <w:link w:val="1-MainHeading0"/>
    <w:rsid w:val="00046847"/>
    <w:rPr>
      <w:rFonts w:asciiTheme="minorHAnsi" w:eastAsiaTheme="majorEastAsia" w:hAnsiTheme="minorHAnsi" w:cstheme="majorBidi"/>
      <w:b/>
      <w:spacing w:val="5"/>
      <w:kern w:val="28"/>
      <w:sz w:val="36"/>
      <w:szCs w:val="36"/>
    </w:rPr>
  </w:style>
  <w:style w:type="character" w:styleId="Emphasis">
    <w:name w:val="Emphasis"/>
    <w:basedOn w:val="DefaultParagraphFont"/>
    <w:uiPriority w:val="20"/>
    <w:qFormat/>
    <w:rsid w:val="00046847"/>
    <w:rPr>
      <w:i/>
      <w:iCs/>
    </w:rPr>
  </w:style>
  <w:style w:type="paragraph" w:customStyle="1" w:styleId="PBACcaption">
    <w:name w:val="PBAC caption"/>
    <w:basedOn w:val="Normal"/>
    <w:link w:val="PBACcaptionChar"/>
    <w:qFormat/>
    <w:rsid w:val="00050C0F"/>
    <w:rPr>
      <w:rFonts w:ascii="Sabon" w:eastAsiaTheme="minorHAnsi" w:hAnsi="Sabon" w:cs="Arial"/>
      <w:b/>
      <w:sz w:val="22"/>
      <w:szCs w:val="22"/>
      <w:lang w:eastAsia="en-US"/>
    </w:rPr>
  </w:style>
  <w:style w:type="character" w:customStyle="1" w:styleId="PBACcaptionChar">
    <w:name w:val="PBAC caption Char"/>
    <w:basedOn w:val="DefaultParagraphFont"/>
    <w:link w:val="PBACcaption"/>
    <w:rsid w:val="00050C0F"/>
    <w:rPr>
      <w:rFonts w:ascii="Sabon" w:eastAsiaTheme="minorHAnsi" w:hAnsi="Sabon" w:cs="Arial"/>
      <w:b/>
      <w:sz w:val="22"/>
      <w:szCs w:val="22"/>
      <w:lang w:eastAsia="en-US"/>
    </w:rPr>
  </w:style>
  <w:style w:type="paragraph" w:customStyle="1" w:styleId="PbacTableHeading">
    <w:name w:val="Pbac Table Heading"/>
    <w:basedOn w:val="PBACTableText"/>
    <w:qFormat/>
    <w:rsid w:val="00050C0F"/>
    <w:pPr>
      <w:spacing w:before="0" w:after="80"/>
    </w:pPr>
    <w:rPr>
      <w:rFonts w:eastAsiaTheme="minorHAnsi" w:cs="Arial"/>
      <w:b/>
    </w:rPr>
  </w:style>
  <w:style w:type="paragraph" w:customStyle="1" w:styleId="PBACTableText">
    <w:name w:val="PBAC Table Text"/>
    <w:basedOn w:val="Normal"/>
    <w:link w:val="PBACTableTextChar"/>
    <w:qFormat/>
    <w:rsid w:val="00050C0F"/>
    <w:pPr>
      <w:spacing w:before="40" w:after="40"/>
    </w:pPr>
    <w:rPr>
      <w:rFonts w:ascii="Arial Narrow" w:hAnsi="Arial Narrow"/>
      <w:sz w:val="20"/>
      <w:szCs w:val="20"/>
      <w:lang w:eastAsia="en-US"/>
    </w:rPr>
  </w:style>
  <w:style w:type="character" w:customStyle="1" w:styleId="PBACTableTextChar">
    <w:name w:val="PBAC Table Text Char"/>
    <w:basedOn w:val="DefaultParagraphFont"/>
    <w:link w:val="PBACTableText"/>
    <w:rsid w:val="00050C0F"/>
    <w:rPr>
      <w:rFonts w:ascii="Arial Narrow" w:hAnsi="Arial Narrow"/>
      <w:lang w:eastAsia="en-US"/>
    </w:rPr>
  </w:style>
  <w:style w:type="paragraph" w:customStyle="1" w:styleId="Bodytextitalics">
    <w:name w:val="Body text italics"/>
    <w:basedOn w:val="BodyText"/>
    <w:qFormat/>
    <w:rsid w:val="00050C0F"/>
    <w:pPr>
      <w:spacing w:after="120"/>
      <w:jc w:val="both"/>
    </w:pPr>
    <w:rPr>
      <w:rFonts w:asciiTheme="minorHAnsi" w:eastAsiaTheme="minorHAnsi" w:hAnsiTheme="minorHAnsi" w:cstheme="minorBidi"/>
      <w:i/>
      <w:szCs w:val="22"/>
      <w:lang w:eastAsia="en-AU"/>
    </w:rPr>
  </w:style>
  <w:style w:type="paragraph" w:customStyle="1" w:styleId="3-SubsectionHeading">
    <w:name w:val="3-Subsection Heading"/>
    <w:basedOn w:val="Heading2"/>
    <w:next w:val="Normal"/>
    <w:link w:val="3-SubsectionHeadingChar"/>
    <w:qFormat/>
    <w:rsid w:val="00B04A98"/>
    <w:pPr>
      <w:keepNext/>
      <w:spacing w:before="120" w:after="120"/>
      <w:jc w:val="both"/>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B04A98"/>
    <w:rPr>
      <w:rFonts w:asciiTheme="minorHAnsi" w:eastAsiaTheme="majorEastAsia" w:hAnsiTheme="minorHAnsi" w:cstheme="majorBidi"/>
      <w:b/>
      <w:i/>
      <w:snapToGrid/>
      <w:spacing w:val="5"/>
      <w:kern w:val="28"/>
      <w:sz w:val="28"/>
      <w:szCs w:val="36"/>
      <w:lang w:eastAsia="en-US"/>
    </w:rPr>
  </w:style>
  <w:style w:type="character" w:customStyle="1" w:styleId="cf11">
    <w:name w:val="cf11"/>
    <w:basedOn w:val="DefaultParagraphFont"/>
    <w:rsid w:val="00550FBB"/>
    <w:rPr>
      <w:rFonts w:ascii="Segoe UI" w:hAnsi="Segoe UI" w:cs="Segoe UI" w:hint="default"/>
      <w:i/>
      <w:iCs/>
      <w:sz w:val="18"/>
      <w:szCs w:val="18"/>
      <w:shd w:val="clear" w:color="auto" w:fill="FFFF00"/>
    </w:rPr>
  </w:style>
  <w:style w:type="character" w:customStyle="1" w:styleId="UnresolvedMention1">
    <w:name w:val="Unresolved Mention1"/>
    <w:basedOn w:val="DefaultParagraphFont"/>
    <w:uiPriority w:val="99"/>
    <w:semiHidden/>
    <w:unhideWhenUsed/>
    <w:rsid w:val="00CA14CD"/>
    <w:rPr>
      <w:color w:val="605E5C"/>
      <w:shd w:val="clear" w:color="auto" w:fill="E1DFDD"/>
    </w:rPr>
  </w:style>
  <w:style w:type="paragraph" w:customStyle="1" w:styleId="3Bodytext">
    <w:name w:val="3. Body text"/>
    <w:basedOn w:val="ListParagraph"/>
    <w:qFormat/>
    <w:rsid w:val="007C43CD"/>
    <w:pPr>
      <w:ind w:left="720" w:hanging="720"/>
      <w:jc w:val="left"/>
    </w:pPr>
    <w:rPr>
      <w:rFonts w:eastAsiaTheme="minorHAnsi" w:cstheme="minorBidi"/>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155">
      <w:bodyDiv w:val="1"/>
      <w:marLeft w:val="0"/>
      <w:marRight w:val="0"/>
      <w:marTop w:val="0"/>
      <w:marBottom w:val="0"/>
      <w:divBdr>
        <w:top w:val="none" w:sz="0" w:space="0" w:color="auto"/>
        <w:left w:val="none" w:sz="0" w:space="0" w:color="auto"/>
        <w:bottom w:val="none" w:sz="0" w:space="0" w:color="auto"/>
        <w:right w:val="none" w:sz="0" w:space="0" w:color="auto"/>
      </w:divBdr>
    </w:div>
    <w:div w:id="10107121">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4228157">
      <w:bodyDiv w:val="1"/>
      <w:marLeft w:val="0"/>
      <w:marRight w:val="0"/>
      <w:marTop w:val="0"/>
      <w:marBottom w:val="0"/>
      <w:divBdr>
        <w:top w:val="none" w:sz="0" w:space="0" w:color="auto"/>
        <w:left w:val="none" w:sz="0" w:space="0" w:color="auto"/>
        <w:bottom w:val="none" w:sz="0" w:space="0" w:color="auto"/>
        <w:right w:val="none" w:sz="0" w:space="0" w:color="auto"/>
      </w:divBdr>
      <w:divsChild>
        <w:div w:id="522597910">
          <w:marLeft w:val="0"/>
          <w:marRight w:val="0"/>
          <w:marTop w:val="0"/>
          <w:marBottom w:val="0"/>
          <w:divBdr>
            <w:top w:val="none" w:sz="0" w:space="0" w:color="auto"/>
            <w:left w:val="none" w:sz="0" w:space="0" w:color="auto"/>
            <w:bottom w:val="none" w:sz="0" w:space="0" w:color="auto"/>
            <w:right w:val="none" w:sz="0" w:space="0" w:color="auto"/>
          </w:divBdr>
          <w:divsChild>
            <w:div w:id="1833721303">
              <w:marLeft w:val="0"/>
              <w:marRight w:val="0"/>
              <w:marTop w:val="0"/>
              <w:marBottom w:val="0"/>
              <w:divBdr>
                <w:top w:val="none" w:sz="0" w:space="0" w:color="auto"/>
                <w:left w:val="none" w:sz="0" w:space="0" w:color="auto"/>
                <w:bottom w:val="none" w:sz="0" w:space="0" w:color="auto"/>
                <w:right w:val="none" w:sz="0" w:space="0" w:color="auto"/>
              </w:divBdr>
              <w:divsChild>
                <w:div w:id="338121590">
                  <w:marLeft w:val="0"/>
                  <w:marRight w:val="0"/>
                  <w:marTop w:val="0"/>
                  <w:marBottom w:val="0"/>
                  <w:divBdr>
                    <w:top w:val="none" w:sz="0" w:space="0" w:color="auto"/>
                    <w:left w:val="none" w:sz="0" w:space="0" w:color="auto"/>
                    <w:bottom w:val="none" w:sz="0" w:space="0" w:color="auto"/>
                    <w:right w:val="none" w:sz="0" w:space="0" w:color="auto"/>
                  </w:divBdr>
                  <w:divsChild>
                    <w:div w:id="1010792937">
                      <w:marLeft w:val="0"/>
                      <w:marRight w:val="0"/>
                      <w:marTop w:val="0"/>
                      <w:marBottom w:val="0"/>
                      <w:divBdr>
                        <w:top w:val="none" w:sz="0" w:space="0" w:color="auto"/>
                        <w:left w:val="none" w:sz="0" w:space="0" w:color="auto"/>
                        <w:bottom w:val="none" w:sz="0" w:space="0" w:color="auto"/>
                        <w:right w:val="none" w:sz="0" w:space="0" w:color="auto"/>
                      </w:divBdr>
                      <w:divsChild>
                        <w:div w:id="115023135">
                          <w:marLeft w:val="0"/>
                          <w:marRight w:val="0"/>
                          <w:marTop w:val="0"/>
                          <w:marBottom w:val="0"/>
                          <w:divBdr>
                            <w:top w:val="none" w:sz="0" w:space="0" w:color="auto"/>
                            <w:left w:val="none" w:sz="0" w:space="0" w:color="auto"/>
                            <w:bottom w:val="none" w:sz="0" w:space="0" w:color="auto"/>
                            <w:right w:val="none" w:sz="0" w:space="0" w:color="auto"/>
                          </w:divBdr>
                          <w:divsChild>
                            <w:div w:id="1070033297">
                              <w:marLeft w:val="0"/>
                              <w:marRight w:val="0"/>
                              <w:marTop w:val="0"/>
                              <w:marBottom w:val="0"/>
                              <w:divBdr>
                                <w:top w:val="none" w:sz="0" w:space="0" w:color="auto"/>
                                <w:left w:val="none" w:sz="0" w:space="0" w:color="auto"/>
                                <w:bottom w:val="none" w:sz="0" w:space="0" w:color="auto"/>
                                <w:right w:val="none" w:sz="0" w:space="0" w:color="auto"/>
                              </w:divBdr>
                              <w:divsChild>
                                <w:div w:id="13206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12217789">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59738693">
      <w:bodyDiv w:val="1"/>
      <w:marLeft w:val="0"/>
      <w:marRight w:val="0"/>
      <w:marTop w:val="0"/>
      <w:marBottom w:val="0"/>
      <w:divBdr>
        <w:top w:val="none" w:sz="0" w:space="0" w:color="auto"/>
        <w:left w:val="none" w:sz="0" w:space="0" w:color="auto"/>
        <w:bottom w:val="none" w:sz="0" w:space="0" w:color="auto"/>
        <w:right w:val="none" w:sz="0" w:space="0" w:color="auto"/>
      </w:divBdr>
    </w:div>
    <w:div w:id="181746745">
      <w:bodyDiv w:val="1"/>
      <w:marLeft w:val="0"/>
      <w:marRight w:val="0"/>
      <w:marTop w:val="0"/>
      <w:marBottom w:val="0"/>
      <w:divBdr>
        <w:top w:val="none" w:sz="0" w:space="0" w:color="auto"/>
        <w:left w:val="none" w:sz="0" w:space="0" w:color="auto"/>
        <w:bottom w:val="none" w:sz="0" w:space="0" w:color="auto"/>
        <w:right w:val="none" w:sz="0" w:space="0" w:color="auto"/>
      </w:divBdr>
    </w:div>
    <w:div w:id="204756954">
      <w:bodyDiv w:val="1"/>
      <w:marLeft w:val="0"/>
      <w:marRight w:val="0"/>
      <w:marTop w:val="0"/>
      <w:marBottom w:val="0"/>
      <w:divBdr>
        <w:top w:val="none" w:sz="0" w:space="0" w:color="auto"/>
        <w:left w:val="none" w:sz="0" w:space="0" w:color="auto"/>
        <w:bottom w:val="none" w:sz="0" w:space="0" w:color="auto"/>
        <w:right w:val="none" w:sz="0" w:space="0" w:color="auto"/>
      </w:divBdr>
    </w:div>
    <w:div w:id="227612478">
      <w:bodyDiv w:val="1"/>
      <w:marLeft w:val="0"/>
      <w:marRight w:val="0"/>
      <w:marTop w:val="0"/>
      <w:marBottom w:val="0"/>
      <w:divBdr>
        <w:top w:val="none" w:sz="0" w:space="0" w:color="auto"/>
        <w:left w:val="none" w:sz="0" w:space="0" w:color="auto"/>
        <w:bottom w:val="none" w:sz="0" w:space="0" w:color="auto"/>
        <w:right w:val="none" w:sz="0" w:space="0" w:color="auto"/>
      </w:divBdr>
    </w:div>
    <w:div w:id="238684410">
      <w:bodyDiv w:val="1"/>
      <w:marLeft w:val="0"/>
      <w:marRight w:val="0"/>
      <w:marTop w:val="0"/>
      <w:marBottom w:val="0"/>
      <w:divBdr>
        <w:top w:val="none" w:sz="0" w:space="0" w:color="auto"/>
        <w:left w:val="none" w:sz="0" w:space="0" w:color="auto"/>
        <w:bottom w:val="none" w:sz="0" w:space="0" w:color="auto"/>
        <w:right w:val="none" w:sz="0" w:space="0" w:color="auto"/>
      </w:divBdr>
      <w:divsChild>
        <w:div w:id="1765761051">
          <w:marLeft w:val="0"/>
          <w:marRight w:val="0"/>
          <w:marTop w:val="0"/>
          <w:marBottom w:val="0"/>
          <w:divBdr>
            <w:top w:val="none" w:sz="0" w:space="0" w:color="auto"/>
            <w:left w:val="none" w:sz="0" w:space="0" w:color="auto"/>
            <w:bottom w:val="none" w:sz="0" w:space="0" w:color="auto"/>
            <w:right w:val="none" w:sz="0" w:space="0" w:color="auto"/>
          </w:divBdr>
          <w:divsChild>
            <w:div w:id="1998802555">
              <w:marLeft w:val="0"/>
              <w:marRight w:val="0"/>
              <w:marTop w:val="0"/>
              <w:marBottom w:val="0"/>
              <w:divBdr>
                <w:top w:val="none" w:sz="0" w:space="0" w:color="auto"/>
                <w:left w:val="none" w:sz="0" w:space="0" w:color="auto"/>
                <w:bottom w:val="none" w:sz="0" w:space="0" w:color="auto"/>
                <w:right w:val="none" w:sz="0" w:space="0" w:color="auto"/>
              </w:divBdr>
              <w:divsChild>
                <w:div w:id="601769835">
                  <w:marLeft w:val="0"/>
                  <w:marRight w:val="0"/>
                  <w:marTop w:val="0"/>
                  <w:marBottom w:val="0"/>
                  <w:divBdr>
                    <w:top w:val="none" w:sz="0" w:space="0" w:color="auto"/>
                    <w:left w:val="none" w:sz="0" w:space="0" w:color="auto"/>
                    <w:bottom w:val="none" w:sz="0" w:space="0" w:color="auto"/>
                    <w:right w:val="none" w:sz="0" w:space="0" w:color="auto"/>
                  </w:divBdr>
                  <w:divsChild>
                    <w:div w:id="1928928002">
                      <w:marLeft w:val="0"/>
                      <w:marRight w:val="0"/>
                      <w:marTop w:val="0"/>
                      <w:marBottom w:val="0"/>
                      <w:divBdr>
                        <w:top w:val="none" w:sz="0" w:space="0" w:color="auto"/>
                        <w:left w:val="none" w:sz="0" w:space="0" w:color="auto"/>
                        <w:bottom w:val="none" w:sz="0" w:space="0" w:color="auto"/>
                        <w:right w:val="none" w:sz="0" w:space="0" w:color="auto"/>
                      </w:divBdr>
                      <w:divsChild>
                        <w:div w:id="1848443360">
                          <w:marLeft w:val="0"/>
                          <w:marRight w:val="0"/>
                          <w:marTop w:val="0"/>
                          <w:marBottom w:val="0"/>
                          <w:divBdr>
                            <w:top w:val="none" w:sz="0" w:space="0" w:color="auto"/>
                            <w:left w:val="none" w:sz="0" w:space="0" w:color="auto"/>
                            <w:bottom w:val="none" w:sz="0" w:space="0" w:color="auto"/>
                            <w:right w:val="none" w:sz="0" w:space="0" w:color="auto"/>
                          </w:divBdr>
                          <w:divsChild>
                            <w:div w:id="1441412326">
                              <w:marLeft w:val="0"/>
                              <w:marRight w:val="0"/>
                              <w:marTop w:val="0"/>
                              <w:marBottom w:val="0"/>
                              <w:divBdr>
                                <w:top w:val="none" w:sz="0" w:space="0" w:color="auto"/>
                                <w:left w:val="none" w:sz="0" w:space="0" w:color="auto"/>
                                <w:bottom w:val="none" w:sz="0" w:space="0" w:color="auto"/>
                                <w:right w:val="none" w:sz="0" w:space="0" w:color="auto"/>
                              </w:divBdr>
                              <w:divsChild>
                                <w:div w:id="9032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91877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0062059">
      <w:bodyDiv w:val="1"/>
      <w:marLeft w:val="0"/>
      <w:marRight w:val="0"/>
      <w:marTop w:val="0"/>
      <w:marBottom w:val="0"/>
      <w:divBdr>
        <w:top w:val="none" w:sz="0" w:space="0" w:color="auto"/>
        <w:left w:val="none" w:sz="0" w:space="0" w:color="auto"/>
        <w:bottom w:val="none" w:sz="0" w:space="0" w:color="auto"/>
        <w:right w:val="none" w:sz="0" w:space="0" w:color="auto"/>
      </w:divBdr>
    </w:div>
    <w:div w:id="341011470">
      <w:bodyDiv w:val="1"/>
      <w:marLeft w:val="0"/>
      <w:marRight w:val="0"/>
      <w:marTop w:val="0"/>
      <w:marBottom w:val="0"/>
      <w:divBdr>
        <w:top w:val="none" w:sz="0" w:space="0" w:color="auto"/>
        <w:left w:val="none" w:sz="0" w:space="0" w:color="auto"/>
        <w:bottom w:val="none" w:sz="0" w:space="0" w:color="auto"/>
        <w:right w:val="none" w:sz="0" w:space="0" w:color="auto"/>
      </w:divBdr>
    </w:div>
    <w:div w:id="370225980">
      <w:bodyDiv w:val="1"/>
      <w:marLeft w:val="0"/>
      <w:marRight w:val="0"/>
      <w:marTop w:val="0"/>
      <w:marBottom w:val="0"/>
      <w:divBdr>
        <w:top w:val="none" w:sz="0" w:space="0" w:color="auto"/>
        <w:left w:val="none" w:sz="0" w:space="0" w:color="auto"/>
        <w:bottom w:val="none" w:sz="0" w:space="0" w:color="auto"/>
        <w:right w:val="none" w:sz="0" w:space="0" w:color="auto"/>
      </w:divBdr>
    </w:div>
    <w:div w:id="472262370">
      <w:bodyDiv w:val="1"/>
      <w:marLeft w:val="0"/>
      <w:marRight w:val="0"/>
      <w:marTop w:val="0"/>
      <w:marBottom w:val="0"/>
      <w:divBdr>
        <w:top w:val="none" w:sz="0" w:space="0" w:color="auto"/>
        <w:left w:val="none" w:sz="0" w:space="0" w:color="auto"/>
        <w:bottom w:val="none" w:sz="0" w:space="0" w:color="auto"/>
        <w:right w:val="none" w:sz="0" w:space="0" w:color="auto"/>
      </w:divBdr>
    </w:div>
    <w:div w:id="510528915">
      <w:bodyDiv w:val="1"/>
      <w:marLeft w:val="0"/>
      <w:marRight w:val="0"/>
      <w:marTop w:val="0"/>
      <w:marBottom w:val="0"/>
      <w:divBdr>
        <w:top w:val="none" w:sz="0" w:space="0" w:color="auto"/>
        <w:left w:val="none" w:sz="0" w:space="0" w:color="auto"/>
        <w:bottom w:val="none" w:sz="0" w:space="0" w:color="auto"/>
        <w:right w:val="none" w:sz="0" w:space="0" w:color="auto"/>
      </w:divBdr>
    </w:div>
    <w:div w:id="515845977">
      <w:bodyDiv w:val="1"/>
      <w:marLeft w:val="0"/>
      <w:marRight w:val="0"/>
      <w:marTop w:val="0"/>
      <w:marBottom w:val="0"/>
      <w:divBdr>
        <w:top w:val="none" w:sz="0" w:space="0" w:color="auto"/>
        <w:left w:val="none" w:sz="0" w:space="0" w:color="auto"/>
        <w:bottom w:val="none" w:sz="0" w:space="0" w:color="auto"/>
        <w:right w:val="none" w:sz="0" w:space="0" w:color="auto"/>
      </w:divBdr>
      <w:divsChild>
        <w:div w:id="1504315633">
          <w:marLeft w:val="0"/>
          <w:marRight w:val="0"/>
          <w:marTop w:val="0"/>
          <w:marBottom w:val="0"/>
          <w:divBdr>
            <w:top w:val="none" w:sz="0" w:space="0" w:color="auto"/>
            <w:left w:val="none" w:sz="0" w:space="0" w:color="auto"/>
            <w:bottom w:val="none" w:sz="0" w:space="0" w:color="auto"/>
            <w:right w:val="none" w:sz="0" w:space="0" w:color="auto"/>
          </w:divBdr>
          <w:divsChild>
            <w:div w:id="141624156">
              <w:marLeft w:val="0"/>
              <w:marRight w:val="0"/>
              <w:marTop w:val="0"/>
              <w:marBottom w:val="0"/>
              <w:divBdr>
                <w:top w:val="none" w:sz="0" w:space="0" w:color="auto"/>
                <w:left w:val="none" w:sz="0" w:space="0" w:color="auto"/>
                <w:bottom w:val="none" w:sz="0" w:space="0" w:color="auto"/>
                <w:right w:val="none" w:sz="0" w:space="0" w:color="auto"/>
              </w:divBdr>
              <w:divsChild>
                <w:div w:id="1953702074">
                  <w:marLeft w:val="0"/>
                  <w:marRight w:val="0"/>
                  <w:marTop w:val="0"/>
                  <w:marBottom w:val="0"/>
                  <w:divBdr>
                    <w:top w:val="none" w:sz="0" w:space="0" w:color="auto"/>
                    <w:left w:val="none" w:sz="0" w:space="0" w:color="auto"/>
                    <w:bottom w:val="none" w:sz="0" w:space="0" w:color="auto"/>
                    <w:right w:val="none" w:sz="0" w:space="0" w:color="auto"/>
                  </w:divBdr>
                  <w:divsChild>
                    <w:div w:id="160780917">
                      <w:marLeft w:val="0"/>
                      <w:marRight w:val="0"/>
                      <w:marTop w:val="0"/>
                      <w:marBottom w:val="0"/>
                      <w:divBdr>
                        <w:top w:val="none" w:sz="0" w:space="0" w:color="auto"/>
                        <w:left w:val="none" w:sz="0" w:space="0" w:color="auto"/>
                        <w:bottom w:val="none" w:sz="0" w:space="0" w:color="auto"/>
                        <w:right w:val="none" w:sz="0" w:space="0" w:color="auto"/>
                      </w:divBdr>
                      <w:divsChild>
                        <w:div w:id="1708795033">
                          <w:marLeft w:val="0"/>
                          <w:marRight w:val="0"/>
                          <w:marTop w:val="0"/>
                          <w:marBottom w:val="0"/>
                          <w:divBdr>
                            <w:top w:val="none" w:sz="0" w:space="0" w:color="auto"/>
                            <w:left w:val="none" w:sz="0" w:space="0" w:color="auto"/>
                            <w:bottom w:val="none" w:sz="0" w:space="0" w:color="auto"/>
                            <w:right w:val="none" w:sz="0" w:space="0" w:color="auto"/>
                          </w:divBdr>
                          <w:divsChild>
                            <w:div w:id="452477018">
                              <w:marLeft w:val="0"/>
                              <w:marRight w:val="0"/>
                              <w:marTop w:val="0"/>
                              <w:marBottom w:val="0"/>
                              <w:divBdr>
                                <w:top w:val="none" w:sz="0" w:space="0" w:color="auto"/>
                                <w:left w:val="none" w:sz="0" w:space="0" w:color="auto"/>
                                <w:bottom w:val="none" w:sz="0" w:space="0" w:color="auto"/>
                                <w:right w:val="none" w:sz="0" w:space="0" w:color="auto"/>
                              </w:divBdr>
                              <w:divsChild>
                                <w:div w:id="6805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21391">
      <w:bodyDiv w:val="1"/>
      <w:marLeft w:val="0"/>
      <w:marRight w:val="0"/>
      <w:marTop w:val="0"/>
      <w:marBottom w:val="0"/>
      <w:divBdr>
        <w:top w:val="none" w:sz="0" w:space="0" w:color="auto"/>
        <w:left w:val="none" w:sz="0" w:space="0" w:color="auto"/>
        <w:bottom w:val="none" w:sz="0" w:space="0" w:color="auto"/>
        <w:right w:val="none" w:sz="0" w:space="0" w:color="auto"/>
      </w:divBdr>
      <w:divsChild>
        <w:div w:id="779110779">
          <w:marLeft w:val="0"/>
          <w:marRight w:val="0"/>
          <w:marTop w:val="0"/>
          <w:marBottom w:val="0"/>
          <w:divBdr>
            <w:top w:val="none" w:sz="0" w:space="0" w:color="auto"/>
            <w:left w:val="none" w:sz="0" w:space="0" w:color="auto"/>
            <w:bottom w:val="none" w:sz="0" w:space="0" w:color="auto"/>
            <w:right w:val="none" w:sz="0" w:space="0" w:color="auto"/>
          </w:divBdr>
          <w:divsChild>
            <w:div w:id="1645307432">
              <w:marLeft w:val="0"/>
              <w:marRight w:val="0"/>
              <w:marTop w:val="0"/>
              <w:marBottom w:val="0"/>
              <w:divBdr>
                <w:top w:val="none" w:sz="0" w:space="0" w:color="auto"/>
                <w:left w:val="none" w:sz="0" w:space="0" w:color="auto"/>
                <w:bottom w:val="none" w:sz="0" w:space="0" w:color="auto"/>
                <w:right w:val="none" w:sz="0" w:space="0" w:color="auto"/>
              </w:divBdr>
              <w:divsChild>
                <w:div w:id="1579093726">
                  <w:marLeft w:val="0"/>
                  <w:marRight w:val="0"/>
                  <w:marTop w:val="0"/>
                  <w:marBottom w:val="0"/>
                  <w:divBdr>
                    <w:top w:val="none" w:sz="0" w:space="0" w:color="auto"/>
                    <w:left w:val="none" w:sz="0" w:space="0" w:color="auto"/>
                    <w:bottom w:val="none" w:sz="0" w:space="0" w:color="auto"/>
                    <w:right w:val="none" w:sz="0" w:space="0" w:color="auto"/>
                  </w:divBdr>
                  <w:divsChild>
                    <w:div w:id="2014868247">
                      <w:marLeft w:val="0"/>
                      <w:marRight w:val="0"/>
                      <w:marTop w:val="0"/>
                      <w:marBottom w:val="0"/>
                      <w:divBdr>
                        <w:top w:val="none" w:sz="0" w:space="0" w:color="auto"/>
                        <w:left w:val="none" w:sz="0" w:space="0" w:color="auto"/>
                        <w:bottom w:val="none" w:sz="0" w:space="0" w:color="auto"/>
                        <w:right w:val="none" w:sz="0" w:space="0" w:color="auto"/>
                      </w:divBdr>
                      <w:divsChild>
                        <w:div w:id="890120601">
                          <w:marLeft w:val="0"/>
                          <w:marRight w:val="0"/>
                          <w:marTop w:val="0"/>
                          <w:marBottom w:val="0"/>
                          <w:divBdr>
                            <w:top w:val="none" w:sz="0" w:space="0" w:color="auto"/>
                            <w:left w:val="none" w:sz="0" w:space="0" w:color="auto"/>
                            <w:bottom w:val="none" w:sz="0" w:space="0" w:color="auto"/>
                            <w:right w:val="none" w:sz="0" w:space="0" w:color="auto"/>
                          </w:divBdr>
                          <w:divsChild>
                            <w:div w:id="1770614366">
                              <w:marLeft w:val="0"/>
                              <w:marRight w:val="0"/>
                              <w:marTop w:val="0"/>
                              <w:marBottom w:val="0"/>
                              <w:divBdr>
                                <w:top w:val="none" w:sz="0" w:space="0" w:color="auto"/>
                                <w:left w:val="none" w:sz="0" w:space="0" w:color="auto"/>
                                <w:bottom w:val="none" w:sz="0" w:space="0" w:color="auto"/>
                                <w:right w:val="none" w:sz="0" w:space="0" w:color="auto"/>
                              </w:divBdr>
                              <w:divsChild>
                                <w:div w:id="12104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659471">
      <w:bodyDiv w:val="1"/>
      <w:marLeft w:val="0"/>
      <w:marRight w:val="0"/>
      <w:marTop w:val="0"/>
      <w:marBottom w:val="0"/>
      <w:divBdr>
        <w:top w:val="none" w:sz="0" w:space="0" w:color="auto"/>
        <w:left w:val="none" w:sz="0" w:space="0" w:color="auto"/>
        <w:bottom w:val="none" w:sz="0" w:space="0" w:color="auto"/>
        <w:right w:val="none" w:sz="0" w:space="0" w:color="auto"/>
      </w:divBdr>
    </w:div>
    <w:div w:id="605845687">
      <w:bodyDiv w:val="1"/>
      <w:marLeft w:val="0"/>
      <w:marRight w:val="0"/>
      <w:marTop w:val="0"/>
      <w:marBottom w:val="0"/>
      <w:divBdr>
        <w:top w:val="none" w:sz="0" w:space="0" w:color="auto"/>
        <w:left w:val="none" w:sz="0" w:space="0" w:color="auto"/>
        <w:bottom w:val="none" w:sz="0" w:space="0" w:color="auto"/>
        <w:right w:val="none" w:sz="0" w:space="0" w:color="auto"/>
      </w:divBdr>
    </w:div>
    <w:div w:id="616185361">
      <w:bodyDiv w:val="1"/>
      <w:marLeft w:val="0"/>
      <w:marRight w:val="0"/>
      <w:marTop w:val="0"/>
      <w:marBottom w:val="0"/>
      <w:divBdr>
        <w:top w:val="none" w:sz="0" w:space="0" w:color="auto"/>
        <w:left w:val="none" w:sz="0" w:space="0" w:color="auto"/>
        <w:bottom w:val="none" w:sz="0" w:space="0" w:color="auto"/>
        <w:right w:val="none" w:sz="0" w:space="0" w:color="auto"/>
      </w:divBdr>
    </w:div>
    <w:div w:id="630092806">
      <w:bodyDiv w:val="1"/>
      <w:marLeft w:val="0"/>
      <w:marRight w:val="0"/>
      <w:marTop w:val="0"/>
      <w:marBottom w:val="0"/>
      <w:divBdr>
        <w:top w:val="none" w:sz="0" w:space="0" w:color="auto"/>
        <w:left w:val="none" w:sz="0" w:space="0" w:color="auto"/>
        <w:bottom w:val="none" w:sz="0" w:space="0" w:color="auto"/>
        <w:right w:val="none" w:sz="0" w:space="0" w:color="auto"/>
      </w:divBdr>
    </w:div>
    <w:div w:id="664629698">
      <w:bodyDiv w:val="1"/>
      <w:marLeft w:val="0"/>
      <w:marRight w:val="0"/>
      <w:marTop w:val="0"/>
      <w:marBottom w:val="0"/>
      <w:divBdr>
        <w:top w:val="none" w:sz="0" w:space="0" w:color="auto"/>
        <w:left w:val="none" w:sz="0" w:space="0" w:color="auto"/>
        <w:bottom w:val="none" w:sz="0" w:space="0" w:color="auto"/>
        <w:right w:val="none" w:sz="0" w:space="0" w:color="auto"/>
      </w:divBdr>
      <w:divsChild>
        <w:div w:id="589393408">
          <w:marLeft w:val="0"/>
          <w:marRight w:val="0"/>
          <w:marTop w:val="0"/>
          <w:marBottom w:val="0"/>
          <w:divBdr>
            <w:top w:val="none" w:sz="0" w:space="0" w:color="auto"/>
            <w:left w:val="none" w:sz="0" w:space="0" w:color="auto"/>
            <w:bottom w:val="none" w:sz="0" w:space="0" w:color="auto"/>
            <w:right w:val="none" w:sz="0" w:space="0" w:color="auto"/>
          </w:divBdr>
          <w:divsChild>
            <w:div w:id="1421441797">
              <w:marLeft w:val="0"/>
              <w:marRight w:val="0"/>
              <w:marTop w:val="0"/>
              <w:marBottom w:val="0"/>
              <w:divBdr>
                <w:top w:val="none" w:sz="0" w:space="0" w:color="auto"/>
                <w:left w:val="none" w:sz="0" w:space="0" w:color="auto"/>
                <w:bottom w:val="none" w:sz="0" w:space="0" w:color="auto"/>
                <w:right w:val="none" w:sz="0" w:space="0" w:color="auto"/>
              </w:divBdr>
              <w:divsChild>
                <w:div w:id="307784573">
                  <w:marLeft w:val="0"/>
                  <w:marRight w:val="0"/>
                  <w:marTop w:val="0"/>
                  <w:marBottom w:val="0"/>
                  <w:divBdr>
                    <w:top w:val="none" w:sz="0" w:space="0" w:color="auto"/>
                    <w:left w:val="none" w:sz="0" w:space="0" w:color="auto"/>
                    <w:bottom w:val="none" w:sz="0" w:space="0" w:color="auto"/>
                    <w:right w:val="none" w:sz="0" w:space="0" w:color="auto"/>
                  </w:divBdr>
                  <w:divsChild>
                    <w:div w:id="2114128497">
                      <w:marLeft w:val="0"/>
                      <w:marRight w:val="0"/>
                      <w:marTop w:val="0"/>
                      <w:marBottom w:val="0"/>
                      <w:divBdr>
                        <w:top w:val="none" w:sz="0" w:space="0" w:color="auto"/>
                        <w:left w:val="none" w:sz="0" w:space="0" w:color="auto"/>
                        <w:bottom w:val="none" w:sz="0" w:space="0" w:color="auto"/>
                        <w:right w:val="none" w:sz="0" w:space="0" w:color="auto"/>
                      </w:divBdr>
                      <w:divsChild>
                        <w:div w:id="1615867183">
                          <w:marLeft w:val="0"/>
                          <w:marRight w:val="0"/>
                          <w:marTop w:val="0"/>
                          <w:marBottom w:val="0"/>
                          <w:divBdr>
                            <w:top w:val="none" w:sz="0" w:space="0" w:color="auto"/>
                            <w:left w:val="none" w:sz="0" w:space="0" w:color="auto"/>
                            <w:bottom w:val="none" w:sz="0" w:space="0" w:color="auto"/>
                            <w:right w:val="none" w:sz="0" w:space="0" w:color="auto"/>
                          </w:divBdr>
                          <w:divsChild>
                            <w:div w:id="524831255">
                              <w:marLeft w:val="0"/>
                              <w:marRight w:val="0"/>
                              <w:marTop w:val="0"/>
                              <w:marBottom w:val="0"/>
                              <w:divBdr>
                                <w:top w:val="none" w:sz="0" w:space="0" w:color="auto"/>
                                <w:left w:val="none" w:sz="0" w:space="0" w:color="auto"/>
                                <w:bottom w:val="none" w:sz="0" w:space="0" w:color="auto"/>
                                <w:right w:val="none" w:sz="0" w:space="0" w:color="auto"/>
                              </w:divBdr>
                              <w:divsChild>
                                <w:div w:id="790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404500">
      <w:bodyDiv w:val="1"/>
      <w:marLeft w:val="0"/>
      <w:marRight w:val="0"/>
      <w:marTop w:val="0"/>
      <w:marBottom w:val="0"/>
      <w:divBdr>
        <w:top w:val="none" w:sz="0" w:space="0" w:color="auto"/>
        <w:left w:val="none" w:sz="0" w:space="0" w:color="auto"/>
        <w:bottom w:val="none" w:sz="0" w:space="0" w:color="auto"/>
        <w:right w:val="none" w:sz="0" w:space="0" w:color="auto"/>
      </w:divBdr>
    </w:div>
    <w:div w:id="680351360">
      <w:bodyDiv w:val="1"/>
      <w:marLeft w:val="0"/>
      <w:marRight w:val="0"/>
      <w:marTop w:val="0"/>
      <w:marBottom w:val="0"/>
      <w:divBdr>
        <w:top w:val="none" w:sz="0" w:space="0" w:color="auto"/>
        <w:left w:val="none" w:sz="0" w:space="0" w:color="auto"/>
        <w:bottom w:val="none" w:sz="0" w:space="0" w:color="auto"/>
        <w:right w:val="none" w:sz="0" w:space="0" w:color="auto"/>
      </w:divBdr>
    </w:div>
    <w:div w:id="729304501">
      <w:bodyDiv w:val="1"/>
      <w:marLeft w:val="0"/>
      <w:marRight w:val="0"/>
      <w:marTop w:val="0"/>
      <w:marBottom w:val="0"/>
      <w:divBdr>
        <w:top w:val="none" w:sz="0" w:space="0" w:color="auto"/>
        <w:left w:val="none" w:sz="0" w:space="0" w:color="auto"/>
        <w:bottom w:val="none" w:sz="0" w:space="0" w:color="auto"/>
        <w:right w:val="none" w:sz="0" w:space="0" w:color="auto"/>
      </w:divBdr>
    </w:div>
    <w:div w:id="742489965">
      <w:bodyDiv w:val="1"/>
      <w:marLeft w:val="0"/>
      <w:marRight w:val="0"/>
      <w:marTop w:val="0"/>
      <w:marBottom w:val="0"/>
      <w:divBdr>
        <w:top w:val="none" w:sz="0" w:space="0" w:color="auto"/>
        <w:left w:val="none" w:sz="0" w:space="0" w:color="auto"/>
        <w:bottom w:val="none" w:sz="0" w:space="0" w:color="auto"/>
        <w:right w:val="none" w:sz="0" w:space="0" w:color="auto"/>
      </w:divBdr>
    </w:div>
    <w:div w:id="826821807">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17641395">
      <w:bodyDiv w:val="1"/>
      <w:marLeft w:val="0"/>
      <w:marRight w:val="0"/>
      <w:marTop w:val="0"/>
      <w:marBottom w:val="0"/>
      <w:divBdr>
        <w:top w:val="none" w:sz="0" w:space="0" w:color="auto"/>
        <w:left w:val="none" w:sz="0" w:space="0" w:color="auto"/>
        <w:bottom w:val="none" w:sz="0" w:space="0" w:color="auto"/>
        <w:right w:val="none" w:sz="0" w:space="0" w:color="auto"/>
      </w:divBdr>
    </w:div>
    <w:div w:id="951133625">
      <w:bodyDiv w:val="1"/>
      <w:marLeft w:val="0"/>
      <w:marRight w:val="0"/>
      <w:marTop w:val="0"/>
      <w:marBottom w:val="0"/>
      <w:divBdr>
        <w:top w:val="none" w:sz="0" w:space="0" w:color="auto"/>
        <w:left w:val="none" w:sz="0" w:space="0" w:color="auto"/>
        <w:bottom w:val="none" w:sz="0" w:space="0" w:color="auto"/>
        <w:right w:val="none" w:sz="0" w:space="0" w:color="auto"/>
      </w:divBdr>
    </w:div>
    <w:div w:id="987242000">
      <w:bodyDiv w:val="1"/>
      <w:marLeft w:val="0"/>
      <w:marRight w:val="0"/>
      <w:marTop w:val="0"/>
      <w:marBottom w:val="0"/>
      <w:divBdr>
        <w:top w:val="none" w:sz="0" w:space="0" w:color="auto"/>
        <w:left w:val="none" w:sz="0" w:space="0" w:color="auto"/>
        <w:bottom w:val="none" w:sz="0" w:space="0" w:color="auto"/>
        <w:right w:val="none" w:sz="0" w:space="0" w:color="auto"/>
      </w:divBdr>
    </w:div>
    <w:div w:id="1008482856">
      <w:bodyDiv w:val="1"/>
      <w:marLeft w:val="0"/>
      <w:marRight w:val="0"/>
      <w:marTop w:val="0"/>
      <w:marBottom w:val="0"/>
      <w:divBdr>
        <w:top w:val="none" w:sz="0" w:space="0" w:color="auto"/>
        <w:left w:val="none" w:sz="0" w:space="0" w:color="auto"/>
        <w:bottom w:val="none" w:sz="0" w:space="0" w:color="auto"/>
        <w:right w:val="none" w:sz="0" w:space="0" w:color="auto"/>
      </w:divBdr>
    </w:div>
    <w:div w:id="1053695693">
      <w:bodyDiv w:val="1"/>
      <w:marLeft w:val="0"/>
      <w:marRight w:val="0"/>
      <w:marTop w:val="0"/>
      <w:marBottom w:val="0"/>
      <w:divBdr>
        <w:top w:val="none" w:sz="0" w:space="0" w:color="auto"/>
        <w:left w:val="none" w:sz="0" w:space="0" w:color="auto"/>
        <w:bottom w:val="none" w:sz="0" w:space="0" w:color="auto"/>
        <w:right w:val="none" w:sz="0" w:space="0" w:color="auto"/>
      </w:divBdr>
      <w:divsChild>
        <w:div w:id="204215302">
          <w:marLeft w:val="0"/>
          <w:marRight w:val="0"/>
          <w:marTop w:val="0"/>
          <w:marBottom w:val="0"/>
          <w:divBdr>
            <w:top w:val="none" w:sz="0" w:space="0" w:color="auto"/>
            <w:left w:val="none" w:sz="0" w:space="0" w:color="auto"/>
            <w:bottom w:val="none" w:sz="0" w:space="0" w:color="auto"/>
            <w:right w:val="none" w:sz="0" w:space="0" w:color="auto"/>
          </w:divBdr>
          <w:divsChild>
            <w:div w:id="955022715">
              <w:marLeft w:val="0"/>
              <w:marRight w:val="0"/>
              <w:marTop w:val="0"/>
              <w:marBottom w:val="0"/>
              <w:divBdr>
                <w:top w:val="none" w:sz="0" w:space="0" w:color="auto"/>
                <w:left w:val="none" w:sz="0" w:space="0" w:color="auto"/>
                <w:bottom w:val="none" w:sz="0" w:space="0" w:color="auto"/>
                <w:right w:val="none" w:sz="0" w:space="0" w:color="auto"/>
              </w:divBdr>
              <w:divsChild>
                <w:div w:id="132914323">
                  <w:marLeft w:val="0"/>
                  <w:marRight w:val="0"/>
                  <w:marTop w:val="0"/>
                  <w:marBottom w:val="0"/>
                  <w:divBdr>
                    <w:top w:val="none" w:sz="0" w:space="0" w:color="auto"/>
                    <w:left w:val="none" w:sz="0" w:space="0" w:color="auto"/>
                    <w:bottom w:val="none" w:sz="0" w:space="0" w:color="auto"/>
                    <w:right w:val="none" w:sz="0" w:space="0" w:color="auto"/>
                  </w:divBdr>
                  <w:divsChild>
                    <w:div w:id="1606427550">
                      <w:marLeft w:val="0"/>
                      <w:marRight w:val="0"/>
                      <w:marTop w:val="0"/>
                      <w:marBottom w:val="0"/>
                      <w:divBdr>
                        <w:top w:val="none" w:sz="0" w:space="0" w:color="auto"/>
                        <w:left w:val="none" w:sz="0" w:space="0" w:color="auto"/>
                        <w:bottom w:val="none" w:sz="0" w:space="0" w:color="auto"/>
                        <w:right w:val="none" w:sz="0" w:space="0" w:color="auto"/>
                      </w:divBdr>
                      <w:divsChild>
                        <w:div w:id="312176036">
                          <w:marLeft w:val="0"/>
                          <w:marRight w:val="0"/>
                          <w:marTop w:val="0"/>
                          <w:marBottom w:val="0"/>
                          <w:divBdr>
                            <w:top w:val="none" w:sz="0" w:space="0" w:color="auto"/>
                            <w:left w:val="none" w:sz="0" w:space="0" w:color="auto"/>
                            <w:bottom w:val="none" w:sz="0" w:space="0" w:color="auto"/>
                            <w:right w:val="none" w:sz="0" w:space="0" w:color="auto"/>
                          </w:divBdr>
                          <w:divsChild>
                            <w:div w:id="2105496142">
                              <w:marLeft w:val="0"/>
                              <w:marRight w:val="0"/>
                              <w:marTop w:val="0"/>
                              <w:marBottom w:val="0"/>
                              <w:divBdr>
                                <w:top w:val="none" w:sz="0" w:space="0" w:color="auto"/>
                                <w:left w:val="none" w:sz="0" w:space="0" w:color="auto"/>
                                <w:bottom w:val="none" w:sz="0" w:space="0" w:color="auto"/>
                                <w:right w:val="none" w:sz="0" w:space="0" w:color="auto"/>
                              </w:divBdr>
                              <w:divsChild>
                                <w:div w:id="13087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714048">
      <w:bodyDiv w:val="1"/>
      <w:marLeft w:val="0"/>
      <w:marRight w:val="0"/>
      <w:marTop w:val="0"/>
      <w:marBottom w:val="0"/>
      <w:divBdr>
        <w:top w:val="none" w:sz="0" w:space="0" w:color="auto"/>
        <w:left w:val="none" w:sz="0" w:space="0" w:color="auto"/>
        <w:bottom w:val="none" w:sz="0" w:space="0" w:color="auto"/>
        <w:right w:val="none" w:sz="0" w:space="0" w:color="auto"/>
      </w:divBdr>
      <w:divsChild>
        <w:div w:id="1888905702">
          <w:marLeft w:val="0"/>
          <w:marRight w:val="0"/>
          <w:marTop w:val="0"/>
          <w:marBottom w:val="0"/>
          <w:divBdr>
            <w:top w:val="none" w:sz="0" w:space="0" w:color="auto"/>
            <w:left w:val="none" w:sz="0" w:space="0" w:color="auto"/>
            <w:bottom w:val="none" w:sz="0" w:space="0" w:color="auto"/>
            <w:right w:val="none" w:sz="0" w:space="0" w:color="auto"/>
          </w:divBdr>
          <w:divsChild>
            <w:div w:id="47189533">
              <w:marLeft w:val="0"/>
              <w:marRight w:val="0"/>
              <w:marTop w:val="0"/>
              <w:marBottom w:val="0"/>
              <w:divBdr>
                <w:top w:val="none" w:sz="0" w:space="0" w:color="auto"/>
                <w:left w:val="none" w:sz="0" w:space="0" w:color="auto"/>
                <w:bottom w:val="none" w:sz="0" w:space="0" w:color="auto"/>
                <w:right w:val="none" w:sz="0" w:space="0" w:color="auto"/>
              </w:divBdr>
              <w:divsChild>
                <w:div w:id="1616669440">
                  <w:marLeft w:val="0"/>
                  <w:marRight w:val="0"/>
                  <w:marTop w:val="0"/>
                  <w:marBottom w:val="0"/>
                  <w:divBdr>
                    <w:top w:val="none" w:sz="0" w:space="0" w:color="auto"/>
                    <w:left w:val="none" w:sz="0" w:space="0" w:color="auto"/>
                    <w:bottom w:val="none" w:sz="0" w:space="0" w:color="auto"/>
                    <w:right w:val="none" w:sz="0" w:space="0" w:color="auto"/>
                  </w:divBdr>
                  <w:divsChild>
                    <w:div w:id="1384519264">
                      <w:marLeft w:val="0"/>
                      <w:marRight w:val="0"/>
                      <w:marTop w:val="0"/>
                      <w:marBottom w:val="0"/>
                      <w:divBdr>
                        <w:top w:val="none" w:sz="0" w:space="0" w:color="auto"/>
                        <w:left w:val="none" w:sz="0" w:space="0" w:color="auto"/>
                        <w:bottom w:val="none" w:sz="0" w:space="0" w:color="auto"/>
                        <w:right w:val="none" w:sz="0" w:space="0" w:color="auto"/>
                      </w:divBdr>
                      <w:divsChild>
                        <w:div w:id="930814389">
                          <w:marLeft w:val="0"/>
                          <w:marRight w:val="0"/>
                          <w:marTop w:val="0"/>
                          <w:marBottom w:val="0"/>
                          <w:divBdr>
                            <w:top w:val="none" w:sz="0" w:space="0" w:color="auto"/>
                            <w:left w:val="none" w:sz="0" w:space="0" w:color="auto"/>
                            <w:bottom w:val="none" w:sz="0" w:space="0" w:color="auto"/>
                            <w:right w:val="none" w:sz="0" w:space="0" w:color="auto"/>
                          </w:divBdr>
                          <w:divsChild>
                            <w:div w:id="1801537282">
                              <w:marLeft w:val="0"/>
                              <w:marRight w:val="0"/>
                              <w:marTop w:val="0"/>
                              <w:marBottom w:val="0"/>
                              <w:divBdr>
                                <w:top w:val="none" w:sz="0" w:space="0" w:color="auto"/>
                                <w:left w:val="none" w:sz="0" w:space="0" w:color="auto"/>
                                <w:bottom w:val="none" w:sz="0" w:space="0" w:color="auto"/>
                                <w:right w:val="none" w:sz="0" w:space="0" w:color="auto"/>
                              </w:divBdr>
                              <w:divsChild>
                                <w:div w:id="16300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9990">
      <w:bodyDiv w:val="1"/>
      <w:marLeft w:val="0"/>
      <w:marRight w:val="0"/>
      <w:marTop w:val="0"/>
      <w:marBottom w:val="0"/>
      <w:divBdr>
        <w:top w:val="none" w:sz="0" w:space="0" w:color="auto"/>
        <w:left w:val="none" w:sz="0" w:space="0" w:color="auto"/>
        <w:bottom w:val="none" w:sz="0" w:space="0" w:color="auto"/>
        <w:right w:val="none" w:sz="0" w:space="0" w:color="auto"/>
      </w:divBdr>
      <w:divsChild>
        <w:div w:id="1795439442">
          <w:marLeft w:val="0"/>
          <w:marRight w:val="0"/>
          <w:marTop w:val="0"/>
          <w:marBottom w:val="0"/>
          <w:divBdr>
            <w:top w:val="none" w:sz="0" w:space="0" w:color="auto"/>
            <w:left w:val="none" w:sz="0" w:space="0" w:color="auto"/>
            <w:bottom w:val="none" w:sz="0" w:space="0" w:color="auto"/>
            <w:right w:val="none" w:sz="0" w:space="0" w:color="auto"/>
          </w:divBdr>
          <w:divsChild>
            <w:div w:id="1752893016">
              <w:marLeft w:val="0"/>
              <w:marRight w:val="0"/>
              <w:marTop w:val="0"/>
              <w:marBottom w:val="0"/>
              <w:divBdr>
                <w:top w:val="none" w:sz="0" w:space="0" w:color="auto"/>
                <w:left w:val="none" w:sz="0" w:space="0" w:color="auto"/>
                <w:bottom w:val="none" w:sz="0" w:space="0" w:color="auto"/>
                <w:right w:val="none" w:sz="0" w:space="0" w:color="auto"/>
              </w:divBdr>
              <w:divsChild>
                <w:div w:id="359235432">
                  <w:marLeft w:val="0"/>
                  <w:marRight w:val="0"/>
                  <w:marTop w:val="0"/>
                  <w:marBottom w:val="0"/>
                  <w:divBdr>
                    <w:top w:val="none" w:sz="0" w:space="0" w:color="auto"/>
                    <w:left w:val="none" w:sz="0" w:space="0" w:color="auto"/>
                    <w:bottom w:val="none" w:sz="0" w:space="0" w:color="auto"/>
                    <w:right w:val="none" w:sz="0" w:space="0" w:color="auto"/>
                  </w:divBdr>
                  <w:divsChild>
                    <w:div w:id="2101943375">
                      <w:marLeft w:val="0"/>
                      <w:marRight w:val="0"/>
                      <w:marTop w:val="0"/>
                      <w:marBottom w:val="0"/>
                      <w:divBdr>
                        <w:top w:val="none" w:sz="0" w:space="0" w:color="auto"/>
                        <w:left w:val="none" w:sz="0" w:space="0" w:color="auto"/>
                        <w:bottom w:val="none" w:sz="0" w:space="0" w:color="auto"/>
                        <w:right w:val="none" w:sz="0" w:space="0" w:color="auto"/>
                      </w:divBdr>
                      <w:divsChild>
                        <w:div w:id="941300818">
                          <w:marLeft w:val="0"/>
                          <w:marRight w:val="0"/>
                          <w:marTop w:val="0"/>
                          <w:marBottom w:val="0"/>
                          <w:divBdr>
                            <w:top w:val="none" w:sz="0" w:space="0" w:color="auto"/>
                            <w:left w:val="none" w:sz="0" w:space="0" w:color="auto"/>
                            <w:bottom w:val="none" w:sz="0" w:space="0" w:color="auto"/>
                            <w:right w:val="none" w:sz="0" w:space="0" w:color="auto"/>
                          </w:divBdr>
                          <w:divsChild>
                            <w:div w:id="828669158">
                              <w:marLeft w:val="0"/>
                              <w:marRight w:val="0"/>
                              <w:marTop w:val="0"/>
                              <w:marBottom w:val="0"/>
                              <w:divBdr>
                                <w:top w:val="none" w:sz="0" w:space="0" w:color="auto"/>
                                <w:left w:val="none" w:sz="0" w:space="0" w:color="auto"/>
                                <w:bottom w:val="none" w:sz="0" w:space="0" w:color="auto"/>
                                <w:right w:val="none" w:sz="0" w:space="0" w:color="auto"/>
                              </w:divBdr>
                              <w:divsChild>
                                <w:div w:id="16477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8250569">
      <w:bodyDiv w:val="1"/>
      <w:marLeft w:val="0"/>
      <w:marRight w:val="0"/>
      <w:marTop w:val="0"/>
      <w:marBottom w:val="0"/>
      <w:divBdr>
        <w:top w:val="none" w:sz="0" w:space="0" w:color="auto"/>
        <w:left w:val="none" w:sz="0" w:space="0" w:color="auto"/>
        <w:bottom w:val="none" w:sz="0" w:space="0" w:color="auto"/>
        <w:right w:val="none" w:sz="0" w:space="0" w:color="auto"/>
      </w:divBdr>
      <w:divsChild>
        <w:div w:id="1193423437">
          <w:marLeft w:val="0"/>
          <w:marRight w:val="0"/>
          <w:marTop w:val="0"/>
          <w:marBottom w:val="0"/>
          <w:divBdr>
            <w:top w:val="none" w:sz="0" w:space="0" w:color="auto"/>
            <w:left w:val="none" w:sz="0" w:space="0" w:color="auto"/>
            <w:bottom w:val="none" w:sz="0" w:space="0" w:color="auto"/>
            <w:right w:val="none" w:sz="0" w:space="0" w:color="auto"/>
          </w:divBdr>
          <w:divsChild>
            <w:div w:id="545409775">
              <w:marLeft w:val="0"/>
              <w:marRight w:val="0"/>
              <w:marTop w:val="0"/>
              <w:marBottom w:val="0"/>
              <w:divBdr>
                <w:top w:val="none" w:sz="0" w:space="0" w:color="auto"/>
                <w:left w:val="none" w:sz="0" w:space="0" w:color="auto"/>
                <w:bottom w:val="none" w:sz="0" w:space="0" w:color="auto"/>
                <w:right w:val="none" w:sz="0" w:space="0" w:color="auto"/>
              </w:divBdr>
              <w:divsChild>
                <w:div w:id="865294056">
                  <w:marLeft w:val="0"/>
                  <w:marRight w:val="0"/>
                  <w:marTop w:val="0"/>
                  <w:marBottom w:val="0"/>
                  <w:divBdr>
                    <w:top w:val="none" w:sz="0" w:space="0" w:color="auto"/>
                    <w:left w:val="none" w:sz="0" w:space="0" w:color="auto"/>
                    <w:bottom w:val="none" w:sz="0" w:space="0" w:color="auto"/>
                    <w:right w:val="none" w:sz="0" w:space="0" w:color="auto"/>
                  </w:divBdr>
                  <w:divsChild>
                    <w:div w:id="1572734517">
                      <w:marLeft w:val="0"/>
                      <w:marRight w:val="0"/>
                      <w:marTop w:val="0"/>
                      <w:marBottom w:val="0"/>
                      <w:divBdr>
                        <w:top w:val="none" w:sz="0" w:space="0" w:color="auto"/>
                        <w:left w:val="none" w:sz="0" w:space="0" w:color="auto"/>
                        <w:bottom w:val="none" w:sz="0" w:space="0" w:color="auto"/>
                        <w:right w:val="none" w:sz="0" w:space="0" w:color="auto"/>
                      </w:divBdr>
                      <w:divsChild>
                        <w:div w:id="1448963953">
                          <w:marLeft w:val="0"/>
                          <w:marRight w:val="0"/>
                          <w:marTop w:val="0"/>
                          <w:marBottom w:val="0"/>
                          <w:divBdr>
                            <w:top w:val="none" w:sz="0" w:space="0" w:color="auto"/>
                            <w:left w:val="none" w:sz="0" w:space="0" w:color="auto"/>
                            <w:bottom w:val="none" w:sz="0" w:space="0" w:color="auto"/>
                            <w:right w:val="none" w:sz="0" w:space="0" w:color="auto"/>
                          </w:divBdr>
                          <w:divsChild>
                            <w:div w:id="2016833209">
                              <w:marLeft w:val="0"/>
                              <w:marRight w:val="0"/>
                              <w:marTop w:val="0"/>
                              <w:marBottom w:val="0"/>
                              <w:divBdr>
                                <w:top w:val="none" w:sz="0" w:space="0" w:color="auto"/>
                                <w:left w:val="none" w:sz="0" w:space="0" w:color="auto"/>
                                <w:bottom w:val="none" w:sz="0" w:space="0" w:color="auto"/>
                                <w:right w:val="none" w:sz="0" w:space="0" w:color="auto"/>
                              </w:divBdr>
                              <w:divsChild>
                                <w:div w:id="1349336255">
                                  <w:marLeft w:val="0"/>
                                  <w:marRight w:val="0"/>
                                  <w:marTop w:val="0"/>
                                  <w:marBottom w:val="0"/>
                                  <w:divBdr>
                                    <w:top w:val="none" w:sz="0" w:space="0" w:color="auto"/>
                                    <w:left w:val="none" w:sz="0" w:space="0" w:color="auto"/>
                                    <w:bottom w:val="none" w:sz="0" w:space="0" w:color="auto"/>
                                    <w:right w:val="none" w:sz="0" w:space="0" w:color="auto"/>
                                  </w:divBdr>
                                  <w:divsChild>
                                    <w:div w:id="15941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147978">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49382346">
      <w:bodyDiv w:val="1"/>
      <w:marLeft w:val="0"/>
      <w:marRight w:val="0"/>
      <w:marTop w:val="0"/>
      <w:marBottom w:val="0"/>
      <w:divBdr>
        <w:top w:val="none" w:sz="0" w:space="0" w:color="auto"/>
        <w:left w:val="none" w:sz="0" w:space="0" w:color="auto"/>
        <w:bottom w:val="none" w:sz="0" w:space="0" w:color="auto"/>
        <w:right w:val="none" w:sz="0" w:space="0" w:color="auto"/>
      </w:divBdr>
      <w:divsChild>
        <w:div w:id="1909995766">
          <w:marLeft w:val="0"/>
          <w:marRight w:val="0"/>
          <w:marTop w:val="0"/>
          <w:marBottom w:val="0"/>
          <w:divBdr>
            <w:top w:val="none" w:sz="0" w:space="0" w:color="auto"/>
            <w:left w:val="none" w:sz="0" w:space="0" w:color="auto"/>
            <w:bottom w:val="none" w:sz="0" w:space="0" w:color="auto"/>
            <w:right w:val="none" w:sz="0" w:space="0" w:color="auto"/>
          </w:divBdr>
          <w:divsChild>
            <w:div w:id="996768136">
              <w:marLeft w:val="0"/>
              <w:marRight w:val="0"/>
              <w:marTop w:val="0"/>
              <w:marBottom w:val="0"/>
              <w:divBdr>
                <w:top w:val="none" w:sz="0" w:space="0" w:color="auto"/>
                <w:left w:val="none" w:sz="0" w:space="0" w:color="auto"/>
                <w:bottom w:val="none" w:sz="0" w:space="0" w:color="auto"/>
                <w:right w:val="none" w:sz="0" w:space="0" w:color="auto"/>
              </w:divBdr>
              <w:divsChild>
                <w:div w:id="446972841">
                  <w:marLeft w:val="0"/>
                  <w:marRight w:val="0"/>
                  <w:marTop w:val="0"/>
                  <w:marBottom w:val="0"/>
                  <w:divBdr>
                    <w:top w:val="none" w:sz="0" w:space="0" w:color="auto"/>
                    <w:left w:val="none" w:sz="0" w:space="0" w:color="auto"/>
                    <w:bottom w:val="none" w:sz="0" w:space="0" w:color="auto"/>
                    <w:right w:val="none" w:sz="0" w:space="0" w:color="auto"/>
                  </w:divBdr>
                  <w:divsChild>
                    <w:div w:id="544293209">
                      <w:marLeft w:val="0"/>
                      <w:marRight w:val="0"/>
                      <w:marTop w:val="0"/>
                      <w:marBottom w:val="0"/>
                      <w:divBdr>
                        <w:top w:val="none" w:sz="0" w:space="0" w:color="auto"/>
                        <w:left w:val="none" w:sz="0" w:space="0" w:color="auto"/>
                        <w:bottom w:val="none" w:sz="0" w:space="0" w:color="auto"/>
                        <w:right w:val="none" w:sz="0" w:space="0" w:color="auto"/>
                      </w:divBdr>
                      <w:divsChild>
                        <w:div w:id="951013232">
                          <w:marLeft w:val="0"/>
                          <w:marRight w:val="0"/>
                          <w:marTop w:val="0"/>
                          <w:marBottom w:val="0"/>
                          <w:divBdr>
                            <w:top w:val="none" w:sz="0" w:space="0" w:color="auto"/>
                            <w:left w:val="none" w:sz="0" w:space="0" w:color="auto"/>
                            <w:bottom w:val="none" w:sz="0" w:space="0" w:color="auto"/>
                            <w:right w:val="none" w:sz="0" w:space="0" w:color="auto"/>
                          </w:divBdr>
                          <w:divsChild>
                            <w:div w:id="117604259">
                              <w:marLeft w:val="0"/>
                              <w:marRight w:val="0"/>
                              <w:marTop w:val="0"/>
                              <w:marBottom w:val="0"/>
                              <w:divBdr>
                                <w:top w:val="none" w:sz="0" w:space="0" w:color="auto"/>
                                <w:left w:val="none" w:sz="0" w:space="0" w:color="auto"/>
                                <w:bottom w:val="none" w:sz="0" w:space="0" w:color="auto"/>
                                <w:right w:val="none" w:sz="0" w:space="0" w:color="auto"/>
                              </w:divBdr>
                              <w:divsChild>
                                <w:div w:id="5071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866374">
      <w:bodyDiv w:val="1"/>
      <w:marLeft w:val="0"/>
      <w:marRight w:val="0"/>
      <w:marTop w:val="0"/>
      <w:marBottom w:val="0"/>
      <w:divBdr>
        <w:top w:val="none" w:sz="0" w:space="0" w:color="auto"/>
        <w:left w:val="none" w:sz="0" w:space="0" w:color="auto"/>
        <w:bottom w:val="none" w:sz="0" w:space="0" w:color="auto"/>
        <w:right w:val="none" w:sz="0" w:space="0" w:color="auto"/>
      </w:divBdr>
    </w:div>
    <w:div w:id="1263339051">
      <w:bodyDiv w:val="1"/>
      <w:marLeft w:val="0"/>
      <w:marRight w:val="0"/>
      <w:marTop w:val="0"/>
      <w:marBottom w:val="0"/>
      <w:divBdr>
        <w:top w:val="none" w:sz="0" w:space="0" w:color="auto"/>
        <w:left w:val="none" w:sz="0" w:space="0" w:color="auto"/>
        <w:bottom w:val="none" w:sz="0" w:space="0" w:color="auto"/>
        <w:right w:val="none" w:sz="0" w:space="0" w:color="auto"/>
      </w:divBdr>
    </w:div>
    <w:div w:id="1279684292">
      <w:bodyDiv w:val="1"/>
      <w:marLeft w:val="0"/>
      <w:marRight w:val="0"/>
      <w:marTop w:val="0"/>
      <w:marBottom w:val="0"/>
      <w:divBdr>
        <w:top w:val="none" w:sz="0" w:space="0" w:color="auto"/>
        <w:left w:val="none" w:sz="0" w:space="0" w:color="auto"/>
        <w:bottom w:val="none" w:sz="0" w:space="0" w:color="auto"/>
        <w:right w:val="none" w:sz="0" w:space="0" w:color="auto"/>
      </w:divBdr>
      <w:divsChild>
        <w:div w:id="1478188771">
          <w:marLeft w:val="0"/>
          <w:marRight w:val="0"/>
          <w:marTop w:val="0"/>
          <w:marBottom w:val="0"/>
          <w:divBdr>
            <w:top w:val="none" w:sz="0" w:space="0" w:color="auto"/>
            <w:left w:val="none" w:sz="0" w:space="0" w:color="auto"/>
            <w:bottom w:val="none" w:sz="0" w:space="0" w:color="auto"/>
            <w:right w:val="none" w:sz="0" w:space="0" w:color="auto"/>
          </w:divBdr>
          <w:divsChild>
            <w:div w:id="2107993418">
              <w:marLeft w:val="0"/>
              <w:marRight w:val="0"/>
              <w:marTop w:val="0"/>
              <w:marBottom w:val="0"/>
              <w:divBdr>
                <w:top w:val="none" w:sz="0" w:space="0" w:color="auto"/>
                <w:left w:val="none" w:sz="0" w:space="0" w:color="auto"/>
                <w:bottom w:val="none" w:sz="0" w:space="0" w:color="auto"/>
                <w:right w:val="none" w:sz="0" w:space="0" w:color="auto"/>
              </w:divBdr>
              <w:divsChild>
                <w:div w:id="266162585">
                  <w:marLeft w:val="0"/>
                  <w:marRight w:val="0"/>
                  <w:marTop w:val="0"/>
                  <w:marBottom w:val="0"/>
                  <w:divBdr>
                    <w:top w:val="none" w:sz="0" w:space="0" w:color="auto"/>
                    <w:left w:val="none" w:sz="0" w:space="0" w:color="auto"/>
                    <w:bottom w:val="none" w:sz="0" w:space="0" w:color="auto"/>
                    <w:right w:val="none" w:sz="0" w:space="0" w:color="auto"/>
                  </w:divBdr>
                  <w:divsChild>
                    <w:div w:id="299311300">
                      <w:marLeft w:val="0"/>
                      <w:marRight w:val="0"/>
                      <w:marTop w:val="0"/>
                      <w:marBottom w:val="0"/>
                      <w:divBdr>
                        <w:top w:val="none" w:sz="0" w:space="0" w:color="auto"/>
                        <w:left w:val="none" w:sz="0" w:space="0" w:color="auto"/>
                        <w:bottom w:val="none" w:sz="0" w:space="0" w:color="auto"/>
                        <w:right w:val="none" w:sz="0" w:space="0" w:color="auto"/>
                      </w:divBdr>
                      <w:divsChild>
                        <w:div w:id="722563701">
                          <w:marLeft w:val="0"/>
                          <w:marRight w:val="0"/>
                          <w:marTop w:val="0"/>
                          <w:marBottom w:val="0"/>
                          <w:divBdr>
                            <w:top w:val="none" w:sz="0" w:space="0" w:color="auto"/>
                            <w:left w:val="none" w:sz="0" w:space="0" w:color="auto"/>
                            <w:bottom w:val="none" w:sz="0" w:space="0" w:color="auto"/>
                            <w:right w:val="none" w:sz="0" w:space="0" w:color="auto"/>
                          </w:divBdr>
                          <w:divsChild>
                            <w:div w:id="1943102228">
                              <w:marLeft w:val="0"/>
                              <w:marRight w:val="0"/>
                              <w:marTop w:val="0"/>
                              <w:marBottom w:val="0"/>
                              <w:divBdr>
                                <w:top w:val="none" w:sz="0" w:space="0" w:color="auto"/>
                                <w:left w:val="none" w:sz="0" w:space="0" w:color="auto"/>
                                <w:bottom w:val="none" w:sz="0" w:space="0" w:color="auto"/>
                                <w:right w:val="none" w:sz="0" w:space="0" w:color="auto"/>
                              </w:divBdr>
                              <w:divsChild>
                                <w:div w:id="15819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450616">
      <w:bodyDiv w:val="1"/>
      <w:marLeft w:val="0"/>
      <w:marRight w:val="0"/>
      <w:marTop w:val="0"/>
      <w:marBottom w:val="0"/>
      <w:divBdr>
        <w:top w:val="none" w:sz="0" w:space="0" w:color="auto"/>
        <w:left w:val="none" w:sz="0" w:space="0" w:color="auto"/>
        <w:bottom w:val="none" w:sz="0" w:space="0" w:color="auto"/>
        <w:right w:val="none" w:sz="0" w:space="0" w:color="auto"/>
      </w:divBdr>
    </w:div>
    <w:div w:id="1283535071">
      <w:bodyDiv w:val="1"/>
      <w:marLeft w:val="0"/>
      <w:marRight w:val="0"/>
      <w:marTop w:val="0"/>
      <w:marBottom w:val="0"/>
      <w:divBdr>
        <w:top w:val="none" w:sz="0" w:space="0" w:color="auto"/>
        <w:left w:val="none" w:sz="0" w:space="0" w:color="auto"/>
        <w:bottom w:val="none" w:sz="0" w:space="0" w:color="auto"/>
        <w:right w:val="none" w:sz="0" w:space="0" w:color="auto"/>
      </w:divBdr>
    </w:div>
    <w:div w:id="1325744558">
      <w:bodyDiv w:val="1"/>
      <w:marLeft w:val="0"/>
      <w:marRight w:val="0"/>
      <w:marTop w:val="0"/>
      <w:marBottom w:val="0"/>
      <w:divBdr>
        <w:top w:val="none" w:sz="0" w:space="0" w:color="auto"/>
        <w:left w:val="none" w:sz="0" w:space="0" w:color="auto"/>
        <w:bottom w:val="none" w:sz="0" w:space="0" w:color="auto"/>
        <w:right w:val="none" w:sz="0" w:space="0" w:color="auto"/>
      </w:divBdr>
    </w:div>
    <w:div w:id="1335182730">
      <w:bodyDiv w:val="1"/>
      <w:marLeft w:val="0"/>
      <w:marRight w:val="0"/>
      <w:marTop w:val="0"/>
      <w:marBottom w:val="0"/>
      <w:divBdr>
        <w:top w:val="none" w:sz="0" w:space="0" w:color="auto"/>
        <w:left w:val="none" w:sz="0" w:space="0" w:color="auto"/>
        <w:bottom w:val="none" w:sz="0" w:space="0" w:color="auto"/>
        <w:right w:val="none" w:sz="0" w:space="0" w:color="auto"/>
      </w:divBdr>
      <w:divsChild>
        <w:div w:id="1976446127">
          <w:marLeft w:val="0"/>
          <w:marRight w:val="0"/>
          <w:marTop w:val="0"/>
          <w:marBottom w:val="0"/>
          <w:divBdr>
            <w:top w:val="none" w:sz="0" w:space="0" w:color="auto"/>
            <w:left w:val="none" w:sz="0" w:space="0" w:color="auto"/>
            <w:bottom w:val="none" w:sz="0" w:space="0" w:color="auto"/>
            <w:right w:val="none" w:sz="0" w:space="0" w:color="auto"/>
          </w:divBdr>
          <w:divsChild>
            <w:div w:id="592785594">
              <w:marLeft w:val="0"/>
              <w:marRight w:val="0"/>
              <w:marTop w:val="0"/>
              <w:marBottom w:val="0"/>
              <w:divBdr>
                <w:top w:val="none" w:sz="0" w:space="0" w:color="auto"/>
                <w:left w:val="none" w:sz="0" w:space="0" w:color="auto"/>
                <w:bottom w:val="none" w:sz="0" w:space="0" w:color="auto"/>
                <w:right w:val="none" w:sz="0" w:space="0" w:color="auto"/>
              </w:divBdr>
              <w:divsChild>
                <w:div w:id="491139116">
                  <w:marLeft w:val="0"/>
                  <w:marRight w:val="0"/>
                  <w:marTop w:val="0"/>
                  <w:marBottom w:val="0"/>
                  <w:divBdr>
                    <w:top w:val="none" w:sz="0" w:space="0" w:color="auto"/>
                    <w:left w:val="none" w:sz="0" w:space="0" w:color="auto"/>
                    <w:bottom w:val="none" w:sz="0" w:space="0" w:color="auto"/>
                    <w:right w:val="none" w:sz="0" w:space="0" w:color="auto"/>
                  </w:divBdr>
                  <w:divsChild>
                    <w:div w:id="32079054">
                      <w:marLeft w:val="0"/>
                      <w:marRight w:val="0"/>
                      <w:marTop w:val="0"/>
                      <w:marBottom w:val="0"/>
                      <w:divBdr>
                        <w:top w:val="none" w:sz="0" w:space="0" w:color="auto"/>
                        <w:left w:val="none" w:sz="0" w:space="0" w:color="auto"/>
                        <w:bottom w:val="none" w:sz="0" w:space="0" w:color="auto"/>
                        <w:right w:val="none" w:sz="0" w:space="0" w:color="auto"/>
                      </w:divBdr>
                      <w:divsChild>
                        <w:div w:id="1953634245">
                          <w:marLeft w:val="0"/>
                          <w:marRight w:val="0"/>
                          <w:marTop w:val="0"/>
                          <w:marBottom w:val="0"/>
                          <w:divBdr>
                            <w:top w:val="none" w:sz="0" w:space="0" w:color="auto"/>
                            <w:left w:val="none" w:sz="0" w:space="0" w:color="auto"/>
                            <w:bottom w:val="none" w:sz="0" w:space="0" w:color="auto"/>
                            <w:right w:val="none" w:sz="0" w:space="0" w:color="auto"/>
                          </w:divBdr>
                          <w:divsChild>
                            <w:div w:id="966665365">
                              <w:marLeft w:val="0"/>
                              <w:marRight w:val="0"/>
                              <w:marTop w:val="0"/>
                              <w:marBottom w:val="0"/>
                              <w:divBdr>
                                <w:top w:val="none" w:sz="0" w:space="0" w:color="auto"/>
                                <w:left w:val="none" w:sz="0" w:space="0" w:color="auto"/>
                                <w:bottom w:val="none" w:sz="0" w:space="0" w:color="auto"/>
                                <w:right w:val="none" w:sz="0" w:space="0" w:color="auto"/>
                              </w:divBdr>
                              <w:divsChild>
                                <w:div w:id="16057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397626">
      <w:bodyDiv w:val="1"/>
      <w:marLeft w:val="0"/>
      <w:marRight w:val="0"/>
      <w:marTop w:val="0"/>
      <w:marBottom w:val="0"/>
      <w:divBdr>
        <w:top w:val="none" w:sz="0" w:space="0" w:color="auto"/>
        <w:left w:val="none" w:sz="0" w:space="0" w:color="auto"/>
        <w:bottom w:val="none" w:sz="0" w:space="0" w:color="auto"/>
        <w:right w:val="none" w:sz="0" w:space="0" w:color="auto"/>
      </w:divBdr>
    </w:div>
    <w:div w:id="1375813777">
      <w:bodyDiv w:val="1"/>
      <w:marLeft w:val="0"/>
      <w:marRight w:val="0"/>
      <w:marTop w:val="0"/>
      <w:marBottom w:val="0"/>
      <w:divBdr>
        <w:top w:val="none" w:sz="0" w:space="0" w:color="auto"/>
        <w:left w:val="none" w:sz="0" w:space="0" w:color="auto"/>
        <w:bottom w:val="none" w:sz="0" w:space="0" w:color="auto"/>
        <w:right w:val="none" w:sz="0" w:space="0" w:color="auto"/>
      </w:divBdr>
    </w:div>
    <w:div w:id="1379744974">
      <w:bodyDiv w:val="1"/>
      <w:marLeft w:val="0"/>
      <w:marRight w:val="0"/>
      <w:marTop w:val="0"/>
      <w:marBottom w:val="0"/>
      <w:divBdr>
        <w:top w:val="none" w:sz="0" w:space="0" w:color="auto"/>
        <w:left w:val="none" w:sz="0" w:space="0" w:color="auto"/>
        <w:bottom w:val="none" w:sz="0" w:space="0" w:color="auto"/>
        <w:right w:val="none" w:sz="0" w:space="0" w:color="auto"/>
      </w:divBdr>
    </w:div>
    <w:div w:id="1393692621">
      <w:bodyDiv w:val="1"/>
      <w:marLeft w:val="0"/>
      <w:marRight w:val="0"/>
      <w:marTop w:val="0"/>
      <w:marBottom w:val="0"/>
      <w:divBdr>
        <w:top w:val="none" w:sz="0" w:space="0" w:color="auto"/>
        <w:left w:val="none" w:sz="0" w:space="0" w:color="auto"/>
        <w:bottom w:val="none" w:sz="0" w:space="0" w:color="auto"/>
        <w:right w:val="none" w:sz="0" w:space="0" w:color="auto"/>
      </w:divBdr>
    </w:div>
    <w:div w:id="1443183627">
      <w:bodyDiv w:val="1"/>
      <w:marLeft w:val="0"/>
      <w:marRight w:val="0"/>
      <w:marTop w:val="0"/>
      <w:marBottom w:val="0"/>
      <w:divBdr>
        <w:top w:val="none" w:sz="0" w:space="0" w:color="auto"/>
        <w:left w:val="none" w:sz="0" w:space="0" w:color="auto"/>
        <w:bottom w:val="none" w:sz="0" w:space="0" w:color="auto"/>
        <w:right w:val="none" w:sz="0" w:space="0" w:color="auto"/>
      </w:divBdr>
    </w:div>
    <w:div w:id="1460219556">
      <w:bodyDiv w:val="1"/>
      <w:marLeft w:val="0"/>
      <w:marRight w:val="0"/>
      <w:marTop w:val="0"/>
      <w:marBottom w:val="0"/>
      <w:divBdr>
        <w:top w:val="none" w:sz="0" w:space="0" w:color="auto"/>
        <w:left w:val="none" w:sz="0" w:space="0" w:color="auto"/>
        <w:bottom w:val="none" w:sz="0" w:space="0" w:color="auto"/>
        <w:right w:val="none" w:sz="0" w:space="0" w:color="auto"/>
      </w:divBdr>
    </w:div>
    <w:div w:id="1466849973">
      <w:bodyDiv w:val="1"/>
      <w:marLeft w:val="0"/>
      <w:marRight w:val="0"/>
      <w:marTop w:val="0"/>
      <w:marBottom w:val="0"/>
      <w:divBdr>
        <w:top w:val="none" w:sz="0" w:space="0" w:color="auto"/>
        <w:left w:val="none" w:sz="0" w:space="0" w:color="auto"/>
        <w:bottom w:val="none" w:sz="0" w:space="0" w:color="auto"/>
        <w:right w:val="none" w:sz="0" w:space="0" w:color="auto"/>
      </w:divBdr>
    </w:div>
    <w:div w:id="1537548507">
      <w:bodyDiv w:val="1"/>
      <w:marLeft w:val="0"/>
      <w:marRight w:val="0"/>
      <w:marTop w:val="0"/>
      <w:marBottom w:val="0"/>
      <w:divBdr>
        <w:top w:val="none" w:sz="0" w:space="0" w:color="auto"/>
        <w:left w:val="none" w:sz="0" w:space="0" w:color="auto"/>
        <w:bottom w:val="none" w:sz="0" w:space="0" w:color="auto"/>
        <w:right w:val="none" w:sz="0" w:space="0" w:color="auto"/>
      </w:divBdr>
    </w:div>
    <w:div w:id="1557275302">
      <w:bodyDiv w:val="1"/>
      <w:marLeft w:val="0"/>
      <w:marRight w:val="0"/>
      <w:marTop w:val="0"/>
      <w:marBottom w:val="0"/>
      <w:divBdr>
        <w:top w:val="none" w:sz="0" w:space="0" w:color="auto"/>
        <w:left w:val="none" w:sz="0" w:space="0" w:color="auto"/>
        <w:bottom w:val="none" w:sz="0" w:space="0" w:color="auto"/>
        <w:right w:val="none" w:sz="0" w:space="0" w:color="auto"/>
      </w:divBdr>
    </w:div>
    <w:div w:id="1605770515">
      <w:bodyDiv w:val="1"/>
      <w:marLeft w:val="0"/>
      <w:marRight w:val="0"/>
      <w:marTop w:val="0"/>
      <w:marBottom w:val="0"/>
      <w:divBdr>
        <w:top w:val="none" w:sz="0" w:space="0" w:color="auto"/>
        <w:left w:val="none" w:sz="0" w:space="0" w:color="auto"/>
        <w:bottom w:val="none" w:sz="0" w:space="0" w:color="auto"/>
        <w:right w:val="none" w:sz="0" w:space="0" w:color="auto"/>
      </w:divBdr>
      <w:divsChild>
        <w:div w:id="1060786624">
          <w:marLeft w:val="0"/>
          <w:marRight w:val="0"/>
          <w:marTop w:val="0"/>
          <w:marBottom w:val="0"/>
          <w:divBdr>
            <w:top w:val="none" w:sz="0" w:space="0" w:color="auto"/>
            <w:left w:val="none" w:sz="0" w:space="0" w:color="auto"/>
            <w:bottom w:val="none" w:sz="0" w:space="0" w:color="auto"/>
            <w:right w:val="none" w:sz="0" w:space="0" w:color="auto"/>
          </w:divBdr>
          <w:divsChild>
            <w:div w:id="1797143898">
              <w:marLeft w:val="0"/>
              <w:marRight w:val="0"/>
              <w:marTop w:val="0"/>
              <w:marBottom w:val="0"/>
              <w:divBdr>
                <w:top w:val="none" w:sz="0" w:space="0" w:color="auto"/>
                <w:left w:val="none" w:sz="0" w:space="0" w:color="auto"/>
                <w:bottom w:val="none" w:sz="0" w:space="0" w:color="auto"/>
                <w:right w:val="none" w:sz="0" w:space="0" w:color="auto"/>
              </w:divBdr>
              <w:divsChild>
                <w:div w:id="230385180">
                  <w:marLeft w:val="0"/>
                  <w:marRight w:val="0"/>
                  <w:marTop w:val="0"/>
                  <w:marBottom w:val="0"/>
                  <w:divBdr>
                    <w:top w:val="none" w:sz="0" w:space="0" w:color="auto"/>
                    <w:left w:val="none" w:sz="0" w:space="0" w:color="auto"/>
                    <w:bottom w:val="none" w:sz="0" w:space="0" w:color="auto"/>
                    <w:right w:val="none" w:sz="0" w:space="0" w:color="auto"/>
                  </w:divBdr>
                  <w:divsChild>
                    <w:div w:id="361832861">
                      <w:marLeft w:val="0"/>
                      <w:marRight w:val="0"/>
                      <w:marTop w:val="0"/>
                      <w:marBottom w:val="0"/>
                      <w:divBdr>
                        <w:top w:val="none" w:sz="0" w:space="0" w:color="auto"/>
                        <w:left w:val="none" w:sz="0" w:space="0" w:color="auto"/>
                        <w:bottom w:val="none" w:sz="0" w:space="0" w:color="auto"/>
                        <w:right w:val="none" w:sz="0" w:space="0" w:color="auto"/>
                      </w:divBdr>
                      <w:divsChild>
                        <w:div w:id="14574476">
                          <w:marLeft w:val="0"/>
                          <w:marRight w:val="0"/>
                          <w:marTop w:val="0"/>
                          <w:marBottom w:val="0"/>
                          <w:divBdr>
                            <w:top w:val="none" w:sz="0" w:space="0" w:color="auto"/>
                            <w:left w:val="none" w:sz="0" w:space="0" w:color="auto"/>
                            <w:bottom w:val="none" w:sz="0" w:space="0" w:color="auto"/>
                            <w:right w:val="none" w:sz="0" w:space="0" w:color="auto"/>
                          </w:divBdr>
                          <w:divsChild>
                            <w:div w:id="561212907">
                              <w:marLeft w:val="0"/>
                              <w:marRight w:val="0"/>
                              <w:marTop w:val="0"/>
                              <w:marBottom w:val="0"/>
                              <w:divBdr>
                                <w:top w:val="none" w:sz="0" w:space="0" w:color="auto"/>
                                <w:left w:val="none" w:sz="0" w:space="0" w:color="auto"/>
                                <w:bottom w:val="none" w:sz="0" w:space="0" w:color="auto"/>
                                <w:right w:val="none" w:sz="0" w:space="0" w:color="auto"/>
                              </w:divBdr>
                              <w:divsChild>
                                <w:div w:id="10967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292460">
      <w:bodyDiv w:val="1"/>
      <w:marLeft w:val="0"/>
      <w:marRight w:val="0"/>
      <w:marTop w:val="0"/>
      <w:marBottom w:val="0"/>
      <w:divBdr>
        <w:top w:val="none" w:sz="0" w:space="0" w:color="auto"/>
        <w:left w:val="none" w:sz="0" w:space="0" w:color="auto"/>
        <w:bottom w:val="none" w:sz="0" w:space="0" w:color="auto"/>
        <w:right w:val="none" w:sz="0" w:space="0" w:color="auto"/>
      </w:divBdr>
    </w:div>
    <w:div w:id="1777170708">
      <w:bodyDiv w:val="1"/>
      <w:marLeft w:val="0"/>
      <w:marRight w:val="0"/>
      <w:marTop w:val="0"/>
      <w:marBottom w:val="0"/>
      <w:divBdr>
        <w:top w:val="none" w:sz="0" w:space="0" w:color="auto"/>
        <w:left w:val="none" w:sz="0" w:space="0" w:color="auto"/>
        <w:bottom w:val="none" w:sz="0" w:space="0" w:color="auto"/>
        <w:right w:val="none" w:sz="0" w:space="0" w:color="auto"/>
      </w:divBdr>
    </w:div>
    <w:div w:id="1777749785">
      <w:bodyDiv w:val="1"/>
      <w:marLeft w:val="0"/>
      <w:marRight w:val="0"/>
      <w:marTop w:val="0"/>
      <w:marBottom w:val="0"/>
      <w:divBdr>
        <w:top w:val="none" w:sz="0" w:space="0" w:color="auto"/>
        <w:left w:val="none" w:sz="0" w:space="0" w:color="auto"/>
        <w:bottom w:val="none" w:sz="0" w:space="0" w:color="auto"/>
        <w:right w:val="none" w:sz="0" w:space="0" w:color="auto"/>
      </w:divBdr>
    </w:div>
    <w:div w:id="1800224936">
      <w:bodyDiv w:val="1"/>
      <w:marLeft w:val="0"/>
      <w:marRight w:val="0"/>
      <w:marTop w:val="0"/>
      <w:marBottom w:val="0"/>
      <w:divBdr>
        <w:top w:val="none" w:sz="0" w:space="0" w:color="auto"/>
        <w:left w:val="none" w:sz="0" w:space="0" w:color="auto"/>
        <w:bottom w:val="none" w:sz="0" w:space="0" w:color="auto"/>
        <w:right w:val="none" w:sz="0" w:space="0" w:color="auto"/>
      </w:divBdr>
    </w:div>
    <w:div w:id="1828281065">
      <w:bodyDiv w:val="1"/>
      <w:marLeft w:val="0"/>
      <w:marRight w:val="0"/>
      <w:marTop w:val="0"/>
      <w:marBottom w:val="0"/>
      <w:divBdr>
        <w:top w:val="none" w:sz="0" w:space="0" w:color="auto"/>
        <w:left w:val="none" w:sz="0" w:space="0" w:color="auto"/>
        <w:bottom w:val="none" w:sz="0" w:space="0" w:color="auto"/>
        <w:right w:val="none" w:sz="0" w:space="0" w:color="auto"/>
      </w:divBdr>
    </w:div>
    <w:div w:id="1833906749">
      <w:bodyDiv w:val="1"/>
      <w:marLeft w:val="0"/>
      <w:marRight w:val="0"/>
      <w:marTop w:val="0"/>
      <w:marBottom w:val="0"/>
      <w:divBdr>
        <w:top w:val="none" w:sz="0" w:space="0" w:color="auto"/>
        <w:left w:val="none" w:sz="0" w:space="0" w:color="auto"/>
        <w:bottom w:val="none" w:sz="0" w:space="0" w:color="auto"/>
        <w:right w:val="none" w:sz="0" w:space="0" w:color="auto"/>
      </w:divBdr>
      <w:divsChild>
        <w:div w:id="133717642">
          <w:marLeft w:val="0"/>
          <w:marRight w:val="0"/>
          <w:marTop w:val="0"/>
          <w:marBottom w:val="0"/>
          <w:divBdr>
            <w:top w:val="none" w:sz="0" w:space="0" w:color="auto"/>
            <w:left w:val="none" w:sz="0" w:space="0" w:color="auto"/>
            <w:bottom w:val="none" w:sz="0" w:space="0" w:color="auto"/>
            <w:right w:val="none" w:sz="0" w:space="0" w:color="auto"/>
          </w:divBdr>
          <w:divsChild>
            <w:div w:id="599266492">
              <w:marLeft w:val="0"/>
              <w:marRight w:val="0"/>
              <w:marTop w:val="0"/>
              <w:marBottom w:val="0"/>
              <w:divBdr>
                <w:top w:val="none" w:sz="0" w:space="0" w:color="auto"/>
                <w:left w:val="none" w:sz="0" w:space="0" w:color="auto"/>
                <w:bottom w:val="none" w:sz="0" w:space="0" w:color="auto"/>
                <w:right w:val="none" w:sz="0" w:space="0" w:color="auto"/>
              </w:divBdr>
              <w:divsChild>
                <w:div w:id="1929727883">
                  <w:marLeft w:val="0"/>
                  <w:marRight w:val="0"/>
                  <w:marTop w:val="0"/>
                  <w:marBottom w:val="0"/>
                  <w:divBdr>
                    <w:top w:val="none" w:sz="0" w:space="0" w:color="auto"/>
                    <w:left w:val="none" w:sz="0" w:space="0" w:color="auto"/>
                    <w:bottom w:val="none" w:sz="0" w:space="0" w:color="auto"/>
                    <w:right w:val="none" w:sz="0" w:space="0" w:color="auto"/>
                  </w:divBdr>
                  <w:divsChild>
                    <w:div w:id="38869400">
                      <w:marLeft w:val="0"/>
                      <w:marRight w:val="0"/>
                      <w:marTop w:val="0"/>
                      <w:marBottom w:val="0"/>
                      <w:divBdr>
                        <w:top w:val="none" w:sz="0" w:space="0" w:color="auto"/>
                        <w:left w:val="none" w:sz="0" w:space="0" w:color="auto"/>
                        <w:bottom w:val="none" w:sz="0" w:space="0" w:color="auto"/>
                        <w:right w:val="none" w:sz="0" w:space="0" w:color="auto"/>
                      </w:divBdr>
                      <w:divsChild>
                        <w:div w:id="80488591">
                          <w:marLeft w:val="0"/>
                          <w:marRight w:val="0"/>
                          <w:marTop w:val="0"/>
                          <w:marBottom w:val="0"/>
                          <w:divBdr>
                            <w:top w:val="none" w:sz="0" w:space="0" w:color="auto"/>
                            <w:left w:val="none" w:sz="0" w:space="0" w:color="auto"/>
                            <w:bottom w:val="none" w:sz="0" w:space="0" w:color="auto"/>
                            <w:right w:val="none" w:sz="0" w:space="0" w:color="auto"/>
                          </w:divBdr>
                          <w:divsChild>
                            <w:div w:id="1845318535">
                              <w:marLeft w:val="0"/>
                              <w:marRight w:val="0"/>
                              <w:marTop w:val="0"/>
                              <w:marBottom w:val="0"/>
                              <w:divBdr>
                                <w:top w:val="none" w:sz="0" w:space="0" w:color="auto"/>
                                <w:left w:val="none" w:sz="0" w:space="0" w:color="auto"/>
                                <w:bottom w:val="none" w:sz="0" w:space="0" w:color="auto"/>
                                <w:right w:val="none" w:sz="0" w:space="0" w:color="auto"/>
                              </w:divBdr>
                              <w:divsChild>
                                <w:div w:id="11391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2542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65371614">
      <w:bodyDiv w:val="1"/>
      <w:marLeft w:val="0"/>
      <w:marRight w:val="0"/>
      <w:marTop w:val="0"/>
      <w:marBottom w:val="0"/>
      <w:divBdr>
        <w:top w:val="none" w:sz="0" w:space="0" w:color="auto"/>
        <w:left w:val="none" w:sz="0" w:space="0" w:color="auto"/>
        <w:bottom w:val="none" w:sz="0" w:space="0" w:color="auto"/>
        <w:right w:val="none" w:sz="0" w:space="0" w:color="auto"/>
      </w:divBdr>
    </w:div>
    <w:div w:id="2115467885">
      <w:bodyDiv w:val="1"/>
      <w:marLeft w:val="0"/>
      <w:marRight w:val="0"/>
      <w:marTop w:val="0"/>
      <w:marBottom w:val="0"/>
      <w:divBdr>
        <w:top w:val="none" w:sz="0" w:space="0" w:color="auto"/>
        <w:left w:val="none" w:sz="0" w:space="0" w:color="auto"/>
        <w:bottom w:val="none" w:sz="0" w:space="0" w:color="auto"/>
        <w:right w:val="none" w:sz="0" w:space="0" w:color="auto"/>
      </w:divBdr>
    </w:div>
    <w:div w:id="2118017627">
      <w:bodyDiv w:val="1"/>
      <w:marLeft w:val="0"/>
      <w:marRight w:val="0"/>
      <w:marTop w:val="0"/>
      <w:marBottom w:val="0"/>
      <w:divBdr>
        <w:top w:val="none" w:sz="0" w:space="0" w:color="auto"/>
        <w:left w:val="none" w:sz="0" w:space="0" w:color="auto"/>
        <w:bottom w:val="none" w:sz="0" w:space="0" w:color="auto"/>
        <w:right w:val="none" w:sz="0" w:space="0" w:color="auto"/>
      </w:divBdr>
      <w:divsChild>
        <w:div w:id="1972513158">
          <w:marLeft w:val="0"/>
          <w:marRight w:val="0"/>
          <w:marTop w:val="0"/>
          <w:marBottom w:val="0"/>
          <w:divBdr>
            <w:top w:val="none" w:sz="0" w:space="0" w:color="auto"/>
            <w:left w:val="none" w:sz="0" w:space="0" w:color="auto"/>
            <w:bottom w:val="none" w:sz="0" w:space="0" w:color="auto"/>
            <w:right w:val="none" w:sz="0" w:space="0" w:color="auto"/>
          </w:divBdr>
          <w:divsChild>
            <w:div w:id="1677338356">
              <w:marLeft w:val="0"/>
              <w:marRight w:val="0"/>
              <w:marTop w:val="0"/>
              <w:marBottom w:val="0"/>
              <w:divBdr>
                <w:top w:val="none" w:sz="0" w:space="0" w:color="auto"/>
                <w:left w:val="none" w:sz="0" w:space="0" w:color="auto"/>
                <w:bottom w:val="none" w:sz="0" w:space="0" w:color="auto"/>
                <w:right w:val="none" w:sz="0" w:space="0" w:color="auto"/>
              </w:divBdr>
              <w:divsChild>
                <w:div w:id="1573812185">
                  <w:marLeft w:val="0"/>
                  <w:marRight w:val="0"/>
                  <w:marTop w:val="0"/>
                  <w:marBottom w:val="0"/>
                  <w:divBdr>
                    <w:top w:val="none" w:sz="0" w:space="0" w:color="auto"/>
                    <w:left w:val="none" w:sz="0" w:space="0" w:color="auto"/>
                    <w:bottom w:val="none" w:sz="0" w:space="0" w:color="auto"/>
                    <w:right w:val="none" w:sz="0" w:space="0" w:color="auto"/>
                  </w:divBdr>
                  <w:divsChild>
                    <w:div w:id="1197545870">
                      <w:marLeft w:val="0"/>
                      <w:marRight w:val="0"/>
                      <w:marTop w:val="0"/>
                      <w:marBottom w:val="0"/>
                      <w:divBdr>
                        <w:top w:val="none" w:sz="0" w:space="0" w:color="auto"/>
                        <w:left w:val="none" w:sz="0" w:space="0" w:color="auto"/>
                        <w:bottom w:val="none" w:sz="0" w:space="0" w:color="auto"/>
                        <w:right w:val="none" w:sz="0" w:space="0" w:color="auto"/>
                      </w:divBdr>
                      <w:divsChild>
                        <w:div w:id="348410297">
                          <w:marLeft w:val="0"/>
                          <w:marRight w:val="0"/>
                          <w:marTop w:val="0"/>
                          <w:marBottom w:val="0"/>
                          <w:divBdr>
                            <w:top w:val="none" w:sz="0" w:space="0" w:color="auto"/>
                            <w:left w:val="none" w:sz="0" w:space="0" w:color="auto"/>
                            <w:bottom w:val="none" w:sz="0" w:space="0" w:color="auto"/>
                            <w:right w:val="none" w:sz="0" w:space="0" w:color="auto"/>
                          </w:divBdr>
                          <w:divsChild>
                            <w:div w:id="2078164117">
                              <w:marLeft w:val="0"/>
                              <w:marRight w:val="0"/>
                              <w:marTop w:val="0"/>
                              <w:marBottom w:val="0"/>
                              <w:divBdr>
                                <w:top w:val="none" w:sz="0" w:space="0" w:color="auto"/>
                                <w:left w:val="none" w:sz="0" w:space="0" w:color="auto"/>
                                <w:bottom w:val="none" w:sz="0" w:space="0" w:color="auto"/>
                                <w:right w:val="none" w:sz="0" w:space="0" w:color="auto"/>
                              </w:divBdr>
                              <w:divsChild>
                                <w:div w:id="17010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servicesaustralia.gov.au/hp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humanservicesaustralia.gov.au" TargetMode="External"/><Relationship Id="rId2" Type="http://schemas.openxmlformats.org/officeDocument/2006/relationships/numbering" Target="numbering.xml"/><Relationship Id="rId16" Type="http://schemas.openxmlformats.org/officeDocument/2006/relationships/hyperlink" Target="http://www.servicesaustralia.gov.au/hpo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umanservicesaustralia.gov.a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pbs.gov.au/industry/listing/elements/pbac-meetings/pbac-outcomes/2021-11/pbac-web-outcomes-11-2021-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1006F-EA80-48DB-AA56-963238D3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8762</Words>
  <Characters>49946</Characters>
  <Application>Microsoft Office Word</Application>
  <DocSecurity>0</DocSecurity>
  <Lines>416</Lines>
  <Paragraphs>117</Paragraphs>
  <ScaleCrop>false</ScaleCrop>
  <Company/>
  <LinksUpToDate>false</LinksUpToDate>
  <CharactersWithSpaces>58591</CharactersWithSpaces>
  <SharedDoc>false</SharedDoc>
  <HLinks>
    <vt:vector size="372" baseType="variant">
      <vt:variant>
        <vt:i4>1507377</vt:i4>
      </vt:variant>
      <vt:variant>
        <vt:i4>368</vt:i4>
      </vt:variant>
      <vt:variant>
        <vt:i4>0</vt:i4>
      </vt:variant>
      <vt:variant>
        <vt:i4>5</vt:i4>
      </vt:variant>
      <vt:variant>
        <vt:lpwstr/>
      </vt:variant>
      <vt:variant>
        <vt:lpwstr>_Toc164757166</vt:lpwstr>
      </vt:variant>
      <vt:variant>
        <vt:i4>1507377</vt:i4>
      </vt:variant>
      <vt:variant>
        <vt:i4>362</vt:i4>
      </vt:variant>
      <vt:variant>
        <vt:i4>0</vt:i4>
      </vt:variant>
      <vt:variant>
        <vt:i4>5</vt:i4>
      </vt:variant>
      <vt:variant>
        <vt:lpwstr/>
      </vt:variant>
      <vt:variant>
        <vt:lpwstr>_Toc164757165</vt:lpwstr>
      </vt:variant>
      <vt:variant>
        <vt:i4>1507377</vt:i4>
      </vt:variant>
      <vt:variant>
        <vt:i4>356</vt:i4>
      </vt:variant>
      <vt:variant>
        <vt:i4>0</vt:i4>
      </vt:variant>
      <vt:variant>
        <vt:i4>5</vt:i4>
      </vt:variant>
      <vt:variant>
        <vt:lpwstr/>
      </vt:variant>
      <vt:variant>
        <vt:lpwstr>_Toc164757164</vt:lpwstr>
      </vt:variant>
      <vt:variant>
        <vt:i4>1507377</vt:i4>
      </vt:variant>
      <vt:variant>
        <vt:i4>350</vt:i4>
      </vt:variant>
      <vt:variant>
        <vt:i4>0</vt:i4>
      </vt:variant>
      <vt:variant>
        <vt:i4>5</vt:i4>
      </vt:variant>
      <vt:variant>
        <vt:lpwstr/>
      </vt:variant>
      <vt:variant>
        <vt:lpwstr>_Toc164757163</vt:lpwstr>
      </vt:variant>
      <vt:variant>
        <vt:i4>1507377</vt:i4>
      </vt:variant>
      <vt:variant>
        <vt:i4>344</vt:i4>
      </vt:variant>
      <vt:variant>
        <vt:i4>0</vt:i4>
      </vt:variant>
      <vt:variant>
        <vt:i4>5</vt:i4>
      </vt:variant>
      <vt:variant>
        <vt:lpwstr/>
      </vt:variant>
      <vt:variant>
        <vt:lpwstr>_Toc164757162</vt:lpwstr>
      </vt:variant>
      <vt:variant>
        <vt:i4>1507377</vt:i4>
      </vt:variant>
      <vt:variant>
        <vt:i4>338</vt:i4>
      </vt:variant>
      <vt:variant>
        <vt:i4>0</vt:i4>
      </vt:variant>
      <vt:variant>
        <vt:i4>5</vt:i4>
      </vt:variant>
      <vt:variant>
        <vt:lpwstr/>
      </vt:variant>
      <vt:variant>
        <vt:lpwstr>_Toc164757161</vt:lpwstr>
      </vt:variant>
      <vt:variant>
        <vt:i4>1507377</vt:i4>
      </vt:variant>
      <vt:variant>
        <vt:i4>332</vt:i4>
      </vt:variant>
      <vt:variant>
        <vt:i4>0</vt:i4>
      </vt:variant>
      <vt:variant>
        <vt:i4>5</vt:i4>
      </vt:variant>
      <vt:variant>
        <vt:lpwstr/>
      </vt:variant>
      <vt:variant>
        <vt:lpwstr>_Toc164757160</vt:lpwstr>
      </vt:variant>
      <vt:variant>
        <vt:i4>1310769</vt:i4>
      </vt:variant>
      <vt:variant>
        <vt:i4>326</vt:i4>
      </vt:variant>
      <vt:variant>
        <vt:i4>0</vt:i4>
      </vt:variant>
      <vt:variant>
        <vt:i4>5</vt:i4>
      </vt:variant>
      <vt:variant>
        <vt:lpwstr/>
      </vt:variant>
      <vt:variant>
        <vt:lpwstr>_Toc164757159</vt:lpwstr>
      </vt:variant>
      <vt:variant>
        <vt:i4>1310769</vt:i4>
      </vt:variant>
      <vt:variant>
        <vt:i4>320</vt:i4>
      </vt:variant>
      <vt:variant>
        <vt:i4>0</vt:i4>
      </vt:variant>
      <vt:variant>
        <vt:i4>5</vt:i4>
      </vt:variant>
      <vt:variant>
        <vt:lpwstr/>
      </vt:variant>
      <vt:variant>
        <vt:lpwstr>_Toc164757158</vt:lpwstr>
      </vt:variant>
      <vt:variant>
        <vt:i4>1310769</vt:i4>
      </vt:variant>
      <vt:variant>
        <vt:i4>314</vt:i4>
      </vt:variant>
      <vt:variant>
        <vt:i4>0</vt:i4>
      </vt:variant>
      <vt:variant>
        <vt:i4>5</vt:i4>
      </vt:variant>
      <vt:variant>
        <vt:lpwstr/>
      </vt:variant>
      <vt:variant>
        <vt:lpwstr>_Toc164757157</vt:lpwstr>
      </vt:variant>
      <vt:variant>
        <vt:i4>1310769</vt:i4>
      </vt:variant>
      <vt:variant>
        <vt:i4>308</vt:i4>
      </vt:variant>
      <vt:variant>
        <vt:i4>0</vt:i4>
      </vt:variant>
      <vt:variant>
        <vt:i4>5</vt:i4>
      </vt:variant>
      <vt:variant>
        <vt:lpwstr/>
      </vt:variant>
      <vt:variant>
        <vt:lpwstr>_Toc164757156</vt:lpwstr>
      </vt:variant>
      <vt:variant>
        <vt:i4>1310769</vt:i4>
      </vt:variant>
      <vt:variant>
        <vt:i4>302</vt:i4>
      </vt:variant>
      <vt:variant>
        <vt:i4>0</vt:i4>
      </vt:variant>
      <vt:variant>
        <vt:i4>5</vt:i4>
      </vt:variant>
      <vt:variant>
        <vt:lpwstr/>
      </vt:variant>
      <vt:variant>
        <vt:lpwstr>_Toc164757155</vt:lpwstr>
      </vt:variant>
      <vt:variant>
        <vt:i4>1310769</vt:i4>
      </vt:variant>
      <vt:variant>
        <vt:i4>296</vt:i4>
      </vt:variant>
      <vt:variant>
        <vt:i4>0</vt:i4>
      </vt:variant>
      <vt:variant>
        <vt:i4>5</vt:i4>
      </vt:variant>
      <vt:variant>
        <vt:lpwstr/>
      </vt:variant>
      <vt:variant>
        <vt:lpwstr>_Toc164757154</vt:lpwstr>
      </vt:variant>
      <vt:variant>
        <vt:i4>1310769</vt:i4>
      </vt:variant>
      <vt:variant>
        <vt:i4>290</vt:i4>
      </vt:variant>
      <vt:variant>
        <vt:i4>0</vt:i4>
      </vt:variant>
      <vt:variant>
        <vt:i4>5</vt:i4>
      </vt:variant>
      <vt:variant>
        <vt:lpwstr/>
      </vt:variant>
      <vt:variant>
        <vt:lpwstr>_Toc164757153</vt:lpwstr>
      </vt:variant>
      <vt:variant>
        <vt:i4>1310769</vt:i4>
      </vt:variant>
      <vt:variant>
        <vt:i4>284</vt:i4>
      </vt:variant>
      <vt:variant>
        <vt:i4>0</vt:i4>
      </vt:variant>
      <vt:variant>
        <vt:i4>5</vt:i4>
      </vt:variant>
      <vt:variant>
        <vt:lpwstr/>
      </vt:variant>
      <vt:variant>
        <vt:lpwstr>_Toc164757152</vt:lpwstr>
      </vt:variant>
      <vt:variant>
        <vt:i4>1310769</vt:i4>
      </vt:variant>
      <vt:variant>
        <vt:i4>278</vt:i4>
      </vt:variant>
      <vt:variant>
        <vt:i4>0</vt:i4>
      </vt:variant>
      <vt:variant>
        <vt:i4>5</vt:i4>
      </vt:variant>
      <vt:variant>
        <vt:lpwstr/>
      </vt:variant>
      <vt:variant>
        <vt:lpwstr>_Toc164757151</vt:lpwstr>
      </vt:variant>
      <vt:variant>
        <vt:i4>1310769</vt:i4>
      </vt:variant>
      <vt:variant>
        <vt:i4>272</vt:i4>
      </vt:variant>
      <vt:variant>
        <vt:i4>0</vt:i4>
      </vt:variant>
      <vt:variant>
        <vt:i4>5</vt:i4>
      </vt:variant>
      <vt:variant>
        <vt:lpwstr/>
      </vt:variant>
      <vt:variant>
        <vt:lpwstr>_Toc164757150</vt:lpwstr>
      </vt:variant>
      <vt:variant>
        <vt:i4>1376305</vt:i4>
      </vt:variant>
      <vt:variant>
        <vt:i4>266</vt:i4>
      </vt:variant>
      <vt:variant>
        <vt:i4>0</vt:i4>
      </vt:variant>
      <vt:variant>
        <vt:i4>5</vt:i4>
      </vt:variant>
      <vt:variant>
        <vt:lpwstr/>
      </vt:variant>
      <vt:variant>
        <vt:lpwstr>_Toc164757149</vt:lpwstr>
      </vt:variant>
      <vt:variant>
        <vt:i4>1376305</vt:i4>
      </vt:variant>
      <vt:variant>
        <vt:i4>260</vt:i4>
      </vt:variant>
      <vt:variant>
        <vt:i4>0</vt:i4>
      </vt:variant>
      <vt:variant>
        <vt:i4>5</vt:i4>
      </vt:variant>
      <vt:variant>
        <vt:lpwstr/>
      </vt:variant>
      <vt:variant>
        <vt:lpwstr>_Toc164757148</vt:lpwstr>
      </vt:variant>
      <vt:variant>
        <vt:i4>1376305</vt:i4>
      </vt:variant>
      <vt:variant>
        <vt:i4>254</vt:i4>
      </vt:variant>
      <vt:variant>
        <vt:i4>0</vt:i4>
      </vt:variant>
      <vt:variant>
        <vt:i4>5</vt:i4>
      </vt:variant>
      <vt:variant>
        <vt:lpwstr/>
      </vt:variant>
      <vt:variant>
        <vt:lpwstr>_Toc164757147</vt:lpwstr>
      </vt:variant>
      <vt:variant>
        <vt:i4>1376305</vt:i4>
      </vt:variant>
      <vt:variant>
        <vt:i4>248</vt:i4>
      </vt:variant>
      <vt:variant>
        <vt:i4>0</vt:i4>
      </vt:variant>
      <vt:variant>
        <vt:i4>5</vt:i4>
      </vt:variant>
      <vt:variant>
        <vt:lpwstr/>
      </vt:variant>
      <vt:variant>
        <vt:lpwstr>_Toc164757146</vt:lpwstr>
      </vt:variant>
      <vt:variant>
        <vt:i4>1376305</vt:i4>
      </vt:variant>
      <vt:variant>
        <vt:i4>242</vt:i4>
      </vt:variant>
      <vt:variant>
        <vt:i4>0</vt:i4>
      </vt:variant>
      <vt:variant>
        <vt:i4>5</vt:i4>
      </vt:variant>
      <vt:variant>
        <vt:lpwstr/>
      </vt:variant>
      <vt:variant>
        <vt:lpwstr>_Toc164757145</vt:lpwstr>
      </vt:variant>
      <vt:variant>
        <vt:i4>1376305</vt:i4>
      </vt:variant>
      <vt:variant>
        <vt:i4>236</vt:i4>
      </vt:variant>
      <vt:variant>
        <vt:i4>0</vt:i4>
      </vt:variant>
      <vt:variant>
        <vt:i4>5</vt:i4>
      </vt:variant>
      <vt:variant>
        <vt:lpwstr/>
      </vt:variant>
      <vt:variant>
        <vt:lpwstr>_Toc164757144</vt:lpwstr>
      </vt:variant>
      <vt:variant>
        <vt:i4>1376305</vt:i4>
      </vt:variant>
      <vt:variant>
        <vt:i4>230</vt:i4>
      </vt:variant>
      <vt:variant>
        <vt:i4>0</vt:i4>
      </vt:variant>
      <vt:variant>
        <vt:i4>5</vt:i4>
      </vt:variant>
      <vt:variant>
        <vt:lpwstr/>
      </vt:variant>
      <vt:variant>
        <vt:lpwstr>_Toc164757143</vt:lpwstr>
      </vt:variant>
      <vt:variant>
        <vt:i4>1376305</vt:i4>
      </vt:variant>
      <vt:variant>
        <vt:i4>224</vt:i4>
      </vt:variant>
      <vt:variant>
        <vt:i4>0</vt:i4>
      </vt:variant>
      <vt:variant>
        <vt:i4>5</vt:i4>
      </vt:variant>
      <vt:variant>
        <vt:lpwstr/>
      </vt:variant>
      <vt:variant>
        <vt:lpwstr>_Toc164757142</vt:lpwstr>
      </vt:variant>
      <vt:variant>
        <vt:i4>1376305</vt:i4>
      </vt:variant>
      <vt:variant>
        <vt:i4>218</vt:i4>
      </vt:variant>
      <vt:variant>
        <vt:i4>0</vt:i4>
      </vt:variant>
      <vt:variant>
        <vt:i4>5</vt:i4>
      </vt:variant>
      <vt:variant>
        <vt:lpwstr/>
      </vt:variant>
      <vt:variant>
        <vt:lpwstr>_Toc164757141</vt:lpwstr>
      </vt:variant>
      <vt:variant>
        <vt:i4>1376305</vt:i4>
      </vt:variant>
      <vt:variant>
        <vt:i4>212</vt:i4>
      </vt:variant>
      <vt:variant>
        <vt:i4>0</vt:i4>
      </vt:variant>
      <vt:variant>
        <vt:i4>5</vt:i4>
      </vt:variant>
      <vt:variant>
        <vt:lpwstr/>
      </vt:variant>
      <vt:variant>
        <vt:lpwstr>_Toc164757140</vt:lpwstr>
      </vt:variant>
      <vt:variant>
        <vt:i4>1179697</vt:i4>
      </vt:variant>
      <vt:variant>
        <vt:i4>206</vt:i4>
      </vt:variant>
      <vt:variant>
        <vt:i4>0</vt:i4>
      </vt:variant>
      <vt:variant>
        <vt:i4>5</vt:i4>
      </vt:variant>
      <vt:variant>
        <vt:lpwstr/>
      </vt:variant>
      <vt:variant>
        <vt:lpwstr>_Toc164757139</vt:lpwstr>
      </vt:variant>
      <vt:variant>
        <vt:i4>1179697</vt:i4>
      </vt:variant>
      <vt:variant>
        <vt:i4>200</vt:i4>
      </vt:variant>
      <vt:variant>
        <vt:i4>0</vt:i4>
      </vt:variant>
      <vt:variant>
        <vt:i4>5</vt:i4>
      </vt:variant>
      <vt:variant>
        <vt:lpwstr/>
      </vt:variant>
      <vt:variant>
        <vt:lpwstr>_Toc164757138</vt:lpwstr>
      </vt:variant>
      <vt:variant>
        <vt:i4>1179697</vt:i4>
      </vt:variant>
      <vt:variant>
        <vt:i4>194</vt:i4>
      </vt:variant>
      <vt:variant>
        <vt:i4>0</vt:i4>
      </vt:variant>
      <vt:variant>
        <vt:i4>5</vt:i4>
      </vt:variant>
      <vt:variant>
        <vt:lpwstr/>
      </vt:variant>
      <vt:variant>
        <vt:lpwstr>_Toc164757137</vt:lpwstr>
      </vt:variant>
      <vt:variant>
        <vt:i4>1179697</vt:i4>
      </vt:variant>
      <vt:variant>
        <vt:i4>188</vt:i4>
      </vt:variant>
      <vt:variant>
        <vt:i4>0</vt:i4>
      </vt:variant>
      <vt:variant>
        <vt:i4>5</vt:i4>
      </vt:variant>
      <vt:variant>
        <vt:lpwstr/>
      </vt:variant>
      <vt:variant>
        <vt:lpwstr>_Toc164757136</vt:lpwstr>
      </vt:variant>
      <vt:variant>
        <vt:i4>1179697</vt:i4>
      </vt:variant>
      <vt:variant>
        <vt:i4>182</vt:i4>
      </vt:variant>
      <vt:variant>
        <vt:i4>0</vt:i4>
      </vt:variant>
      <vt:variant>
        <vt:i4>5</vt:i4>
      </vt:variant>
      <vt:variant>
        <vt:lpwstr/>
      </vt:variant>
      <vt:variant>
        <vt:lpwstr>_Toc164757135</vt:lpwstr>
      </vt:variant>
      <vt:variant>
        <vt:i4>1179697</vt:i4>
      </vt:variant>
      <vt:variant>
        <vt:i4>176</vt:i4>
      </vt:variant>
      <vt:variant>
        <vt:i4>0</vt:i4>
      </vt:variant>
      <vt:variant>
        <vt:i4>5</vt:i4>
      </vt:variant>
      <vt:variant>
        <vt:lpwstr/>
      </vt:variant>
      <vt:variant>
        <vt:lpwstr>_Toc164757134</vt:lpwstr>
      </vt:variant>
      <vt:variant>
        <vt:i4>1179697</vt:i4>
      </vt:variant>
      <vt:variant>
        <vt:i4>170</vt:i4>
      </vt:variant>
      <vt:variant>
        <vt:i4>0</vt:i4>
      </vt:variant>
      <vt:variant>
        <vt:i4>5</vt:i4>
      </vt:variant>
      <vt:variant>
        <vt:lpwstr/>
      </vt:variant>
      <vt:variant>
        <vt:lpwstr>_Toc164757133</vt:lpwstr>
      </vt:variant>
      <vt:variant>
        <vt:i4>1179697</vt:i4>
      </vt:variant>
      <vt:variant>
        <vt:i4>164</vt:i4>
      </vt:variant>
      <vt:variant>
        <vt:i4>0</vt:i4>
      </vt:variant>
      <vt:variant>
        <vt:i4>5</vt:i4>
      </vt:variant>
      <vt:variant>
        <vt:lpwstr/>
      </vt:variant>
      <vt:variant>
        <vt:lpwstr>_Toc164757132</vt:lpwstr>
      </vt:variant>
      <vt:variant>
        <vt:i4>1179697</vt:i4>
      </vt:variant>
      <vt:variant>
        <vt:i4>158</vt:i4>
      </vt:variant>
      <vt:variant>
        <vt:i4>0</vt:i4>
      </vt:variant>
      <vt:variant>
        <vt:i4>5</vt:i4>
      </vt:variant>
      <vt:variant>
        <vt:lpwstr/>
      </vt:variant>
      <vt:variant>
        <vt:lpwstr>_Toc164757131</vt:lpwstr>
      </vt:variant>
      <vt:variant>
        <vt:i4>1179697</vt:i4>
      </vt:variant>
      <vt:variant>
        <vt:i4>152</vt:i4>
      </vt:variant>
      <vt:variant>
        <vt:i4>0</vt:i4>
      </vt:variant>
      <vt:variant>
        <vt:i4>5</vt:i4>
      </vt:variant>
      <vt:variant>
        <vt:lpwstr/>
      </vt:variant>
      <vt:variant>
        <vt:lpwstr>_Toc164757130</vt:lpwstr>
      </vt:variant>
      <vt:variant>
        <vt:i4>1245233</vt:i4>
      </vt:variant>
      <vt:variant>
        <vt:i4>146</vt:i4>
      </vt:variant>
      <vt:variant>
        <vt:i4>0</vt:i4>
      </vt:variant>
      <vt:variant>
        <vt:i4>5</vt:i4>
      </vt:variant>
      <vt:variant>
        <vt:lpwstr/>
      </vt:variant>
      <vt:variant>
        <vt:lpwstr>_Toc164757129</vt:lpwstr>
      </vt:variant>
      <vt:variant>
        <vt:i4>1245233</vt:i4>
      </vt:variant>
      <vt:variant>
        <vt:i4>140</vt:i4>
      </vt:variant>
      <vt:variant>
        <vt:i4>0</vt:i4>
      </vt:variant>
      <vt:variant>
        <vt:i4>5</vt:i4>
      </vt:variant>
      <vt:variant>
        <vt:lpwstr/>
      </vt:variant>
      <vt:variant>
        <vt:lpwstr>_Toc164757128</vt:lpwstr>
      </vt:variant>
      <vt:variant>
        <vt:i4>1245233</vt:i4>
      </vt:variant>
      <vt:variant>
        <vt:i4>134</vt:i4>
      </vt:variant>
      <vt:variant>
        <vt:i4>0</vt:i4>
      </vt:variant>
      <vt:variant>
        <vt:i4>5</vt:i4>
      </vt:variant>
      <vt:variant>
        <vt:lpwstr/>
      </vt:variant>
      <vt:variant>
        <vt:lpwstr>_Toc164757127</vt:lpwstr>
      </vt:variant>
      <vt:variant>
        <vt:i4>1245233</vt:i4>
      </vt:variant>
      <vt:variant>
        <vt:i4>128</vt:i4>
      </vt:variant>
      <vt:variant>
        <vt:i4>0</vt:i4>
      </vt:variant>
      <vt:variant>
        <vt:i4>5</vt:i4>
      </vt:variant>
      <vt:variant>
        <vt:lpwstr/>
      </vt:variant>
      <vt:variant>
        <vt:lpwstr>_Toc164757126</vt:lpwstr>
      </vt:variant>
      <vt:variant>
        <vt:i4>1245233</vt:i4>
      </vt:variant>
      <vt:variant>
        <vt:i4>122</vt:i4>
      </vt:variant>
      <vt:variant>
        <vt:i4>0</vt:i4>
      </vt:variant>
      <vt:variant>
        <vt:i4>5</vt:i4>
      </vt:variant>
      <vt:variant>
        <vt:lpwstr/>
      </vt:variant>
      <vt:variant>
        <vt:lpwstr>_Toc164757125</vt:lpwstr>
      </vt:variant>
      <vt:variant>
        <vt:i4>1245233</vt:i4>
      </vt:variant>
      <vt:variant>
        <vt:i4>116</vt:i4>
      </vt:variant>
      <vt:variant>
        <vt:i4>0</vt:i4>
      </vt:variant>
      <vt:variant>
        <vt:i4>5</vt:i4>
      </vt:variant>
      <vt:variant>
        <vt:lpwstr/>
      </vt:variant>
      <vt:variant>
        <vt:lpwstr>_Toc164757124</vt:lpwstr>
      </vt:variant>
      <vt:variant>
        <vt:i4>1245233</vt:i4>
      </vt:variant>
      <vt:variant>
        <vt:i4>110</vt:i4>
      </vt:variant>
      <vt:variant>
        <vt:i4>0</vt:i4>
      </vt:variant>
      <vt:variant>
        <vt:i4>5</vt:i4>
      </vt:variant>
      <vt:variant>
        <vt:lpwstr/>
      </vt:variant>
      <vt:variant>
        <vt:lpwstr>_Toc164757123</vt:lpwstr>
      </vt:variant>
      <vt:variant>
        <vt:i4>1245233</vt:i4>
      </vt:variant>
      <vt:variant>
        <vt:i4>104</vt:i4>
      </vt:variant>
      <vt:variant>
        <vt:i4>0</vt:i4>
      </vt:variant>
      <vt:variant>
        <vt:i4>5</vt:i4>
      </vt:variant>
      <vt:variant>
        <vt:lpwstr/>
      </vt:variant>
      <vt:variant>
        <vt:lpwstr>_Toc164757122</vt:lpwstr>
      </vt:variant>
      <vt:variant>
        <vt:i4>1245233</vt:i4>
      </vt:variant>
      <vt:variant>
        <vt:i4>98</vt:i4>
      </vt:variant>
      <vt:variant>
        <vt:i4>0</vt:i4>
      </vt:variant>
      <vt:variant>
        <vt:i4>5</vt:i4>
      </vt:variant>
      <vt:variant>
        <vt:lpwstr/>
      </vt:variant>
      <vt:variant>
        <vt:lpwstr>_Toc164757121</vt:lpwstr>
      </vt:variant>
      <vt:variant>
        <vt:i4>1245233</vt:i4>
      </vt:variant>
      <vt:variant>
        <vt:i4>92</vt:i4>
      </vt:variant>
      <vt:variant>
        <vt:i4>0</vt:i4>
      </vt:variant>
      <vt:variant>
        <vt:i4>5</vt:i4>
      </vt:variant>
      <vt:variant>
        <vt:lpwstr/>
      </vt:variant>
      <vt:variant>
        <vt:lpwstr>_Toc164757120</vt:lpwstr>
      </vt:variant>
      <vt:variant>
        <vt:i4>1048625</vt:i4>
      </vt:variant>
      <vt:variant>
        <vt:i4>86</vt:i4>
      </vt:variant>
      <vt:variant>
        <vt:i4>0</vt:i4>
      </vt:variant>
      <vt:variant>
        <vt:i4>5</vt:i4>
      </vt:variant>
      <vt:variant>
        <vt:lpwstr/>
      </vt:variant>
      <vt:variant>
        <vt:lpwstr>_Toc164757119</vt:lpwstr>
      </vt:variant>
      <vt:variant>
        <vt:i4>1048625</vt:i4>
      </vt:variant>
      <vt:variant>
        <vt:i4>80</vt:i4>
      </vt:variant>
      <vt:variant>
        <vt:i4>0</vt:i4>
      </vt:variant>
      <vt:variant>
        <vt:i4>5</vt:i4>
      </vt:variant>
      <vt:variant>
        <vt:lpwstr/>
      </vt:variant>
      <vt:variant>
        <vt:lpwstr>_Toc164757118</vt:lpwstr>
      </vt:variant>
      <vt:variant>
        <vt:i4>1048625</vt:i4>
      </vt:variant>
      <vt:variant>
        <vt:i4>74</vt:i4>
      </vt:variant>
      <vt:variant>
        <vt:i4>0</vt:i4>
      </vt:variant>
      <vt:variant>
        <vt:i4>5</vt:i4>
      </vt:variant>
      <vt:variant>
        <vt:lpwstr/>
      </vt:variant>
      <vt:variant>
        <vt:lpwstr>_Toc164757117</vt:lpwstr>
      </vt:variant>
      <vt:variant>
        <vt:i4>1048625</vt:i4>
      </vt:variant>
      <vt:variant>
        <vt:i4>68</vt:i4>
      </vt:variant>
      <vt:variant>
        <vt:i4>0</vt:i4>
      </vt:variant>
      <vt:variant>
        <vt:i4>5</vt:i4>
      </vt:variant>
      <vt:variant>
        <vt:lpwstr/>
      </vt:variant>
      <vt:variant>
        <vt:lpwstr>_Toc164757116</vt:lpwstr>
      </vt:variant>
      <vt:variant>
        <vt:i4>1048625</vt:i4>
      </vt:variant>
      <vt:variant>
        <vt:i4>62</vt:i4>
      </vt:variant>
      <vt:variant>
        <vt:i4>0</vt:i4>
      </vt:variant>
      <vt:variant>
        <vt:i4>5</vt:i4>
      </vt:variant>
      <vt:variant>
        <vt:lpwstr/>
      </vt:variant>
      <vt:variant>
        <vt:lpwstr>_Toc164757115</vt:lpwstr>
      </vt:variant>
      <vt:variant>
        <vt:i4>1048625</vt:i4>
      </vt:variant>
      <vt:variant>
        <vt:i4>56</vt:i4>
      </vt:variant>
      <vt:variant>
        <vt:i4>0</vt:i4>
      </vt:variant>
      <vt:variant>
        <vt:i4>5</vt:i4>
      </vt:variant>
      <vt:variant>
        <vt:lpwstr/>
      </vt:variant>
      <vt:variant>
        <vt:lpwstr>_Toc164757114</vt:lpwstr>
      </vt:variant>
      <vt:variant>
        <vt:i4>1048625</vt:i4>
      </vt:variant>
      <vt:variant>
        <vt:i4>50</vt:i4>
      </vt:variant>
      <vt:variant>
        <vt:i4>0</vt:i4>
      </vt:variant>
      <vt:variant>
        <vt:i4>5</vt:i4>
      </vt:variant>
      <vt:variant>
        <vt:lpwstr/>
      </vt:variant>
      <vt:variant>
        <vt:lpwstr>_Toc164757113</vt:lpwstr>
      </vt:variant>
      <vt:variant>
        <vt:i4>1048625</vt:i4>
      </vt:variant>
      <vt:variant>
        <vt:i4>44</vt:i4>
      </vt:variant>
      <vt:variant>
        <vt:i4>0</vt:i4>
      </vt:variant>
      <vt:variant>
        <vt:i4>5</vt:i4>
      </vt:variant>
      <vt:variant>
        <vt:lpwstr/>
      </vt:variant>
      <vt:variant>
        <vt:lpwstr>_Toc164757112</vt:lpwstr>
      </vt:variant>
      <vt:variant>
        <vt:i4>1048625</vt:i4>
      </vt:variant>
      <vt:variant>
        <vt:i4>38</vt:i4>
      </vt:variant>
      <vt:variant>
        <vt:i4>0</vt:i4>
      </vt:variant>
      <vt:variant>
        <vt:i4>5</vt:i4>
      </vt:variant>
      <vt:variant>
        <vt:lpwstr/>
      </vt:variant>
      <vt:variant>
        <vt:lpwstr>_Toc164757111</vt:lpwstr>
      </vt:variant>
      <vt:variant>
        <vt:i4>1048625</vt:i4>
      </vt:variant>
      <vt:variant>
        <vt:i4>32</vt:i4>
      </vt:variant>
      <vt:variant>
        <vt:i4>0</vt:i4>
      </vt:variant>
      <vt:variant>
        <vt:i4>5</vt:i4>
      </vt:variant>
      <vt:variant>
        <vt:lpwstr/>
      </vt:variant>
      <vt:variant>
        <vt:lpwstr>_Toc164757110</vt:lpwstr>
      </vt:variant>
      <vt:variant>
        <vt:i4>1114161</vt:i4>
      </vt:variant>
      <vt:variant>
        <vt:i4>26</vt:i4>
      </vt:variant>
      <vt:variant>
        <vt:i4>0</vt:i4>
      </vt:variant>
      <vt:variant>
        <vt:i4>5</vt:i4>
      </vt:variant>
      <vt:variant>
        <vt:lpwstr/>
      </vt:variant>
      <vt:variant>
        <vt:lpwstr>_Toc164757109</vt:lpwstr>
      </vt:variant>
      <vt:variant>
        <vt:i4>1114161</vt:i4>
      </vt:variant>
      <vt:variant>
        <vt:i4>20</vt:i4>
      </vt:variant>
      <vt:variant>
        <vt:i4>0</vt:i4>
      </vt:variant>
      <vt:variant>
        <vt:i4>5</vt:i4>
      </vt:variant>
      <vt:variant>
        <vt:lpwstr/>
      </vt:variant>
      <vt:variant>
        <vt:lpwstr>_Toc164757108</vt:lpwstr>
      </vt:variant>
      <vt:variant>
        <vt:i4>1114161</vt:i4>
      </vt:variant>
      <vt:variant>
        <vt:i4>14</vt:i4>
      </vt:variant>
      <vt:variant>
        <vt:i4>0</vt:i4>
      </vt:variant>
      <vt:variant>
        <vt:i4>5</vt:i4>
      </vt:variant>
      <vt:variant>
        <vt:lpwstr/>
      </vt:variant>
      <vt:variant>
        <vt:lpwstr>_Toc164757107</vt:lpwstr>
      </vt:variant>
      <vt:variant>
        <vt:i4>1114161</vt:i4>
      </vt:variant>
      <vt:variant>
        <vt:i4>8</vt:i4>
      </vt:variant>
      <vt:variant>
        <vt:i4>0</vt:i4>
      </vt:variant>
      <vt:variant>
        <vt:i4>5</vt:i4>
      </vt:variant>
      <vt:variant>
        <vt:lpwstr/>
      </vt:variant>
      <vt:variant>
        <vt:lpwstr>_Toc164757106</vt:lpwstr>
      </vt:variant>
      <vt:variant>
        <vt:i4>1114161</vt:i4>
      </vt:variant>
      <vt:variant>
        <vt:i4>2</vt:i4>
      </vt:variant>
      <vt:variant>
        <vt:i4>0</vt:i4>
      </vt:variant>
      <vt:variant>
        <vt:i4>5</vt:i4>
      </vt:variant>
      <vt:variant>
        <vt:lpwstr/>
      </vt:variant>
      <vt:variant>
        <vt:lpwstr>_Toc164757105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2024-10-25T00:57:00Z</dcterms:created>
  <dcterms:modified xsi:type="dcterms:W3CDTF">2024-10-25T00:57:00Z</dcterms:modified>
</cp:coreProperties>
</file>